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bookmarkStart w:id="0" w:name="_GoBack"/>
            <w:bookmarkEnd w:id="0"/>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770399" w:rsidRDefault="00770399" w:rsidP="00AB3619">
            <w:pPr>
              <w:spacing w:line="240" w:lineRule="atLeast"/>
              <w:jc w:val="right"/>
              <w:rPr>
                <w:sz w:val="20"/>
                <w:szCs w:val="21"/>
              </w:rPr>
            </w:pPr>
            <w:r w:rsidRPr="00770399">
              <w:rPr>
                <w:sz w:val="40"/>
                <w:szCs w:val="21"/>
              </w:rPr>
              <w:t>E</w:t>
            </w:r>
            <w:r>
              <w:rPr>
                <w:sz w:val="20"/>
                <w:szCs w:val="21"/>
              </w:rPr>
              <w:t>/C.12/LIE/CO/2-3</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770399" w:rsidRPr="00770399" w:rsidRDefault="000A2080" w:rsidP="00770399">
            <w:pPr>
              <w:spacing w:before="240" w:line="240" w:lineRule="exact"/>
              <w:rPr>
                <w:sz w:val="20"/>
              </w:rPr>
            </w:pPr>
            <w:r w:rsidRPr="00770399">
              <w:rPr>
                <w:sz w:val="20"/>
              </w:rPr>
              <w:t>Distr.:</w:t>
            </w:r>
            <w:r w:rsidR="00770399" w:rsidRPr="00770399">
              <w:rPr>
                <w:sz w:val="20"/>
              </w:rPr>
              <w:t xml:space="preserve"> General</w:t>
            </w:r>
          </w:p>
          <w:p w:rsidR="000A2080" w:rsidRPr="00770399" w:rsidRDefault="00770399" w:rsidP="00770399">
            <w:pPr>
              <w:spacing w:line="240" w:lineRule="atLeast"/>
              <w:rPr>
                <w:sz w:val="20"/>
              </w:rPr>
            </w:pPr>
            <w:r w:rsidRPr="00770399">
              <w:rPr>
                <w:sz w:val="20"/>
              </w:rPr>
              <w:t xml:space="preserve">3 July </w:t>
            </w:r>
            <w:r w:rsidR="00B45B2F" w:rsidRPr="00770399">
              <w:rPr>
                <w:sz w:val="20"/>
              </w:rPr>
              <w:t>201</w:t>
            </w:r>
            <w:r w:rsidR="00C21165" w:rsidRPr="00770399">
              <w:rPr>
                <w:rFonts w:hint="eastAsia"/>
                <w:sz w:val="20"/>
              </w:rPr>
              <w:t>7</w:t>
            </w:r>
          </w:p>
          <w:p w:rsidR="000A2080" w:rsidRPr="00770399" w:rsidRDefault="00770399" w:rsidP="00AB3619">
            <w:pPr>
              <w:spacing w:line="240" w:lineRule="atLeast"/>
              <w:rPr>
                <w:sz w:val="20"/>
              </w:rPr>
            </w:pPr>
            <w:r>
              <w:rPr>
                <w:sz w:val="20"/>
              </w:rPr>
              <w:t>Chinese</w:t>
            </w:r>
          </w:p>
          <w:p w:rsidR="000A2080" w:rsidRPr="002C14C6" w:rsidRDefault="000A2080" w:rsidP="00AB3619">
            <w:pPr>
              <w:spacing w:line="240" w:lineRule="atLeast"/>
            </w:pPr>
            <w:r w:rsidRPr="00770399">
              <w:rPr>
                <w:sz w:val="20"/>
              </w:rPr>
              <w:t>Original: English</w:t>
            </w:r>
          </w:p>
        </w:tc>
      </w:tr>
    </w:tbl>
    <w:p w:rsidR="00770399" w:rsidRPr="00770399" w:rsidRDefault="00770399" w:rsidP="00770399">
      <w:pPr>
        <w:pStyle w:val="a9"/>
        <w:spacing w:before="120"/>
        <w:rPr>
          <w:rFonts w:ascii="黑体" w:eastAsia="黑体" w:hAnsi="黑体"/>
          <w:sz w:val="24"/>
          <w:szCs w:val="24"/>
        </w:rPr>
      </w:pPr>
      <w:r w:rsidRPr="00770399">
        <w:rPr>
          <w:rFonts w:ascii="黑体" w:eastAsia="黑体" w:hAnsi="黑体" w:hint="eastAsia"/>
          <w:sz w:val="24"/>
          <w:szCs w:val="24"/>
        </w:rPr>
        <w:t>经济、社会及文化权利委员会</w:t>
      </w:r>
    </w:p>
    <w:p w:rsidR="00770399" w:rsidRDefault="00770399" w:rsidP="00C714F8">
      <w:pPr>
        <w:pStyle w:val="HChGC"/>
        <w:spacing w:before="600"/>
      </w:pPr>
      <w:r>
        <w:rPr>
          <w:rFonts w:hint="eastAsia"/>
        </w:rPr>
        <w:tab/>
      </w:r>
      <w:r>
        <w:rPr>
          <w:rFonts w:hint="eastAsia"/>
        </w:rPr>
        <w:tab/>
      </w:r>
      <w:r w:rsidRPr="0060740A">
        <w:rPr>
          <w:rFonts w:hint="eastAsia"/>
          <w:spacing w:val="-2"/>
        </w:rPr>
        <w:t>关于列支敦士登第二次和第三次合并定期报告的结论性意见</w:t>
      </w:r>
      <w:r w:rsidR="001A46A8" w:rsidRPr="001A46A8">
        <w:rPr>
          <w:rStyle w:val="a8"/>
          <w:rFonts w:eastAsia="黑体"/>
          <w:sz w:val="28"/>
          <w:vertAlign w:val="baseline"/>
        </w:rPr>
        <w:footnoteReference w:customMarkFollows="1" w:id="2"/>
        <w:t>*</w:t>
      </w:r>
    </w:p>
    <w:p w:rsidR="00770399" w:rsidRDefault="00770399" w:rsidP="00770399">
      <w:pPr>
        <w:pStyle w:val="SingleTxtGC"/>
      </w:pPr>
      <w:r>
        <w:rPr>
          <w:rFonts w:hint="eastAsia"/>
        </w:rPr>
        <w:t>1</w:t>
      </w:r>
      <w:r w:rsidR="00D50275">
        <w:rPr>
          <w:rFonts w:hint="eastAsia"/>
        </w:rPr>
        <w:t xml:space="preserve">.  </w:t>
      </w:r>
      <w:r>
        <w:rPr>
          <w:rFonts w:hint="eastAsia"/>
        </w:rPr>
        <w:t>经济、社会及文化权利委员会在</w:t>
      </w:r>
      <w:r>
        <w:rPr>
          <w:rFonts w:hint="eastAsia"/>
        </w:rPr>
        <w:t>2017</w:t>
      </w:r>
      <w:r>
        <w:rPr>
          <w:rFonts w:hint="eastAsia"/>
        </w:rPr>
        <w:t>年</w:t>
      </w:r>
      <w:r>
        <w:rPr>
          <w:rFonts w:hint="eastAsia"/>
        </w:rPr>
        <w:t>6</w:t>
      </w:r>
      <w:r>
        <w:rPr>
          <w:rFonts w:hint="eastAsia"/>
        </w:rPr>
        <w:t>月</w:t>
      </w:r>
      <w:r>
        <w:rPr>
          <w:rFonts w:hint="eastAsia"/>
        </w:rPr>
        <w:t>7</w:t>
      </w:r>
      <w:r>
        <w:rPr>
          <w:rFonts w:hint="eastAsia"/>
        </w:rPr>
        <w:t>日和</w:t>
      </w:r>
      <w:r>
        <w:rPr>
          <w:rFonts w:hint="eastAsia"/>
        </w:rPr>
        <w:t>8</w:t>
      </w:r>
      <w:r>
        <w:rPr>
          <w:rFonts w:hint="eastAsia"/>
        </w:rPr>
        <w:t>日举行的第</w:t>
      </w:r>
      <w:r>
        <w:rPr>
          <w:rFonts w:hint="eastAsia"/>
        </w:rPr>
        <w:t>24</w:t>
      </w:r>
      <w:r>
        <w:rPr>
          <w:rFonts w:hint="eastAsia"/>
        </w:rPr>
        <w:t>和第</w:t>
      </w:r>
      <w:r>
        <w:rPr>
          <w:rFonts w:hint="eastAsia"/>
        </w:rPr>
        <w:t>25</w:t>
      </w:r>
      <w:r>
        <w:rPr>
          <w:rFonts w:hint="eastAsia"/>
        </w:rPr>
        <w:t>次会议</w:t>
      </w:r>
      <w:r>
        <w:rPr>
          <w:rFonts w:hint="eastAsia"/>
        </w:rPr>
        <w:t>(</w:t>
      </w:r>
      <w:r>
        <w:rPr>
          <w:rFonts w:hint="eastAsia"/>
        </w:rPr>
        <w:t>见</w:t>
      </w:r>
      <w:r>
        <w:rPr>
          <w:rFonts w:hint="eastAsia"/>
        </w:rPr>
        <w:t>E/C.12/2017/SR.24</w:t>
      </w:r>
      <w:r>
        <w:rPr>
          <w:rFonts w:hint="eastAsia"/>
        </w:rPr>
        <w:t>和</w:t>
      </w:r>
      <w:r>
        <w:rPr>
          <w:rFonts w:hint="eastAsia"/>
        </w:rPr>
        <w:t>25)</w:t>
      </w:r>
      <w:r>
        <w:rPr>
          <w:rFonts w:hint="eastAsia"/>
        </w:rPr>
        <w:t>上审议了列支敦士登第二次和第三次合并定期报告</w:t>
      </w:r>
      <w:r>
        <w:rPr>
          <w:rFonts w:hint="eastAsia"/>
        </w:rPr>
        <w:t>(E/C.12/LIE/2-3)</w:t>
      </w:r>
      <w:r>
        <w:rPr>
          <w:rFonts w:hint="eastAsia"/>
        </w:rPr>
        <w:t>，在</w:t>
      </w:r>
      <w:r>
        <w:rPr>
          <w:rFonts w:hint="eastAsia"/>
        </w:rPr>
        <w:t>2017</w:t>
      </w:r>
      <w:r>
        <w:rPr>
          <w:rFonts w:hint="eastAsia"/>
        </w:rPr>
        <w:t>年</w:t>
      </w:r>
      <w:r>
        <w:rPr>
          <w:rFonts w:hint="eastAsia"/>
        </w:rPr>
        <w:t>6</w:t>
      </w:r>
      <w:r>
        <w:rPr>
          <w:rFonts w:hint="eastAsia"/>
        </w:rPr>
        <w:t>月</w:t>
      </w:r>
      <w:r>
        <w:rPr>
          <w:rFonts w:hint="eastAsia"/>
        </w:rPr>
        <w:t>23</w:t>
      </w:r>
      <w:r>
        <w:rPr>
          <w:rFonts w:hint="eastAsia"/>
        </w:rPr>
        <w:t>日举行的第</w:t>
      </w:r>
      <w:r>
        <w:rPr>
          <w:rFonts w:hint="eastAsia"/>
        </w:rPr>
        <w:t>47</w:t>
      </w:r>
      <w:r>
        <w:rPr>
          <w:rFonts w:hint="eastAsia"/>
        </w:rPr>
        <w:t>次会议上通过了以下结论性意见。</w:t>
      </w:r>
    </w:p>
    <w:p w:rsidR="00770399" w:rsidRDefault="0060740A" w:rsidP="0060740A">
      <w:pPr>
        <w:pStyle w:val="H1GC"/>
      </w:pPr>
      <w:r>
        <w:tab/>
      </w:r>
      <w:r w:rsidR="00770399">
        <w:rPr>
          <w:rFonts w:hint="eastAsia"/>
        </w:rPr>
        <w:t>A</w:t>
      </w:r>
      <w:r w:rsidR="00D50275">
        <w:rPr>
          <w:rFonts w:hint="eastAsia"/>
        </w:rPr>
        <w:t>.</w:t>
      </w:r>
      <w:r>
        <w:tab/>
      </w:r>
      <w:r w:rsidR="00770399">
        <w:rPr>
          <w:rFonts w:hint="eastAsia"/>
        </w:rPr>
        <w:t>导言</w:t>
      </w:r>
    </w:p>
    <w:p w:rsidR="00770399" w:rsidRDefault="00770399" w:rsidP="00770399">
      <w:pPr>
        <w:pStyle w:val="SingleTxtGC"/>
      </w:pPr>
      <w:r>
        <w:rPr>
          <w:rFonts w:hint="eastAsia"/>
        </w:rPr>
        <w:t>2</w:t>
      </w:r>
      <w:r w:rsidR="00D50275">
        <w:rPr>
          <w:rFonts w:hint="eastAsia"/>
        </w:rPr>
        <w:t xml:space="preserve">.  </w:t>
      </w:r>
      <w:r>
        <w:rPr>
          <w:rFonts w:hint="eastAsia"/>
        </w:rPr>
        <w:t>委员会欢迎缔约国提交第二次和第三次合并定期报告和对问题清单的书面答复</w:t>
      </w:r>
      <w:r>
        <w:rPr>
          <w:rFonts w:hint="eastAsia"/>
        </w:rPr>
        <w:t>(E/C.12/LIE/Q/2-3/Add.1)</w:t>
      </w:r>
      <w:r>
        <w:rPr>
          <w:rFonts w:hint="eastAsia"/>
        </w:rPr>
        <w:t>。委员会还赞赏与缔约国多部门代表团进行的开诚布公的建设性对话。</w:t>
      </w:r>
    </w:p>
    <w:p w:rsidR="00770399" w:rsidRDefault="0060740A" w:rsidP="0060740A">
      <w:pPr>
        <w:pStyle w:val="H1GC"/>
      </w:pPr>
      <w:r>
        <w:tab/>
      </w:r>
      <w:r w:rsidR="00770399">
        <w:rPr>
          <w:rFonts w:hint="eastAsia"/>
        </w:rPr>
        <w:t>B</w:t>
      </w:r>
      <w:r w:rsidR="00D50275">
        <w:rPr>
          <w:rFonts w:hint="eastAsia"/>
        </w:rPr>
        <w:t>.</w:t>
      </w:r>
      <w:r>
        <w:tab/>
      </w:r>
      <w:r w:rsidR="00770399">
        <w:rPr>
          <w:rFonts w:hint="eastAsia"/>
        </w:rPr>
        <w:t>积极方面</w:t>
      </w:r>
    </w:p>
    <w:p w:rsidR="00770399" w:rsidRDefault="00770399" w:rsidP="00770399">
      <w:pPr>
        <w:pStyle w:val="SingleTxtGC"/>
      </w:pPr>
      <w:r>
        <w:rPr>
          <w:rFonts w:hint="eastAsia"/>
        </w:rPr>
        <w:t>3</w:t>
      </w:r>
      <w:r w:rsidR="00D50275">
        <w:rPr>
          <w:rFonts w:hint="eastAsia"/>
        </w:rPr>
        <w:t xml:space="preserve">.  </w:t>
      </w:r>
      <w:r>
        <w:rPr>
          <w:rFonts w:hint="eastAsia"/>
        </w:rPr>
        <w:t>委员会欢迎缔约国批准下列国际人权文书：</w:t>
      </w:r>
    </w:p>
    <w:p w:rsidR="00770399" w:rsidRDefault="00770399" w:rsidP="0060740A">
      <w:pPr>
        <w:pStyle w:val="SingleTxtGC"/>
        <w:numPr>
          <w:ilvl w:val="0"/>
          <w:numId w:val="8"/>
        </w:numPr>
        <w:tabs>
          <w:tab w:val="clear" w:pos="431"/>
          <w:tab w:val="clear" w:pos="1134"/>
          <w:tab w:val="clear" w:pos="1565"/>
          <w:tab w:val="clear" w:pos="1996"/>
          <w:tab w:val="clear" w:pos="2427"/>
          <w:tab w:val="left" w:pos="1985"/>
        </w:tabs>
        <w:ind w:left="1134" w:firstLine="426"/>
      </w:pPr>
      <w:r>
        <w:rPr>
          <w:rFonts w:hint="eastAsia"/>
        </w:rPr>
        <w:t>《儿童权利公约关于设定来文程序的任择议定书》，</w:t>
      </w:r>
      <w:r>
        <w:rPr>
          <w:rFonts w:hint="eastAsia"/>
        </w:rPr>
        <w:t>2017</w:t>
      </w:r>
      <w:r>
        <w:rPr>
          <w:rFonts w:hint="eastAsia"/>
        </w:rPr>
        <w:t>年；</w:t>
      </w:r>
    </w:p>
    <w:p w:rsidR="00770399" w:rsidRDefault="00770399" w:rsidP="0060740A">
      <w:pPr>
        <w:pStyle w:val="SingleTxtGC"/>
        <w:numPr>
          <w:ilvl w:val="0"/>
          <w:numId w:val="8"/>
        </w:numPr>
        <w:tabs>
          <w:tab w:val="clear" w:pos="431"/>
          <w:tab w:val="clear" w:pos="1134"/>
          <w:tab w:val="clear" w:pos="1565"/>
          <w:tab w:val="clear" w:pos="1996"/>
          <w:tab w:val="clear" w:pos="2427"/>
          <w:tab w:val="left" w:pos="1985"/>
        </w:tabs>
        <w:ind w:left="1134" w:firstLine="426"/>
      </w:pPr>
      <w:r>
        <w:rPr>
          <w:rFonts w:hint="eastAsia"/>
        </w:rPr>
        <w:t>《儿童权利公约关于买卖儿童、儿童卖淫和儿童色情制品问题的任择议定书》，</w:t>
      </w:r>
      <w:r>
        <w:rPr>
          <w:rFonts w:hint="eastAsia"/>
        </w:rPr>
        <w:t>2013</w:t>
      </w:r>
      <w:r>
        <w:rPr>
          <w:rFonts w:hint="eastAsia"/>
        </w:rPr>
        <w:t>年；</w:t>
      </w:r>
    </w:p>
    <w:p w:rsidR="00770399" w:rsidRDefault="00770399" w:rsidP="0060740A">
      <w:pPr>
        <w:pStyle w:val="SingleTxtGC"/>
        <w:numPr>
          <w:ilvl w:val="0"/>
          <w:numId w:val="8"/>
        </w:numPr>
        <w:tabs>
          <w:tab w:val="clear" w:pos="431"/>
          <w:tab w:val="clear" w:pos="1134"/>
          <w:tab w:val="clear" w:pos="1565"/>
          <w:tab w:val="clear" w:pos="1996"/>
          <w:tab w:val="clear" w:pos="2427"/>
          <w:tab w:val="left" w:pos="1985"/>
        </w:tabs>
        <w:ind w:left="1134" w:firstLine="426"/>
      </w:pPr>
      <w:r>
        <w:rPr>
          <w:rFonts w:hint="eastAsia"/>
        </w:rPr>
        <w:t>《禁止酷刑和其他残忍、不人道或有辱人格的待遇或处罚公约任择议定书》，</w:t>
      </w:r>
      <w:r>
        <w:rPr>
          <w:rFonts w:hint="eastAsia"/>
        </w:rPr>
        <w:t>2006</w:t>
      </w:r>
      <w:r>
        <w:rPr>
          <w:rFonts w:hint="eastAsia"/>
        </w:rPr>
        <w:t>年；</w:t>
      </w:r>
    </w:p>
    <w:p w:rsidR="00770399" w:rsidRDefault="00770399" w:rsidP="00770399">
      <w:pPr>
        <w:pStyle w:val="SingleTxtGC"/>
      </w:pPr>
      <w:r>
        <w:rPr>
          <w:rFonts w:hint="eastAsia"/>
        </w:rPr>
        <w:t>4</w:t>
      </w:r>
      <w:r w:rsidR="00D50275">
        <w:rPr>
          <w:rFonts w:hint="eastAsia"/>
        </w:rPr>
        <w:t xml:space="preserve">.  </w:t>
      </w:r>
      <w:r>
        <w:rPr>
          <w:rFonts w:hint="eastAsia"/>
        </w:rPr>
        <w:t>委员会欣见缔约国为促进经济、社会及文化权利而采取的立法、体制和政策措施，包括：</w:t>
      </w:r>
    </w:p>
    <w:p w:rsidR="00770399" w:rsidRDefault="00770399" w:rsidP="0060740A">
      <w:pPr>
        <w:pStyle w:val="SingleTxtGC"/>
        <w:numPr>
          <w:ilvl w:val="0"/>
          <w:numId w:val="9"/>
        </w:numPr>
        <w:tabs>
          <w:tab w:val="clear" w:pos="431"/>
          <w:tab w:val="clear" w:pos="1134"/>
          <w:tab w:val="clear" w:pos="1565"/>
          <w:tab w:val="clear" w:pos="1996"/>
          <w:tab w:val="clear" w:pos="2427"/>
          <w:tab w:val="left" w:pos="1985"/>
        </w:tabs>
        <w:ind w:left="1134" w:firstLine="426"/>
      </w:pPr>
      <w:r>
        <w:rPr>
          <w:rFonts w:hint="eastAsia"/>
        </w:rPr>
        <w:t>于</w:t>
      </w:r>
      <w:r>
        <w:rPr>
          <w:rFonts w:hint="eastAsia"/>
        </w:rPr>
        <w:t>2016</w:t>
      </w:r>
      <w:r>
        <w:rPr>
          <w:rFonts w:hint="eastAsia"/>
        </w:rPr>
        <w:t>年通过有关列支敦士登人权协会的法律，随后设立该协会，将其作为缔约国的国家人权机构；</w:t>
      </w:r>
    </w:p>
    <w:p w:rsidR="00770399" w:rsidRDefault="00770399" w:rsidP="0060740A">
      <w:pPr>
        <w:pStyle w:val="SingleTxtGC"/>
        <w:numPr>
          <w:ilvl w:val="0"/>
          <w:numId w:val="9"/>
        </w:numPr>
        <w:tabs>
          <w:tab w:val="clear" w:pos="431"/>
          <w:tab w:val="clear" w:pos="1134"/>
          <w:tab w:val="clear" w:pos="1565"/>
          <w:tab w:val="clear" w:pos="1996"/>
          <w:tab w:val="clear" w:pos="2427"/>
          <w:tab w:val="left" w:pos="1985"/>
        </w:tabs>
        <w:ind w:left="1134" w:firstLine="426"/>
      </w:pPr>
      <w:r>
        <w:rPr>
          <w:rFonts w:hint="eastAsia"/>
        </w:rPr>
        <w:t>于</w:t>
      </w:r>
      <w:r>
        <w:rPr>
          <w:rFonts w:hint="eastAsia"/>
        </w:rPr>
        <w:t>2016</w:t>
      </w:r>
      <w:r>
        <w:rPr>
          <w:rFonts w:hint="eastAsia"/>
        </w:rPr>
        <w:t>年修订《庇护法案》，以加快庇护程序；</w:t>
      </w:r>
    </w:p>
    <w:p w:rsidR="00770399" w:rsidRDefault="00770399" w:rsidP="0060740A">
      <w:pPr>
        <w:pStyle w:val="SingleTxtGC"/>
        <w:numPr>
          <w:ilvl w:val="0"/>
          <w:numId w:val="9"/>
        </w:numPr>
        <w:tabs>
          <w:tab w:val="clear" w:pos="431"/>
          <w:tab w:val="clear" w:pos="1134"/>
          <w:tab w:val="clear" w:pos="1565"/>
          <w:tab w:val="clear" w:pos="1996"/>
          <w:tab w:val="clear" w:pos="2427"/>
          <w:tab w:val="left" w:pos="1985"/>
        </w:tabs>
        <w:ind w:left="1134" w:firstLine="426"/>
      </w:pPr>
      <w:r>
        <w:rPr>
          <w:rFonts w:hint="eastAsia"/>
        </w:rPr>
        <w:lastRenderedPageBreak/>
        <w:t>于</w:t>
      </w:r>
      <w:r>
        <w:rPr>
          <w:rFonts w:hint="eastAsia"/>
        </w:rPr>
        <w:t>2008</w:t>
      </w:r>
      <w:r>
        <w:rPr>
          <w:rFonts w:hint="eastAsia"/>
        </w:rPr>
        <w:t>年通过《国家雇员法》，该法律不同于已废除的《公务员法》，不包括对公务员罢工权的禁止；</w:t>
      </w:r>
    </w:p>
    <w:p w:rsidR="00770399" w:rsidRDefault="00770399" w:rsidP="0060740A">
      <w:pPr>
        <w:pStyle w:val="SingleTxtGC"/>
        <w:numPr>
          <w:ilvl w:val="0"/>
          <w:numId w:val="9"/>
        </w:numPr>
        <w:tabs>
          <w:tab w:val="clear" w:pos="431"/>
          <w:tab w:val="clear" w:pos="1134"/>
          <w:tab w:val="clear" w:pos="1565"/>
          <w:tab w:val="clear" w:pos="1996"/>
          <w:tab w:val="clear" w:pos="2427"/>
          <w:tab w:val="left" w:pos="1985"/>
        </w:tabs>
        <w:ind w:left="1134" w:firstLine="426"/>
      </w:pPr>
      <w:r>
        <w:rPr>
          <w:rFonts w:hint="eastAsia"/>
        </w:rPr>
        <w:t>于</w:t>
      </w:r>
      <w:r>
        <w:rPr>
          <w:rFonts w:hint="eastAsia"/>
        </w:rPr>
        <w:t>2009</w:t>
      </w:r>
      <w:r>
        <w:rPr>
          <w:rFonts w:hint="eastAsia"/>
        </w:rPr>
        <w:t>年通过《列支敦士登宣言》，缔约国在该宣言中承诺实行由经济合作与发展组织制定的透明度和交换信息的全球标准，随后缔结了</w:t>
      </w:r>
      <w:r>
        <w:rPr>
          <w:rFonts w:hint="eastAsia"/>
        </w:rPr>
        <w:t>17</w:t>
      </w:r>
      <w:r>
        <w:rPr>
          <w:rFonts w:hint="eastAsia"/>
        </w:rPr>
        <w:t>项避免双重征税协定和</w:t>
      </w:r>
      <w:r>
        <w:rPr>
          <w:rFonts w:hint="eastAsia"/>
        </w:rPr>
        <w:t>27</w:t>
      </w:r>
      <w:r>
        <w:rPr>
          <w:rFonts w:hint="eastAsia"/>
        </w:rPr>
        <w:t>项税务信息交换协定，以打击逃税手段；</w:t>
      </w:r>
    </w:p>
    <w:p w:rsidR="00770399" w:rsidRDefault="00770399" w:rsidP="0060740A">
      <w:pPr>
        <w:pStyle w:val="SingleTxtGC"/>
        <w:numPr>
          <w:ilvl w:val="0"/>
          <w:numId w:val="9"/>
        </w:numPr>
        <w:tabs>
          <w:tab w:val="clear" w:pos="431"/>
          <w:tab w:val="clear" w:pos="1134"/>
          <w:tab w:val="clear" w:pos="1565"/>
          <w:tab w:val="clear" w:pos="1996"/>
          <w:tab w:val="clear" w:pos="2427"/>
          <w:tab w:val="left" w:pos="1985"/>
        </w:tabs>
        <w:ind w:left="1134" w:firstLine="426"/>
      </w:pPr>
      <w:r>
        <w:rPr>
          <w:rFonts w:hint="eastAsia"/>
        </w:rPr>
        <w:t>通过</w:t>
      </w:r>
      <w:r>
        <w:rPr>
          <w:rFonts w:hint="eastAsia"/>
        </w:rPr>
        <w:t>2009</w:t>
      </w:r>
      <w:r>
        <w:rPr>
          <w:rFonts w:hint="eastAsia"/>
        </w:rPr>
        <w:t>年《儿童和青年法》，其中包含了不歧视原则和保护儿童和青少年不在暴力环境中成长；</w:t>
      </w:r>
    </w:p>
    <w:p w:rsidR="00770399" w:rsidRDefault="00770399" w:rsidP="0060740A">
      <w:pPr>
        <w:pStyle w:val="SingleTxtGC"/>
        <w:numPr>
          <w:ilvl w:val="0"/>
          <w:numId w:val="9"/>
        </w:numPr>
        <w:tabs>
          <w:tab w:val="clear" w:pos="431"/>
          <w:tab w:val="clear" w:pos="1134"/>
          <w:tab w:val="clear" w:pos="1565"/>
          <w:tab w:val="clear" w:pos="1996"/>
          <w:tab w:val="clear" w:pos="2427"/>
          <w:tab w:val="left" w:pos="1985"/>
        </w:tabs>
        <w:ind w:left="1134" w:firstLine="426"/>
      </w:pPr>
      <w:r>
        <w:rPr>
          <w:rFonts w:hint="eastAsia"/>
        </w:rPr>
        <w:t>于</w:t>
      </w:r>
      <w:r>
        <w:rPr>
          <w:rFonts w:hint="eastAsia"/>
        </w:rPr>
        <w:t>2007</w:t>
      </w:r>
      <w:r>
        <w:rPr>
          <w:rFonts w:hint="eastAsia"/>
        </w:rPr>
        <w:t>年通过《受害人援助法案》，根据该法案，受害人援助办事处于</w:t>
      </w:r>
      <w:r>
        <w:rPr>
          <w:rFonts w:hint="eastAsia"/>
        </w:rPr>
        <w:t>2008</w:t>
      </w:r>
      <w:r>
        <w:rPr>
          <w:rFonts w:hint="eastAsia"/>
        </w:rPr>
        <w:t>年成立，为刑事犯罪的受害人及其家庭提供咨询服务以及医疗、心理和资金援助；</w:t>
      </w:r>
    </w:p>
    <w:p w:rsidR="00770399" w:rsidRDefault="00770399" w:rsidP="00BD213F">
      <w:pPr>
        <w:pStyle w:val="SingleTxtGC"/>
        <w:numPr>
          <w:ilvl w:val="0"/>
          <w:numId w:val="9"/>
        </w:numPr>
        <w:tabs>
          <w:tab w:val="clear" w:pos="431"/>
          <w:tab w:val="clear" w:pos="1134"/>
          <w:tab w:val="clear" w:pos="1565"/>
          <w:tab w:val="clear" w:pos="1996"/>
          <w:tab w:val="clear" w:pos="2427"/>
          <w:tab w:val="left" w:pos="1985"/>
        </w:tabs>
        <w:spacing w:after="180"/>
        <w:ind w:left="1134" w:firstLine="425"/>
      </w:pPr>
      <w:r>
        <w:rPr>
          <w:rFonts w:hint="eastAsia"/>
        </w:rPr>
        <w:t>为了纳入欧盟关于工作场所歧视和性骚扰的指令，于</w:t>
      </w:r>
      <w:r>
        <w:rPr>
          <w:rFonts w:hint="eastAsia"/>
        </w:rPr>
        <w:t>2006</w:t>
      </w:r>
      <w:r>
        <w:rPr>
          <w:rFonts w:hint="eastAsia"/>
        </w:rPr>
        <w:t>年和</w:t>
      </w:r>
      <w:r>
        <w:rPr>
          <w:rFonts w:hint="eastAsia"/>
        </w:rPr>
        <w:t>2011</w:t>
      </w:r>
      <w:r>
        <w:rPr>
          <w:rFonts w:hint="eastAsia"/>
        </w:rPr>
        <w:t>年修订了《两性平等法》。</w:t>
      </w:r>
    </w:p>
    <w:p w:rsidR="00770399" w:rsidRDefault="00746E4C" w:rsidP="00746E4C">
      <w:pPr>
        <w:pStyle w:val="H1GC"/>
      </w:pPr>
      <w:r>
        <w:tab/>
      </w:r>
      <w:r w:rsidR="00770399">
        <w:rPr>
          <w:rFonts w:hint="eastAsia"/>
        </w:rPr>
        <w:t>C</w:t>
      </w:r>
      <w:r w:rsidR="00D50275">
        <w:rPr>
          <w:rFonts w:hint="eastAsia"/>
        </w:rPr>
        <w:t>.</w:t>
      </w:r>
      <w:r>
        <w:tab/>
      </w:r>
      <w:r w:rsidR="00770399">
        <w:rPr>
          <w:rFonts w:hint="eastAsia"/>
        </w:rPr>
        <w:t>主要关切问题和建议</w:t>
      </w:r>
    </w:p>
    <w:p w:rsidR="00770399" w:rsidRDefault="00770399" w:rsidP="00746E4C">
      <w:pPr>
        <w:pStyle w:val="H23GC"/>
      </w:pPr>
      <w:r>
        <w:rPr>
          <w:rFonts w:hint="eastAsia"/>
        </w:rPr>
        <w:tab/>
      </w:r>
      <w:r>
        <w:rPr>
          <w:rFonts w:hint="eastAsia"/>
        </w:rPr>
        <w:tab/>
      </w:r>
      <w:r>
        <w:rPr>
          <w:rFonts w:hint="eastAsia"/>
        </w:rPr>
        <w:t>国家人权机构</w:t>
      </w:r>
    </w:p>
    <w:p w:rsidR="00770399" w:rsidRDefault="00770399" w:rsidP="00BD213F">
      <w:pPr>
        <w:pStyle w:val="SingleTxtGC"/>
        <w:spacing w:after="160"/>
      </w:pPr>
      <w:r>
        <w:rPr>
          <w:rFonts w:hint="eastAsia"/>
        </w:rPr>
        <w:t>5</w:t>
      </w:r>
      <w:r w:rsidR="00D50275">
        <w:rPr>
          <w:rFonts w:hint="eastAsia"/>
        </w:rPr>
        <w:t xml:space="preserve">.  </w:t>
      </w:r>
      <w:r>
        <w:rPr>
          <w:rFonts w:hint="eastAsia"/>
        </w:rPr>
        <w:t>委员会赞赏列支敦士登人权协会的成立以及关于协会委员选举的资料。然而，由于提供的关于该协会所开展工作种类的资料有限，尚不明确该协会是否负责受理个人就指称的侵犯公约权利行为提出的申诉，也不清楚建议的落实情况将会如何</w:t>
      </w:r>
      <w:r>
        <w:rPr>
          <w:rFonts w:hint="eastAsia"/>
        </w:rPr>
        <w:t>(</w:t>
      </w:r>
      <w:r>
        <w:rPr>
          <w:rFonts w:hint="eastAsia"/>
        </w:rPr>
        <w:t>第一条</w:t>
      </w:r>
      <w:r>
        <w:rPr>
          <w:rFonts w:hint="eastAsia"/>
        </w:rPr>
        <w:t>)</w:t>
      </w:r>
      <w:r>
        <w:rPr>
          <w:rFonts w:hint="eastAsia"/>
        </w:rPr>
        <w:t>。</w:t>
      </w:r>
    </w:p>
    <w:p w:rsidR="00770399" w:rsidRPr="00134DEA" w:rsidRDefault="00770399" w:rsidP="00746E4C">
      <w:pPr>
        <w:pStyle w:val="SingleTxtGC"/>
        <w:rPr>
          <w:rFonts w:eastAsia="黑体"/>
        </w:rPr>
      </w:pPr>
      <w:r w:rsidRPr="00BD213F">
        <w:rPr>
          <w:rFonts w:hint="eastAsia"/>
        </w:rPr>
        <w:t>6</w:t>
      </w:r>
      <w:r w:rsidR="00D50275" w:rsidRPr="00BD213F">
        <w:rPr>
          <w:rFonts w:hint="eastAsia"/>
        </w:rPr>
        <w:t>.</w:t>
      </w:r>
      <w:r w:rsidR="00D50275" w:rsidRPr="00746E4C">
        <w:rPr>
          <w:rFonts w:ascii="黑体" w:eastAsia="黑体" w:hAnsi="黑体" w:hint="eastAsia"/>
        </w:rPr>
        <w:t xml:space="preserve">  </w:t>
      </w:r>
      <w:r w:rsidRPr="00746E4C">
        <w:rPr>
          <w:rFonts w:ascii="黑体" w:eastAsia="黑体" w:hAnsi="黑体" w:hint="eastAsia"/>
        </w:rPr>
        <w:t>委员会建议缔约国根据《关于促进和保护人权的国家机构的地位的原则》</w:t>
      </w:r>
      <w:r w:rsidRPr="000D7E1C">
        <w:rPr>
          <w:rFonts w:eastAsia="黑体"/>
        </w:rPr>
        <w:t>(</w:t>
      </w:r>
      <w:r w:rsidRPr="00746E4C">
        <w:rPr>
          <w:rFonts w:ascii="黑体" w:eastAsia="黑体" w:hAnsi="黑体" w:hint="eastAsia"/>
        </w:rPr>
        <w:t>《巴黎原则》</w:t>
      </w:r>
      <w:r w:rsidRPr="000D7E1C">
        <w:rPr>
          <w:rFonts w:eastAsia="黑体"/>
        </w:rPr>
        <w:t>)</w:t>
      </w:r>
      <w:r w:rsidRPr="00746E4C">
        <w:rPr>
          <w:rFonts w:ascii="黑体" w:eastAsia="黑体" w:hAnsi="黑体" w:hint="eastAsia"/>
        </w:rPr>
        <w:t>，确保赋予人权协会广泛的职权，促进和保护人权，包括经济、社会和文化权利，并为该协会提供充足的资金和人力资源。在这方面，委员会鼓励缔约国在适当的时候向国家人权机构全球联盟资格认证小组委员会申请认证该协会。委员会请缔约国参照其关于国家人权机构在保护经济、社会和文化权利方面的作用的</w:t>
      </w:r>
      <w:r w:rsidRPr="00134DEA">
        <w:rPr>
          <w:rFonts w:eastAsia="黑体"/>
        </w:rPr>
        <w:t>第</w:t>
      </w:r>
      <w:r w:rsidRPr="00134DEA">
        <w:rPr>
          <w:rFonts w:eastAsia="黑体"/>
        </w:rPr>
        <w:t>10</w:t>
      </w:r>
      <w:r w:rsidRPr="00134DEA">
        <w:rPr>
          <w:rFonts w:eastAsia="黑体"/>
        </w:rPr>
        <w:t>号一般性意见</w:t>
      </w:r>
      <w:r w:rsidRPr="00134DEA">
        <w:rPr>
          <w:rFonts w:eastAsia="黑体"/>
        </w:rPr>
        <w:t>(1998</w:t>
      </w:r>
      <w:r w:rsidRPr="00134DEA">
        <w:rPr>
          <w:rFonts w:eastAsia="黑体"/>
        </w:rPr>
        <w:t>年</w:t>
      </w:r>
      <w:r w:rsidRPr="00134DEA">
        <w:rPr>
          <w:rFonts w:eastAsia="黑体"/>
        </w:rPr>
        <w:t>)</w:t>
      </w:r>
      <w:r w:rsidRPr="00134DEA">
        <w:rPr>
          <w:rFonts w:eastAsia="黑体"/>
        </w:rPr>
        <w:t>。</w:t>
      </w:r>
    </w:p>
    <w:p w:rsidR="00770399" w:rsidRDefault="00770399" w:rsidP="00BD213F">
      <w:pPr>
        <w:pStyle w:val="H23GC"/>
        <w:spacing w:before="360"/>
      </w:pPr>
      <w:r>
        <w:rPr>
          <w:rFonts w:hint="eastAsia"/>
        </w:rPr>
        <w:tab/>
      </w:r>
      <w:r>
        <w:rPr>
          <w:rFonts w:hint="eastAsia"/>
        </w:rPr>
        <w:tab/>
      </w:r>
      <w:r>
        <w:rPr>
          <w:rFonts w:hint="eastAsia"/>
        </w:rPr>
        <w:t>官方发展援助</w:t>
      </w:r>
    </w:p>
    <w:p w:rsidR="00770399" w:rsidRDefault="00770399" w:rsidP="00BD213F">
      <w:pPr>
        <w:pStyle w:val="SingleTxtGC"/>
        <w:spacing w:after="160"/>
      </w:pPr>
      <w:r>
        <w:rPr>
          <w:rFonts w:hint="eastAsia"/>
        </w:rPr>
        <w:t>7</w:t>
      </w:r>
      <w:r w:rsidR="00D50275">
        <w:rPr>
          <w:rFonts w:hint="eastAsia"/>
        </w:rPr>
        <w:t xml:space="preserve">.  </w:t>
      </w:r>
      <w:r>
        <w:rPr>
          <w:rFonts w:hint="eastAsia"/>
        </w:rPr>
        <w:t>委员会感到遗憾的是，缔约国的官方发展援助低于国际共同承诺的水平，即国民总收入的</w:t>
      </w:r>
      <w:r>
        <w:rPr>
          <w:rFonts w:hint="eastAsia"/>
        </w:rPr>
        <w:t>0.7%</w:t>
      </w:r>
      <w:r>
        <w:rPr>
          <w:rFonts w:hint="eastAsia"/>
        </w:rPr>
        <w:t>，且官方援助自</w:t>
      </w:r>
      <w:r>
        <w:rPr>
          <w:rFonts w:hint="eastAsia"/>
        </w:rPr>
        <w:t>2012</w:t>
      </w:r>
      <w:r>
        <w:rPr>
          <w:rFonts w:hint="eastAsia"/>
        </w:rPr>
        <w:t>年以来有所减少</w:t>
      </w:r>
      <w:r>
        <w:rPr>
          <w:rFonts w:hint="eastAsia"/>
        </w:rPr>
        <w:t>(</w:t>
      </w:r>
      <w:r>
        <w:rPr>
          <w:rFonts w:hint="eastAsia"/>
        </w:rPr>
        <w:t>第二条第一款</w:t>
      </w:r>
      <w:r>
        <w:rPr>
          <w:rFonts w:hint="eastAsia"/>
        </w:rPr>
        <w:t>)</w:t>
      </w:r>
      <w:r>
        <w:rPr>
          <w:rFonts w:hint="eastAsia"/>
        </w:rPr>
        <w:t>。</w:t>
      </w:r>
    </w:p>
    <w:p w:rsidR="00770399" w:rsidRPr="000D7E1C" w:rsidRDefault="00770399" w:rsidP="00770399">
      <w:pPr>
        <w:pStyle w:val="SingleTxtGC"/>
        <w:rPr>
          <w:rFonts w:eastAsia="黑体"/>
        </w:rPr>
      </w:pPr>
      <w:r w:rsidRPr="000D7E1C">
        <w:rPr>
          <w:rFonts w:eastAsia="黑体"/>
        </w:rPr>
        <w:t>8</w:t>
      </w:r>
      <w:r w:rsidR="00D50275" w:rsidRPr="000D7E1C">
        <w:rPr>
          <w:rFonts w:eastAsia="黑体"/>
        </w:rPr>
        <w:t xml:space="preserve">.  </w:t>
      </w:r>
      <w:r w:rsidRPr="000D7E1C">
        <w:rPr>
          <w:rFonts w:eastAsia="黑体"/>
        </w:rPr>
        <w:t>委员会建议缔约国逐步提高对官方发展援助的贡献水平，以期实现国民总收入的</w:t>
      </w:r>
      <w:r w:rsidRPr="000D7E1C">
        <w:rPr>
          <w:rFonts w:eastAsia="黑体"/>
        </w:rPr>
        <w:t>0.7%</w:t>
      </w:r>
      <w:r w:rsidRPr="000D7E1C">
        <w:rPr>
          <w:rFonts w:eastAsia="黑体"/>
        </w:rPr>
        <w:t>的国际承诺，将《公约》中的各项权利充分纳入其发展合作政策，包括人权影响评估。</w:t>
      </w:r>
    </w:p>
    <w:p w:rsidR="00770399" w:rsidRDefault="00770399" w:rsidP="00BD213F">
      <w:pPr>
        <w:pStyle w:val="H23GC"/>
        <w:spacing w:before="320" w:after="160"/>
      </w:pPr>
      <w:r>
        <w:rPr>
          <w:rFonts w:hint="eastAsia"/>
        </w:rPr>
        <w:tab/>
      </w:r>
      <w:r>
        <w:rPr>
          <w:rFonts w:hint="eastAsia"/>
        </w:rPr>
        <w:tab/>
      </w:r>
      <w:r>
        <w:rPr>
          <w:rFonts w:hint="eastAsia"/>
        </w:rPr>
        <w:t>国际合作</w:t>
      </w:r>
      <w:r w:rsidR="000D7E1C">
        <w:rPr>
          <w:rFonts w:hint="eastAsia"/>
          <w:spacing w:val="-50"/>
        </w:rPr>
        <w:t>―</w:t>
      </w:r>
      <w:r w:rsidR="000D7E1C">
        <w:rPr>
          <w:rFonts w:hint="eastAsia"/>
        </w:rPr>
        <w:t>―</w:t>
      </w:r>
      <w:r>
        <w:rPr>
          <w:rFonts w:hint="eastAsia"/>
        </w:rPr>
        <w:t>最大可利用资源</w:t>
      </w:r>
    </w:p>
    <w:p w:rsidR="00770399" w:rsidRDefault="00770399" w:rsidP="00770399">
      <w:pPr>
        <w:pStyle w:val="SingleTxtGC"/>
      </w:pPr>
      <w:r>
        <w:rPr>
          <w:rFonts w:hint="eastAsia"/>
        </w:rPr>
        <w:t>9</w:t>
      </w:r>
      <w:r w:rsidR="00D50275">
        <w:rPr>
          <w:rFonts w:hint="eastAsia"/>
        </w:rPr>
        <w:t xml:space="preserve">.  </w:t>
      </w:r>
      <w:r>
        <w:rPr>
          <w:rFonts w:hint="eastAsia"/>
        </w:rPr>
        <w:t>尽管委员会赞赏缔约国正努力打击腐败，实现透明公开，并在国际范围内严打逃税手段，然而委员会感到关切的是，缔约国内的私人基金会可能影响到缔约国打击逃税和偷税漏税的努力，以及其他缔约国履行任务，最大限度调动可用资源以落实经济、社会和文化权利的能力</w:t>
      </w:r>
      <w:r>
        <w:rPr>
          <w:rFonts w:hint="eastAsia"/>
        </w:rPr>
        <w:t>(</w:t>
      </w:r>
      <w:r>
        <w:rPr>
          <w:rFonts w:hint="eastAsia"/>
        </w:rPr>
        <w:t>第二条第一款</w:t>
      </w:r>
      <w:r>
        <w:rPr>
          <w:rFonts w:hint="eastAsia"/>
        </w:rPr>
        <w:t>)</w:t>
      </w:r>
      <w:r>
        <w:rPr>
          <w:rFonts w:hint="eastAsia"/>
        </w:rPr>
        <w:t>。</w:t>
      </w:r>
    </w:p>
    <w:p w:rsidR="00770399" w:rsidRPr="00BD213F" w:rsidRDefault="00770399" w:rsidP="00770399">
      <w:pPr>
        <w:pStyle w:val="SingleTxtGC"/>
        <w:rPr>
          <w:rFonts w:eastAsia="黑体"/>
        </w:rPr>
      </w:pPr>
      <w:r w:rsidRPr="00BD213F">
        <w:rPr>
          <w:rFonts w:eastAsia="黑体"/>
        </w:rPr>
        <w:t>10</w:t>
      </w:r>
      <w:r w:rsidR="00D50275" w:rsidRPr="00BD213F">
        <w:rPr>
          <w:rFonts w:eastAsia="黑体"/>
        </w:rPr>
        <w:t xml:space="preserve">.  </w:t>
      </w:r>
      <w:r w:rsidRPr="00BD213F">
        <w:rPr>
          <w:rFonts w:eastAsia="黑体"/>
        </w:rPr>
        <w:t>委员会建议缔约国继续加强措施，打击逃税和偷税漏税，包括确保私人基金会都处于必要的监管之下，从而为其他缔约国打击逃税和偷税漏税的努力作出贡献。委员会还建议缔约国在下一次定期报告中提供详细资料，说明此类措施的影响、开展的有关调查和调查结果。委员会提请缔约国注意第</w:t>
      </w:r>
      <w:r w:rsidRPr="00BD213F">
        <w:rPr>
          <w:rFonts w:eastAsia="黑体"/>
        </w:rPr>
        <w:t>24</w:t>
      </w:r>
      <w:r w:rsidRPr="00BD213F">
        <w:rPr>
          <w:rFonts w:eastAsia="黑体"/>
        </w:rPr>
        <w:t>号一般性意见</w:t>
      </w:r>
      <w:r w:rsidRPr="00BD213F">
        <w:rPr>
          <w:rFonts w:eastAsia="黑体"/>
        </w:rPr>
        <w:t>(2017</w:t>
      </w:r>
      <w:r w:rsidRPr="00BD213F">
        <w:rPr>
          <w:rFonts w:eastAsia="黑体"/>
        </w:rPr>
        <w:t>年</w:t>
      </w:r>
      <w:r w:rsidRPr="00BD213F">
        <w:rPr>
          <w:rFonts w:eastAsia="黑体"/>
        </w:rPr>
        <w:t>)</w:t>
      </w:r>
      <w:r w:rsidRPr="00BD213F">
        <w:rPr>
          <w:rFonts w:eastAsia="黑体"/>
        </w:rPr>
        <w:t>，即有关《经济、社会及文化权利国际公约》规定的商业活动中的国家义务的意见第</w:t>
      </w:r>
      <w:r w:rsidRPr="00BD213F">
        <w:rPr>
          <w:rFonts w:eastAsia="黑体"/>
        </w:rPr>
        <w:t>37</w:t>
      </w:r>
      <w:r w:rsidRPr="00BD213F">
        <w:rPr>
          <w:rFonts w:eastAsia="黑体"/>
        </w:rPr>
        <w:t>段。</w:t>
      </w:r>
    </w:p>
    <w:p w:rsidR="00770399" w:rsidRDefault="00770399" w:rsidP="004A743F">
      <w:pPr>
        <w:pStyle w:val="H23GC"/>
        <w:spacing w:before="320"/>
      </w:pPr>
      <w:r>
        <w:rPr>
          <w:rFonts w:hint="eastAsia"/>
        </w:rPr>
        <w:tab/>
      </w:r>
      <w:r>
        <w:rPr>
          <w:rFonts w:hint="eastAsia"/>
        </w:rPr>
        <w:tab/>
      </w:r>
      <w:r>
        <w:rPr>
          <w:rFonts w:hint="eastAsia"/>
        </w:rPr>
        <w:t>反歧视法律</w:t>
      </w:r>
    </w:p>
    <w:p w:rsidR="00770399" w:rsidRDefault="00770399" w:rsidP="00770399">
      <w:pPr>
        <w:pStyle w:val="SingleTxtGC"/>
      </w:pPr>
      <w:r>
        <w:rPr>
          <w:rFonts w:hint="eastAsia"/>
        </w:rPr>
        <w:t>11</w:t>
      </w:r>
      <w:r w:rsidR="00D50275">
        <w:rPr>
          <w:rFonts w:hint="eastAsia"/>
        </w:rPr>
        <w:t xml:space="preserve">.  </w:t>
      </w:r>
      <w:r>
        <w:rPr>
          <w:rFonts w:hint="eastAsia"/>
        </w:rPr>
        <w:t>尽管委员会注意到《刑法典》第</w:t>
      </w:r>
      <w:r>
        <w:rPr>
          <w:rFonts w:hint="eastAsia"/>
        </w:rPr>
        <w:t>283</w:t>
      </w:r>
      <w:r>
        <w:rPr>
          <w:rFonts w:hint="eastAsia"/>
        </w:rPr>
        <w:t>条经过了修订，扩大了禁止的歧视理由清单，但委员会感到遗憾的是，缔约国没有全面的反歧视法律</w:t>
      </w:r>
      <w:r>
        <w:rPr>
          <w:rFonts w:hint="eastAsia"/>
        </w:rPr>
        <w:t>(</w:t>
      </w:r>
      <w:r>
        <w:rPr>
          <w:rFonts w:hint="eastAsia"/>
        </w:rPr>
        <w:t>第二条</w:t>
      </w:r>
      <w:r>
        <w:rPr>
          <w:rFonts w:hint="eastAsia"/>
        </w:rPr>
        <w:t>)</w:t>
      </w:r>
      <w:r>
        <w:rPr>
          <w:rFonts w:hint="eastAsia"/>
        </w:rPr>
        <w:t>。</w:t>
      </w:r>
    </w:p>
    <w:p w:rsidR="00770399" w:rsidRPr="00134DEA" w:rsidRDefault="00770399" w:rsidP="00770399">
      <w:pPr>
        <w:pStyle w:val="SingleTxtGC"/>
        <w:rPr>
          <w:rFonts w:eastAsia="黑体"/>
        </w:rPr>
      </w:pPr>
      <w:r w:rsidRPr="00134DEA">
        <w:rPr>
          <w:rFonts w:eastAsia="黑体"/>
        </w:rPr>
        <w:t>12</w:t>
      </w:r>
      <w:r w:rsidR="00D50275" w:rsidRPr="00134DEA">
        <w:rPr>
          <w:rFonts w:eastAsia="黑体"/>
        </w:rPr>
        <w:t xml:space="preserve">.  </w:t>
      </w:r>
      <w:r w:rsidRPr="00134DEA">
        <w:rPr>
          <w:rFonts w:eastAsia="黑体"/>
        </w:rPr>
        <w:t>委员会建议缔约国通过全面的反歧视法律，其中包括所有禁止的歧视理由，该法律不仅要涵盖直接歧视，更要涵盖间接歧视，并规定对受害人实行暂行特别措施和补救办法，确保该法律得到系统性的适用。委员会请缔约国参照其关于在经济、社会和文化权利中的不歧视问题的第</w:t>
      </w:r>
      <w:r w:rsidRPr="00134DEA">
        <w:rPr>
          <w:rFonts w:eastAsia="黑体"/>
        </w:rPr>
        <w:t>20</w:t>
      </w:r>
      <w:r w:rsidRPr="00134DEA">
        <w:rPr>
          <w:rFonts w:eastAsia="黑体"/>
        </w:rPr>
        <w:t>号一般性意见</w:t>
      </w:r>
      <w:r w:rsidRPr="00134DEA">
        <w:rPr>
          <w:rFonts w:eastAsia="黑体"/>
        </w:rPr>
        <w:t>(2009</w:t>
      </w:r>
      <w:r w:rsidRPr="00134DEA">
        <w:rPr>
          <w:rFonts w:eastAsia="黑体"/>
        </w:rPr>
        <w:t>年</w:t>
      </w:r>
      <w:r w:rsidRPr="00134DEA">
        <w:rPr>
          <w:rFonts w:eastAsia="黑体"/>
        </w:rPr>
        <w:t>)</w:t>
      </w:r>
      <w:r w:rsidRPr="00134DEA">
        <w:rPr>
          <w:rFonts w:eastAsia="黑体"/>
        </w:rPr>
        <w:t>。</w:t>
      </w:r>
    </w:p>
    <w:p w:rsidR="00770399" w:rsidRDefault="00770399" w:rsidP="004A743F">
      <w:pPr>
        <w:pStyle w:val="H23GC"/>
        <w:spacing w:after="160"/>
      </w:pPr>
      <w:r>
        <w:rPr>
          <w:rFonts w:hint="eastAsia"/>
        </w:rPr>
        <w:tab/>
      </w:r>
      <w:r>
        <w:rPr>
          <w:rFonts w:hint="eastAsia"/>
        </w:rPr>
        <w:tab/>
      </w:r>
      <w:r>
        <w:rPr>
          <w:rFonts w:hint="eastAsia"/>
        </w:rPr>
        <w:t>残疾人</w:t>
      </w:r>
    </w:p>
    <w:p w:rsidR="00770399" w:rsidRDefault="00770399" w:rsidP="00770399">
      <w:pPr>
        <w:pStyle w:val="SingleTxtGC"/>
      </w:pPr>
      <w:r>
        <w:rPr>
          <w:rFonts w:hint="eastAsia"/>
        </w:rPr>
        <w:t>13</w:t>
      </w:r>
      <w:r w:rsidR="00D50275">
        <w:rPr>
          <w:rFonts w:hint="eastAsia"/>
        </w:rPr>
        <w:t xml:space="preserve">.  </w:t>
      </w:r>
      <w:r>
        <w:rPr>
          <w:rFonts w:hint="eastAsia"/>
        </w:rPr>
        <w:t>委员会感到关切的是，没有关于残疾人享受公约权利的统计数据。委员会还感到关切的是，合理便利的概念未被纳入相关法律，可能加剧了对残疾人事实上的歧视</w:t>
      </w:r>
      <w:r>
        <w:rPr>
          <w:rFonts w:hint="eastAsia"/>
        </w:rPr>
        <w:t>(</w:t>
      </w:r>
      <w:r>
        <w:rPr>
          <w:rFonts w:hint="eastAsia"/>
        </w:rPr>
        <w:t>第二条</w:t>
      </w:r>
      <w:r>
        <w:rPr>
          <w:rFonts w:hint="eastAsia"/>
        </w:rPr>
        <w:t>)</w:t>
      </w:r>
      <w:r>
        <w:rPr>
          <w:rFonts w:hint="eastAsia"/>
        </w:rPr>
        <w:t>。</w:t>
      </w:r>
    </w:p>
    <w:p w:rsidR="00770399" w:rsidRPr="00134DEA" w:rsidRDefault="00770399" w:rsidP="00770399">
      <w:pPr>
        <w:pStyle w:val="SingleTxtGC"/>
        <w:rPr>
          <w:rFonts w:eastAsia="黑体"/>
        </w:rPr>
      </w:pPr>
      <w:r w:rsidRPr="00134DEA">
        <w:rPr>
          <w:rFonts w:eastAsia="黑体"/>
        </w:rPr>
        <w:t>14</w:t>
      </w:r>
      <w:r w:rsidR="00D50275" w:rsidRPr="00134DEA">
        <w:rPr>
          <w:rFonts w:eastAsia="黑体"/>
        </w:rPr>
        <w:t xml:space="preserve">.  </w:t>
      </w:r>
      <w:r w:rsidRPr="00134DEA">
        <w:rPr>
          <w:rFonts w:eastAsia="黑体"/>
        </w:rPr>
        <w:t>委员会建议缔约国收集分类数据，以便监测残疾人享受经济、社会和文化权利的情况，并在下一次定期报告中提供这一方面的资料和统计数据。委员会还建议缔约国将合理便利的概念纳入影响残疾人的所有法律法规，并采取措施确保法律法规的落实。</w:t>
      </w:r>
    </w:p>
    <w:p w:rsidR="00770399" w:rsidRDefault="00770399" w:rsidP="004A743F">
      <w:pPr>
        <w:pStyle w:val="H23GC"/>
        <w:spacing w:before="320" w:after="160"/>
      </w:pPr>
      <w:r>
        <w:rPr>
          <w:rFonts w:hint="eastAsia"/>
        </w:rPr>
        <w:tab/>
      </w:r>
      <w:r>
        <w:rPr>
          <w:rFonts w:hint="eastAsia"/>
        </w:rPr>
        <w:tab/>
      </w:r>
      <w:r>
        <w:rPr>
          <w:rFonts w:hint="eastAsia"/>
        </w:rPr>
        <w:t>男女平等</w:t>
      </w:r>
    </w:p>
    <w:p w:rsidR="00770399" w:rsidRDefault="00770399" w:rsidP="00770399">
      <w:pPr>
        <w:pStyle w:val="SingleTxtGC"/>
      </w:pPr>
      <w:r>
        <w:rPr>
          <w:rFonts w:hint="eastAsia"/>
        </w:rPr>
        <w:t>15</w:t>
      </w:r>
      <w:r w:rsidR="00D50275">
        <w:rPr>
          <w:rFonts w:hint="eastAsia"/>
        </w:rPr>
        <w:t xml:space="preserve">.  </w:t>
      </w:r>
      <w:r>
        <w:rPr>
          <w:rFonts w:hint="eastAsia"/>
        </w:rPr>
        <w:t>尽管委员会注意到机会平等小组于</w:t>
      </w:r>
      <w:r>
        <w:rPr>
          <w:rFonts w:hint="eastAsia"/>
        </w:rPr>
        <w:t>2016</w:t>
      </w:r>
      <w:r>
        <w:rPr>
          <w:rFonts w:hint="eastAsia"/>
        </w:rPr>
        <w:t>年解散前曾努力推动性别平等，且缔约国修订了相关法律，但委员会感到关切的是，没有促进性别平等的具体机制。委员会还感到关切的是，传统的性别角色以及男女的陈规定型观念在家庭和社会中依然存在，政治和决策性职位中女性的比例低下</w:t>
      </w:r>
      <w:r>
        <w:rPr>
          <w:rFonts w:hint="eastAsia"/>
        </w:rPr>
        <w:t>(</w:t>
      </w:r>
      <w:r>
        <w:rPr>
          <w:rFonts w:hint="eastAsia"/>
        </w:rPr>
        <w:t>第三条</w:t>
      </w:r>
      <w:r>
        <w:rPr>
          <w:rFonts w:hint="eastAsia"/>
        </w:rPr>
        <w:t>)</w:t>
      </w:r>
      <w:r>
        <w:rPr>
          <w:rFonts w:hint="eastAsia"/>
        </w:rPr>
        <w:t>。</w:t>
      </w:r>
    </w:p>
    <w:p w:rsidR="00770399" w:rsidRPr="00AE55A6" w:rsidRDefault="00770399" w:rsidP="00770399">
      <w:pPr>
        <w:pStyle w:val="SingleTxtGC"/>
        <w:rPr>
          <w:rFonts w:eastAsia="黑体"/>
        </w:rPr>
      </w:pPr>
      <w:r>
        <w:rPr>
          <w:rFonts w:hint="eastAsia"/>
        </w:rPr>
        <w:t>16</w:t>
      </w:r>
      <w:r w:rsidR="00D50275">
        <w:rPr>
          <w:rFonts w:hint="eastAsia"/>
        </w:rPr>
        <w:t xml:space="preserve">.  </w:t>
      </w:r>
      <w:r w:rsidRPr="00AE55A6">
        <w:rPr>
          <w:rFonts w:eastAsia="黑体"/>
        </w:rPr>
        <w:t>委员会建议缔约国：</w:t>
      </w:r>
    </w:p>
    <w:p w:rsidR="00770399" w:rsidRPr="00AE55A6" w:rsidRDefault="00770399" w:rsidP="00BD213F">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AE55A6">
        <w:rPr>
          <w:rFonts w:eastAsia="黑体"/>
        </w:rPr>
        <w:t>建立资源充足的有效机制，促进和保护两性平等；</w:t>
      </w:r>
    </w:p>
    <w:p w:rsidR="00770399" w:rsidRPr="00AE55A6" w:rsidRDefault="00770399" w:rsidP="00BD213F">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AE55A6">
        <w:rPr>
          <w:rFonts w:eastAsia="黑体"/>
        </w:rPr>
        <w:t>继续落实两性平等立法，建立有效的监测和评价机制，以确保根据一套清晰的指标评估该流程；</w:t>
      </w:r>
    </w:p>
    <w:p w:rsidR="00770399" w:rsidRPr="00AE55A6" w:rsidRDefault="00770399" w:rsidP="00BD213F">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AE55A6">
        <w:rPr>
          <w:rFonts w:eastAsia="黑体"/>
        </w:rPr>
        <w:t>制定并有效执行包含积极和持续措施的全面政策，以克服男女家庭社会角色和责任的陈旧态度，并监测采取的措施对社会认知中的性别角色所产生的影响；</w:t>
      </w:r>
    </w:p>
    <w:p w:rsidR="00770399" w:rsidRPr="00AE55A6" w:rsidRDefault="00770399" w:rsidP="00BD213F">
      <w:pPr>
        <w:pStyle w:val="SingleTxtGC"/>
        <w:numPr>
          <w:ilvl w:val="0"/>
          <w:numId w:val="12"/>
        </w:numPr>
        <w:tabs>
          <w:tab w:val="clear" w:pos="431"/>
          <w:tab w:val="clear" w:pos="1134"/>
          <w:tab w:val="clear" w:pos="1565"/>
          <w:tab w:val="clear" w:pos="1996"/>
          <w:tab w:val="clear" w:pos="2427"/>
          <w:tab w:val="left" w:pos="1985"/>
        </w:tabs>
        <w:ind w:left="1134" w:firstLine="426"/>
        <w:rPr>
          <w:rFonts w:eastAsia="黑体"/>
        </w:rPr>
      </w:pPr>
      <w:r w:rsidRPr="00AE55A6">
        <w:rPr>
          <w:rFonts w:eastAsia="黑体"/>
        </w:rPr>
        <w:t>继续评估政治和决策职位中女性比例低下的潜在原因，采取适当的措施，包括加强配额制和其他暂行特别措施，以缩小差距。</w:t>
      </w:r>
    </w:p>
    <w:p w:rsidR="00770399" w:rsidRPr="00AE55A6" w:rsidRDefault="00770399" w:rsidP="00770399">
      <w:pPr>
        <w:pStyle w:val="SingleTxtGC"/>
        <w:rPr>
          <w:rFonts w:eastAsia="黑体"/>
        </w:rPr>
      </w:pPr>
      <w:r w:rsidRPr="00AE55A6">
        <w:rPr>
          <w:rFonts w:eastAsia="黑体"/>
        </w:rPr>
        <w:t>17</w:t>
      </w:r>
      <w:r w:rsidR="00D50275" w:rsidRPr="00AE55A6">
        <w:rPr>
          <w:rFonts w:eastAsia="黑体"/>
        </w:rPr>
        <w:t xml:space="preserve">.  </w:t>
      </w:r>
      <w:r w:rsidRPr="00AE55A6">
        <w:rPr>
          <w:rFonts w:eastAsia="黑体"/>
        </w:rPr>
        <w:t>委员会请缔约国参考其关于男女在享受一切经济、社会及文化权利方面的平等权利的第</w:t>
      </w:r>
      <w:r w:rsidRPr="00AE55A6">
        <w:rPr>
          <w:rFonts w:eastAsia="黑体"/>
        </w:rPr>
        <w:t>16</w:t>
      </w:r>
      <w:r w:rsidRPr="00AE55A6">
        <w:rPr>
          <w:rFonts w:eastAsia="黑体"/>
        </w:rPr>
        <w:t>号一般性意见</w:t>
      </w:r>
      <w:r w:rsidRPr="00AE55A6">
        <w:rPr>
          <w:rFonts w:eastAsia="黑体"/>
        </w:rPr>
        <w:t>(2005</w:t>
      </w:r>
      <w:r w:rsidRPr="00AE55A6">
        <w:rPr>
          <w:rFonts w:eastAsia="黑体"/>
        </w:rPr>
        <w:t>年</w:t>
      </w:r>
      <w:r w:rsidRPr="00AE55A6">
        <w:rPr>
          <w:rFonts w:eastAsia="黑体"/>
        </w:rPr>
        <w:t>)</w:t>
      </w:r>
      <w:r w:rsidRPr="00AE55A6">
        <w:rPr>
          <w:rFonts w:eastAsia="黑体"/>
        </w:rPr>
        <w:t>。</w:t>
      </w:r>
    </w:p>
    <w:p w:rsidR="00770399" w:rsidRDefault="00770399" w:rsidP="004A743F">
      <w:pPr>
        <w:pStyle w:val="H23GC"/>
      </w:pPr>
      <w:r>
        <w:rPr>
          <w:rFonts w:hint="eastAsia"/>
        </w:rPr>
        <w:tab/>
      </w:r>
      <w:r>
        <w:rPr>
          <w:rFonts w:hint="eastAsia"/>
        </w:rPr>
        <w:tab/>
      </w:r>
      <w:r>
        <w:rPr>
          <w:rFonts w:hint="eastAsia"/>
        </w:rPr>
        <w:t>失业</w:t>
      </w:r>
    </w:p>
    <w:p w:rsidR="00770399" w:rsidRDefault="00770399" w:rsidP="00770399">
      <w:pPr>
        <w:pStyle w:val="SingleTxtGC"/>
      </w:pPr>
      <w:r>
        <w:rPr>
          <w:rFonts w:hint="eastAsia"/>
        </w:rPr>
        <w:t>18</w:t>
      </w:r>
      <w:r w:rsidR="00D50275">
        <w:rPr>
          <w:rFonts w:hint="eastAsia"/>
        </w:rPr>
        <w:t xml:space="preserve">.  </w:t>
      </w:r>
      <w:r>
        <w:rPr>
          <w:rFonts w:hint="eastAsia"/>
        </w:rPr>
        <w:t>委员会感到遗憾的是，关于失业的统计数据和其他信息来源未按照残疾情况或民族族裔分类。尽管委员会注意到缔约国失业率较低，但委员会表示关切的是，青年、非国民和女性</w:t>
      </w:r>
      <w:r>
        <w:rPr>
          <w:rFonts w:hint="eastAsia"/>
        </w:rPr>
        <w:t>(</w:t>
      </w:r>
      <w:r>
        <w:rPr>
          <w:rFonts w:hint="eastAsia"/>
        </w:rPr>
        <w:t>尤其在少数群体中</w:t>
      </w:r>
      <w:r>
        <w:rPr>
          <w:rFonts w:hint="eastAsia"/>
        </w:rPr>
        <w:t>)</w:t>
      </w:r>
      <w:r>
        <w:rPr>
          <w:rFonts w:hint="eastAsia"/>
        </w:rPr>
        <w:t>的失业率相对更高。</w:t>
      </w:r>
    </w:p>
    <w:p w:rsidR="00770399" w:rsidRPr="006C02C0" w:rsidRDefault="00770399" w:rsidP="00770399">
      <w:pPr>
        <w:pStyle w:val="SingleTxtGC"/>
        <w:rPr>
          <w:rFonts w:eastAsia="黑体"/>
        </w:rPr>
      </w:pPr>
      <w:r w:rsidRPr="006C02C0">
        <w:rPr>
          <w:rFonts w:eastAsia="黑体"/>
        </w:rPr>
        <w:t>19</w:t>
      </w:r>
      <w:r w:rsidR="00D50275" w:rsidRPr="006C02C0">
        <w:rPr>
          <w:rFonts w:eastAsia="黑体"/>
        </w:rPr>
        <w:t xml:space="preserve">.  </w:t>
      </w:r>
      <w:r w:rsidRPr="006C02C0">
        <w:rPr>
          <w:rFonts w:eastAsia="黑体"/>
        </w:rPr>
        <w:t>委员会建议缔约国收集按照民族族裔、残疾情况、性别和年龄分类的失业统计数据。委员会建议缔约国加大努力，降低失业率，同时尤其关注上文所提到的人群。</w:t>
      </w:r>
    </w:p>
    <w:p w:rsidR="00770399" w:rsidRDefault="00770399" w:rsidP="004A743F">
      <w:pPr>
        <w:pStyle w:val="H23GC"/>
      </w:pPr>
      <w:r>
        <w:rPr>
          <w:rFonts w:hint="eastAsia"/>
        </w:rPr>
        <w:tab/>
      </w:r>
      <w:r>
        <w:rPr>
          <w:rFonts w:hint="eastAsia"/>
        </w:rPr>
        <w:tab/>
      </w:r>
      <w:r>
        <w:rPr>
          <w:rFonts w:hint="eastAsia"/>
        </w:rPr>
        <w:t>工作权和公正良好工作条件权</w:t>
      </w:r>
    </w:p>
    <w:p w:rsidR="00770399" w:rsidRDefault="00770399" w:rsidP="00770399">
      <w:pPr>
        <w:pStyle w:val="SingleTxtGC"/>
      </w:pPr>
      <w:r>
        <w:rPr>
          <w:rFonts w:hint="eastAsia"/>
        </w:rPr>
        <w:t>20</w:t>
      </w:r>
      <w:r w:rsidR="00D50275">
        <w:rPr>
          <w:rFonts w:hint="eastAsia"/>
        </w:rPr>
        <w:t xml:space="preserve">.  </w:t>
      </w:r>
      <w:r>
        <w:rPr>
          <w:rFonts w:hint="eastAsia"/>
        </w:rPr>
        <w:t>委员会感到关切的是，缔约国在缩小性别工资差异方面取得的进展有限，性别工资差异随着年龄增长而加大。委员会还关切到，在非全日工作和低薪领域中女性的比例过高，且两性之间的职业隔离依旧存在</w:t>
      </w:r>
      <w:r>
        <w:rPr>
          <w:rFonts w:hint="eastAsia"/>
        </w:rPr>
        <w:t>(</w:t>
      </w:r>
      <w:r>
        <w:rPr>
          <w:rFonts w:hint="eastAsia"/>
        </w:rPr>
        <w:t>第七条</w:t>
      </w:r>
      <w:r>
        <w:rPr>
          <w:rFonts w:hint="eastAsia"/>
        </w:rPr>
        <w:t>)</w:t>
      </w:r>
      <w:r>
        <w:rPr>
          <w:rFonts w:hint="eastAsia"/>
        </w:rPr>
        <w:t>。</w:t>
      </w:r>
    </w:p>
    <w:p w:rsidR="00770399" w:rsidRPr="006C02C0" w:rsidRDefault="00770399" w:rsidP="004A743F">
      <w:pPr>
        <w:pStyle w:val="SingleTxtGC"/>
        <w:rPr>
          <w:rFonts w:eastAsia="黑体"/>
        </w:rPr>
      </w:pPr>
      <w:r w:rsidRPr="006C02C0">
        <w:rPr>
          <w:rFonts w:eastAsia="黑体"/>
        </w:rPr>
        <w:t>21</w:t>
      </w:r>
      <w:r w:rsidR="00D50275" w:rsidRPr="006C02C0">
        <w:rPr>
          <w:rFonts w:eastAsia="黑体"/>
        </w:rPr>
        <w:t xml:space="preserve">.  </w:t>
      </w:r>
      <w:r w:rsidRPr="006C02C0">
        <w:rPr>
          <w:rFonts w:eastAsia="黑体"/>
        </w:rPr>
        <w:t>委员会建议缔约国加大努力，缩小性别工资差异。在这方面，委员会建议缔约国：</w:t>
      </w:r>
    </w:p>
    <w:p w:rsidR="00770399" w:rsidRPr="006C02C0" w:rsidRDefault="00770399" w:rsidP="004A743F">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6C02C0">
        <w:rPr>
          <w:rFonts w:eastAsia="黑体"/>
        </w:rPr>
        <w:t>在非传统领域和为女性提供平等职业机会的领域，促进对女性的培训，并采取其他有效措施，解决两性之间的职业和行业隔离问题；</w:t>
      </w:r>
    </w:p>
    <w:p w:rsidR="00770399" w:rsidRPr="006C02C0" w:rsidRDefault="00770399" w:rsidP="004A743F">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6C02C0">
        <w:rPr>
          <w:rFonts w:eastAsia="黑体"/>
        </w:rPr>
        <w:t>采取适当措施，消除性别角色的陈规定型观念，推动男女在家庭和社会中平等分担责任，包括让儿童照料服务更易于获得和能够负担，并提供陪产假和带薪陪产假；</w:t>
      </w:r>
    </w:p>
    <w:p w:rsidR="00770399" w:rsidRPr="006C02C0" w:rsidRDefault="00770399" w:rsidP="004A743F">
      <w:pPr>
        <w:pStyle w:val="SingleTxtGC"/>
        <w:numPr>
          <w:ilvl w:val="0"/>
          <w:numId w:val="14"/>
        </w:numPr>
        <w:tabs>
          <w:tab w:val="clear" w:pos="431"/>
          <w:tab w:val="clear" w:pos="1134"/>
          <w:tab w:val="clear" w:pos="1565"/>
          <w:tab w:val="clear" w:pos="1996"/>
          <w:tab w:val="clear" w:pos="2427"/>
          <w:tab w:val="left" w:pos="1985"/>
        </w:tabs>
        <w:ind w:left="1134" w:firstLine="426"/>
        <w:rPr>
          <w:rFonts w:eastAsia="黑体"/>
        </w:rPr>
      </w:pPr>
      <w:r w:rsidRPr="006C02C0">
        <w:rPr>
          <w:rFonts w:eastAsia="黑体"/>
        </w:rPr>
        <w:t>加大措施力度，在私营和公共部门为男性和女性促进灵活的工作安排。</w:t>
      </w:r>
    </w:p>
    <w:p w:rsidR="00770399" w:rsidRDefault="00770399" w:rsidP="00770399">
      <w:pPr>
        <w:pStyle w:val="SingleTxtGC"/>
      </w:pPr>
      <w:r>
        <w:rPr>
          <w:rFonts w:hint="eastAsia"/>
        </w:rPr>
        <w:t>22</w:t>
      </w:r>
      <w:r w:rsidR="00D50275">
        <w:rPr>
          <w:rFonts w:hint="eastAsia"/>
        </w:rPr>
        <w:t xml:space="preserve">.  </w:t>
      </w:r>
      <w:r>
        <w:rPr>
          <w:rFonts w:hint="eastAsia"/>
        </w:rPr>
        <w:t>委员会对居住在缔约国的国民和非国民的工资差距表达关切。委员会还感到关切的是，劳动监察局</w:t>
      </w:r>
      <w:r>
        <w:rPr>
          <w:rFonts w:hint="eastAsia"/>
        </w:rPr>
        <w:t>(</w:t>
      </w:r>
      <w:r>
        <w:rPr>
          <w:rFonts w:hint="eastAsia"/>
        </w:rPr>
        <w:t>三方委员会</w:t>
      </w:r>
      <w:r>
        <w:rPr>
          <w:rFonts w:hint="eastAsia"/>
        </w:rPr>
        <w:t xml:space="preserve">) </w:t>
      </w:r>
      <w:r>
        <w:rPr>
          <w:rFonts w:hint="eastAsia"/>
        </w:rPr>
        <w:t>的工作限于签署集体协议的工人，导致建筑等行业的工人被排除在外</w:t>
      </w:r>
      <w:r>
        <w:rPr>
          <w:rFonts w:hint="eastAsia"/>
        </w:rPr>
        <w:t>(</w:t>
      </w:r>
      <w:r>
        <w:rPr>
          <w:rFonts w:hint="eastAsia"/>
        </w:rPr>
        <w:t>第二和第七条</w:t>
      </w:r>
      <w:r>
        <w:rPr>
          <w:rFonts w:hint="eastAsia"/>
        </w:rPr>
        <w:t>)</w:t>
      </w:r>
      <w:r>
        <w:rPr>
          <w:rFonts w:hint="eastAsia"/>
        </w:rPr>
        <w:t>。</w:t>
      </w:r>
    </w:p>
    <w:p w:rsidR="00770399" w:rsidRPr="006C02C0" w:rsidRDefault="00770399" w:rsidP="00770399">
      <w:pPr>
        <w:pStyle w:val="SingleTxtGC"/>
        <w:rPr>
          <w:rFonts w:eastAsia="黑体"/>
        </w:rPr>
      </w:pPr>
      <w:r w:rsidRPr="006C02C0">
        <w:rPr>
          <w:rFonts w:eastAsia="黑体"/>
        </w:rPr>
        <w:t>23</w:t>
      </w:r>
      <w:r w:rsidR="00D50275" w:rsidRPr="006C02C0">
        <w:rPr>
          <w:rFonts w:eastAsia="黑体"/>
        </w:rPr>
        <w:t xml:space="preserve">.  </w:t>
      </w:r>
      <w:r w:rsidRPr="006C02C0">
        <w:rPr>
          <w:rFonts w:eastAsia="黑体"/>
        </w:rPr>
        <w:t>委员会建议缔约国努力缩小居住在缔约国的国民和非国民的工资差距。委员会还建议缔约国确保定期审查工作场所，保证为劳动监察局提供充分资源，使其有效发挥职能。委员会还建议缔约国在下一次定期报告中提供详细资料，说明劳动监察局的活动，包括开展的调查和调查结果。委员会请缔约国参考其关于公正良好工作条件权的第</w:t>
      </w:r>
      <w:r w:rsidRPr="006C02C0">
        <w:rPr>
          <w:rFonts w:eastAsia="黑体"/>
        </w:rPr>
        <w:t>23</w:t>
      </w:r>
      <w:r w:rsidRPr="006C02C0">
        <w:rPr>
          <w:rFonts w:eastAsia="黑体"/>
        </w:rPr>
        <w:t>号一般性意见</w:t>
      </w:r>
      <w:r w:rsidRPr="006C02C0">
        <w:rPr>
          <w:rFonts w:eastAsia="黑体"/>
        </w:rPr>
        <w:t>(2016</w:t>
      </w:r>
      <w:r w:rsidRPr="006C02C0">
        <w:rPr>
          <w:rFonts w:eastAsia="黑体"/>
        </w:rPr>
        <w:t>年</w:t>
      </w:r>
      <w:r w:rsidRPr="006C02C0">
        <w:rPr>
          <w:rFonts w:eastAsia="黑体"/>
        </w:rPr>
        <w:t>)</w:t>
      </w:r>
      <w:r w:rsidRPr="006C02C0">
        <w:rPr>
          <w:rFonts w:eastAsia="黑体"/>
        </w:rPr>
        <w:t>。</w:t>
      </w:r>
    </w:p>
    <w:p w:rsidR="00770399" w:rsidRDefault="00770399" w:rsidP="00E57B45">
      <w:pPr>
        <w:pStyle w:val="H23GC"/>
      </w:pPr>
      <w:r>
        <w:rPr>
          <w:rFonts w:hint="eastAsia"/>
        </w:rPr>
        <w:tab/>
      </w:r>
      <w:r>
        <w:rPr>
          <w:rFonts w:hint="eastAsia"/>
        </w:rPr>
        <w:tab/>
      </w:r>
      <w:r>
        <w:rPr>
          <w:rFonts w:hint="eastAsia"/>
        </w:rPr>
        <w:t>社会保障权</w:t>
      </w:r>
    </w:p>
    <w:p w:rsidR="00770399" w:rsidRDefault="00770399" w:rsidP="00770399">
      <w:pPr>
        <w:pStyle w:val="SingleTxtGC"/>
      </w:pPr>
      <w:r>
        <w:rPr>
          <w:rFonts w:hint="eastAsia"/>
        </w:rPr>
        <w:t>24</w:t>
      </w:r>
      <w:r w:rsidR="00D50275">
        <w:rPr>
          <w:rFonts w:hint="eastAsia"/>
        </w:rPr>
        <w:t xml:space="preserve">.  </w:t>
      </w:r>
      <w:r>
        <w:rPr>
          <w:rFonts w:hint="eastAsia"/>
        </w:rPr>
        <w:t>尽管委员会注意到缔约国在这方面进行了立法变更，但缔约国仍感到关切的是，非国民获得社会救助福利受限，因为他们的永久居留身份可能仍取决于他们对此类福利的依赖程度</w:t>
      </w:r>
      <w:r>
        <w:rPr>
          <w:rFonts w:hint="eastAsia"/>
        </w:rPr>
        <w:t>(</w:t>
      </w:r>
      <w:r>
        <w:rPr>
          <w:rFonts w:hint="eastAsia"/>
        </w:rPr>
        <w:t>第九条</w:t>
      </w:r>
      <w:r>
        <w:rPr>
          <w:rFonts w:hint="eastAsia"/>
        </w:rPr>
        <w:t>)</w:t>
      </w:r>
      <w:r>
        <w:rPr>
          <w:rFonts w:hint="eastAsia"/>
        </w:rPr>
        <w:t>。</w:t>
      </w:r>
    </w:p>
    <w:p w:rsidR="00770399" w:rsidRPr="006C02C0" w:rsidRDefault="00770399" w:rsidP="00770399">
      <w:pPr>
        <w:pStyle w:val="SingleTxtGC"/>
        <w:rPr>
          <w:rFonts w:eastAsia="黑体"/>
        </w:rPr>
      </w:pPr>
      <w:r w:rsidRPr="006C02C0">
        <w:rPr>
          <w:rFonts w:eastAsia="黑体"/>
        </w:rPr>
        <w:t>25</w:t>
      </w:r>
      <w:r w:rsidR="00D50275" w:rsidRPr="006C02C0">
        <w:rPr>
          <w:rFonts w:eastAsia="黑体"/>
        </w:rPr>
        <w:t xml:space="preserve">.  </w:t>
      </w:r>
      <w:r w:rsidRPr="006C02C0">
        <w:rPr>
          <w:rFonts w:eastAsia="黑体"/>
        </w:rPr>
        <w:t>委员会提醒缔约国注意，社会救助福利构成《公约》第九条的核心义务，建议缔约国确保永久居民能充分享受社会保障权，无须害怕因为依赖社会救助而失去居留身份。为此，委员会建议缔约国对《外国人法》第四十九和第六十九条作必要修改。委员会请缔约国参考其关于社会保障权利的第</w:t>
      </w:r>
      <w:r w:rsidRPr="006C02C0">
        <w:rPr>
          <w:rFonts w:eastAsia="黑体"/>
        </w:rPr>
        <w:t>19</w:t>
      </w:r>
      <w:r w:rsidRPr="006C02C0">
        <w:rPr>
          <w:rFonts w:eastAsia="黑体"/>
        </w:rPr>
        <w:t>号一般性意见</w:t>
      </w:r>
      <w:r w:rsidRPr="006C02C0">
        <w:rPr>
          <w:rFonts w:eastAsia="黑体"/>
        </w:rPr>
        <w:t>(2007</w:t>
      </w:r>
      <w:r w:rsidRPr="006C02C0">
        <w:rPr>
          <w:rFonts w:eastAsia="黑体"/>
        </w:rPr>
        <w:t>年</w:t>
      </w:r>
      <w:r w:rsidRPr="006C02C0">
        <w:rPr>
          <w:rFonts w:eastAsia="黑体"/>
        </w:rPr>
        <w:t>)</w:t>
      </w:r>
      <w:r w:rsidRPr="006C02C0">
        <w:rPr>
          <w:rFonts w:eastAsia="黑体"/>
        </w:rPr>
        <w:t>。</w:t>
      </w:r>
    </w:p>
    <w:p w:rsidR="00770399" w:rsidRDefault="00770399" w:rsidP="00E57B45">
      <w:pPr>
        <w:pStyle w:val="H23GC"/>
      </w:pPr>
      <w:r>
        <w:rPr>
          <w:rFonts w:hint="eastAsia"/>
        </w:rPr>
        <w:tab/>
      </w:r>
      <w:r>
        <w:rPr>
          <w:rFonts w:hint="eastAsia"/>
        </w:rPr>
        <w:tab/>
      </w:r>
      <w:r>
        <w:rPr>
          <w:rFonts w:hint="eastAsia"/>
        </w:rPr>
        <w:t>家庭团聚</w:t>
      </w:r>
    </w:p>
    <w:p w:rsidR="00770399" w:rsidRDefault="00770399" w:rsidP="00420576">
      <w:pPr>
        <w:pStyle w:val="SingleTxtGC"/>
      </w:pPr>
      <w:r>
        <w:rPr>
          <w:rFonts w:hint="eastAsia"/>
        </w:rPr>
        <w:t>26</w:t>
      </w:r>
      <w:r w:rsidR="00D50275">
        <w:rPr>
          <w:rFonts w:hint="eastAsia"/>
        </w:rPr>
        <w:t xml:space="preserve">.  </w:t>
      </w:r>
      <w:r>
        <w:rPr>
          <w:rFonts w:hint="eastAsia"/>
        </w:rPr>
        <w:t>委员会感到关切的是，第三国国民</w:t>
      </w:r>
      <w:r>
        <w:rPr>
          <w:rFonts w:hint="eastAsia"/>
        </w:rPr>
        <w:t>(</w:t>
      </w:r>
      <w:r>
        <w:rPr>
          <w:rFonts w:hint="eastAsia"/>
        </w:rPr>
        <w:t>既非瑞士也非欧洲经济区的国民</w:t>
      </w:r>
      <w:r>
        <w:rPr>
          <w:rFonts w:hint="eastAsia"/>
        </w:rPr>
        <w:t>)</w:t>
      </w:r>
      <w:r>
        <w:rPr>
          <w:rFonts w:hint="eastAsia"/>
        </w:rPr>
        <w:t>提出的家庭团聚请求是否获得批准的决定，取决于希望迁徙至</w:t>
      </w:r>
      <w:r w:rsidR="00420576" w:rsidRPr="00420576">
        <w:rPr>
          <w:rFonts w:hint="eastAsia"/>
        </w:rPr>
        <w:t>列支敦士登</w:t>
      </w:r>
      <w:r>
        <w:rPr>
          <w:rFonts w:hint="eastAsia"/>
        </w:rPr>
        <w:t>的配偶是否能提供其具备德语基础知识的证据，这可能尤其影响到配偶或受抚养成人不说德语的申请者，他们由于经济或其他限制，也无法接受德语训练。委员会注意到，移民部门具体案例具体对待的方针为灵活性创造了空间</w:t>
      </w:r>
      <w:r>
        <w:rPr>
          <w:rFonts w:hint="eastAsia"/>
        </w:rPr>
        <w:t>(</w:t>
      </w:r>
      <w:r>
        <w:rPr>
          <w:rFonts w:hint="eastAsia"/>
        </w:rPr>
        <w:t>第二和第十条</w:t>
      </w:r>
      <w:r>
        <w:rPr>
          <w:rFonts w:hint="eastAsia"/>
        </w:rPr>
        <w:t>)</w:t>
      </w:r>
      <w:r>
        <w:rPr>
          <w:rFonts w:hint="eastAsia"/>
        </w:rPr>
        <w:t>。</w:t>
      </w:r>
    </w:p>
    <w:p w:rsidR="00770399" w:rsidRPr="006C02C0" w:rsidRDefault="00770399" w:rsidP="00770399">
      <w:pPr>
        <w:pStyle w:val="SingleTxtGC"/>
        <w:rPr>
          <w:rFonts w:eastAsia="黑体"/>
        </w:rPr>
      </w:pPr>
      <w:r w:rsidRPr="006C02C0">
        <w:rPr>
          <w:rFonts w:eastAsia="黑体"/>
        </w:rPr>
        <w:t>27</w:t>
      </w:r>
      <w:r w:rsidR="00D50275" w:rsidRPr="006C02C0">
        <w:rPr>
          <w:rFonts w:eastAsia="黑体"/>
        </w:rPr>
        <w:t xml:space="preserve">.  </w:t>
      </w:r>
      <w:r w:rsidRPr="006C02C0">
        <w:rPr>
          <w:rFonts w:eastAsia="黑体"/>
        </w:rPr>
        <w:t>委员会建议缔约国审查对非国民的家庭团聚要求，废除可能导致基于民族、国籍或语言的间接歧视的任何要求，建议将家庭团聚作为比在到达缔约国前具备德语知识更优先的事项，并继续探索非国民及其家庭在缔约国团聚后，促进他们融入社会的方法。</w:t>
      </w:r>
    </w:p>
    <w:p w:rsidR="00770399" w:rsidRDefault="00770399" w:rsidP="00E57B45">
      <w:pPr>
        <w:pStyle w:val="H23GC"/>
      </w:pPr>
      <w:r>
        <w:rPr>
          <w:rFonts w:hint="eastAsia"/>
        </w:rPr>
        <w:tab/>
      </w:r>
      <w:r>
        <w:rPr>
          <w:rFonts w:hint="eastAsia"/>
        </w:rPr>
        <w:tab/>
      </w:r>
      <w:r>
        <w:rPr>
          <w:rFonts w:hint="eastAsia"/>
        </w:rPr>
        <w:t>吸毒</w:t>
      </w:r>
    </w:p>
    <w:p w:rsidR="00770399" w:rsidRDefault="00770399" w:rsidP="00770399">
      <w:pPr>
        <w:pStyle w:val="SingleTxtGC"/>
      </w:pPr>
      <w:r>
        <w:rPr>
          <w:rFonts w:hint="eastAsia"/>
        </w:rPr>
        <w:t>28</w:t>
      </w:r>
      <w:r w:rsidR="00D50275">
        <w:rPr>
          <w:rFonts w:hint="eastAsia"/>
        </w:rPr>
        <w:t xml:space="preserve">.  </w:t>
      </w:r>
      <w:r>
        <w:rPr>
          <w:rFonts w:hint="eastAsia"/>
        </w:rPr>
        <w:t>尽管委员会赞赏地注意到缔约国努力打击药物、烟草和酒精的滥用，且各种措施带来了积极的效果，但委员会仍感到关切的是，非法药物的使用增加</w:t>
      </w:r>
      <w:r>
        <w:rPr>
          <w:rFonts w:hint="eastAsia"/>
        </w:rPr>
        <w:t>(</w:t>
      </w:r>
      <w:r>
        <w:rPr>
          <w:rFonts w:hint="eastAsia"/>
        </w:rPr>
        <w:t>第十二条</w:t>
      </w:r>
      <w:r>
        <w:rPr>
          <w:rFonts w:hint="eastAsia"/>
        </w:rPr>
        <w:t>)</w:t>
      </w:r>
      <w:r>
        <w:rPr>
          <w:rFonts w:hint="eastAsia"/>
        </w:rPr>
        <w:t>。</w:t>
      </w:r>
    </w:p>
    <w:p w:rsidR="00770399" w:rsidRPr="006C02C0" w:rsidRDefault="00770399" w:rsidP="00770399">
      <w:pPr>
        <w:pStyle w:val="SingleTxtGC"/>
        <w:rPr>
          <w:rFonts w:eastAsia="黑体"/>
        </w:rPr>
      </w:pPr>
      <w:r w:rsidRPr="006C02C0">
        <w:rPr>
          <w:rFonts w:eastAsia="黑体"/>
        </w:rPr>
        <w:t>29</w:t>
      </w:r>
      <w:r w:rsidR="00D50275" w:rsidRPr="006C02C0">
        <w:rPr>
          <w:rFonts w:eastAsia="黑体"/>
        </w:rPr>
        <w:t xml:space="preserve">.  </w:t>
      </w:r>
      <w:r w:rsidRPr="006C02C0">
        <w:rPr>
          <w:rFonts w:eastAsia="黑体"/>
        </w:rPr>
        <w:t>委员会建议缔约国继续开展提高认识方案，宣传药物滥用的严重健康风险，加大努力，降低与使用药物有关的风险，为需要保健、心理支持服务和康复的吸毒者妥善提供此类服务。委员会请缔约国参照其关于享有能达到的最高健康标准的权利的第</w:t>
      </w:r>
      <w:r w:rsidRPr="006C02C0">
        <w:rPr>
          <w:rFonts w:eastAsia="黑体"/>
        </w:rPr>
        <w:t>14</w:t>
      </w:r>
      <w:r w:rsidRPr="006C02C0">
        <w:rPr>
          <w:rFonts w:eastAsia="黑体"/>
        </w:rPr>
        <w:t>号一般性意见</w:t>
      </w:r>
      <w:r w:rsidRPr="006C02C0">
        <w:rPr>
          <w:rFonts w:eastAsia="黑体"/>
        </w:rPr>
        <w:t>(2000</w:t>
      </w:r>
      <w:r w:rsidRPr="006C02C0">
        <w:rPr>
          <w:rFonts w:eastAsia="黑体"/>
        </w:rPr>
        <w:t>年</w:t>
      </w:r>
      <w:r w:rsidRPr="006C02C0">
        <w:rPr>
          <w:rFonts w:eastAsia="黑体"/>
        </w:rPr>
        <w:t>)</w:t>
      </w:r>
      <w:r w:rsidRPr="006C02C0">
        <w:rPr>
          <w:rFonts w:eastAsia="黑体"/>
        </w:rPr>
        <w:t>。</w:t>
      </w:r>
    </w:p>
    <w:p w:rsidR="00770399" w:rsidRDefault="00770399" w:rsidP="00E57B45">
      <w:pPr>
        <w:pStyle w:val="H23GC"/>
      </w:pPr>
      <w:r>
        <w:rPr>
          <w:rFonts w:hint="eastAsia"/>
        </w:rPr>
        <w:tab/>
      </w:r>
      <w:r>
        <w:rPr>
          <w:rFonts w:hint="eastAsia"/>
        </w:rPr>
        <w:tab/>
      </w:r>
      <w:r>
        <w:rPr>
          <w:rFonts w:hint="eastAsia"/>
        </w:rPr>
        <w:t>受教育权</w:t>
      </w:r>
    </w:p>
    <w:p w:rsidR="00770399" w:rsidRDefault="00770399" w:rsidP="00770399">
      <w:pPr>
        <w:pStyle w:val="SingleTxtGC"/>
      </w:pPr>
      <w:r>
        <w:rPr>
          <w:rFonts w:hint="eastAsia"/>
        </w:rPr>
        <w:t>30</w:t>
      </w:r>
      <w:r w:rsidR="00D50275">
        <w:rPr>
          <w:rFonts w:hint="eastAsia"/>
        </w:rPr>
        <w:t xml:space="preserve">.  </w:t>
      </w:r>
      <w:r>
        <w:rPr>
          <w:rFonts w:hint="eastAsia"/>
        </w:rPr>
        <w:t>委员会注意到缔约国努力将移民儿童纳入主流教育体系。然而，委员会仍感到关切的是，在高中，移民背景的学生比例过低。尽管委员会注意到缔约国已经开始为残疾儿童开展全纳教育，但委员会感到关切的是，一些残疾儿童仍在特殊学校就学</w:t>
      </w:r>
      <w:r>
        <w:rPr>
          <w:rFonts w:hint="eastAsia"/>
        </w:rPr>
        <w:t>(</w:t>
      </w:r>
      <w:r>
        <w:rPr>
          <w:rFonts w:hint="eastAsia"/>
        </w:rPr>
        <w:t>第十三和第十四条</w:t>
      </w:r>
      <w:r>
        <w:rPr>
          <w:rFonts w:hint="eastAsia"/>
        </w:rPr>
        <w:t>)</w:t>
      </w:r>
      <w:r>
        <w:rPr>
          <w:rFonts w:hint="eastAsia"/>
        </w:rPr>
        <w:t>。</w:t>
      </w:r>
    </w:p>
    <w:p w:rsidR="00770399" w:rsidRPr="00C9215B" w:rsidRDefault="00770399" w:rsidP="00770399">
      <w:pPr>
        <w:pStyle w:val="SingleTxtGC"/>
        <w:rPr>
          <w:rFonts w:eastAsia="黑体"/>
        </w:rPr>
      </w:pPr>
      <w:r w:rsidRPr="00C9215B">
        <w:rPr>
          <w:rFonts w:eastAsia="黑体"/>
        </w:rPr>
        <w:t>31</w:t>
      </w:r>
      <w:r w:rsidR="00D50275" w:rsidRPr="00C9215B">
        <w:rPr>
          <w:rFonts w:eastAsia="黑体"/>
        </w:rPr>
        <w:t xml:space="preserve">.  </w:t>
      </w:r>
      <w:r w:rsidRPr="00C9215B">
        <w:rPr>
          <w:rFonts w:eastAsia="黑体"/>
        </w:rPr>
        <w:t>委员会建议缔约国：</w:t>
      </w:r>
    </w:p>
    <w:p w:rsidR="00770399" w:rsidRPr="00C9215B" w:rsidRDefault="00770399" w:rsidP="00E57B45">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rPr>
      </w:pPr>
      <w:r w:rsidRPr="00C9215B">
        <w:rPr>
          <w:rFonts w:eastAsia="黑体"/>
        </w:rPr>
        <w:t>解决移民背景的儿童在高中比例过低的问题，审查将学生分流至不同教育路经的分类标准，包括提高学生的最高入学年龄；</w:t>
      </w:r>
    </w:p>
    <w:p w:rsidR="00770399" w:rsidRPr="00C9215B" w:rsidRDefault="00770399" w:rsidP="00E57B45">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rPr>
      </w:pPr>
      <w:r w:rsidRPr="00C9215B">
        <w:rPr>
          <w:rFonts w:eastAsia="黑体"/>
        </w:rPr>
        <w:t>继续加强现有的教育计划，以便纳入移民背景的儿童；</w:t>
      </w:r>
    </w:p>
    <w:p w:rsidR="00770399" w:rsidRPr="00C9215B" w:rsidRDefault="00770399" w:rsidP="00E57B45">
      <w:pPr>
        <w:pStyle w:val="SingleTxtGC"/>
        <w:numPr>
          <w:ilvl w:val="0"/>
          <w:numId w:val="16"/>
        </w:numPr>
        <w:tabs>
          <w:tab w:val="clear" w:pos="431"/>
          <w:tab w:val="clear" w:pos="1134"/>
          <w:tab w:val="clear" w:pos="1565"/>
          <w:tab w:val="clear" w:pos="1996"/>
          <w:tab w:val="clear" w:pos="2427"/>
          <w:tab w:val="left" w:pos="1985"/>
        </w:tabs>
        <w:ind w:left="1134" w:firstLine="426"/>
        <w:rPr>
          <w:rFonts w:eastAsia="黑体"/>
        </w:rPr>
      </w:pPr>
      <w:r w:rsidRPr="00C9215B">
        <w:rPr>
          <w:rFonts w:eastAsia="黑体"/>
        </w:rPr>
        <w:t>为所有残疾儿童促进全纳教育，包括分配资源以便合理照顾残疾儿童的需要，并为教师提供额外的职业培训。</w:t>
      </w:r>
    </w:p>
    <w:p w:rsidR="00770399" w:rsidRPr="00C9215B" w:rsidRDefault="00770399" w:rsidP="00770399">
      <w:pPr>
        <w:pStyle w:val="SingleTxtGC"/>
        <w:rPr>
          <w:rFonts w:eastAsia="黑体"/>
        </w:rPr>
      </w:pPr>
      <w:r w:rsidRPr="00C9215B">
        <w:rPr>
          <w:rFonts w:eastAsia="黑体"/>
        </w:rPr>
        <w:t>32</w:t>
      </w:r>
      <w:r w:rsidR="00D50275" w:rsidRPr="00C9215B">
        <w:rPr>
          <w:rFonts w:eastAsia="黑体"/>
        </w:rPr>
        <w:t xml:space="preserve">.  </w:t>
      </w:r>
      <w:r w:rsidRPr="00C9215B">
        <w:rPr>
          <w:rFonts w:eastAsia="黑体"/>
        </w:rPr>
        <w:t>委员会请缔约国参考其关于受教育权的第</w:t>
      </w:r>
      <w:r w:rsidRPr="00C9215B">
        <w:rPr>
          <w:rFonts w:eastAsia="黑体"/>
        </w:rPr>
        <w:t>13</w:t>
      </w:r>
      <w:r w:rsidRPr="00C9215B">
        <w:rPr>
          <w:rFonts w:eastAsia="黑体"/>
        </w:rPr>
        <w:t>号一般性建议</w:t>
      </w:r>
      <w:r w:rsidRPr="00C9215B">
        <w:rPr>
          <w:rFonts w:eastAsia="黑体"/>
        </w:rPr>
        <w:t>(1999</w:t>
      </w:r>
      <w:r w:rsidRPr="00C9215B">
        <w:rPr>
          <w:rFonts w:eastAsia="黑体"/>
        </w:rPr>
        <w:t>年</w:t>
      </w:r>
      <w:r w:rsidRPr="00C9215B">
        <w:rPr>
          <w:rFonts w:eastAsia="黑体"/>
        </w:rPr>
        <w:t>)</w:t>
      </w:r>
      <w:r w:rsidRPr="00C9215B">
        <w:rPr>
          <w:rFonts w:eastAsia="黑体"/>
        </w:rPr>
        <w:t>。</w:t>
      </w:r>
    </w:p>
    <w:p w:rsidR="00770399" w:rsidRDefault="00E57B45" w:rsidP="00E57B45">
      <w:pPr>
        <w:pStyle w:val="H1GC"/>
      </w:pPr>
      <w:r>
        <w:tab/>
      </w:r>
      <w:r w:rsidR="00770399">
        <w:rPr>
          <w:rFonts w:hint="eastAsia"/>
        </w:rPr>
        <w:t>D</w:t>
      </w:r>
      <w:r w:rsidR="00D50275">
        <w:rPr>
          <w:rFonts w:hint="eastAsia"/>
        </w:rPr>
        <w:t>.</w:t>
      </w:r>
      <w:r>
        <w:tab/>
      </w:r>
      <w:r w:rsidR="00770399">
        <w:rPr>
          <w:rFonts w:hint="eastAsia"/>
        </w:rPr>
        <w:t>其他建议</w:t>
      </w:r>
    </w:p>
    <w:p w:rsidR="00770399" w:rsidRPr="00C9215B" w:rsidRDefault="00770399" w:rsidP="00770399">
      <w:pPr>
        <w:pStyle w:val="SingleTxtGC"/>
        <w:rPr>
          <w:rFonts w:eastAsia="黑体"/>
        </w:rPr>
      </w:pPr>
      <w:r w:rsidRPr="00C9215B">
        <w:rPr>
          <w:rFonts w:eastAsia="黑体"/>
        </w:rPr>
        <w:t>33</w:t>
      </w:r>
      <w:r w:rsidR="00D50275" w:rsidRPr="00C9215B">
        <w:rPr>
          <w:rFonts w:eastAsia="黑体"/>
        </w:rPr>
        <w:t xml:space="preserve">.  </w:t>
      </w:r>
      <w:r w:rsidRPr="00C9215B">
        <w:rPr>
          <w:rFonts w:eastAsia="黑体"/>
        </w:rPr>
        <w:t>委员会鼓励缔约国考虑批准《经济、社会、文化权利国际公约任择议定书》。</w:t>
      </w:r>
    </w:p>
    <w:p w:rsidR="00770399" w:rsidRPr="00C9215B" w:rsidRDefault="00770399" w:rsidP="00770399">
      <w:pPr>
        <w:pStyle w:val="SingleTxtGC"/>
        <w:rPr>
          <w:rFonts w:eastAsia="黑体"/>
        </w:rPr>
      </w:pPr>
      <w:r w:rsidRPr="00C9215B">
        <w:rPr>
          <w:rFonts w:eastAsia="黑体"/>
        </w:rPr>
        <w:t>34</w:t>
      </w:r>
      <w:r w:rsidR="00D50275" w:rsidRPr="00C9215B">
        <w:rPr>
          <w:rFonts w:eastAsia="黑体"/>
        </w:rPr>
        <w:t xml:space="preserve">.  </w:t>
      </w:r>
      <w:r w:rsidRPr="00C9215B">
        <w:rPr>
          <w:rFonts w:eastAsia="黑体"/>
        </w:rPr>
        <w:t>委员会建议缔约国考虑批准《残疾人权利公约》和《保护所有移徙工人及其家庭成员权利国际公约》。</w:t>
      </w:r>
    </w:p>
    <w:p w:rsidR="00770399" w:rsidRPr="00C9215B" w:rsidRDefault="00770399" w:rsidP="00770399">
      <w:pPr>
        <w:pStyle w:val="SingleTxtGC"/>
        <w:rPr>
          <w:rFonts w:eastAsia="黑体"/>
        </w:rPr>
      </w:pPr>
      <w:r w:rsidRPr="00C9215B">
        <w:rPr>
          <w:rFonts w:eastAsia="黑体"/>
        </w:rPr>
        <w:t>35</w:t>
      </w:r>
      <w:r w:rsidR="00D50275" w:rsidRPr="00C9215B">
        <w:rPr>
          <w:rFonts w:eastAsia="黑体"/>
        </w:rPr>
        <w:t xml:space="preserve">.  </w:t>
      </w:r>
      <w:r w:rsidRPr="00C9215B">
        <w:rPr>
          <w:rFonts w:eastAsia="黑体"/>
        </w:rPr>
        <w:t>委员会建议缔约国在国家层面上落实《</w:t>
      </w:r>
      <w:r w:rsidRPr="00C9215B">
        <w:rPr>
          <w:rFonts w:eastAsia="黑体"/>
        </w:rPr>
        <w:t>2030</w:t>
      </w:r>
      <w:r w:rsidRPr="00C9215B">
        <w:rPr>
          <w:rFonts w:eastAsia="黑体"/>
        </w:rPr>
        <w:t>年可持续发展议程》的过程中，充分考虑其《公约》义务并确保人民充分享有《公约》规定的权利，并在必要时获得国际援助和合作。缔约国如能设立独立机制监测进展，将公共方案的受益者当做能够主张权利的权利人对待，将极大地有助于实现可持续发展目标。在参与、问责和不歧视原则的基础上落实千年发展目标，将确保不落下任何人。</w:t>
      </w:r>
    </w:p>
    <w:p w:rsidR="00770399" w:rsidRPr="00C9215B" w:rsidRDefault="00770399" w:rsidP="00770399">
      <w:pPr>
        <w:pStyle w:val="SingleTxtGC"/>
        <w:rPr>
          <w:rFonts w:eastAsia="黑体"/>
        </w:rPr>
      </w:pPr>
      <w:r w:rsidRPr="00C9215B">
        <w:rPr>
          <w:rFonts w:eastAsia="黑体"/>
        </w:rPr>
        <w:t>36</w:t>
      </w:r>
      <w:r w:rsidR="00D50275" w:rsidRPr="00C9215B">
        <w:rPr>
          <w:rFonts w:eastAsia="黑体"/>
        </w:rPr>
        <w:t xml:space="preserve">.  </w:t>
      </w:r>
      <w:r w:rsidRPr="00C9215B">
        <w:rPr>
          <w:rFonts w:eastAsia="黑体"/>
        </w:rPr>
        <w:t>委员会建议缔约国采取步骤，就落实经济、社会及文化权利的问题逐步制定和应用适当的指标，以便评估缔约国在为各个不同群体履行《公约》义务方面取得的进展。在这方面，委员会请缔约国参考联合国人权事务高级专员办事处编写的《人权指标相关概念和方法框架》</w:t>
      </w:r>
      <w:r w:rsidRPr="00C9215B">
        <w:rPr>
          <w:rFonts w:eastAsia="黑体"/>
        </w:rPr>
        <w:t>(</w:t>
      </w:r>
      <w:r w:rsidRPr="00C9215B">
        <w:rPr>
          <w:rFonts w:eastAsia="黑体"/>
        </w:rPr>
        <w:t>见</w:t>
      </w:r>
      <w:r w:rsidRPr="00C9215B">
        <w:rPr>
          <w:rFonts w:eastAsia="黑体"/>
        </w:rPr>
        <w:t>HRI/MC/2008/3)</w:t>
      </w:r>
      <w:r w:rsidRPr="00C9215B">
        <w:rPr>
          <w:rFonts w:eastAsia="黑体"/>
        </w:rPr>
        <w:t>等文件。</w:t>
      </w:r>
    </w:p>
    <w:p w:rsidR="00770399" w:rsidRPr="00C9215B" w:rsidRDefault="00770399" w:rsidP="00770399">
      <w:pPr>
        <w:pStyle w:val="SingleTxtGC"/>
        <w:rPr>
          <w:rFonts w:eastAsia="黑体"/>
        </w:rPr>
      </w:pPr>
      <w:r w:rsidRPr="00C9215B">
        <w:rPr>
          <w:rFonts w:eastAsia="黑体"/>
        </w:rPr>
        <w:t>37</w:t>
      </w:r>
      <w:r w:rsidR="00D50275" w:rsidRPr="00C9215B">
        <w:rPr>
          <w:rFonts w:eastAsia="黑体"/>
        </w:rPr>
        <w:t xml:space="preserve">.  </w:t>
      </w:r>
      <w:r w:rsidRPr="00C9215B">
        <w:rPr>
          <w:rFonts w:eastAsia="黑体"/>
        </w:rPr>
        <w:t>委员会请缔约国向社会各界广泛传播本结论性意见，尤其是向议员、政府官员和司法部门传播，并在下一次定期报告中向委员会通报其为落实这些意见所采取的步骤。委员会鼓励缔约国请人权协会、非政府组织和民间社会其他成员参与本结论性意见的后续行动以及在提交下次定期报告前开展的国家级协商进程。</w:t>
      </w:r>
    </w:p>
    <w:p w:rsidR="00770399" w:rsidRPr="00C9215B" w:rsidRDefault="00770399" w:rsidP="00770399">
      <w:pPr>
        <w:pStyle w:val="SingleTxtGC"/>
        <w:rPr>
          <w:rFonts w:eastAsia="黑体"/>
        </w:rPr>
      </w:pPr>
      <w:r w:rsidRPr="00C9215B">
        <w:rPr>
          <w:rFonts w:eastAsia="黑体"/>
        </w:rPr>
        <w:t>38</w:t>
      </w:r>
      <w:r w:rsidR="00D50275" w:rsidRPr="00C9215B">
        <w:rPr>
          <w:rFonts w:eastAsia="黑体"/>
        </w:rPr>
        <w:t xml:space="preserve">.  </w:t>
      </w:r>
      <w:r w:rsidRPr="00C9215B">
        <w:rPr>
          <w:rFonts w:eastAsia="黑体"/>
        </w:rPr>
        <w:t>根据委员会通过的结论性意见程序的后续行动，请缔约国在本结论性意见通过后</w:t>
      </w:r>
      <w:r w:rsidRPr="00C9215B">
        <w:rPr>
          <w:rFonts w:eastAsia="黑体"/>
        </w:rPr>
        <w:t>18</w:t>
      </w:r>
      <w:r w:rsidRPr="00C9215B">
        <w:rPr>
          <w:rFonts w:eastAsia="黑体"/>
        </w:rPr>
        <w:t>个月内提供资料，说明委员会在上文第</w:t>
      </w:r>
      <w:r w:rsidRPr="00C9215B">
        <w:rPr>
          <w:rFonts w:eastAsia="黑体"/>
        </w:rPr>
        <w:t>16</w:t>
      </w:r>
      <w:r w:rsidR="00E57B45" w:rsidRPr="00C9215B">
        <w:rPr>
          <w:rFonts w:eastAsia="黑体"/>
          <w:sz w:val="10"/>
          <w:szCs w:val="10"/>
        </w:rPr>
        <w:t xml:space="preserve"> </w:t>
      </w:r>
      <w:r w:rsidRPr="00C9215B">
        <w:rPr>
          <w:rFonts w:eastAsia="黑体"/>
        </w:rPr>
        <w:t>(a)</w:t>
      </w:r>
      <w:r w:rsidRPr="00C9215B">
        <w:rPr>
          <w:rFonts w:eastAsia="黑体"/>
        </w:rPr>
        <w:t>段和第</w:t>
      </w:r>
      <w:r w:rsidRPr="00C9215B">
        <w:rPr>
          <w:rFonts w:eastAsia="黑体"/>
        </w:rPr>
        <w:t>25</w:t>
      </w:r>
      <w:r w:rsidRPr="00C9215B">
        <w:rPr>
          <w:rFonts w:eastAsia="黑体"/>
        </w:rPr>
        <w:t>段中所提建议的落实情况。</w:t>
      </w:r>
    </w:p>
    <w:p w:rsidR="00770399" w:rsidRDefault="00770399" w:rsidP="00CF2027">
      <w:pPr>
        <w:pStyle w:val="SingleTxtGC"/>
      </w:pPr>
      <w:r w:rsidRPr="00C9215B">
        <w:rPr>
          <w:rFonts w:eastAsia="黑体"/>
        </w:rPr>
        <w:t>39</w:t>
      </w:r>
      <w:r w:rsidR="00D50275" w:rsidRPr="00C9215B">
        <w:rPr>
          <w:rFonts w:eastAsia="黑体"/>
        </w:rPr>
        <w:t xml:space="preserve">.  </w:t>
      </w:r>
      <w:r w:rsidRPr="00C9215B">
        <w:rPr>
          <w:rFonts w:eastAsia="黑体"/>
        </w:rPr>
        <w:t>委员会请缔约国在</w:t>
      </w:r>
      <w:r w:rsidRPr="00C9215B">
        <w:rPr>
          <w:rFonts w:eastAsia="黑体"/>
        </w:rPr>
        <w:t>2022</w:t>
      </w:r>
      <w:r w:rsidRPr="00C9215B">
        <w:rPr>
          <w:rFonts w:eastAsia="黑体"/>
        </w:rPr>
        <w:t>年</w:t>
      </w:r>
      <w:r w:rsidRPr="00C9215B">
        <w:rPr>
          <w:rFonts w:eastAsia="黑体"/>
        </w:rPr>
        <w:t>6</w:t>
      </w:r>
      <w:r w:rsidRPr="00C9215B">
        <w:rPr>
          <w:rFonts w:eastAsia="黑体"/>
        </w:rPr>
        <w:t>月</w:t>
      </w:r>
      <w:r w:rsidRPr="00C9215B">
        <w:rPr>
          <w:rFonts w:eastAsia="黑体"/>
        </w:rPr>
        <w:t>30</w:t>
      </w:r>
      <w:r w:rsidRPr="00C9215B">
        <w:rPr>
          <w:rFonts w:eastAsia="黑体"/>
        </w:rPr>
        <w:t>日之前提交第四次定期报告，报告应按照委员会</w:t>
      </w:r>
      <w:r w:rsidRPr="00C9215B">
        <w:rPr>
          <w:rFonts w:eastAsia="黑体"/>
        </w:rPr>
        <w:t>2008</w:t>
      </w:r>
      <w:r w:rsidRPr="00C9215B">
        <w:rPr>
          <w:rFonts w:eastAsia="黑体"/>
        </w:rPr>
        <w:t>年通过的报告准则</w:t>
      </w:r>
      <w:r w:rsidRPr="00C9215B">
        <w:rPr>
          <w:rFonts w:eastAsia="黑体"/>
        </w:rPr>
        <w:t>(E/C.12/2008/2)</w:t>
      </w:r>
      <w:r w:rsidRPr="00C9215B">
        <w:rPr>
          <w:rFonts w:eastAsia="黑体"/>
        </w:rPr>
        <w:t>编写。委员会还请缔约国按照根据国际人权条约提交报告的协调准则</w:t>
      </w:r>
      <w:r w:rsidRPr="00C9215B">
        <w:rPr>
          <w:rFonts w:eastAsia="黑体"/>
        </w:rPr>
        <w:t>(HRI/GEN/2/Rev.6</w:t>
      </w:r>
      <w:r w:rsidR="00CF2027">
        <w:rPr>
          <w:rFonts w:eastAsia="黑体" w:hint="eastAsia"/>
        </w:rPr>
        <w:t>,</w:t>
      </w:r>
      <w:r w:rsidR="00CF2027">
        <w:rPr>
          <w:rFonts w:eastAsia="黑体"/>
        </w:rPr>
        <w:t xml:space="preserve"> </w:t>
      </w:r>
      <w:r w:rsidRPr="00C9215B">
        <w:rPr>
          <w:rFonts w:eastAsia="黑体"/>
        </w:rPr>
        <w:t>第一章</w:t>
      </w:r>
      <w:r w:rsidRPr="00C9215B">
        <w:rPr>
          <w:rFonts w:eastAsia="黑体"/>
        </w:rPr>
        <w:t>)</w:t>
      </w:r>
      <w:r w:rsidRPr="00C9215B">
        <w:rPr>
          <w:rFonts w:eastAsia="黑体"/>
        </w:rPr>
        <w:t>，对其共同核心文件进行必要更新。</w:t>
      </w:r>
    </w:p>
    <w:p w:rsidR="00E57B45" w:rsidRPr="002D6A9C" w:rsidRDefault="00E57B4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57B45" w:rsidRPr="00770399" w:rsidRDefault="00E57B45" w:rsidP="00770399">
      <w:pPr>
        <w:pStyle w:val="SingleTxtGC"/>
      </w:pPr>
    </w:p>
    <w:sectPr w:rsidR="00E57B45" w:rsidRPr="00770399"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67CE" w:rsidRPr="000D319F" w:rsidRDefault="005967CE" w:rsidP="000D319F">
      <w:pPr>
        <w:pStyle w:val="af0"/>
        <w:spacing w:after="240"/>
        <w:ind w:left="907"/>
        <w:rPr>
          <w:rFonts w:asciiTheme="majorBidi" w:eastAsia="宋体" w:hAnsiTheme="majorBidi" w:cstheme="majorBidi"/>
          <w:sz w:val="21"/>
          <w:szCs w:val="21"/>
          <w:lang w:val="en-US"/>
        </w:rPr>
      </w:pPr>
    </w:p>
    <w:p w:rsidR="005967CE" w:rsidRPr="000D319F" w:rsidRDefault="005967C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5967CE" w:rsidRPr="000D319F" w:rsidRDefault="005967CE" w:rsidP="000D319F">
      <w:pPr>
        <w:pStyle w:val="af0"/>
      </w:pPr>
    </w:p>
  </w:endnote>
  <w:endnote w:type="continuationNotice" w:id="1">
    <w:p w:rsidR="005967CE" w:rsidRDefault="005967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770399" w:rsidRDefault="00770399" w:rsidP="0077039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8D3A6B">
      <w:rPr>
        <w:rStyle w:val="af2"/>
        <w:noProof/>
      </w:rPr>
      <w:t>6</w:t>
    </w:r>
    <w:r>
      <w:rPr>
        <w:rStyle w:val="af2"/>
      </w:rPr>
      <w:fldChar w:fldCharType="end"/>
    </w:r>
    <w:r>
      <w:rPr>
        <w:rStyle w:val="af2"/>
      </w:rPr>
      <w:tab/>
    </w:r>
    <w:r w:rsidRPr="00770399">
      <w:rPr>
        <w:rStyle w:val="af2"/>
        <w:b w:val="0"/>
        <w:snapToGrid w:val="0"/>
        <w:sz w:val="16"/>
      </w:rPr>
      <w:t>GE.17-11048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770399" w:rsidRDefault="00770399" w:rsidP="00770399">
    <w:pPr>
      <w:pStyle w:val="af0"/>
      <w:tabs>
        <w:tab w:val="clear" w:pos="431"/>
        <w:tab w:val="right" w:pos="9638"/>
      </w:tabs>
      <w:rPr>
        <w:rStyle w:val="af2"/>
      </w:rPr>
    </w:pPr>
    <w:r>
      <w:t>GE.17-11048</w:t>
    </w:r>
    <w:r>
      <w:tab/>
    </w:r>
    <w:r>
      <w:rPr>
        <w:rStyle w:val="af2"/>
      </w:rPr>
      <w:fldChar w:fldCharType="begin"/>
    </w:r>
    <w:r>
      <w:rPr>
        <w:rStyle w:val="af2"/>
      </w:rPr>
      <w:instrText xml:space="preserve"> PAGE  \* MERGEFORMAT </w:instrText>
    </w:r>
    <w:r>
      <w:rPr>
        <w:rStyle w:val="af2"/>
      </w:rPr>
      <w:fldChar w:fldCharType="separate"/>
    </w:r>
    <w:r w:rsidR="008D3A6B">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5B2F" w:rsidRDefault="00770399" w:rsidP="008D0343">
    <w:pPr>
      <w:pStyle w:val="af0"/>
      <w:tabs>
        <w:tab w:val="left" w:pos="1701"/>
        <w:tab w:val="left" w:pos="2552"/>
        <w:tab w:val="left" w:pos="8448"/>
      </w:tabs>
      <w:spacing w:before="360"/>
      <w:rPr>
        <w:rFonts w:eastAsiaTheme="minorEastAsia"/>
        <w:b/>
        <w:sz w:val="21"/>
        <w:lang w:eastAsia="zh-CN"/>
      </w:rPr>
    </w:pPr>
    <w:r>
      <w:rPr>
        <w:sz w:val="20"/>
        <w:lang w:eastAsia="zh-CN"/>
      </w:rPr>
      <w:t>GE.17-11048</w:t>
    </w:r>
    <w:r w:rsidR="00731A42" w:rsidRPr="00EE277A">
      <w:rPr>
        <w:sz w:val="20"/>
        <w:lang w:eastAsia="zh-CN"/>
      </w:rPr>
      <w:t xml:space="preserve"> (C)</w:t>
    </w:r>
    <w:r w:rsidR="00B45B2F">
      <w:rPr>
        <w:sz w:val="20"/>
        <w:lang w:eastAsia="zh-CN"/>
      </w:rPr>
      <w:tab/>
    </w:r>
    <w:r w:rsidR="00C714F8">
      <w:rPr>
        <w:sz w:val="20"/>
        <w:lang w:eastAsia="zh-CN"/>
      </w:rPr>
      <w:t>2711</w:t>
    </w:r>
    <w:r w:rsidR="00B45B2F">
      <w:rPr>
        <w:sz w:val="20"/>
        <w:lang w:eastAsia="zh-CN"/>
      </w:rPr>
      <w:t>1</w:t>
    </w:r>
    <w:r w:rsidR="00C21165">
      <w:rPr>
        <w:rFonts w:eastAsiaTheme="minorEastAsia" w:hint="eastAsia"/>
        <w:sz w:val="20"/>
        <w:lang w:eastAsia="zh-CN"/>
      </w:rPr>
      <w:t>7</w:t>
    </w:r>
    <w:r w:rsidR="00731A42">
      <w:rPr>
        <w:sz w:val="20"/>
        <w:lang w:eastAsia="zh-CN"/>
      </w:rPr>
      <w:tab/>
    </w:r>
    <w:r w:rsidR="008D0343">
      <w:rPr>
        <w:sz w:val="20"/>
        <w:lang w:eastAsia="zh-CN"/>
      </w:rPr>
      <w:t>0412</w:t>
    </w:r>
    <w:r w:rsidR="00731A42">
      <w:rPr>
        <w:sz w:val="20"/>
        <w:lang w:eastAsia="zh-CN"/>
      </w:rPr>
      <w:t>1</w:t>
    </w:r>
    <w:r w:rsidR="00C21165">
      <w:rPr>
        <w:rFonts w:eastAsiaTheme="minorEastAsia" w:hint="eastAsia"/>
        <w:sz w:val="20"/>
        <w:lang w:eastAsia="zh-CN"/>
      </w:rPr>
      <w:t>7</w:t>
    </w:r>
  </w:p>
  <w:p w:rsidR="00056632" w:rsidRPr="00487939" w:rsidRDefault="00770399"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E/C.12/LIE/CO/2-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LIE/CO/2-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67CE" w:rsidRPr="000157B1" w:rsidRDefault="005967C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5967CE" w:rsidRPr="000157B1" w:rsidRDefault="005967C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5967CE" w:rsidRDefault="005967CE"/>
  </w:footnote>
  <w:footnote w:id="2">
    <w:p w:rsidR="001A46A8" w:rsidRDefault="001A46A8" w:rsidP="00C714F8">
      <w:pPr>
        <w:pStyle w:val="a6"/>
      </w:pPr>
      <w:r w:rsidRPr="00C714F8">
        <w:tab/>
      </w:r>
      <w:r w:rsidRPr="00C714F8">
        <w:rPr>
          <w:rStyle w:val="a8"/>
          <w:rFonts w:eastAsia="宋体"/>
          <w:vertAlign w:val="baseline"/>
        </w:rPr>
        <w:t>*</w:t>
      </w:r>
      <w:r w:rsidRPr="00C714F8">
        <w:tab/>
      </w:r>
      <w:r w:rsidR="00C714F8">
        <w:rPr>
          <w:lang w:val="zh-CN"/>
        </w:rPr>
        <w:t>经济、社会和文化权利委员会第六十一届会议</w:t>
      </w:r>
      <w:r w:rsidR="00C714F8">
        <w:rPr>
          <w:lang w:val="zh-CN"/>
        </w:rPr>
        <w:t>(2017</w:t>
      </w:r>
      <w:r w:rsidR="00C714F8">
        <w:rPr>
          <w:lang w:val="zh-CN"/>
        </w:rPr>
        <w:t>年</w:t>
      </w:r>
      <w:r w:rsidR="00C714F8">
        <w:rPr>
          <w:lang w:val="zh-CN"/>
        </w:rPr>
        <w:t>5</w:t>
      </w:r>
      <w:r w:rsidR="00C714F8">
        <w:rPr>
          <w:lang w:val="zh-CN"/>
        </w:rPr>
        <w:t>月</w:t>
      </w:r>
      <w:r w:rsidR="00C714F8">
        <w:rPr>
          <w:lang w:val="zh-CN"/>
        </w:rPr>
        <w:t>29</w:t>
      </w:r>
      <w:r w:rsidR="00C714F8">
        <w:rPr>
          <w:lang w:val="zh-CN"/>
        </w:rPr>
        <w:t>日至</w:t>
      </w:r>
      <w:r w:rsidR="00C714F8">
        <w:rPr>
          <w:lang w:val="zh-CN"/>
        </w:rPr>
        <w:t>6</w:t>
      </w:r>
      <w:r w:rsidR="00C714F8">
        <w:rPr>
          <w:lang w:val="zh-CN"/>
        </w:rPr>
        <w:t>月</w:t>
      </w:r>
      <w:r w:rsidR="00C714F8">
        <w:rPr>
          <w:lang w:val="zh-CN"/>
        </w:rPr>
        <w:t>23</w:t>
      </w:r>
      <w:r w:rsidR="00C714F8">
        <w:rPr>
          <w:lang w:val="zh-CN"/>
        </w:rPr>
        <w:t>日</w:t>
      </w:r>
      <w:r w:rsidR="00C714F8">
        <w:rPr>
          <w:lang w:val="zh-CN"/>
        </w:rPr>
        <w:t>)</w:t>
      </w:r>
      <w:r w:rsidR="00C714F8">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770399" w:rsidP="00770399">
    <w:pPr>
      <w:pStyle w:val="af3"/>
    </w:pPr>
    <w:r>
      <w:t>E/C.12/LIE/CO/2-3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770399" w:rsidP="00770399">
    <w:pPr>
      <w:pStyle w:val="af3"/>
      <w:jc w:val="right"/>
    </w:pPr>
    <w:r>
      <w:t>E/C.12/LIE/CO/2-3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8187E6F"/>
    <w:multiLevelType w:val="hybridMultilevel"/>
    <w:tmpl w:val="627477B0"/>
    <w:lvl w:ilvl="0" w:tplc="8BEE96E6">
      <w:start w:val="2"/>
      <w:numFmt w:val="bullet"/>
      <w:lvlText w:val=""/>
      <w:lvlJc w:val="left"/>
      <w:pPr>
        <w:ind w:left="1222" w:hanging="360"/>
      </w:pPr>
      <w:rPr>
        <w:rFonts w:ascii="Symbol" w:eastAsia="宋体" w:hAnsi="Symbol" w:cs="Times New Roman" w:hint="default"/>
        <w:color w:val="0000FF"/>
        <w:sz w:val="21"/>
      </w:rPr>
    </w:lvl>
    <w:lvl w:ilvl="1" w:tplc="04090003" w:tentative="1">
      <w:start w:val="1"/>
      <w:numFmt w:val="bullet"/>
      <w:lvlText w:val=""/>
      <w:lvlJc w:val="left"/>
      <w:pPr>
        <w:ind w:left="1702" w:hanging="420"/>
      </w:pPr>
      <w:rPr>
        <w:rFonts w:ascii="Wingdings" w:hAnsi="Wingdings" w:hint="default"/>
      </w:rPr>
    </w:lvl>
    <w:lvl w:ilvl="2" w:tplc="04090005" w:tentative="1">
      <w:start w:val="1"/>
      <w:numFmt w:val="bullet"/>
      <w:lvlText w:val=""/>
      <w:lvlJc w:val="left"/>
      <w:pPr>
        <w:ind w:left="2122" w:hanging="420"/>
      </w:pPr>
      <w:rPr>
        <w:rFonts w:ascii="Wingdings" w:hAnsi="Wingdings" w:hint="default"/>
      </w:rPr>
    </w:lvl>
    <w:lvl w:ilvl="3" w:tplc="04090001" w:tentative="1">
      <w:start w:val="1"/>
      <w:numFmt w:val="bullet"/>
      <w:lvlText w:val=""/>
      <w:lvlJc w:val="left"/>
      <w:pPr>
        <w:ind w:left="2542" w:hanging="420"/>
      </w:pPr>
      <w:rPr>
        <w:rFonts w:ascii="Wingdings" w:hAnsi="Wingdings" w:hint="default"/>
      </w:rPr>
    </w:lvl>
    <w:lvl w:ilvl="4" w:tplc="04090003" w:tentative="1">
      <w:start w:val="1"/>
      <w:numFmt w:val="bullet"/>
      <w:lvlText w:val=""/>
      <w:lvlJc w:val="left"/>
      <w:pPr>
        <w:ind w:left="2962" w:hanging="420"/>
      </w:pPr>
      <w:rPr>
        <w:rFonts w:ascii="Wingdings" w:hAnsi="Wingdings" w:hint="default"/>
      </w:rPr>
    </w:lvl>
    <w:lvl w:ilvl="5" w:tplc="04090005" w:tentative="1">
      <w:start w:val="1"/>
      <w:numFmt w:val="bullet"/>
      <w:lvlText w:val=""/>
      <w:lvlJc w:val="left"/>
      <w:pPr>
        <w:ind w:left="3382" w:hanging="420"/>
      </w:pPr>
      <w:rPr>
        <w:rFonts w:ascii="Wingdings" w:hAnsi="Wingdings" w:hint="default"/>
      </w:rPr>
    </w:lvl>
    <w:lvl w:ilvl="6" w:tplc="04090001" w:tentative="1">
      <w:start w:val="1"/>
      <w:numFmt w:val="bullet"/>
      <w:lvlText w:val=""/>
      <w:lvlJc w:val="left"/>
      <w:pPr>
        <w:ind w:left="3802" w:hanging="420"/>
      </w:pPr>
      <w:rPr>
        <w:rFonts w:ascii="Wingdings" w:hAnsi="Wingdings" w:hint="default"/>
      </w:rPr>
    </w:lvl>
    <w:lvl w:ilvl="7" w:tplc="04090003" w:tentative="1">
      <w:start w:val="1"/>
      <w:numFmt w:val="bullet"/>
      <w:lvlText w:val=""/>
      <w:lvlJc w:val="left"/>
      <w:pPr>
        <w:ind w:left="4222" w:hanging="420"/>
      </w:pPr>
      <w:rPr>
        <w:rFonts w:ascii="Wingdings" w:hAnsi="Wingdings" w:hint="default"/>
      </w:rPr>
    </w:lvl>
    <w:lvl w:ilvl="8" w:tplc="04090005" w:tentative="1">
      <w:start w:val="1"/>
      <w:numFmt w:val="bullet"/>
      <w:lvlText w:val=""/>
      <w:lvlJc w:val="left"/>
      <w:pPr>
        <w:ind w:left="4642" w:hanging="420"/>
      </w:pPr>
      <w:rPr>
        <w:rFonts w:ascii="Wingdings" w:hAnsi="Wingdings" w:hint="default"/>
      </w:rPr>
    </w:lvl>
  </w:abstractNum>
  <w:abstractNum w:abstractNumId="4" w15:restartNumberingAfterBreak="0">
    <w:nsid w:val="1B8C7AC1"/>
    <w:multiLevelType w:val="hybridMultilevel"/>
    <w:tmpl w:val="0C1E46DE"/>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310F40E5"/>
    <w:multiLevelType w:val="hybridMultilevel"/>
    <w:tmpl w:val="8922828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32702128"/>
    <w:multiLevelType w:val="hybridMultilevel"/>
    <w:tmpl w:val="F5B84882"/>
    <w:lvl w:ilvl="0" w:tplc="215C1550">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7" w15:restartNumberingAfterBreak="0">
    <w:nsid w:val="414543DD"/>
    <w:multiLevelType w:val="hybridMultilevel"/>
    <w:tmpl w:val="6B12FD4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4D1B5C27"/>
    <w:multiLevelType w:val="hybridMultilevel"/>
    <w:tmpl w:val="3A5C2B6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4D493923"/>
    <w:multiLevelType w:val="hybridMultilevel"/>
    <w:tmpl w:val="49BC492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623C6797"/>
    <w:multiLevelType w:val="hybridMultilevel"/>
    <w:tmpl w:val="3C420868"/>
    <w:lvl w:ilvl="0" w:tplc="14F0A3BE">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1" w15:restartNumberingAfterBreak="0">
    <w:nsid w:val="67160D33"/>
    <w:multiLevelType w:val="hybridMultilevel"/>
    <w:tmpl w:val="FF761958"/>
    <w:lvl w:ilvl="0" w:tplc="E4D2D76C">
      <w:start w:val="2"/>
      <w:numFmt w:val="bullet"/>
      <w:lvlText w:val=""/>
      <w:lvlJc w:val="left"/>
      <w:pPr>
        <w:ind w:left="1020" w:hanging="1020"/>
      </w:pPr>
      <w:rPr>
        <w:rFonts w:ascii="Wingdings" w:eastAsia="宋体" w:hAnsi="Wingding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6AC14AFE"/>
    <w:multiLevelType w:val="hybridMultilevel"/>
    <w:tmpl w:val="BA40C534"/>
    <w:lvl w:ilvl="0" w:tplc="006A3C0A">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4" w15:restartNumberingAfterBreak="0">
    <w:nsid w:val="6C402CCA"/>
    <w:multiLevelType w:val="hybridMultilevel"/>
    <w:tmpl w:val="6EE009D2"/>
    <w:lvl w:ilvl="0" w:tplc="E580DE0E">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5" w15:restartNumberingAfterBreak="0">
    <w:nsid w:val="6D3E3284"/>
    <w:multiLevelType w:val="hybridMultilevel"/>
    <w:tmpl w:val="4FC0E140"/>
    <w:lvl w:ilvl="0" w:tplc="41CA4244">
      <w:start w:val="1"/>
      <w:numFmt w:val="lowerLetter"/>
      <w:lvlText w:val="(%1)"/>
      <w:lvlJc w:val="left"/>
      <w:pPr>
        <w:ind w:left="1554" w:hanging="420"/>
      </w:pPr>
      <w:rPr>
        <w:rFonts w:hint="eastAsia"/>
      </w:rPr>
    </w:lvl>
    <w:lvl w:ilvl="1" w:tplc="41CA4244">
      <w:start w:val="1"/>
      <w:numFmt w:val="lowerLetter"/>
      <w:lvlText w:val="(%2)"/>
      <w:lvlJc w:val="left"/>
      <w:pPr>
        <w:ind w:left="1974" w:hanging="420"/>
      </w:pPr>
      <w:rPr>
        <w:rFonts w:hint="eastAsia"/>
      </w:r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79A461F5"/>
    <w:multiLevelType w:val="hybridMultilevel"/>
    <w:tmpl w:val="5E96313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1"/>
  </w:num>
  <w:num w:numId="2">
    <w:abstractNumId w:val="12"/>
  </w:num>
  <w:num w:numId="3">
    <w:abstractNumId w:val="2"/>
  </w:num>
  <w:num w:numId="4">
    <w:abstractNumId w:val="0"/>
  </w:num>
  <w:num w:numId="5">
    <w:abstractNumId w:val="11"/>
  </w:num>
  <w:num w:numId="6">
    <w:abstractNumId w:val="4"/>
  </w:num>
  <w:num w:numId="7">
    <w:abstractNumId w:val="15"/>
  </w:num>
  <w:num w:numId="8">
    <w:abstractNumId w:val="7"/>
  </w:num>
  <w:num w:numId="9">
    <w:abstractNumId w:val="9"/>
  </w:num>
  <w:num w:numId="10">
    <w:abstractNumId w:val="6"/>
  </w:num>
  <w:num w:numId="11">
    <w:abstractNumId w:val="3"/>
  </w:num>
  <w:num w:numId="12">
    <w:abstractNumId w:val="5"/>
  </w:num>
  <w:num w:numId="13">
    <w:abstractNumId w:val="14"/>
  </w:num>
  <w:num w:numId="14">
    <w:abstractNumId w:val="8"/>
  </w:num>
  <w:num w:numId="15">
    <w:abstractNumId w:val="10"/>
  </w:num>
  <w:num w:numId="16">
    <w:abstractNumId w:val="16"/>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7CE"/>
    <w:rsid w:val="00011483"/>
    <w:rsid w:val="00072E35"/>
    <w:rsid w:val="000844C0"/>
    <w:rsid w:val="000A2080"/>
    <w:rsid w:val="000D319F"/>
    <w:rsid w:val="000D7E1C"/>
    <w:rsid w:val="000E4D0E"/>
    <w:rsid w:val="00125AC6"/>
    <w:rsid w:val="00134DEA"/>
    <w:rsid w:val="00144B69"/>
    <w:rsid w:val="00153E86"/>
    <w:rsid w:val="0016144A"/>
    <w:rsid w:val="0018144A"/>
    <w:rsid w:val="001A46A8"/>
    <w:rsid w:val="001B1BD1"/>
    <w:rsid w:val="001C3EF2"/>
    <w:rsid w:val="001D17F6"/>
    <w:rsid w:val="001D2C3F"/>
    <w:rsid w:val="00204B42"/>
    <w:rsid w:val="002231C3"/>
    <w:rsid w:val="0024417F"/>
    <w:rsid w:val="00250F8D"/>
    <w:rsid w:val="002E1C97"/>
    <w:rsid w:val="002F5834"/>
    <w:rsid w:val="00326EBF"/>
    <w:rsid w:val="00327FE4"/>
    <w:rsid w:val="00342C8C"/>
    <w:rsid w:val="0037227A"/>
    <w:rsid w:val="00392F6C"/>
    <w:rsid w:val="003B5136"/>
    <w:rsid w:val="003D7D4D"/>
    <w:rsid w:val="00413D23"/>
    <w:rsid w:val="00420576"/>
    <w:rsid w:val="00427F63"/>
    <w:rsid w:val="0043742D"/>
    <w:rsid w:val="004A17D1"/>
    <w:rsid w:val="004A743F"/>
    <w:rsid w:val="004C0E41"/>
    <w:rsid w:val="004C4A0A"/>
    <w:rsid w:val="00531334"/>
    <w:rsid w:val="00543EBA"/>
    <w:rsid w:val="005670B6"/>
    <w:rsid w:val="005967CE"/>
    <w:rsid w:val="005E403A"/>
    <w:rsid w:val="0060740A"/>
    <w:rsid w:val="00680656"/>
    <w:rsid w:val="00686126"/>
    <w:rsid w:val="006920A3"/>
    <w:rsid w:val="006A74C5"/>
    <w:rsid w:val="006B1119"/>
    <w:rsid w:val="006C02C0"/>
    <w:rsid w:val="006E3E46"/>
    <w:rsid w:val="006E71B1"/>
    <w:rsid w:val="00705D89"/>
    <w:rsid w:val="00731A42"/>
    <w:rsid w:val="00746E4C"/>
    <w:rsid w:val="00767E69"/>
    <w:rsid w:val="00770399"/>
    <w:rsid w:val="0077079A"/>
    <w:rsid w:val="007A5599"/>
    <w:rsid w:val="00816936"/>
    <w:rsid w:val="00856233"/>
    <w:rsid w:val="00860F27"/>
    <w:rsid w:val="00884263"/>
    <w:rsid w:val="008B0560"/>
    <w:rsid w:val="008B2BFA"/>
    <w:rsid w:val="008D0343"/>
    <w:rsid w:val="008D3A6B"/>
    <w:rsid w:val="008D3D9C"/>
    <w:rsid w:val="008E6FCA"/>
    <w:rsid w:val="008F4C07"/>
    <w:rsid w:val="00933E63"/>
    <w:rsid w:val="00936F03"/>
    <w:rsid w:val="00943B69"/>
    <w:rsid w:val="00944CB3"/>
    <w:rsid w:val="009A4F2B"/>
    <w:rsid w:val="009B09D7"/>
    <w:rsid w:val="009D35ED"/>
    <w:rsid w:val="00A03CB6"/>
    <w:rsid w:val="00A1364C"/>
    <w:rsid w:val="00A21076"/>
    <w:rsid w:val="00A3739A"/>
    <w:rsid w:val="00A52DAF"/>
    <w:rsid w:val="00A84072"/>
    <w:rsid w:val="00AB3619"/>
    <w:rsid w:val="00AE55A6"/>
    <w:rsid w:val="00B16570"/>
    <w:rsid w:val="00B2216B"/>
    <w:rsid w:val="00B423D7"/>
    <w:rsid w:val="00B45B2F"/>
    <w:rsid w:val="00B53320"/>
    <w:rsid w:val="00BB158D"/>
    <w:rsid w:val="00BC6522"/>
    <w:rsid w:val="00BD213F"/>
    <w:rsid w:val="00C121D5"/>
    <w:rsid w:val="00C17349"/>
    <w:rsid w:val="00C21165"/>
    <w:rsid w:val="00C351AA"/>
    <w:rsid w:val="00C714F8"/>
    <w:rsid w:val="00C7253F"/>
    <w:rsid w:val="00C9215B"/>
    <w:rsid w:val="00CF2027"/>
    <w:rsid w:val="00D26A05"/>
    <w:rsid w:val="00D50275"/>
    <w:rsid w:val="00D97B98"/>
    <w:rsid w:val="00DC671F"/>
    <w:rsid w:val="00DE4DA7"/>
    <w:rsid w:val="00E16D62"/>
    <w:rsid w:val="00E33B38"/>
    <w:rsid w:val="00E47FE5"/>
    <w:rsid w:val="00E574AF"/>
    <w:rsid w:val="00E57B45"/>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369369C"/>
  <w15:docId w15:val="{D46B2502-7996-4971-ADDF-35260991F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981AE3-64B7-499E-9370-E4F9E7FEE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6</Pages>
  <Words>4738</Words>
  <Characters>5122</Characters>
  <Application>Microsoft Office Word</Application>
  <DocSecurity>0</DocSecurity>
  <Lines>196</Lines>
  <Paragraphs>84</Paragraphs>
  <ScaleCrop>false</ScaleCrop>
  <Company>DCM</Company>
  <LinksUpToDate>false</LinksUpToDate>
  <CharactersWithSpaces>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1711048</dc:title>
  <dc:subject>E/C.12/LIE/CO/2-3</dc:subject>
  <dc:creator>WUJS</dc:creator>
  <cp:keywords/>
  <dc:description/>
  <cp:lastModifiedBy>Xiaoqing Yang</cp:lastModifiedBy>
  <cp:revision>2</cp:revision>
  <cp:lastPrinted>2014-05-09T11:28:00Z</cp:lastPrinted>
  <dcterms:created xsi:type="dcterms:W3CDTF">2017-12-04T13:27:00Z</dcterms:created>
  <dcterms:modified xsi:type="dcterms:W3CDTF">2017-12-04T13:27:00Z</dcterms:modified>
</cp:coreProperties>
</file>