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12C7276" w14:textId="77777777" w:rsidTr="00281242">
        <w:trPr>
          <w:trHeight w:hRule="exact" w:val="851"/>
        </w:trPr>
        <w:tc>
          <w:tcPr>
            <w:tcW w:w="1274" w:type="dxa"/>
            <w:tcBorders>
              <w:bottom w:val="single" w:sz="4" w:space="0" w:color="auto"/>
            </w:tcBorders>
            <w:shd w:val="clear" w:color="auto" w:fill="auto"/>
          </w:tcPr>
          <w:p w14:paraId="1EFB30BA" w14:textId="77777777" w:rsidR="006B3E27" w:rsidRPr="00BE5849" w:rsidRDefault="006B3E27" w:rsidP="00B6187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2589182E"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7715090" w14:textId="1E7C4EBE" w:rsidR="006B3E27" w:rsidRPr="000F4797" w:rsidRDefault="000F4797" w:rsidP="000F4797">
            <w:pPr>
              <w:bidi w:val="0"/>
              <w:rPr>
                <w:szCs w:val="20"/>
                <w:lang w:eastAsia="zh-TW"/>
              </w:rPr>
            </w:pPr>
            <w:r w:rsidRPr="000F4797">
              <w:rPr>
                <w:sz w:val="40"/>
                <w:szCs w:val="20"/>
                <w:lang w:eastAsia="zh-TW"/>
              </w:rPr>
              <w:t>A</w:t>
            </w:r>
            <w:r>
              <w:rPr>
                <w:szCs w:val="20"/>
                <w:lang w:eastAsia="zh-TW"/>
              </w:rPr>
              <w:t>/HRC/</w:t>
            </w:r>
            <w:r w:rsidRPr="007879D3">
              <w:rPr>
                <w:szCs w:val="20"/>
                <w:lang w:eastAsia="zh-TW"/>
              </w:rPr>
              <w:t>54</w:t>
            </w:r>
            <w:r>
              <w:rPr>
                <w:szCs w:val="20"/>
                <w:lang w:eastAsia="zh-TW"/>
              </w:rPr>
              <w:t>/</w:t>
            </w:r>
            <w:r w:rsidRPr="007879D3">
              <w:rPr>
                <w:szCs w:val="20"/>
                <w:lang w:eastAsia="zh-TW"/>
              </w:rPr>
              <w:t>22</w:t>
            </w:r>
            <w:r>
              <w:rPr>
                <w:szCs w:val="20"/>
                <w:lang w:eastAsia="zh-TW"/>
              </w:rPr>
              <w:t>/Add.</w:t>
            </w:r>
            <w:r w:rsidRPr="007879D3">
              <w:rPr>
                <w:szCs w:val="20"/>
                <w:lang w:eastAsia="zh-TW"/>
              </w:rPr>
              <w:t>1</w:t>
            </w:r>
          </w:p>
        </w:tc>
      </w:tr>
      <w:tr w:rsidR="006B3E27" w:rsidRPr="00C61710" w14:paraId="3F5293C2" w14:textId="77777777" w:rsidTr="00281242">
        <w:trPr>
          <w:trHeight w:hRule="exact" w:val="2835"/>
        </w:trPr>
        <w:tc>
          <w:tcPr>
            <w:tcW w:w="1274" w:type="dxa"/>
            <w:tcBorders>
              <w:top w:val="single" w:sz="4" w:space="0" w:color="auto"/>
              <w:bottom w:val="single" w:sz="12" w:space="0" w:color="auto"/>
            </w:tcBorders>
            <w:shd w:val="clear" w:color="auto" w:fill="auto"/>
          </w:tcPr>
          <w:p w14:paraId="51300404"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A8AA0B3" wp14:editId="0343B56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A16DDB4" w14:textId="77777777" w:rsidR="006B3E27" w:rsidRPr="007879D3" w:rsidRDefault="001773DB" w:rsidP="002F3D3A">
            <w:pPr>
              <w:spacing w:before="120" w:after="40" w:line="640" w:lineRule="exact"/>
              <w:ind w:left="57"/>
              <w:rPr>
                <w:b/>
                <w:bCs/>
                <w:sz w:val="50"/>
                <w:szCs w:val="50"/>
              </w:rPr>
            </w:pPr>
            <w:r w:rsidRPr="007879D3">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8A5034A" w14:textId="69B45DCE" w:rsidR="006B3E27" w:rsidRPr="00C61710" w:rsidRDefault="000F4797" w:rsidP="00BE5849">
            <w:pPr>
              <w:bidi w:val="0"/>
              <w:spacing w:before="240"/>
              <w:rPr>
                <w:szCs w:val="20"/>
              </w:rPr>
            </w:pPr>
            <w:r w:rsidRPr="00C61710">
              <w:rPr>
                <w:szCs w:val="20"/>
              </w:rPr>
              <w:t xml:space="preserve">Distr.: </w:t>
            </w:r>
            <w:r w:rsidR="00C61710" w:rsidRPr="00C61710">
              <w:rPr>
                <w:szCs w:val="20"/>
              </w:rPr>
              <w:t>General</w:t>
            </w:r>
          </w:p>
          <w:p w14:paraId="3F8B046E" w14:textId="755E2D6F" w:rsidR="000F4797" w:rsidRPr="00C61710" w:rsidRDefault="00C61710" w:rsidP="000F4797">
            <w:pPr>
              <w:bidi w:val="0"/>
              <w:spacing w:line="240" w:lineRule="exact"/>
              <w:jc w:val="left"/>
              <w:rPr>
                <w:szCs w:val="20"/>
              </w:rPr>
            </w:pPr>
            <w:r w:rsidRPr="007879D3">
              <w:rPr>
                <w:szCs w:val="20"/>
              </w:rPr>
              <w:t>3</w:t>
            </w:r>
            <w:r w:rsidRPr="00C61710">
              <w:rPr>
                <w:szCs w:val="20"/>
              </w:rPr>
              <w:t xml:space="preserve"> July </w:t>
            </w:r>
            <w:r w:rsidRPr="007879D3">
              <w:rPr>
                <w:szCs w:val="20"/>
              </w:rPr>
              <w:t>2023</w:t>
            </w:r>
          </w:p>
          <w:p w14:paraId="6FDA398D" w14:textId="77777777" w:rsidR="000F4797" w:rsidRPr="00C61710" w:rsidRDefault="000F4797" w:rsidP="000F4797">
            <w:pPr>
              <w:bidi w:val="0"/>
              <w:spacing w:line="240" w:lineRule="exact"/>
              <w:jc w:val="left"/>
              <w:rPr>
                <w:szCs w:val="20"/>
              </w:rPr>
            </w:pPr>
            <w:r w:rsidRPr="00C61710">
              <w:rPr>
                <w:szCs w:val="20"/>
              </w:rPr>
              <w:t>Arabic</w:t>
            </w:r>
          </w:p>
          <w:p w14:paraId="1A440A79" w14:textId="3DBBFDE0" w:rsidR="000F4797" w:rsidRPr="006B77D6" w:rsidRDefault="000F4797" w:rsidP="000F4797">
            <w:pPr>
              <w:bidi w:val="0"/>
              <w:spacing w:line="240" w:lineRule="exact"/>
              <w:jc w:val="left"/>
              <w:rPr>
                <w:szCs w:val="20"/>
              </w:rPr>
            </w:pPr>
            <w:r w:rsidRPr="00C61710">
              <w:rPr>
                <w:szCs w:val="20"/>
              </w:rPr>
              <w:t xml:space="preserve">Original: </w:t>
            </w:r>
            <w:r w:rsidR="00C61710" w:rsidRPr="00C61710">
              <w:rPr>
                <w:szCs w:val="20"/>
              </w:rPr>
              <w:t>Spanish</w:t>
            </w:r>
          </w:p>
        </w:tc>
      </w:tr>
    </w:tbl>
    <w:bookmarkEnd w:id="0"/>
    <w:p w14:paraId="5DFB3E1C" w14:textId="2424A2D1" w:rsidR="00B6187F" w:rsidRPr="007879D3" w:rsidRDefault="00F572D8" w:rsidP="00C61710">
      <w:pPr>
        <w:pStyle w:val="SingleTxtGA"/>
        <w:spacing w:before="120" w:after="0"/>
        <w:ind w:left="0" w:right="4253"/>
        <w:jc w:val="left"/>
        <w:rPr>
          <w:b/>
          <w:bCs/>
          <w:sz w:val="26"/>
          <w:szCs w:val="26"/>
          <w:rtl/>
          <w:lang w:eastAsia="zh-TW"/>
        </w:rPr>
      </w:pPr>
      <w:r w:rsidRPr="007879D3">
        <w:rPr>
          <w:rFonts w:hint="cs"/>
          <w:b/>
          <w:bCs/>
          <w:sz w:val="26"/>
          <w:szCs w:val="26"/>
          <w:rtl/>
          <w:lang w:eastAsia="zh-TW"/>
        </w:rPr>
        <w:t>مجلس حقوق الإنسان</w:t>
      </w:r>
    </w:p>
    <w:p w14:paraId="54CA0356" w14:textId="77777777" w:rsidR="00C61710" w:rsidRPr="007879D3" w:rsidRDefault="00C61710" w:rsidP="00C61710">
      <w:pPr>
        <w:spacing w:line="360" w:lineRule="exact"/>
        <w:textDirection w:val="tbRlV"/>
        <w:rPr>
          <w:b/>
          <w:sz w:val="22"/>
          <w:lang w:val="ar-SA" w:eastAsia="zh-TW" w:bidi="en-GB"/>
        </w:rPr>
      </w:pPr>
      <w:r w:rsidRPr="007879D3">
        <w:rPr>
          <w:b/>
          <w:bCs/>
          <w:sz w:val="22"/>
          <w:rtl/>
        </w:rPr>
        <w:t>الدورة الرابعة والخمسون</w:t>
      </w:r>
    </w:p>
    <w:p w14:paraId="64EEEF6E" w14:textId="77777777" w:rsidR="00C61710" w:rsidRPr="007879D3" w:rsidRDefault="00C61710" w:rsidP="00C61710">
      <w:pPr>
        <w:spacing w:line="360" w:lineRule="exact"/>
        <w:textDirection w:val="tbRlV"/>
        <w:rPr>
          <w:rFonts w:eastAsia="MS Mincho"/>
          <w:bCs/>
          <w:sz w:val="22"/>
          <w:lang w:val="ar-SA" w:eastAsia="zh-TW" w:bidi="en-GB"/>
        </w:rPr>
      </w:pPr>
      <w:r w:rsidRPr="007879D3">
        <w:rPr>
          <w:sz w:val="22"/>
          <w:rtl/>
        </w:rPr>
        <w:t>11</w:t>
      </w:r>
      <w:r w:rsidRPr="00C61710">
        <w:rPr>
          <w:sz w:val="22"/>
          <w:rtl/>
        </w:rPr>
        <w:t xml:space="preserve"> أيلول/سبتمبر - </w:t>
      </w:r>
      <w:r w:rsidRPr="007879D3">
        <w:rPr>
          <w:sz w:val="22"/>
          <w:rtl/>
        </w:rPr>
        <w:t>6</w:t>
      </w:r>
      <w:r w:rsidRPr="00C61710">
        <w:rPr>
          <w:sz w:val="22"/>
          <w:rtl/>
        </w:rPr>
        <w:t xml:space="preserve"> تشرين الأول/أكتوبر </w:t>
      </w:r>
      <w:r w:rsidRPr="007879D3">
        <w:rPr>
          <w:sz w:val="22"/>
          <w:rtl/>
        </w:rPr>
        <w:t>2023</w:t>
      </w:r>
    </w:p>
    <w:p w14:paraId="3D642C19" w14:textId="77777777" w:rsidR="00C61710" w:rsidRPr="00C61710" w:rsidRDefault="00C61710" w:rsidP="00C61710">
      <w:pPr>
        <w:spacing w:line="360" w:lineRule="exact"/>
        <w:textDirection w:val="tbRlV"/>
        <w:rPr>
          <w:sz w:val="22"/>
          <w:lang w:val="ar-SA" w:eastAsia="zh-TW" w:bidi="en-GB"/>
        </w:rPr>
      </w:pPr>
      <w:r w:rsidRPr="00C61710">
        <w:rPr>
          <w:sz w:val="22"/>
          <w:rtl/>
        </w:rPr>
        <w:t xml:space="preserve">البند </w:t>
      </w:r>
      <w:r w:rsidRPr="007879D3">
        <w:rPr>
          <w:sz w:val="22"/>
          <w:rtl/>
        </w:rPr>
        <w:t>3</w:t>
      </w:r>
      <w:r w:rsidRPr="00C61710">
        <w:rPr>
          <w:sz w:val="22"/>
          <w:rtl/>
        </w:rPr>
        <w:t xml:space="preserve"> من جدول الأعمال</w:t>
      </w:r>
    </w:p>
    <w:p w14:paraId="46FC8C74" w14:textId="77777777" w:rsidR="00C61710" w:rsidRPr="007879D3" w:rsidRDefault="00C61710" w:rsidP="00C944BE">
      <w:pPr>
        <w:spacing w:line="360" w:lineRule="exact"/>
        <w:ind w:right="4962"/>
        <w:textDirection w:val="tbRlV"/>
        <w:rPr>
          <w:b/>
          <w:sz w:val="22"/>
          <w:lang w:val="ar-SA" w:eastAsia="zh-TW" w:bidi="en-GB"/>
        </w:rPr>
      </w:pPr>
      <w:r w:rsidRPr="007879D3">
        <w:rPr>
          <w:b/>
          <w:bCs/>
          <w:sz w:val="22"/>
          <w:rtl/>
        </w:rPr>
        <w:t>تعزيز وحماية جميع حقوق الإنسان، المدنية والسياسية والاقتصادية والاجتماعية والثقافية، بما في ذلك الحق في التنمية</w:t>
      </w:r>
    </w:p>
    <w:p w14:paraId="61A52205" w14:textId="77777777" w:rsidR="00C61710" w:rsidRPr="007879D3" w:rsidRDefault="00C61710" w:rsidP="00C61710">
      <w:pPr>
        <w:pStyle w:val="HChGA"/>
        <w:rPr>
          <w:lang w:val="en-US" w:eastAsia="zh-TW" w:bidi="en-GB"/>
        </w:rPr>
      </w:pPr>
      <w:r w:rsidRPr="007879D3">
        <w:rPr>
          <w:rtl/>
        </w:rPr>
        <w:tab/>
      </w:r>
      <w:r w:rsidRPr="007879D3">
        <w:rPr>
          <w:rtl/>
        </w:rPr>
        <w:tab/>
        <w:t>زيارة أوروغواي</w:t>
      </w:r>
    </w:p>
    <w:p w14:paraId="1716F887" w14:textId="78862C3B" w:rsidR="00C61710" w:rsidRPr="007879D3" w:rsidRDefault="00C61710" w:rsidP="00C61710">
      <w:pPr>
        <w:pStyle w:val="H1GA"/>
        <w:rPr>
          <w:rStyle w:val="FootnoteReference"/>
          <w:b w:val="0"/>
          <w:sz w:val="22"/>
          <w:szCs w:val="22"/>
          <w:vertAlign w:val="baseline"/>
          <w:rtl/>
        </w:rPr>
      </w:pPr>
      <w:r w:rsidRPr="007879D3">
        <w:rPr>
          <w:rtl/>
        </w:rPr>
        <w:tab/>
      </w:r>
      <w:r w:rsidRPr="007879D3">
        <w:rPr>
          <w:rtl/>
        </w:rPr>
        <w:tab/>
        <w:t>تقرير الفريق العامل المعني بحالات الاختفاء القسري أو غير الطوعي</w:t>
      </w:r>
      <w:r w:rsidRPr="007879D3">
        <w:rPr>
          <w:rStyle w:val="FootnoteReference"/>
          <w:b w:val="0"/>
          <w:sz w:val="22"/>
          <w:szCs w:val="22"/>
          <w:vertAlign w:val="baseline"/>
          <w:rtl/>
        </w:rPr>
        <w:footnoteReference w:customMarkFollows="1" w:id="1"/>
        <w:t>*</w:t>
      </w:r>
    </w:p>
    <w:tbl>
      <w:tblPr>
        <w:tblStyle w:val="TableGrid"/>
        <w:bidiVisual/>
        <w:tblW w:w="9637" w:type="dxa"/>
        <w:jc w:val="center"/>
        <w:tblLayout w:type="fixed"/>
        <w:tblCellMar>
          <w:left w:w="0" w:type="dxa"/>
          <w:right w:w="0" w:type="dxa"/>
        </w:tblCellMar>
        <w:tblLook w:val="05E0" w:firstRow="1" w:lastRow="1" w:firstColumn="1" w:lastColumn="1" w:noHBand="0" w:noVBand="1"/>
      </w:tblPr>
      <w:tblGrid>
        <w:gridCol w:w="9637"/>
      </w:tblGrid>
      <w:tr w:rsidR="00C61710" w14:paraId="7AF5C6AB" w14:textId="77777777" w:rsidTr="00C61710">
        <w:trPr>
          <w:jc w:val="center"/>
        </w:trPr>
        <w:tc>
          <w:tcPr>
            <w:tcW w:w="9637" w:type="dxa"/>
            <w:tcBorders>
              <w:bottom w:val="nil"/>
            </w:tcBorders>
          </w:tcPr>
          <w:p w14:paraId="67491D4B" w14:textId="77777777" w:rsidR="00C61710" w:rsidRPr="00183D8A" w:rsidRDefault="00C61710" w:rsidP="00705AC6">
            <w:pPr>
              <w:tabs>
                <w:tab w:val="left" w:pos="255"/>
              </w:tabs>
              <w:spacing w:before="240" w:after="120"/>
              <w:textDirection w:val="tbRlV"/>
              <w:rPr>
                <w:sz w:val="24"/>
                <w:szCs w:val="20"/>
                <w:lang w:eastAsia="zh-TW" w:bidi="en-GB"/>
              </w:rPr>
            </w:pPr>
            <w:r>
              <w:rPr>
                <w:rtl/>
              </w:rPr>
              <w:tab/>
            </w:r>
            <w:r w:rsidRPr="007879D3">
              <w:rPr>
                <w:i/>
                <w:iCs/>
                <w:sz w:val="24"/>
                <w:szCs w:val="26"/>
                <w:rtl/>
              </w:rPr>
              <w:t>موجز</w:t>
            </w:r>
          </w:p>
        </w:tc>
      </w:tr>
      <w:tr w:rsidR="00C61710" w14:paraId="6DF081E9" w14:textId="77777777" w:rsidTr="00C61710">
        <w:trPr>
          <w:jc w:val="center"/>
        </w:trPr>
        <w:tc>
          <w:tcPr>
            <w:tcW w:w="9637" w:type="dxa"/>
            <w:tcBorders>
              <w:top w:val="nil"/>
              <w:bottom w:val="nil"/>
            </w:tcBorders>
            <w:shd w:val="clear" w:color="auto" w:fill="auto"/>
          </w:tcPr>
          <w:p w14:paraId="41D39B10" w14:textId="6D6803C0" w:rsidR="00C61710" w:rsidRDefault="00C61710" w:rsidP="00C61710">
            <w:pPr>
              <w:pStyle w:val="SingleTxtGA"/>
              <w:rPr>
                <w:szCs w:val="20"/>
                <w:lang w:val="ar-SA" w:eastAsia="zh-TW" w:bidi="en-GB"/>
              </w:rPr>
            </w:pPr>
            <w:r>
              <w:rPr>
                <w:rtl/>
              </w:rPr>
              <w:tab/>
              <w:t xml:space="preserve">بناء على دعوة من حكومة أوروغواي، زار الفريق العامل المعني بحالات الاختفاء القسري أو غير الطوعي البلد في الفترة من </w:t>
            </w:r>
            <w:r w:rsidRPr="007879D3">
              <w:rPr>
                <w:rFonts w:ascii="Simplified Arabic"/>
                <w:szCs w:val="20"/>
                <w:rtl/>
              </w:rPr>
              <w:t>7</w:t>
            </w:r>
            <w:r>
              <w:rPr>
                <w:rtl/>
              </w:rPr>
              <w:t xml:space="preserve"> إلى </w:t>
            </w:r>
            <w:r w:rsidRPr="007879D3">
              <w:rPr>
                <w:rFonts w:ascii="Simplified Arabic"/>
                <w:szCs w:val="20"/>
                <w:rtl/>
              </w:rPr>
              <w:t>14</w:t>
            </w:r>
            <w:r>
              <w:rPr>
                <w:rtl/>
              </w:rPr>
              <w:t xml:space="preserve"> تموز/يوليه </w:t>
            </w:r>
            <w:r w:rsidRPr="007879D3">
              <w:rPr>
                <w:rFonts w:ascii="Simplified Arabic"/>
                <w:szCs w:val="20"/>
                <w:rtl/>
              </w:rPr>
              <w:t>2022</w:t>
            </w:r>
            <w:r>
              <w:rPr>
                <w:rFonts w:ascii="Simplified Arabic"/>
                <w:szCs w:val="20"/>
                <w:rtl/>
              </w:rPr>
              <w:t>.</w:t>
            </w:r>
            <w:r>
              <w:rPr>
                <w:rtl/>
              </w:rPr>
              <w:t xml:space="preserve"> وكان الهدف من الزيارة هو الحصول على معلومات مباشرة عن حالة حقوق الإنسان في البلد فيما يتعلق بحالات الاختفاء القسري، بغية تحديد التقدم المحرز في تطبيق المعايير الدولية في هذا المجال، والتمتع بالحق في معرفة الحقيقة والعدالة والجبر والذاكرة، وكذا الصعوبات والتحديات الرئيسية التي تواجه البلد اليوم، بما في ذلك ما يتعلق بالوقاية. وركز الفريق العامل أساسا</w:t>
            </w:r>
            <w:r>
              <w:rPr>
                <w:rFonts w:hint="cs"/>
                <w:rtl/>
              </w:rPr>
              <w:t>ً</w:t>
            </w:r>
            <w:r>
              <w:rPr>
                <w:rtl/>
              </w:rPr>
              <w:t xml:space="preserve"> على حالات الاختفاء القسري التي بدأت خلال الفترة من </w:t>
            </w:r>
            <w:r w:rsidRPr="007879D3">
              <w:rPr>
                <w:rFonts w:ascii="Simplified Arabic"/>
                <w:szCs w:val="20"/>
                <w:rtl/>
              </w:rPr>
              <w:t>1968</w:t>
            </w:r>
            <w:r>
              <w:rPr>
                <w:rtl/>
              </w:rPr>
              <w:t xml:space="preserve"> إلى </w:t>
            </w:r>
            <w:r w:rsidRPr="007879D3">
              <w:rPr>
                <w:rFonts w:ascii="Simplified Arabic"/>
                <w:szCs w:val="20"/>
                <w:rtl/>
              </w:rPr>
              <w:t>1985</w:t>
            </w:r>
            <w:r>
              <w:rPr>
                <w:rtl/>
              </w:rPr>
              <w:t xml:space="preserve"> وما</w:t>
            </w:r>
            <w:r>
              <w:rPr>
                <w:rFonts w:hint="cs"/>
                <w:rtl/>
              </w:rPr>
              <w:t> </w:t>
            </w:r>
            <w:r>
              <w:rPr>
                <w:rtl/>
              </w:rPr>
              <w:t>يقابلها من التزامات تقع على الدولة. كما تلقى معلومات تتعلق بحالات الاختفاء الجارية حاليا</w:t>
            </w:r>
            <w:r>
              <w:rPr>
                <w:rFonts w:hint="cs"/>
                <w:rtl/>
              </w:rPr>
              <w:t>ً</w:t>
            </w:r>
            <w:r>
              <w:rPr>
                <w:rtl/>
              </w:rPr>
              <w:t>، ولا</w:t>
            </w:r>
            <w:r>
              <w:rPr>
                <w:rFonts w:hint="cs"/>
                <w:rtl/>
              </w:rPr>
              <w:t> </w:t>
            </w:r>
            <w:r>
              <w:rPr>
                <w:rtl/>
              </w:rPr>
              <w:t>سيما اختفاء الأشخاص المنتمين إلى الفئات الضعيفة بوجه خاص (الأطفال والمراهقون والنساء).</w:t>
            </w:r>
          </w:p>
        </w:tc>
      </w:tr>
      <w:tr w:rsidR="00C61710" w14:paraId="37DC8795" w14:textId="77777777" w:rsidTr="00C61710">
        <w:trPr>
          <w:jc w:val="center"/>
        </w:trPr>
        <w:tc>
          <w:tcPr>
            <w:tcW w:w="9637" w:type="dxa"/>
            <w:tcBorders>
              <w:top w:val="nil"/>
              <w:bottom w:val="nil"/>
            </w:tcBorders>
            <w:shd w:val="clear" w:color="auto" w:fill="auto"/>
          </w:tcPr>
          <w:p w14:paraId="3EB4C453" w14:textId="006C0E1D" w:rsidR="00C61710" w:rsidRPr="00C61710" w:rsidRDefault="00C61710" w:rsidP="00C61710">
            <w:pPr>
              <w:pStyle w:val="SingleTxtGA"/>
              <w:rPr>
                <w:spacing w:val="-2"/>
                <w:szCs w:val="20"/>
                <w:lang w:val="ar-SA" w:eastAsia="zh-TW" w:bidi="en-GB"/>
              </w:rPr>
            </w:pPr>
            <w:r>
              <w:rPr>
                <w:rtl/>
              </w:rPr>
              <w:tab/>
            </w:r>
            <w:r w:rsidRPr="00C61710">
              <w:rPr>
                <w:spacing w:val="-2"/>
                <w:rtl/>
              </w:rPr>
              <w:t xml:space="preserve">وبوجه عام، بعد استعادة النظام الديمقراطي عام </w:t>
            </w:r>
            <w:r w:rsidRPr="007879D3">
              <w:rPr>
                <w:rFonts w:ascii="Simplified Arabic"/>
                <w:spacing w:val="-2"/>
                <w:szCs w:val="20"/>
                <w:rtl/>
              </w:rPr>
              <w:t>1985</w:t>
            </w:r>
            <w:r w:rsidRPr="00C61710">
              <w:rPr>
                <w:spacing w:val="-2"/>
                <w:rtl/>
              </w:rPr>
              <w:t>، أحرزت أوروغواي تقدما</w:t>
            </w:r>
            <w:r w:rsidR="00CC497B">
              <w:rPr>
                <w:rFonts w:hint="cs"/>
                <w:spacing w:val="-2"/>
                <w:rtl/>
              </w:rPr>
              <w:t>ً</w:t>
            </w:r>
            <w:r w:rsidRPr="00C61710">
              <w:rPr>
                <w:spacing w:val="-2"/>
                <w:rtl/>
              </w:rPr>
              <w:t xml:space="preserve"> كبيرا</w:t>
            </w:r>
            <w:r w:rsidR="00CC497B">
              <w:rPr>
                <w:rFonts w:hint="cs"/>
                <w:spacing w:val="-2"/>
                <w:rtl/>
              </w:rPr>
              <w:t>ً</w:t>
            </w:r>
            <w:r w:rsidRPr="00C61710">
              <w:rPr>
                <w:spacing w:val="-2"/>
                <w:rtl/>
              </w:rPr>
              <w:t xml:space="preserve"> في حماية حقوق الإنسان، حيث صدقت حتى اليوم على جميع المعاهدات الدولية لحقوق الإنسان المبرمة في إطار الأمم المتحدة، وواءمت تدريجيا</w:t>
            </w:r>
            <w:r w:rsidR="00CC497B">
              <w:rPr>
                <w:rFonts w:hint="cs"/>
                <w:spacing w:val="-2"/>
                <w:rtl/>
              </w:rPr>
              <w:t>ً</w:t>
            </w:r>
            <w:r w:rsidRPr="00C61710">
              <w:rPr>
                <w:spacing w:val="-2"/>
                <w:rtl/>
              </w:rPr>
              <w:t xml:space="preserve"> تشريعاتها الوطنية مع المعايير الدولية لحقوق الإنسان، وأصبحت بذلك مرجعا</w:t>
            </w:r>
            <w:r w:rsidRPr="00C61710">
              <w:rPr>
                <w:rFonts w:hint="cs"/>
                <w:spacing w:val="-2"/>
                <w:rtl/>
              </w:rPr>
              <w:t>ً</w:t>
            </w:r>
            <w:r w:rsidRPr="00C61710">
              <w:rPr>
                <w:spacing w:val="-2"/>
                <w:rtl/>
              </w:rPr>
              <w:t xml:space="preserve"> هاما</w:t>
            </w:r>
            <w:r w:rsidRPr="00C61710">
              <w:rPr>
                <w:rFonts w:hint="cs"/>
                <w:spacing w:val="-2"/>
                <w:rtl/>
              </w:rPr>
              <w:t>ً</w:t>
            </w:r>
            <w:r w:rsidRPr="00C61710">
              <w:rPr>
                <w:spacing w:val="-2"/>
                <w:rtl/>
              </w:rPr>
              <w:t xml:space="preserve"> على الصعيد الدولي. وبالمثل، أحرز بعض التقدم في مجال العدالة ومكافحة الإفلات من العقاب على الجرائم المرتكبة خلال فترة الإجراءات غير المشروعة للدولة والدكتاتورية، بين عامي </w:t>
            </w:r>
            <w:r w:rsidRPr="007879D3">
              <w:rPr>
                <w:rFonts w:ascii="Simplified Arabic"/>
                <w:spacing w:val="-2"/>
                <w:szCs w:val="20"/>
                <w:rtl/>
              </w:rPr>
              <w:t>1968</w:t>
            </w:r>
            <w:r w:rsidRPr="00C61710">
              <w:rPr>
                <w:spacing w:val="-2"/>
                <w:rtl/>
              </w:rPr>
              <w:t xml:space="preserve"> و</w:t>
            </w:r>
            <w:r w:rsidRPr="007879D3">
              <w:rPr>
                <w:rFonts w:ascii="Simplified Arabic"/>
                <w:spacing w:val="-2"/>
                <w:szCs w:val="20"/>
                <w:rtl/>
              </w:rPr>
              <w:t>1985</w:t>
            </w:r>
            <w:r w:rsidRPr="00C61710">
              <w:rPr>
                <w:spacing w:val="-2"/>
                <w:rtl/>
              </w:rPr>
              <w:t xml:space="preserve">، وذلك على سبيل المثال من خلال إلغاء القانون رقم </w:t>
            </w:r>
            <w:r w:rsidR="00CC497B" w:rsidRPr="00CC497B">
              <w:rPr>
                <w:rFonts w:ascii="Simplified Arabic"/>
                <w:spacing w:val="-2"/>
                <w:szCs w:val="20"/>
                <w:rtl/>
              </w:rPr>
              <w:t>15.848</w:t>
            </w:r>
            <w:r w:rsidRPr="00C61710">
              <w:rPr>
                <w:spacing w:val="-2"/>
                <w:rtl/>
              </w:rPr>
              <w:t xml:space="preserve"> المتعلق بسقوط الدعوى الجنائية العامة، وإنشاء مكتب المدعي العام المتخصص في الجرائم ضد الإنسانية، وتجريم الاختفاء القسري عام</w:t>
            </w:r>
            <w:r>
              <w:rPr>
                <w:rFonts w:hint="cs"/>
                <w:spacing w:val="-2"/>
                <w:rtl/>
              </w:rPr>
              <w:t> </w:t>
            </w:r>
            <w:r w:rsidRPr="007879D3">
              <w:rPr>
                <w:rFonts w:ascii="Simplified Arabic"/>
                <w:spacing w:val="-2"/>
                <w:szCs w:val="20"/>
                <w:rtl/>
              </w:rPr>
              <w:t>2006</w:t>
            </w:r>
            <w:r w:rsidRPr="00C61710">
              <w:rPr>
                <w:spacing w:val="-2"/>
                <w:rtl/>
              </w:rPr>
              <w:t>، والاعتراف رسميا</w:t>
            </w:r>
            <w:r w:rsidRPr="00C61710">
              <w:rPr>
                <w:rFonts w:hint="cs"/>
                <w:spacing w:val="-2"/>
                <w:rtl/>
              </w:rPr>
              <w:t>ً</w:t>
            </w:r>
            <w:r w:rsidRPr="00C61710">
              <w:rPr>
                <w:spacing w:val="-2"/>
                <w:rtl/>
              </w:rPr>
              <w:t xml:space="preserve"> بمسؤولية الدولة عن أفعالها الإجرامية وغير المشروعة خلال هذه الفترة.</w:t>
            </w:r>
          </w:p>
        </w:tc>
      </w:tr>
      <w:tr w:rsidR="00C61710" w14:paraId="14AEF150" w14:textId="77777777" w:rsidTr="00C61710">
        <w:trPr>
          <w:jc w:val="center"/>
        </w:trPr>
        <w:tc>
          <w:tcPr>
            <w:tcW w:w="9637" w:type="dxa"/>
            <w:tcBorders>
              <w:top w:val="nil"/>
              <w:bottom w:val="nil"/>
            </w:tcBorders>
            <w:shd w:val="clear" w:color="auto" w:fill="auto"/>
          </w:tcPr>
          <w:p w14:paraId="224A3A65" w14:textId="4E694147" w:rsidR="00C61710" w:rsidRDefault="00C61710" w:rsidP="00C61710">
            <w:pPr>
              <w:pStyle w:val="SingleTxtGA"/>
              <w:rPr>
                <w:szCs w:val="20"/>
                <w:lang w:val="ar-SA" w:eastAsia="zh-TW" w:bidi="en-GB"/>
              </w:rPr>
            </w:pPr>
            <w:r>
              <w:rPr>
                <w:rtl/>
              </w:rPr>
              <w:lastRenderedPageBreak/>
              <w:tab/>
              <w:t>ويشير الفريق العامل إلى أن التقدم المحرز يعزى ولا شك إلى الجهود الدؤوبة التي بذلها ضحايا الاختفاء القسري وأقاربهم على مدى خمسة عقود، إلى جانب التزامهم وشجاعتهم في البحث عن أحبائهم، وتحديد هوية المسؤولين ومحاكمتهم، والحفاظ على الذاكرة، وكفالة ضمانات عدم التكرار.</w:t>
            </w:r>
          </w:p>
        </w:tc>
      </w:tr>
      <w:tr w:rsidR="00C61710" w14:paraId="51340C4C" w14:textId="77777777" w:rsidTr="00C61710">
        <w:trPr>
          <w:jc w:val="center"/>
        </w:trPr>
        <w:tc>
          <w:tcPr>
            <w:tcW w:w="9637" w:type="dxa"/>
            <w:tcBorders>
              <w:top w:val="nil"/>
              <w:bottom w:val="nil"/>
            </w:tcBorders>
            <w:shd w:val="clear" w:color="auto" w:fill="auto"/>
          </w:tcPr>
          <w:p w14:paraId="166C3B85" w14:textId="36FA1D55" w:rsidR="00C61710" w:rsidRDefault="00C61710" w:rsidP="00C61710">
            <w:pPr>
              <w:pStyle w:val="SingleTxtGA"/>
              <w:rPr>
                <w:szCs w:val="20"/>
                <w:lang w:val="ar-SA" w:eastAsia="zh-TW" w:bidi="en-GB"/>
              </w:rPr>
            </w:pPr>
            <w:r>
              <w:rPr>
                <w:rtl/>
              </w:rPr>
              <w:tab/>
              <w:t>ومع ذلك، لاحظ الفريق العامل أن عمليتي البحث في حالات الاختفاء القسري وإنصاف ضحاياه واجهتا عقبات مؤسسية خطيرة أدت إلى تأخيرات طويلة. وأعرب الأقارب الذين التقى بهم الفريق العامل، في هذا الصدد، عن أساهم لمرور الوقت من دون نتائج ملموسة. ويلاحظ الفريق العامل بقلق بالغ أن العديد من الأشخاص وافتهم المنية في السنوات الأخيرة من دون أن يتمكنوا من معرفة حقيقة ما حدث لأحبائهم ومن دون انتصاف.</w:t>
            </w:r>
          </w:p>
        </w:tc>
      </w:tr>
      <w:tr w:rsidR="00C61710" w14:paraId="2E0FC9D2" w14:textId="77777777" w:rsidTr="00C61710">
        <w:trPr>
          <w:jc w:val="center"/>
        </w:trPr>
        <w:tc>
          <w:tcPr>
            <w:tcW w:w="9637" w:type="dxa"/>
            <w:tcBorders>
              <w:top w:val="nil"/>
              <w:bottom w:val="nil"/>
            </w:tcBorders>
            <w:shd w:val="clear" w:color="auto" w:fill="auto"/>
          </w:tcPr>
          <w:p w14:paraId="54C8952D" w14:textId="344405DE" w:rsidR="00C61710" w:rsidRDefault="00C61710" w:rsidP="00C61710">
            <w:pPr>
              <w:pStyle w:val="SingleTxtGA"/>
              <w:rPr>
                <w:szCs w:val="20"/>
                <w:lang w:val="ar-SA" w:eastAsia="zh-TW" w:bidi="en-GB"/>
              </w:rPr>
            </w:pPr>
            <w:r>
              <w:rPr>
                <w:rtl/>
              </w:rPr>
              <w:tab/>
              <w:t>ويرى الفريق العامل أن على الدولة أن تتحمل مسؤولية الكرب الذي تعرض له الأقارب في كل لحظة من السنوات الخمسين الماضية كما لو كان كربها، وأن تُوجه من أعلى مستويات الدولة رسالة واضحة لا لبس فيها تصل إلى جميع السلطات وإلى مجتمع أوروغواي بأسره مفادها أنه يجب التصدي لهذه المهمة بشكل جماعي وبجدية واستباقية واستعجالية.</w:t>
            </w:r>
          </w:p>
        </w:tc>
      </w:tr>
      <w:tr w:rsidR="00C61710" w14:paraId="57C5374A" w14:textId="77777777" w:rsidTr="00C61710">
        <w:trPr>
          <w:jc w:val="center"/>
        </w:trPr>
        <w:tc>
          <w:tcPr>
            <w:tcW w:w="9637" w:type="dxa"/>
            <w:tcBorders>
              <w:top w:val="nil"/>
              <w:bottom w:val="nil"/>
            </w:tcBorders>
            <w:shd w:val="clear" w:color="auto" w:fill="auto"/>
          </w:tcPr>
          <w:p w14:paraId="2EBE5B66" w14:textId="265D1B04" w:rsidR="00C61710" w:rsidRDefault="00C61710" w:rsidP="00C61710">
            <w:pPr>
              <w:pStyle w:val="SingleTxtGA"/>
              <w:rPr>
                <w:szCs w:val="20"/>
                <w:lang w:val="ar-SA" w:eastAsia="zh-TW" w:bidi="en-GB"/>
              </w:rPr>
            </w:pPr>
            <w:r>
              <w:rPr>
                <w:rtl/>
              </w:rPr>
              <w:tab/>
              <w:t>وأخيرا</w:t>
            </w:r>
            <w:r>
              <w:rPr>
                <w:rFonts w:hint="cs"/>
                <w:rtl/>
              </w:rPr>
              <w:t>ً</w:t>
            </w:r>
            <w:r>
              <w:rPr>
                <w:rtl/>
              </w:rPr>
              <w:t>، يصوغ الفريق العامل سلسلة من التوصيات يتدرج من منع الضرر الذي يلحق بضحايا الاختفاء القسري والتحقيق فيه والمعاقبة عليه وجبر الضرر الناجم عنه، ويصل إلى حماية الفئات التي تعاني من ضعف شديد.</w:t>
            </w:r>
          </w:p>
        </w:tc>
      </w:tr>
      <w:tr w:rsidR="00C61710" w14:paraId="0C2792CE" w14:textId="77777777" w:rsidTr="00C61710">
        <w:trPr>
          <w:jc w:val="center"/>
        </w:trPr>
        <w:tc>
          <w:tcPr>
            <w:tcW w:w="9637" w:type="dxa"/>
            <w:tcBorders>
              <w:top w:val="nil"/>
            </w:tcBorders>
          </w:tcPr>
          <w:p w14:paraId="43E6E68D" w14:textId="77777777" w:rsidR="00C61710" w:rsidRDefault="00C61710" w:rsidP="00705AC6"/>
        </w:tc>
      </w:tr>
    </w:tbl>
    <w:p w14:paraId="04E4D7B0" w14:textId="3AA7D073" w:rsidR="00C61710" w:rsidRPr="007879D3" w:rsidRDefault="00C61710" w:rsidP="00F572D8">
      <w:pPr>
        <w:pStyle w:val="SingleTxtGA"/>
        <w:spacing w:before="120" w:after="0"/>
        <w:ind w:left="0" w:right="4252"/>
        <w:jc w:val="left"/>
        <w:rPr>
          <w:b/>
          <w:bCs/>
          <w:sz w:val="26"/>
          <w:szCs w:val="26"/>
          <w:rtl/>
          <w:lang w:val="en-US" w:eastAsia="zh-TW"/>
        </w:rPr>
      </w:pPr>
    </w:p>
    <w:p w14:paraId="52F492BC" w14:textId="77777777" w:rsidR="00C61710" w:rsidRPr="007879D3" w:rsidRDefault="00C61710">
      <w:pPr>
        <w:bidi w:val="0"/>
        <w:spacing w:line="240" w:lineRule="auto"/>
        <w:jc w:val="left"/>
        <w:rPr>
          <w:b/>
          <w:bCs/>
          <w:sz w:val="26"/>
          <w:szCs w:val="26"/>
          <w:lang w:eastAsia="zh-TW"/>
        </w:rPr>
      </w:pPr>
      <w:r w:rsidRPr="007879D3">
        <w:rPr>
          <w:b/>
          <w:bCs/>
          <w:sz w:val="26"/>
          <w:szCs w:val="26"/>
          <w:lang w:eastAsia="zh-TW"/>
        </w:rPr>
        <w:br w:type="page"/>
      </w:r>
    </w:p>
    <w:p w14:paraId="204CD828"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Anexo</w:t>
      </w:r>
    </w:p>
    <w:p w14:paraId="3F0D280F"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r>
      <w:r w:rsidRPr="007879D3">
        <w:rPr>
          <w:rFonts w:eastAsia="Times New Roman" w:cs="Times New Roman"/>
          <w:b/>
          <w:sz w:val="28"/>
          <w:szCs w:val="20"/>
          <w:lang w:val="es-GT" w:eastAsia="es-ES"/>
        </w:rPr>
        <w:tab/>
        <w:t xml:space="preserve">Informe del Grupo de Trabajo sobre las Desapariciones Forzadas o Involuntarias acerca de su visita al Uruguay </w:t>
      </w:r>
    </w:p>
    <w:p w14:paraId="76C6A3C2"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I.</w:t>
      </w:r>
      <w:r w:rsidRPr="007879D3">
        <w:rPr>
          <w:rFonts w:eastAsia="Times New Roman" w:cs="Times New Roman"/>
          <w:b/>
          <w:sz w:val="28"/>
          <w:szCs w:val="20"/>
          <w:lang w:val="es-GT" w:eastAsia="es-ES"/>
        </w:rPr>
        <w:tab/>
        <w:t xml:space="preserve">Introducción </w:t>
      </w:r>
    </w:p>
    <w:p w14:paraId="3D85414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sobre las Desapariciones Forzadas o Involuntarias visitó el Uruguay del </w:t>
      </w:r>
      <w:r w:rsidRPr="007879D3">
        <w:rPr>
          <w:rFonts w:eastAsia="Times New Roman" w:cs="Times New Roman"/>
          <w:szCs w:val="20"/>
          <w:lang w:val="es-GT" w:eastAsia="es-ES"/>
        </w:rPr>
        <w:t>7</w:t>
      </w:r>
      <w:r w:rsidRPr="00C61710">
        <w:rPr>
          <w:rFonts w:eastAsia="Times New Roman" w:cs="Times New Roman"/>
          <w:szCs w:val="20"/>
          <w:lang w:val="es-GT" w:eastAsia="es-ES"/>
        </w:rPr>
        <w:t xml:space="preserve"> al </w:t>
      </w:r>
      <w:r w:rsidRPr="007879D3">
        <w:rPr>
          <w:rFonts w:eastAsia="Times New Roman" w:cs="Times New Roman"/>
          <w:szCs w:val="20"/>
          <w:lang w:val="es-GT" w:eastAsia="es-ES"/>
        </w:rPr>
        <w:t>14</w:t>
      </w:r>
      <w:r w:rsidRPr="00C61710">
        <w:rPr>
          <w:rFonts w:eastAsia="Times New Roman" w:cs="Times New Roman"/>
          <w:szCs w:val="20"/>
          <w:lang w:val="es-GT" w:eastAsia="es-ES"/>
        </w:rPr>
        <w:t xml:space="preserve"> de julio de </w:t>
      </w:r>
      <w:r w:rsidRPr="007879D3">
        <w:rPr>
          <w:rFonts w:eastAsia="Times New Roman" w:cs="Times New Roman"/>
          <w:szCs w:val="20"/>
          <w:lang w:val="es-GT" w:eastAsia="es-ES"/>
        </w:rPr>
        <w:t>2022</w:t>
      </w:r>
      <w:r w:rsidRPr="00C61710">
        <w:rPr>
          <w:rFonts w:eastAsia="Times New Roman" w:cs="Times New Roman"/>
          <w:szCs w:val="20"/>
          <w:lang w:val="es-GT" w:eastAsia="es-ES"/>
        </w:rPr>
        <w:t xml:space="preserve"> por invitación del Gobierno. El Grupo de Trabajo agradece al Gobierno la invitación, su positiva cooperación antes de la misión y durante esta, así como su apertura al diálogo. Adicionalmente, agradece a las asociaciones de familiares de personas desaparecidas, las organizaciones de la sociedad civil y, en particular, a los familiares y las víctimas de graves violaciones de los derechos humanos la información y testimonios que le proveyeron. El Grupo de Trabajo agradece al equipo de las Naciones Unidas en el Uruguay su valioso apoyo logístico y sustantivo en la organización de esta visita.</w:t>
      </w:r>
    </w:p>
    <w:p w14:paraId="3C267871"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felicita al Uruguay por haber ratificado todos los tratados de derechos humanos del sistema de las Naciones Unidas, incluida la Convención Internacional para la Protección de Todas las Personas contra las Desapariciones Forzadas, así como la Convención Interamericana sobre Desaparición Forzada de Personas. También le felicita por la invitación permanente para todos los titulares de mandatos de los procedimientos especiales de las Naciones Unidas.</w:t>
      </w:r>
    </w:p>
    <w:p w14:paraId="2AE7689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estuvo representado por </w:t>
      </w:r>
      <w:proofErr w:type="spellStart"/>
      <w:r w:rsidRPr="00C61710">
        <w:rPr>
          <w:rFonts w:eastAsia="Times New Roman" w:cs="Times New Roman"/>
          <w:szCs w:val="20"/>
          <w:lang w:val="es-GT" w:eastAsia="es-ES"/>
        </w:rPr>
        <w:t>Aua</w:t>
      </w:r>
      <w:proofErr w:type="spellEnd"/>
      <w:r w:rsidRPr="00C61710">
        <w:rPr>
          <w:rFonts w:eastAsia="Times New Roman" w:cs="Times New Roman"/>
          <w:szCs w:val="20"/>
          <w:lang w:val="es-GT" w:eastAsia="es-ES"/>
        </w:rPr>
        <w:t xml:space="preserve"> Baldé, </w:t>
      </w:r>
      <w:proofErr w:type="spellStart"/>
      <w:r w:rsidRPr="00C61710">
        <w:rPr>
          <w:rFonts w:eastAsia="Times New Roman" w:cs="Times New Roman"/>
          <w:szCs w:val="20"/>
          <w:lang w:val="es-GT" w:eastAsia="es-ES"/>
        </w:rPr>
        <w:t>Gabriella</w:t>
      </w:r>
      <w:proofErr w:type="spellEnd"/>
      <w:r w:rsidRPr="00C61710">
        <w:rPr>
          <w:rFonts w:eastAsia="Times New Roman" w:cs="Times New Roman"/>
          <w:szCs w:val="20"/>
          <w:lang w:val="es-GT" w:eastAsia="es-ES"/>
        </w:rPr>
        <w:t xml:space="preserve"> </w:t>
      </w:r>
      <w:proofErr w:type="spellStart"/>
      <w:r w:rsidRPr="00C61710">
        <w:rPr>
          <w:rFonts w:eastAsia="Times New Roman" w:cs="Times New Roman"/>
          <w:szCs w:val="20"/>
          <w:lang w:val="es-GT" w:eastAsia="es-ES"/>
        </w:rPr>
        <w:t>Citroni</w:t>
      </w:r>
      <w:proofErr w:type="spellEnd"/>
      <w:r w:rsidRPr="00C61710">
        <w:rPr>
          <w:rFonts w:eastAsia="Times New Roman" w:cs="Times New Roman"/>
          <w:szCs w:val="20"/>
          <w:lang w:val="es-GT" w:eastAsia="es-ES"/>
        </w:rPr>
        <w:t xml:space="preserve"> y Luciano </w:t>
      </w:r>
      <w:proofErr w:type="spellStart"/>
      <w:r w:rsidRPr="00C61710">
        <w:rPr>
          <w:rFonts w:eastAsia="Times New Roman" w:cs="Times New Roman"/>
          <w:szCs w:val="20"/>
          <w:lang w:val="es-GT" w:eastAsia="es-ES"/>
        </w:rPr>
        <w:t>Hazan</w:t>
      </w:r>
      <w:proofErr w:type="spellEnd"/>
      <w:r w:rsidRPr="00C61710">
        <w:rPr>
          <w:rFonts w:eastAsia="Times New Roman" w:cs="Times New Roman"/>
          <w:szCs w:val="20"/>
          <w:lang w:val="es-GT" w:eastAsia="es-ES"/>
        </w:rPr>
        <w:t xml:space="preserve">. El objetivo de la visita fue obtener información de primera mano sobre la situación de los derechos humanos en el país en relación con las desapariciones forzadas, con vistas a identificar el progreso alcanzado en la aplicación de los estándares internacionales en la materia, y en el goce de los derechos a la verdad, justicia, reparación y memoria, así como los principales retos y desafíos que enfrenta el país en la actualidad, incluso en lo que concierne a la prevención. </w:t>
      </w:r>
    </w:p>
    <w:p w14:paraId="0AA4EF2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sostuvo reuniones con diversas autoridades e instituciones del Estado, incluidos los Ministros de Defensa Nacional, del Interior y de Educación y Cultura, el Fiscal de la Corte y Procurador General de la Nación, el Presidente de la Suprema Corte de Justicia, la Directora de la Secretaría de Derechos Humanos para el Pasado Reciente, la Subsecretaria de Relaciones Exteriores del Ministerio de Relaciones Exteriores, el Fiscal Especializado en Crímenes de Lesa Humanidad, la Directora de la Unidad de Víctimas y Testigos de la Fiscalía General de la Nación, el Director de la Secretaría de Inteligencia Estratégica de Estado, así como con representantes parlamentarios de distintos partidos políticos y con el Comisionado Parlamentario Penitenciario. Asimismo, el Grupo de Trabajo se encontró con la </w:t>
      </w:r>
      <w:bookmarkStart w:id="1" w:name="_Hlk138671359"/>
      <w:r w:rsidRPr="00C61710">
        <w:rPr>
          <w:rFonts w:eastAsia="Times New Roman" w:cs="Times New Roman"/>
          <w:szCs w:val="20"/>
          <w:lang w:val="es-GT" w:eastAsia="es-ES"/>
        </w:rPr>
        <w:t>Institución Nacional de Derechos Humanos y Defensoría del Pueblo</w:t>
      </w:r>
      <w:bookmarkEnd w:id="1"/>
      <w:r w:rsidRPr="00C61710">
        <w:rPr>
          <w:rFonts w:eastAsia="Times New Roman" w:cs="Times New Roman"/>
          <w:szCs w:val="20"/>
          <w:lang w:val="es-GT" w:eastAsia="es-ES"/>
        </w:rPr>
        <w:t>. Además, el Grupo de Trabajo tuvo la oportunidad de visitar el Memorial de los Detenidos Desaparecidos del Cerro de Montevideo, el Centro Cultural Museo de la Memoria, el sitio de memoria La Tablada, la antigua sede del Servicio de Información de Defensa, el antiguo centro clandestino de detención “</w:t>
      </w:r>
      <w:r w:rsidRPr="007879D3">
        <w:rPr>
          <w:rFonts w:eastAsia="Times New Roman" w:cs="Times New Roman"/>
          <w:szCs w:val="20"/>
          <w:lang w:val="es-GT" w:eastAsia="es-ES"/>
        </w:rPr>
        <w:t>300</w:t>
      </w:r>
      <w:r w:rsidRPr="00C61710">
        <w:rPr>
          <w:rFonts w:eastAsia="Times New Roman" w:cs="Times New Roman"/>
          <w:szCs w:val="20"/>
          <w:lang w:val="es-GT" w:eastAsia="es-ES"/>
        </w:rPr>
        <w:t xml:space="preserve"> Carlos” en el </w:t>
      </w:r>
      <w:hyperlink r:id="rId9" w:tooltip="Servicio de Material y Armamento del Ejército (aún no redactado)" w:history="1">
        <w:r w:rsidRPr="00C61710">
          <w:rPr>
            <w:rFonts w:eastAsia="Times New Roman" w:cs="Times New Roman"/>
            <w:szCs w:val="20"/>
            <w:lang w:val="es-GT" w:eastAsia="es-ES"/>
          </w:rPr>
          <w:t>Servicio de Material y Armamento del Ejército</w:t>
        </w:r>
      </w:hyperlink>
      <w:r w:rsidRPr="00C61710">
        <w:rPr>
          <w:rFonts w:eastAsia="Times New Roman" w:cs="Times New Roman"/>
          <w:szCs w:val="20"/>
          <w:lang w:val="es-GT" w:eastAsia="es-ES"/>
        </w:rPr>
        <w:t>, el sitio de memoria del antiguo Penal de Punta Carretas y los sitios de memoria en Toledo (Canelones), incluidos los lugares de entierro clandestino de Julio Castro Pérez y Ricardo Blanco Valiente.</w:t>
      </w:r>
    </w:p>
    <w:p w14:paraId="74788EA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Durante su visita, el Grupo de Trabajo </w:t>
      </w:r>
      <w:proofErr w:type="gramStart"/>
      <w:r w:rsidRPr="00C61710">
        <w:rPr>
          <w:rFonts w:eastAsia="Times New Roman" w:cs="Times New Roman"/>
          <w:szCs w:val="20"/>
          <w:lang w:val="es-GT" w:eastAsia="es-ES"/>
        </w:rPr>
        <w:t>se centró principalmente en</w:t>
      </w:r>
      <w:proofErr w:type="gramEnd"/>
      <w:r w:rsidRPr="00C61710">
        <w:rPr>
          <w:rFonts w:eastAsia="Times New Roman" w:cs="Times New Roman"/>
          <w:szCs w:val="20"/>
          <w:lang w:val="es-GT" w:eastAsia="es-ES"/>
        </w:rPr>
        <w:t xml:space="preserve"> las desapariciones forzadas que comenzaron a ejecutarse durante el período comprendido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y las obligaciones estatales correspondientes. Asimismo, ha recibido información relacionada con desapariciones que se están produciendo en la actualidad, en particular entre personas que pertenecen a grupos especialmente vulnerables (niños, niñas, adolescentes y mujeres). </w:t>
      </w:r>
    </w:p>
    <w:p w14:paraId="500484F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Los casos de desaparición forzada presentados a la fecha al Grupo de Trabajo con respecto al Uruguay son </w:t>
      </w:r>
      <w:r w:rsidRPr="007879D3">
        <w:rPr>
          <w:rFonts w:eastAsia="Times New Roman" w:cs="Times New Roman"/>
          <w:szCs w:val="20"/>
          <w:lang w:val="es-GT" w:eastAsia="es-ES"/>
        </w:rPr>
        <w:t>20</w:t>
      </w:r>
      <w:r w:rsidRPr="00C61710">
        <w:rPr>
          <w:rFonts w:eastAsia="Times New Roman" w:cs="Times New Roman"/>
          <w:szCs w:val="20"/>
          <w:lang w:val="es-GT" w:eastAsia="es-ES"/>
        </w:rPr>
        <w:t xml:space="preserve">, de los cuales </w:t>
      </w:r>
      <w:r w:rsidRPr="007879D3">
        <w:rPr>
          <w:rFonts w:eastAsia="Times New Roman" w:cs="Times New Roman"/>
          <w:szCs w:val="20"/>
          <w:lang w:val="es-GT" w:eastAsia="es-ES"/>
        </w:rPr>
        <w:t>19</w:t>
      </w:r>
      <w:r w:rsidRPr="00C61710">
        <w:rPr>
          <w:rFonts w:eastAsia="Times New Roman" w:cs="Times New Roman"/>
          <w:szCs w:val="20"/>
          <w:lang w:val="es-GT" w:eastAsia="es-ES"/>
        </w:rPr>
        <w:t xml:space="preserve"> todavía están pendientes de resolución. Sin embargo, esa cifra no refleja la totalidad de las desapariciones forzadas perpetradas durante el período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La cifra oficialmente reconocida por las asociaciones de familiares de personas desaparecidas y las autoridades uruguayas es de </w:t>
      </w:r>
      <w:r w:rsidRPr="007879D3">
        <w:rPr>
          <w:rFonts w:eastAsia="Times New Roman" w:cs="Times New Roman"/>
          <w:szCs w:val="20"/>
          <w:lang w:val="es-GT" w:eastAsia="es-ES"/>
        </w:rPr>
        <w:t>197</w:t>
      </w:r>
      <w:r w:rsidRPr="00C61710">
        <w:rPr>
          <w:rFonts w:eastAsia="Times New Roman" w:cs="Times New Roman"/>
          <w:szCs w:val="20"/>
          <w:lang w:val="es-GT" w:eastAsia="es-ES"/>
        </w:rPr>
        <w:t> personas desaparecidas, que comprende tanto las desapariciones registradas en el Uruguay como en otros Estados del Cono Sur que han participado en la “Operación Cóndor”</w:t>
      </w:r>
      <w:r w:rsidRPr="007879D3">
        <w:rPr>
          <w:rFonts w:eastAsia="Times New Roman" w:cs="Times New Roman"/>
          <w:sz w:val="18"/>
          <w:szCs w:val="20"/>
          <w:vertAlign w:val="superscript"/>
          <w:lang w:eastAsia="es-ES"/>
        </w:rPr>
        <w:footnoteReference w:id="2"/>
      </w:r>
      <w:r w:rsidRPr="00C61710">
        <w:rPr>
          <w:rFonts w:eastAsia="Times New Roman" w:cs="Times New Roman"/>
          <w:szCs w:val="20"/>
          <w:lang w:val="es-GT" w:eastAsia="es-ES"/>
        </w:rPr>
        <w:t>, la mayoría en la Argentina</w:t>
      </w:r>
      <w:r w:rsidRPr="007879D3">
        <w:rPr>
          <w:rFonts w:eastAsia="Times New Roman" w:cs="Times New Roman"/>
          <w:sz w:val="18"/>
          <w:szCs w:val="20"/>
          <w:vertAlign w:val="superscript"/>
          <w:lang w:eastAsia="es-ES"/>
        </w:rPr>
        <w:footnoteReference w:id="3"/>
      </w:r>
      <w:r w:rsidRPr="00C61710">
        <w:rPr>
          <w:rFonts w:eastAsia="Times New Roman" w:cs="Times New Roman"/>
          <w:szCs w:val="20"/>
          <w:lang w:val="es-GT" w:eastAsia="es-ES"/>
        </w:rPr>
        <w:t xml:space="preserve">, cuya suerte y paradero se desconocen hasta la fecha. </w:t>
      </w:r>
    </w:p>
    <w:p w14:paraId="586CCBEB"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Durante las entrevistas con víctimas y familiares, el Grupo de Trabajo tomó </w:t>
      </w:r>
      <w:bookmarkStart w:id="2" w:name="_Hlk129420313"/>
      <w:r w:rsidRPr="00C61710">
        <w:rPr>
          <w:rFonts w:eastAsia="Times New Roman" w:cs="Times New Roman"/>
          <w:szCs w:val="20"/>
          <w:lang w:val="es-GT" w:eastAsia="es-ES"/>
        </w:rPr>
        <w:t xml:space="preserve">nota de que entre ellos hay personas que también fueron detenidas y, en muchos casos, sujetas a desaparición forzada, ya sea por unos días, semanas o meses, antes de ser puestas en libertad o de que sus familiares fueran notificados de su detención. Sin embargo, estas desapariciones forzadas no son reconocidas como tales, y quienes las sufrieron tampoco suelen autoidentificarse como víctimas de desaparición forzada. Cabe destacar que, durante su detención, la mayoría de estas víctimas también fueron sujetas a tortura y otros tratos crueles, inhumanos o degradantes, e inclusive a violencia sexual. </w:t>
      </w:r>
    </w:p>
    <w:bookmarkEnd w:id="2"/>
    <w:p w14:paraId="60D7E351"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8.</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reitera que, independientemente de su duración y de la recuperación posterior de la libertad, la detención de personas por autoridades estatales, acompañada por la negativa a reconocer la privación de la libertad o a revelar el lugar, constituye una desaparición forzada en virtud del derecho internacional de los derechos humanos. A la luz de lo anterior, </w:t>
      </w:r>
      <w:bookmarkStart w:id="3" w:name="_Hlk129420391"/>
      <w:r w:rsidRPr="00C61710">
        <w:rPr>
          <w:rFonts w:eastAsia="Times New Roman" w:cs="Times New Roman"/>
          <w:szCs w:val="20"/>
          <w:lang w:val="es-GT" w:eastAsia="es-ES"/>
        </w:rPr>
        <w:t xml:space="preserve">el número de víctimas de desaparición forzada durante el período comprendido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supera las </w:t>
      </w:r>
      <w:r w:rsidRPr="007879D3">
        <w:rPr>
          <w:rFonts w:eastAsia="Times New Roman" w:cs="Times New Roman"/>
          <w:szCs w:val="20"/>
          <w:lang w:val="es-GT" w:eastAsia="es-ES"/>
        </w:rPr>
        <w:t>197</w:t>
      </w:r>
      <w:r w:rsidRPr="00C61710">
        <w:rPr>
          <w:rFonts w:eastAsia="Times New Roman" w:cs="Times New Roman"/>
          <w:szCs w:val="20"/>
          <w:lang w:val="es-GT" w:eastAsia="es-ES"/>
        </w:rPr>
        <w:t xml:space="preserve"> identificadas por las asociaciones de familiares y las autoridades</w:t>
      </w:r>
      <w:bookmarkEnd w:id="3"/>
      <w:r w:rsidRPr="00C61710">
        <w:rPr>
          <w:rFonts w:eastAsia="Times New Roman" w:cs="Times New Roman"/>
          <w:szCs w:val="20"/>
          <w:lang w:val="es-GT" w:eastAsia="es-ES"/>
        </w:rPr>
        <w:t>. Por ello, el Grupo de Trabajo alienta a que este aspecto se tome debidamente en cuenta y se refleje tanto en el discurso oficial como en la legislación y en el reconocimiento de los derechos de todas aquellas personas que fueron víctimas de desaparición forzada y sus familiares.</w:t>
      </w:r>
    </w:p>
    <w:p w14:paraId="5538784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4"/>
          <w:lang w:val="es-GT" w:eastAsia="es-ES"/>
        </w:rPr>
      </w:pPr>
      <w:r w:rsidRPr="007879D3">
        <w:rPr>
          <w:rFonts w:eastAsia="Times New Roman" w:cs="Times New Roman"/>
          <w:bCs/>
          <w:szCs w:val="20"/>
          <w:lang w:val="es-GT" w:eastAsia="es-ES"/>
        </w:rPr>
        <w:t>9.</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también recibió información relacionada con el subregistro de las desapariciones acontecidas en época reciente. Dicho fenómeno</w:t>
      </w:r>
      <w:r w:rsidRPr="00C61710">
        <w:rPr>
          <w:rFonts w:ascii="Segoe UI" w:eastAsia="Times New Roman" w:hAnsi="Segoe UI" w:cs="Segoe UI"/>
          <w:sz w:val="18"/>
          <w:szCs w:val="18"/>
          <w:lang w:val="es-GT" w:eastAsia="es-ES"/>
        </w:rPr>
        <w:t xml:space="preserve"> </w:t>
      </w:r>
      <w:r w:rsidRPr="00C61710">
        <w:rPr>
          <w:rFonts w:eastAsia="Times New Roman" w:cs="Times New Roman"/>
          <w:szCs w:val="20"/>
          <w:lang w:val="es-GT" w:eastAsia="es-ES"/>
        </w:rPr>
        <w:t xml:space="preserve">se debe a múltiples razones como el desconocimiento de los mecanismos disponibles para denunciar una desaparición a nivel internacional. Sin embargo, durante su visita, el Grupo de Trabajo recibió información relacionada con casos de niños, niñas, adolescentes y mujeres desaparecidas en los que no se ha realizado una adecuada investigación para descartar la posibilidad </w:t>
      </w:r>
      <w:r w:rsidRPr="00C61710">
        <w:rPr>
          <w:rFonts w:eastAsia="Times New Roman" w:cs="Times New Roman"/>
          <w:szCs w:val="24"/>
          <w:lang w:val="es-GT" w:eastAsia="es-ES"/>
        </w:rPr>
        <w:t>de que se trate de desapariciones forzadas</w:t>
      </w:r>
      <w:r w:rsidRPr="007879D3">
        <w:rPr>
          <w:rFonts w:eastAsia="Times New Roman" w:cs="Times New Roman"/>
          <w:sz w:val="18"/>
          <w:szCs w:val="20"/>
          <w:vertAlign w:val="superscript"/>
          <w:lang w:eastAsia="es-ES"/>
        </w:rPr>
        <w:footnoteReference w:id="4"/>
      </w:r>
      <w:r w:rsidRPr="00C61710">
        <w:rPr>
          <w:rFonts w:eastAsia="Times New Roman" w:cs="Times New Roman"/>
          <w:szCs w:val="24"/>
          <w:lang w:val="es-GT" w:eastAsia="es-ES"/>
        </w:rPr>
        <w:t xml:space="preserve">. </w:t>
      </w:r>
    </w:p>
    <w:p w14:paraId="726C5F63"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10.</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ha precisado que solo mediante una investigación independiente, imparcial y completa se puede descartar una potencial desaparición forzada. Por ende, el número de casos de desaparición forzada no puede ser establecido a cabalidad sin la debida investigación</w:t>
      </w:r>
      <w:r w:rsidRPr="007879D3">
        <w:rPr>
          <w:rFonts w:eastAsia="Times New Roman" w:cs="Times New Roman"/>
          <w:sz w:val="18"/>
          <w:szCs w:val="20"/>
          <w:vertAlign w:val="superscript"/>
          <w:lang w:eastAsia="es-ES"/>
        </w:rPr>
        <w:footnoteReference w:id="5"/>
      </w:r>
      <w:r w:rsidRPr="00C61710">
        <w:rPr>
          <w:rFonts w:eastAsia="Times New Roman" w:cs="Times New Roman"/>
          <w:szCs w:val="20"/>
          <w:lang w:val="es-GT" w:eastAsia="es-ES"/>
        </w:rPr>
        <w:t>. Estas consideraciones se aplican también al caso del Uruguay. Por ello, el Grupo de Trabajo alienta a una amplia sensibilización sobre el fenómeno de la desaparición forzada, los mecanismos de denuncia existentes y las obligaciones correspondientes, dirigida tanto a la sociedad civil como al personal militar o civil encargado de la aplicación de la ley, el personal médico y los funcionarios que puedan intervenir en la custodia o tratamiento de las personas privadas de libertad y, especialmente, de personas indigentes, con adicciones o en centros de acogida de niños y niñas en situación de vulnerabilidad.</w:t>
      </w:r>
    </w:p>
    <w:p w14:paraId="4294605C"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II.</w:t>
      </w:r>
      <w:r w:rsidRPr="007879D3">
        <w:rPr>
          <w:rFonts w:eastAsia="Times New Roman" w:cs="Times New Roman"/>
          <w:b/>
          <w:sz w:val="28"/>
          <w:szCs w:val="20"/>
          <w:lang w:val="es-GT" w:eastAsia="es-ES"/>
        </w:rPr>
        <w:tab/>
        <w:t>Derecho a la verdad</w:t>
      </w:r>
    </w:p>
    <w:p w14:paraId="51418BF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11.</w:t>
      </w:r>
      <w:r w:rsidRPr="007879D3">
        <w:rPr>
          <w:rFonts w:eastAsia="Times New Roman" w:cs="Times New Roman"/>
          <w:bCs/>
          <w:szCs w:val="20"/>
          <w:lang w:val="es-GT" w:eastAsia="es-ES"/>
        </w:rPr>
        <w:tab/>
      </w:r>
      <w:r w:rsidRPr="00C61710">
        <w:rPr>
          <w:rFonts w:eastAsia="Times New Roman" w:cs="Times New Roman"/>
          <w:szCs w:val="20"/>
          <w:lang w:val="es-GT" w:eastAsia="es-ES"/>
        </w:rPr>
        <w:t>El derecho a conocer la verdad, en su dimensión individual y colectiva, abarca tanto la averiguación de la suerte y el paradero de la persona desaparecida, como la evolución y los resultados de la investigación. También concierne a las circunstancias en las que se produjo una desaparición forzada y las razones que llevaron a la perpetración de este y otros crímenes aberrantes, especialmente en contextos de violaciones masivas o sistemáticas. Por ello, la búsqueda de las personas desaparecidas persigue un aspecto fundamental de la garantía del derecho a conocer la verdad que, sin embargo, tiene una dimensión más amplia.</w:t>
      </w:r>
    </w:p>
    <w:p w14:paraId="5AA2E402"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12.</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ha observado que en el Uruguay no se ha dado un ejercicio amplio de esclarecimiento y reconstrucción de la verdad con respecto a las violaciones de derechos humanos cometidas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Si bien el regreso de la democracia al Uruguay en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generó expectativas de verdad y justicia entre las víctimas, dichas expectativas se vieron truncadas, no solo tras la adopción de la Ley </w:t>
      </w:r>
      <w:r w:rsidRPr="007879D3">
        <w:rPr>
          <w:rFonts w:eastAsia="Times New Roman" w:cs="Times New Roman"/>
          <w:szCs w:val="20"/>
          <w:lang w:val="es-GT" w:eastAsia="es-ES"/>
        </w:rPr>
        <w:t>15</w:t>
      </w:r>
      <w:r w:rsidRPr="00C61710">
        <w:rPr>
          <w:rFonts w:eastAsia="Times New Roman" w:cs="Times New Roman"/>
          <w:szCs w:val="20"/>
          <w:lang w:val="es-GT" w:eastAsia="es-ES"/>
        </w:rPr>
        <w:t>.</w:t>
      </w:r>
      <w:r w:rsidRPr="007879D3">
        <w:rPr>
          <w:rFonts w:eastAsia="Times New Roman" w:cs="Times New Roman"/>
          <w:szCs w:val="20"/>
          <w:lang w:val="es-GT" w:eastAsia="es-ES"/>
        </w:rPr>
        <w:t>848</w:t>
      </w:r>
      <w:r w:rsidRPr="00C61710">
        <w:rPr>
          <w:rFonts w:eastAsia="Times New Roman" w:cs="Times New Roman"/>
          <w:szCs w:val="20"/>
          <w:lang w:val="es-GT" w:eastAsia="es-ES"/>
        </w:rPr>
        <w:t xml:space="preserve">, de Caducidad de la Pretensión Punitiva del Estado, el </w:t>
      </w:r>
      <w:r w:rsidRPr="007879D3">
        <w:rPr>
          <w:rFonts w:eastAsia="Times New Roman" w:cs="Times New Roman"/>
          <w:szCs w:val="20"/>
          <w:lang w:val="es-GT" w:eastAsia="es-ES"/>
        </w:rPr>
        <w:t>22</w:t>
      </w:r>
      <w:r w:rsidRPr="00C61710">
        <w:rPr>
          <w:rFonts w:eastAsia="Times New Roman" w:cs="Times New Roman"/>
          <w:szCs w:val="20"/>
          <w:lang w:val="es-GT" w:eastAsia="es-ES"/>
        </w:rPr>
        <w:t xml:space="preserve"> de diciembre de </w:t>
      </w:r>
      <w:r w:rsidRPr="007879D3">
        <w:rPr>
          <w:rFonts w:eastAsia="Times New Roman" w:cs="Times New Roman"/>
          <w:szCs w:val="20"/>
          <w:lang w:val="es-GT" w:eastAsia="es-ES"/>
        </w:rPr>
        <w:t>1986</w:t>
      </w:r>
      <w:r w:rsidRPr="00C61710">
        <w:rPr>
          <w:rFonts w:eastAsia="Times New Roman" w:cs="Times New Roman"/>
          <w:szCs w:val="20"/>
          <w:lang w:val="es-GT" w:eastAsia="es-ES"/>
        </w:rPr>
        <w:t>, sino también tras la adopción de una serie de mecanismos que fomentaron un patrón de silencio e impunidad</w:t>
      </w:r>
      <w:r w:rsidRPr="007879D3">
        <w:rPr>
          <w:rFonts w:eastAsia="Times New Roman" w:cs="Times New Roman"/>
          <w:sz w:val="18"/>
          <w:szCs w:val="20"/>
          <w:vertAlign w:val="superscript"/>
          <w:lang w:eastAsia="es-ES"/>
        </w:rPr>
        <w:footnoteReference w:id="6"/>
      </w:r>
      <w:r w:rsidRPr="00C61710">
        <w:rPr>
          <w:rFonts w:eastAsia="Times New Roman" w:cs="Times New Roman"/>
          <w:szCs w:val="20"/>
          <w:lang w:val="es-GT" w:eastAsia="es-ES"/>
        </w:rPr>
        <w:t>. En este sentido, el Grupo de Trabajo recibió información sobre la existencia de acuerdos tácitos entre las fuerzas políticas durante el proceso de transición a la democracia que han impactado negativamente en el esclarecimiento y reconstrucción de la verdad. El Grupo de Trabajo recuerda que el ejercicio pleno y efectivo del derecho a la verdad es esencial para evitar que los crímenes se repitan.</w:t>
      </w:r>
    </w:p>
    <w:p w14:paraId="36120EC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13.</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Gran parte de las desapariciones forzadas perpetradas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se cometieron como parte de la “Operación Cóndor”, nombre clave que se dio a la alianza que unía a las fuerzas de seguridad y servicios de inteligencia de las dictaduras del Cono Sur (en particular, la Argentina, el Estado Plurinacional de Bolivia, el Brasil, Chile, el Paraguay y el Perú), apoyadas por los Estados Unidos de América en la represión contra personas designadas como “elementos subversivos”</w:t>
      </w:r>
      <w:r w:rsidRPr="007879D3">
        <w:rPr>
          <w:rFonts w:eastAsia="Times New Roman" w:cs="Times New Roman"/>
          <w:sz w:val="18"/>
          <w:szCs w:val="20"/>
          <w:vertAlign w:val="superscript"/>
          <w:lang w:eastAsia="es-ES"/>
        </w:rPr>
        <w:footnoteReference w:id="7"/>
      </w:r>
      <w:r w:rsidRPr="00C61710">
        <w:rPr>
          <w:rFonts w:eastAsia="Times New Roman" w:cs="Times New Roman"/>
          <w:szCs w:val="20"/>
          <w:lang w:val="es-GT" w:eastAsia="es-ES"/>
        </w:rPr>
        <w:t>. En este contexto, los regímenes militares de América del Sur coordinaron acciones para localizar y capturar a personas refugiadas e inmigrantes políticos, en ocasiones permitiendo a agentes del país de origen entrar en su territorio para capturar a sus nacionales y, en muchos casos, sometiéndoles a desapariciones forzadas</w:t>
      </w:r>
      <w:r w:rsidRPr="007879D3">
        <w:rPr>
          <w:rFonts w:eastAsia="Times New Roman" w:cs="Times New Roman"/>
          <w:sz w:val="18"/>
          <w:szCs w:val="20"/>
          <w:vertAlign w:val="superscript"/>
          <w:lang w:eastAsia="es-ES"/>
        </w:rPr>
        <w:footnoteReference w:id="8"/>
      </w:r>
      <w:r w:rsidRPr="00C61710">
        <w:rPr>
          <w:rFonts w:eastAsia="Times New Roman" w:cs="Times New Roman"/>
          <w:szCs w:val="20"/>
          <w:lang w:val="es-GT" w:eastAsia="es-ES"/>
        </w:rPr>
        <w:t>.</w:t>
      </w:r>
    </w:p>
    <w:p w14:paraId="6DCE7B6D"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14.</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Así, la cifra de </w:t>
      </w:r>
      <w:r w:rsidRPr="007879D3">
        <w:rPr>
          <w:rFonts w:eastAsia="Times New Roman" w:cs="Times New Roman"/>
          <w:szCs w:val="20"/>
          <w:lang w:val="es-GT" w:eastAsia="es-ES"/>
        </w:rPr>
        <w:t>197</w:t>
      </w:r>
      <w:r w:rsidRPr="00C61710">
        <w:rPr>
          <w:rFonts w:eastAsia="Times New Roman" w:cs="Times New Roman"/>
          <w:szCs w:val="20"/>
          <w:lang w:val="es-GT" w:eastAsia="es-ES"/>
        </w:rPr>
        <w:t xml:space="preserve"> personas desaparecidas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incluye a personas de nacionalidad uruguaya y de otras nacionalidades que fueron secuestradas en el territorio uruguayo, fuera este su destino final o el lugar de detención primaria previo a un traslado; a personas secuestradas en territorio argentino con nacionalidad uruguaya, que son a la fecha la mayoría de los casos, con </w:t>
      </w:r>
      <w:r w:rsidRPr="007879D3">
        <w:rPr>
          <w:rFonts w:eastAsia="Times New Roman" w:cs="Times New Roman"/>
          <w:szCs w:val="20"/>
          <w:lang w:val="es-GT" w:eastAsia="es-ES"/>
        </w:rPr>
        <w:t>154</w:t>
      </w:r>
      <w:r w:rsidRPr="00C61710">
        <w:rPr>
          <w:rFonts w:eastAsia="Times New Roman" w:cs="Times New Roman"/>
          <w:szCs w:val="20"/>
          <w:lang w:val="es-GT" w:eastAsia="es-ES"/>
        </w:rPr>
        <w:t xml:space="preserve"> víctimas; a personas con nacionalidad uruguaya que fueron secuestradas en otros países de la región, tales como el Estado Plurinacional de Bolivia, Chile, Colombia y el Paraguay; y a las parejas, los familiares de las víctimas y los hijos secuestrados conjunta o posteriormente, así como niñas y niños secuestrados o nacidos en detención</w:t>
      </w:r>
      <w:r w:rsidRPr="007879D3">
        <w:rPr>
          <w:rFonts w:eastAsia="Times New Roman" w:cs="Times New Roman"/>
          <w:sz w:val="18"/>
          <w:szCs w:val="20"/>
          <w:vertAlign w:val="superscript"/>
          <w:lang w:eastAsia="es-ES"/>
        </w:rPr>
        <w:footnoteReference w:id="9"/>
      </w:r>
      <w:r w:rsidRPr="00C61710">
        <w:rPr>
          <w:rFonts w:eastAsia="Times New Roman" w:cs="Times New Roman"/>
          <w:szCs w:val="20"/>
          <w:lang w:val="es-GT" w:eastAsia="es-ES"/>
        </w:rPr>
        <w:t>.</w:t>
      </w:r>
    </w:p>
    <w:p w14:paraId="2562043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15.</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búsqueda de personas se encuentra actualmente garantizada en el Uruguay a través de la Ley </w:t>
      </w:r>
      <w:r w:rsidRPr="007879D3">
        <w:rPr>
          <w:rFonts w:eastAsia="Times New Roman" w:cs="Times New Roman"/>
          <w:szCs w:val="20"/>
          <w:lang w:val="es-GT" w:eastAsia="es-ES"/>
        </w:rPr>
        <w:t>19</w:t>
      </w:r>
      <w:r w:rsidRPr="00C61710">
        <w:rPr>
          <w:rFonts w:eastAsia="Times New Roman" w:cs="Times New Roman"/>
          <w:szCs w:val="20"/>
          <w:lang w:val="es-GT" w:eastAsia="es-ES"/>
        </w:rPr>
        <w:t>.</w:t>
      </w:r>
      <w:r w:rsidRPr="007879D3">
        <w:rPr>
          <w:rFonts w:eastAsia="Times New Roman" w:cs="Times New Roman"/>
          <w:szCs w:val="20"/>
          <w:lang w:val="es-GT" w:eastAsia="es-ES"/>
        </w:rPr>
        <w:t>822</w:t>
      </w:r>
      <w:r w:rsidRPr="00C61710">
        <w:rPr>
          <w:rFonts w:eastAsia="Times New Roman" w:cs="Times New Roman"/>
          <w:szCs w:val="20"/>
          <w:lang w:val="es-GT" w:eastAsia="es-ES"/>
        </w:rPr>
        <w:t xml:space="preserve">, de </w:t>
      </w:r>
      <w:r w:rsidRPr="007879D3">
        <w:rPr>
          <w:rFonts w:eastAsia="Times New Roman" w:cs="Times New Roman"/>
          <w:szCs w:val="20"/>
          <w:lang w:val="es-GT" w:eastAsia="es-ES"/>
        </w:rPr>
        <w:t>18</w:t>
      </w:r>
      <w:r w:rsidRPr="00C61710">
        <w:rPr>
          <w:rFonts w:eastAsia="Times New Roman" w:cs="Times New Roman"/>
          <w:szCs w:val="20"/>
          <w:lang w:val="es-GT" w:eastAsia="es-ES"/>
        </w:rPr>
        <w:t xml:space="preserve"> de septiembre de </w:t>
      </w:r>
      <w:r w:rsidRPr="007879D3">
        <w:rPr>
          <w:rFonts w:eastAsia="Times New Roman" w:cs="Times New Roman"/>
          <w:szCs w:val="20"/>
          <w:lang w:val="es-GT" w:eastAsia="es-ES"/>
        </w:rPr>
        <w:t>2019</w:t>
      </w:r>
      <w:r w:rsidRPr="00C61710">
        <w:rPr>
          <w:rFonts w:eastAsia="Times New Roman" w:cs="Times New Roman"/>
          <w:szCs w:val="20"/>
          <w:lang w:val="es-GT" w:eastAsia="es-ES"/>
        </w:rPr>
        <w:t xml:space="preserve">, por la que se encargó la búsqueda de las personas desaparecidas a la Institución Nacional de Derechos Humanos y Defensoría del Pueblo (art. </w:t>
      </w:r>
      <w:r w:rsidRPr="007879D3">
        <w:rPr>
          <w:rFonts w:eastAsia="Times New Roman" w:cs="Times New Roman"/>
          <w:szCs w:val="20"/>
          <w:lang w:val="es-GT" w:eastAsia="es-ES"/>
        </w:rPr>
        <w:t>1</w:t>
      </w:r>
      <w:r w:rsidRPr="00C61710">
        <w:rPr>
          <w:rFonts w:eastAsia="Times New Roman" w:cs="Times New Roman"/>
          <w:szCs w:val="20"/>
          <w:lang w:val="es-GT" w:eastAsia="es-ES"/>
        </w:rPr>
        <w:t xml:space="preserve">). La ley confiere a esta Institución amplias facultades que incluyen el acceso irrestricto a los archivos de los servicios de inteligencia y demás archivos de instituciones públicas o privadas (art. </w:t>
      </w:r>
      <w:r w:rsidRPr="007879D3">
        <w:rPr>
          <w:rFonts w:eastAsia="Times New Roman" w:cs="Times New Roman"/>
          <w:szCs w:val="20"/>
          <w:lang w:val="es-GT" w:eastAsia="es-ES"/>
        </w:rPr>
        <w:t>6</w:t>
      </w:r>
      <w:r w:rsidRPr="00C61710">
        <w:rPr>
          <w:rFonts w:eastAsia="Times New Roman" w:cs="Times New Roman"/>
          <w:szCs w:val="20"/>
          <w:lang w:val="es-GT" w:eastAsia="es-ES"/>
        </w:rPr>
        <w:t xml:space="preserve">), y acceso a todos los lugares y establecimientos públicos o privados que considere relevantes para las investigaciones en curso (art. </w:t>
      </w:r>
      <w:r w:rsidRPr="007879D3">
        <w:rPr>
          <w:rFonts w:eastAsia="Times New Roman" w:cs="Times New Roman"/>
          <w:szCs w:val="20"/>
          <w:lang w:val="es-GT" w:eastAsia="es-ES"/>
        </w:rPr>
        <w:t>7</w:t>
      </w:r>
      <w:r w:rsidRPr="00C61710">
        <w:rPr>
          <w:rFonts w:eastAsia="Times New Roman" w:cs="Times New Roman"/>
          <w:szCs w:val="20"/>
          <w:lang w:val="es-GT" w:eastAsia="es-ES"/>
        </w:rPr>
        <w:t xml:space="preserve">). Además, la Institución está facultada para citar a declarar tanto a funcionarios del Estado como a particulares (art. </w:t>
      </w:r>
      <w:r w:rsidRPr="007879D3">
        <w:rPr>
          <w:rFonts w:eastAsia="Times New Roman" w:cs="Times New Roman"/>
          <w:szCs w:val="20"/>
          <w:lang w:val="es-GT" w:eastAsia="es-ES"/>
        </w:rPr>
        <w:t>8</w:t>
      </w:r>
      <w:r w:rsidRPr="00C61710">
        <w:rPr>
          <w:rFonts w:eastAsia="Times New Roman" w:cs="Times New Roman"/>
          <w:szCs w:val="20"/>
          <w:lang w:val="es-GT" w:eastAsia="es-ES"/>
        </w:rPr>
        <w:t>).</w:t>
      </w:r>
    </w:p>
    <w:p w14:paraId="3C47FF41"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16.</w:t>
      </w:r>
      <w:r w:rsidRPr="007879D3">
        <w:rPr>
          <w:rFonts w:eastAsia="Times New Roman" w:cs="Times New Roman"/>
          <w:bCs/>
          <w:szCs w:val="20"/>
          <w:lang w:val="es-GT" w:eastAsia="es-ES"/>
        </w:rPr>
        <w:tab/>
      </w:r>
      <w:r w:rsidRPr="00C61710">
        <w:rPr>
          <w:rFonts w:eastAsia="Times New Roman" w:cs="Times New Roman"/>
          <w:szCs w:val="20"/>
          <w:lang w:val="es-GT" w:eastAsia="es-ES"/>
        </w:rPr>
        <w:t>Antes de la promulgación de la Ley </w:t>
      </w:r>
      <w:r w:rsidRPr="007879D3">
        <w:rPr>
          <w:rFonts w:eastAsia="Times New Roman" w:cs="Times New Roman"/>
          <w:szCs w:val="20"/>
          <w:lang w:val="es-GT" w:eastAsia="es-ES"/>
        </w:rPr>
        <w:t>19</w:t>
      </w:r>
      <w:r w:rsidRPr="00C61710">
        <w:rPr>
          <w:rFonts w:eastAsia="Times New Roman" w:cs="Times New Roman"/>
          <w:szCs w:val="20"/>
          <w:lang w:val="es-GT" w:eastAsia="es-ES"/>
        </w:rPr>
        <w:t>.</w:t>
      </w:r>
      <w:r w:rsidRPr="007879D3">
        <w:rPr>
          <w:rFonts w:eastAsia="Times New Roman" w:cs="Times New Roman"/>
          <w:szCs w:val="20"/>
          <w:lang w:val="es-GT" w:eastAsia="es-ES"/>
        </w:rPr>
        <w:t>822</w:t>
      </w:r>
      <w:r w:rsidRPr="00C61710">
        <w:rPr>
          <w:rFonts w:eastAsia="Times New Roman" w:cs="Times New Roman"/>
          <w:szCs w:val="20"/>
          <w:lang w:val="es-GT" w:eastAsia="es-ES"/>
        </w:rPr>
        <w:t xml:space="preserve">, una Comisión Interministerial, creada en </w:t>
      </w:r>
      <w:r w:rsidRPr="007879D3">
        <w:rPr>
          <w:rFonts w:eastAsia="Times New Roman" w:cs="Times New Roman"/>
          <w:szCs w:val="20"/>
          <w:lang w:val="es-GT" w:eastAsia="es-ES"/>
        </w:rPr>
        <w:t>2012</w:t>
      </w:r>
      <w:r w:rsidRPr="007879D3">
        <w:rPr>
          <w:rFonts w:eastAsia="Times New Roman" w:cs="Times New Roman"/>
          <w:sz w:val="18"/>
          <w:szCs w:val="20"/>
          <w:vertAlign w:val="superscript"/>
          <w:lang w:eastAsia="es-ES"/>
        </w:rPr>
        <w:footnoteReference w:id="10"/>
      </w:r>
      <w:r w:rsidRPr="00C61710">
        <w:rPr>
          <w:rFonts w:eastAsia="Times New Roman" w:cs="Times New Roman"/>
          <w:szCs w:val="20"/>
          <w:lang w:val="es-GT" w:eastAsia="es-ES"/>
        </w:rPr>
        <w:t xml:space="preserve">, tenía entre sus tareas la de impulsar investigaciones con el fin de esclarecer lo sucedido durante la dictadura y avanzar en la búsqueda de las personas desaparecidas. Posteriormente, estas atribuciones fueron asignadas al Grupo de Trabajo por Verdad y Justicia, creado en mayo de </w:t>
      </w:r>
      <w:r w:rsidRPr="007879D3">
        <w:rPr>
          <w:rFonts w:eastAsia="Times New Roman" w:cs="Times New Roman"/>
          <w:szCs w:val="20"/>
          <w:lang w:val="es-GT" w:eastAsia="es-ES"/>
        </w:rPr>
        <w:t>2015</w:t>
      </w:r>
      <w:r w:rsidRPr="00C61710">
        <w:rPr>
          <w:rFonts w:eastAsia="Times New Roman" w:cs="Times New Roman"/>
          <w:szCs w:val="20"/>
          <w:lang w:val="es-GT" w:eastAsia="es-ES"/>
        </w:rPr>
        <w:t xml:space="preserve"> en el seno de la Secretaría de Derechos Humanos para el Pasado Reciente la que, junto al sistema de justicia, estaba a cargo de las tareas de búsqueda de personas desparecidas, con magros resultados. El </w:t>
      </w:r>
      <w:r w:rsidRPr="007879D3">
        <w:rPr>
          <w:rFonts w:eastAsia="Times New Roman" w:cs="Times New Roman"/>
          <w:szCs w:val="20"/>
          <w:lang w:val="es-GT" w:eastAsia="es-ES"/>
        </w:rPr>
        <w:t>6</w:t>
      </w:r>
      <w:r w:rsidRPr="00C61710">
        <w:rPr>
          <w:rFonts w:eastAsia="Times New Roman" w:cs="Times New Roman"/>
          <w:szCs w:val="20"/>
          <w:lang w:val="es-GT" w:eastAsia="es-ES"/>
        </w:rPr>
        <w:t xml:space="preserve"> de noviembre de </w:t>
      </w:r>
      <w:r w:rsidRPr="007879D3">
        <w:rPr>
          <w:rFonts w:eastAsia="Times New Roman" w:cs="Times New Roman"/>
          <w:szCs w:val="20"/>
          <w:lang w:val="es-GT" w:eastAsia="es-ES"/>
        </w:rPr>
        <w:t>2019</w:t>
      </w:r>
      <w:r w:rsidRPr="00C61710">
        <w:rPr>
          <w:rFonts w:eastAsia="Times New Roman" w:cs="Times New Roman"/>
          <w:szCs w:val="20"/>
          <w:lang w:val="es-GT" w:eastAsia="es-ES"/>
        </w:rPr>
        <w:t xml:space="preserve">, el Grupo de Trabajo por Verdad y Justicia presentó el informe final de su gestión para el período entre </w:t>
      </w:r>
      <w:r w:rsidRPr="007879D3">
        <w:rPr>
          <w:rFonts w:eastAsia="Times New Roman" w:cs="Times New Roman"/>
          <w:szCs w:val="20"/>
          <w:lang w:val="es-GT" w:eastAsia="es-ES"/>
        </w:rPr>
        <w:t>2015</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2019</w:t>
      </w:r>
      <w:r w:rsidRPr="00C61710">
        <w:rPr>
          <w:rFonts w:eastAsia="Times New Roman" w:cs="Times New Roman"/>
          <w:szCs w:val="20"/>
          <w:lang w:val="es-GT" w:eastAsia="es-ES"/>
        </w:rPr>
        <w:t xml:space="preserve">, con el que se daba por culminado su mandato, y el </w:t>
      </w:r>
      <w:r w:rsidRPr="007879D3">
        <w:rPr>
          <w:rFonts w:eastAsia="Times New Roman" w:cs="Times New Roman"/>
          <w:szCs w:val="20"/>
          <w:lang w:val="es-GT" w:eastAsia="es-ES"/>
        </w:rPr>
        <w:t>28</w:t>
      </w:r>
      <w:r w:rsidRPr="00C61710">
        <w:rPr>
          <w:rFonts w:eastAsia="Times New Roman" w:cs="Times New Roman"/>
          <w:szCs w:val="20"/>
          <w:lang w:val="es-GT" w:eastAsia="es-ES"/>
        </w:rPr>
        <w:t xml:space="preserve"> de febrero de </w:t>
      </w:r>
      <w:r w:rsidRPr="007879D3">
        <w:rPr>
          <w:rFonts w:eastAsia="Times New Roman" w:cs="Times New Roman"/>
          <w:szCs w:val="20"/>
          <w:lang w:val="es-GT" w:eastAsia="es-ES"/>
        </w:rPr>
        <w:t>2020</w:t>
      </w:r>
      <w:r w:rsidRPr="00C61710">
        <w:rPr>
          <w:rFonts w:eastAsia="Times New Roman" w:cs="Times New Roman"/>
          <w:szCs w:val="20"/>
          <w:lang w:val="es-GT" w:eastAsia="es-ES"/>
        </w:rPr>
        <w:t xml:space="preserve"> se completó el traspaso de materiales e información del Grupo de Trabajo por Verdad y Justicia a la Institución Nacional de Derechos Humanos y Defensoría del Pueblo</w:t>
      </w:r>
      <w:r w:rsidRPr="007879D3">
        <w:rPr>
          <w:rFonts w:eastAsia="Times New Roman" w:cs="Times New Roman"/>
          <w:sz w:val="18"/>
          <w:szCs w:val="20"/>
          <w:vertAlign w:val="superscript"/>
          <w:lang w:eastAsia="es-ES"/>
        </w:rPr>
        <w:footnoteReference w:id="11"/>
      </w:r>
      <w:r w:rsidRPr="00C61710">
        <w:rPr>
          <w:rFonts w:eastAsia="Times New Roman" w:cs="Times New Roman"/>
          <w:szCs w:val="20"/>
          <w:lang w:val="es-GT" w:eastAsia="es-ES"/>
        </w:rPr>
        <w:t xml:space="preserve">. </w:t>
      </w:r>
    </w:p>
    <w:p w14:paraId="31183B9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17.</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Durante su visita, </w:t>
      </w:r>
      <w:bookmarkStart w:id="4" w:name="_Hlk129518836"/>
      <w:r w:rsidRPr="00C61710">
        <w:rPr>
          <w:rFonts w:eastAsia="Times New Roman" w:cs="Times New Roman"/>
          <w:szCs w:val="20"/>
          <w:lang w:val="es-GT" w:eastAsia="es-ES"/>
        </w:rPr>
        <w:t xml:space="preserve">el Grupo de Trabajo comprobó un alto grado de credibilidad y confianza en la labor realizada por la Institución Nacional de Derechos Humanos y Defensoría del Pueblo por parte de las víctimas y de los colectivos de búsqueda. Esto se debió en buena medida a su independencia, acorde con los criterios establecidos en los principios relativos al estatuto de las instituciones nacionales de promoción y protección de los derechos humanos (Principios de París), y con un reconocimiento formal de su independencia por la Alianza Global de las Instituciones Nacionales de Derechos Humanos (acreditado con la clase A), lo que le ha permitido desempeñar efectivamente su tarea de control de los poderes del Estado. Asimismo, el Grupo de Trabajo acogió con satisfacción el hecho de que la Institución pudiera llevar a cabo su mandato con celeridad e independencia, y con recursos humanos, financieros y tecnológicos adecuados, aunque no siempre suficientes dado el tamaño y la urgencia de la tarea. </w:t>
      </w:r>
    </w:p>
    <w:bookmarkEnd w:id="4"/>
    <w:p w14:paraId="09B263E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18.</w:t>
      </w:r>
      <w:r w:rsidRPr="007879D3">
        <w:rPr>
          <w:rFonts w:eastAsia="Times New Roman" w:cs="Times New Roman"/>
          <w:bCs/>
          <w:szCs w:val="20"/>
          <w:lang w:val="es-GT" w:eastAsia="es-ES"/>
        </w:rPr>
        <w:tab/>
      </w:r>
      <w:r w:rsidRPr="00C61710">
        <w:rPr>
          <w:rFonts w:eastAsia="Times New Roman" w:cs="Times New Roman"/>
          <w:szCs w:val="20"/>
          <w:lang w:val="es-GT" w:eastAsia="es-ES"/>
        </w:rPr>
        <w:t>Sin embargo, el Grupo de Trabajo recibió con preocupación información acerca de las reiteradas declaraciones que tendían al desprestigio y el cuestionamiento público de la Institución Nacional de Derechos Humanos y Defensoría del Pueblo o de quienes la integran o la han integrado, formuladas por exponentes políticos y retomadas por algunos medios de comunicación. Estos hechos pueden dificultar el desempeño de las funciones de la Institución, incluidas sus tareas de búsqueda. El Grupo de Trabajo considera inaceptable cualquier ataque, amenaza o intimidación que atente contra la integridad personal y profesional de los integrantes de la Institución y vaya dirigida a cuestionar la labor de búsqueda de las personas desaparecidas y de protección de los derechos humanos.</w:t>
      </w:r>
    </w:p>
    <w:p w14:paraId="1BAE4A5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19.</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visita se llevó a cabo a unas semanas del proceso de renovación del Consejo Directivo de la Institución Nacional de Derechos Humanos y Defensoría del Pueblo, que concluyó en agosto de </w:t>
      </w:r>
      <w:r w:rsidRPr="007879D3">
        <w:rPr>
          <w:rFonts w:eastAsia="Times New Roman" w:cs="Times New Roman"/>
          <w:szCs w:val="20"/>
          <w:lang w:val="es-GT" w:eastAsia="es-ES"/>
        </w:rPr>
        <w:t>2022</w:t>
      </w:r>
      <w:r w:rsidRPr="00C61710">
        <w:rPr>
          <w:rFonts w:eastAsia="Times New Roman" w:cs="Times New Roman"/>
          <w:szCs w:val="20"/>
          <w:lang w:val="es-GT" w:eastAsia="es-ES"/>
        </w:rPr>
        <w:t xml:space="preserve">. El Grupo de Trabajo expresó entonces su preocupación por la información recibida sobre la intención de ciertos sectores políticos del país de querer controlar y politizar la Institución mediante la elección del nuevo Consejo Directivo e insistió en la necesidad de asegurar la ausencia de cualquier vínculo jerárquico o institucional entre candidatos y quienes los proponían, así como una independencia práctica de las personas candidatas y nombradas. </w:t>
      </w:r>
    </w:p>
    <w:p w14:paraId="0865B2E9"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20.</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lamenta que no se siguieran sus </w:t>
      </w:r>
      <w:hyperlink r:id="rId10" w:history="1">
        <w:r w:rsidRPr="00C61710">
          <w:rPr>
            <w:rFonts w:eastAsia="Times New Roman" w:cs="Times New Roman"/>
            <w:szCs w:val="20"/>
            <w:lang w:val="es-GT" w:eastAsia="es-ES"/>
          </w:rPr>
          <w:t>recomendaciones preliminares</w:t>
        </w:r>
      </w:hyperlink>
      <w:r w:rsidRPr="00C61710">
        <w:rPr>
          <w:rFonts w:eastAsia="Times New Roman" w:cs="Times New Roman"/>
          <w:szCs w:val="20"/>
          <w:lang w:val="es-GT" w:eastAsia="es-ES"/>
        </w:rPr>
        <w:t xml:space="preserve"> en la elección de los nuevos integrantes y reitera que la independencia de la Institución Nacional de Derechos Humanos y Defensoría del Pueblo es un elemento esencial para mantener la confianza de las víctimas y el público, y garantizar su adhesión al estado de derecho.</w:t>
      </w:r>
    </w:p>
    <w:p w14:paraId="408D51F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21.</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subraya que, aun sujeto a la competencia de la Institución Nacional de Derechos Humanos y Defensoría del Pueblo, </w:t>
      </w:r>
      <w:bookmarkStart w:id="5" w:name="_Hlk129518915"/>
      <w:r w:rsidRPr="00C61710">
        <w:rPr>
          <w:rFonts w:eastAsia="Times New Roman" w:cs="Times New Roman"/>
          <w:szCs w:val="20"/>
          <w:lang w:val="es-GT" w:eastAsia="es-ES"/>
        </w:rPr>
        <w:t xml:space="preserve">la búsqueda de las personas desaparecidas es una obligación internacional del Estado y, por lo tanto, las autoridades ejecutivas y parlamentarias deben asegurar que la Institución continúe recibiendo los recursos humanos, financieros y técnicos suficientes </w:t>
      </w:r>
      <w:bookmarkEnd w:id="5"/>
      <w:r w:rsidRPr="00C61710">
        <w:rPr>
          <w:rFonts w:eastAsia="Times New Roman" w:cs="Times New Roman"/>
          <w:szCs w:val="20"/>
          <w:lang w:val="es-GT" w:eastAsia="es-ES"/>
        </w:rPr>
        <w:t>para llevar a cabo sus tareas con toda la tecnología disponible necesaria para detectar y exhumar restos humanos. Por ejemplo, el Grupo de Trabajo recibió información relacionada con obstáculos y demoras en la obtención de la tecnología LIDAR de detección y localización por ondas luminosas, que fue prestada por la Argentina, si bien posteriormente se supo que estaba en dotación de las fuerzas armadas en el Uruguay y se hubiera podido emplear antes.</w:t>
      </w:r>
    </w:p>
    <w:p w14:paraId="088D2DF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22.</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Algunas de las asociaciones de víctimas y organizaciones de la sociedad civil lamentaron una falta de estrategia clara y ordenada por parte de la Institución Nacional de Derechos Humanos y Defensoría del Pueblo, argumentando, por ejemplo, que las excavaciones se realizan de manera aislada en distintos predios. Asimismo, </w:t>
      </w:r>
      <w:bookmarkStart w:id="6" w:name="_Hlk129519569"/>
      <w:r w:rsidRPr="00C61710">
        <w:rPr>
          <w:rFonts w:eastAsia="Times New Roman" w:cs="Times New Roman"/>
          <w:szCs w:val="20"/>
          <w:lang w:val="es-GT" w:eastAsia="es-ES"/>
        </w:rPr>
        <w:t>habría una falta de claridad en cuanto a los mecanismos de coordinación entre los trabajos de búsqueda y localización impulsados por la Institución y las labores de investigación e identificación de perpetradores por parte de la Fiscalía Especializada en Crímenes de Lesa Humanidad. En este sentido, las asociaciones de familiares de víctimas han enfatizado la necesidad de explicitar un plan de búsqueda integral, transparente, que garantice la participación de las víctimas y que se implemente de manera interdisciplinaria</w:t>
      </w:r>
      <w:bookmarkEnd w:id="6"/>
      <w:r w:rsidRPr="00C61710">
        <w:rPr>
          <w:rFonts w:eastAsia="Times New Roman" w:cs="Times New Roman"/>
          <w:szCs w:val="20"/>
          <w:lang w:val="es-GT" w:eastAsia="es-ES"/>
        </w:rPr>
        <w:t>. El Grupo de Trabajo insta a que el desempeño de esta obligación se rija de acuerdo con los Principios Rectores para la Búsqueda de Personas Desaparecidas del Comité contra la Desaparición Forzada.</w:t>
      </w:r>
    </w:p>
    <w:p w14:paraId="2B2A3FE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23.</w:t>
      </w:r>
      <w:r w:rsidRPr="007879D3">
        <w:rPr>
          <w:rFonts w:eastAsia="Times New Roman" w:cs="Times New Roman"/>
          <w:bCs/>
          <w:szCs w:val="20"/>
          <w:lang w:val="es-GT" w:eastAsia="es-ES"/>
        </w:rPr>
        <w:tab/>
      </w:r>
      <w:r w:rsidRPr="00C61710">
        <w:rPr>
          <w:rFonts w:eastAsia="Times New Roman" w:cs="Times New Roman"/>
          <w:szCs w:val="20"/>
          <w:lang w:val="es-GT" w:eastAsia="es-ES"/>
        </w:rPr>
        <w:t>Otro aspecto fundamental con respecto a la búsqueda de las personas desaparecidas es la necesidad de acceder a los archivos que pudieran contener información sobre su suerte o paradero. Sin embargo, en el Uruguay no ha habido un esfuerzo coordinado y sistemático por parte de las autoridades para identificar y rescatar los archivos existentes y conocer el número total de ellos.</w:t>
      </w:r>
    </w:p>
    <w:p w14:paraId="0EE1E6C5"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24.</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Los colectivos de familiares y las organizaciones de la sociedad civil insisten en la centralidad de la búsqueda de la verdad a través de los archivos. El hallazgo e incautación de un conjunto importante de microfilms en </w:t>
      </w:r>
      <w:r w:rsidRPr="007879D3">
        <w:rPr>
          <w:rFonts w:eastAsia="Times New Roman" w:cs="Times New Roman"/>
          <w:szCs w:val="20"/>
          <w:lang w:val="es-GT" w:eastAsia="es-ES"/>
        </w:rPr>
        <w:t>2006</w:t>
      </w:r>
      <w:r w:rsidRPr="007879D3">
        <w:rPr>
          <w:rFonts w:eastAsia="Times New Roman" w:cs="Times New Roman"/>
          <w:sz w:val="18"/>
          <w:szCs w:val="20"/>
          <w:vertAlign w:val="superscript"/>
          <w:lang w:eastAsia="es-ES"/>
        </w:rPr>
        <w:footnoteReference w:id="12"/>
      </w:r>
      <w:r w:rsidRPr="00C61710">
        <w:rPr>
          <w:rFonts w:eastAsia="Times New Roman" w:cs="Times New Roman"/>
          <w:szCs w:val="20"/>
          <w:lang w:val="es-GT" w:eastAsia="es-ES"/>
        </w:rPr>
        <w:t xml:space="preserve"> sugeriría la existencia de otros repositorios documentales de origen militar que podrían contribuir al esclarecimiento de las desapariciones forzadas en el Uruguay.</w:t>
      </w:r>
    </w:p>
    <w:p w14:paraId="0B5EDE59"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25.</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Las familias han interpuesto solicitudes de acceso a la información con respecto al contenido de este y otros archivos. Sin embargo, señalan que a veces se les proporcionan documentos sin significancia o se les responde que no es posible encontrar la información que solicitan. Las dificultades en acceder a los archivos se verían agravadas, </w:t>
      </w:r>
      <w:proofErr w:type="gramStart"/>
      <w:r w:rsidRPr="00C61710">
        <w:rPr>
          <w:rFonts w:eastAsia="Times New Roman" w:cs="Times New Roman"/>
          <w:szCs w:val="20"/>
          <w:lang w:val="es-GT" w:eastAsia="es-ES"/>
        </w:rPr>
        <w:t>de acuerdo a</w:t>
      </w:r>
      <w:proofErr w:type="gramEnd"/>
      <w:r w:rsidRPr="00C61710">
        <w:rPr>
          <w:rFonts w:eastAsia="Times New Roman" w:cs="Times New Roman"/>
          <w:szCs w:val="20"/>
          <w:lang w:val="es-GT" w:eastAsia="es-ES"/>
        </w:rPr>
        <w:t xml:space="preserve"> las organizaciones de la sociedad civil, por la persistencia de una ideología militar que aún percibe a quienes reclaman la verdad como “enemigos internos”, lo que impide que se proporcione información. </w:t>
      </w:r>
    </w:p>
    <w:p w14:paraId="5184BA72"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26.</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De acuerdo con la información recibida, la Institución Nacional de Derechos Humanos y Defensoría del Pueblo propuso establecer una política de Estado para la localización y revisión de todos los archivos militares, que debería regirse por los principios de proactividad, sistematicidad y celeridad, para avanzar de forma ordenada y pronta en esta importante área. </w:t>
      </w:r>
    </w:p>
    <w:p w14:paraId="6BF19781" w14:textId="77777777" w:rsidR="00C61710" w:rsidRPr="007879D3" w:rsidRDefault="00C61710" w:rsidP="00C61710">
      <w:pPr>
        <w:tabs>
          <w:tab w:val="left" w:pos="1701"/>
          <w:tab w:val="left" w:pos="2268"/>
          <w:tab w:val="left" w:pos="2835"/>
        </w:tabs>
        <w:suppressAutoHyphens/>
        <w:bidi w:val="0"/>
        <w:spacing w:after="120"/>
        <w:ind w:left="1134" w:right="1134"/>
        <w:jc w:val="both"/>
        <w:rPr>
          <w:rFonts w:eastAsia="Times New Roman" w:cs="Times New Roman"/>
          <w:b/>
          <w:sz w:val="28"/>
          <w:szCs w:val="20"/>
          <w:lang w:val="es-GT" w:eastAsia="es-ES"/>
        </w:rPr>
      </w:pPr>
      <w:r w:rsidRPr="007879D3">
        <w:rPr>
          <w:rFonts w:eastAsia="Times New Roman" w:cs="Times New Roman"/>
          <w:bCs/>
          <w:szCs w:val="20"/>
          <w:lang w:val="es-GT" w:eastAsia="es-ES"/>
        </w:rPr>
        <w:t>27.</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alienta a que se tomen todas las medidas necesarias para garantizar el acceso a toda la información pertinente, incluida la contenida en los registros y archivos de los órganos militares, policiales y de inteligencia; e insiste en que este tipo de políticas deben prever los recursos humanos y materiales necesarios para la evaluación de la información de los archivos, de la que deben encargarse profesionales especializados e independientes de las autoridades de la institución que pueda verse afectada por la información revelada</w:t>
      </w:r>
      <w:r w:rsidRPr="007879D3">
        <w:rPr>
          <w:rFonts w:eastAsia="Times New Roman" w:cs="Times New Roman"/>
          <w:sz w:val="18"/>
          <w:szCs w:val="20"/>
          <w:vertAlign w:val="superscript"/>
          <w:lang w:eastAsia="es-ES"/>
        </w:rPr>
        <w:footnoteReference w:id="13"/>
      </w:r>
      <w:r w:rsidRPr="00C61710">
        <w:rPr>
          <w:rFonts w:eastAsia="Times New Roman" w:cs="Times New Roman"/>
          <w:szCs w:val="20"/>
          <w:lang w:val="es-GT" w:eastAsia="es-ES"/>
        </w:rPr>
        <w:t>.</w:t>
      </w:r>
    </w:p>
    <w:p w14:paraId="2E4E25E0"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III.</w:t>
      </w:r>
      <w:r w:rsidRPr="007879D3">
        <w:rPr>
          <w:rFonts w:eastAsia="Times New Roman" w:cs="Times New Roman"/>
          <w:b/>
          <w:sz w:val="28"/>
          <w:szCs w:val="20"/>
          <w:lang w:val="es-GT" w:eastAsia="es-ES"/>
        </w:rPr>
        <w:tab/>
        <w:t>Derecho a la justicia</w:t>
      </w:r>
    </w:p>
    <w:p w14:paraId="070FDF8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28.</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pudo constatar durante la visita los efectos que han generado la existencia de un marco legislativo deficiente, una ley de amnistía como la Ley </w:t>
      </w:r>
      <w:r w:rsidRPr="007879D3">
        <w:rPr>
          <w:rFonts w:eastAsia="Times New Roman" w:cs="Times New Roman"/>
          <w:szCs w:val="20"/>
          <w:lang w:val="es-GT" w:eastAsia="es-ES"/>
        </w:rPr>
        <w:t>15848</w:t>
      </w:r>
      <w:r w:rsidRPr="00C61710">
        <w:rPr>
          <w:rFonts w:eastAsia="Times New Roman" w:cs="Times New Roman"/>
          <w:szCs w:val="20"/>
          <w:lang w:val="es-GT" w:eastAsia="es-ES"/>
        </w:rPr>
        <w:t xml:space="preserve"> de Caducidad de la Pretensión Punitiva del Estado, y una judicatura que no ha interpretado la ley a la luz del derecho internacional, lo que ha facilitado un patrón de impunidad para los casos de desapariciones forzadas iniciadas durante el período comprendido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1975</w:t>
      </w:r>
      <w:r w:rsidRPr="00C61710">
        <w:rPr>
          <w:rFonts w:eastAsia="Times New Roman" w:cs="Times New Roman"/>
          <w:szCs w:val="20"/>
          <w:lang w:val="es-GT" w:eastAsia="es-ES"/>
        </w:rPr>
        <w:t xml:space="preserve">. </w:t>
      </w:r>
    </w:p>
    <w:p w14:paraId="06FE75F7"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29.</w:t>
      </w:r>
      <w:r w:rsidRPr="007879D3">
        <w:rPr>
          <w:rFonts w:eastAsia="Times New Roman" w:cs="Times New Roman"/>
          <w:bCs/>
          <w:szCs w:val="20"/>
          <w:lang w:val="es-GT" w:eastAsia="es-ES"/>
        </w:rPr>
        <w:tab/>
      </w:r>
      <w:r w:rsidRPr="00C61710">
        <w:rPr>
          <w:rFonts w:eastAsia="Times New Roman" w:cs="Times New Roman"/>
          <w:szCs w:val="20"/>
          <w:lang w:val="es-GT" w:eastAsia="es-ES"/>
        </w:rPr>
        <w:t>Este patrón de impunidad, sostenido por décadas, ha ocasionado que muchas víctimas y sus familiares, quienes durante años aportaron de manera exclusiva información clave sobre los hechos, no pudieran ver plasmados los avances en los procesos penales mientras, al mismo tiempo, muchos victimarios no han llegado a ser sancionados por haber fallecido antes de que se emitiera una sentencia definitiva. Si bien las reformas legislativas e institucionales que se han producido en la última década han permitido algunos avances, las investigaciones y los juicios en curso, desarrollados en el marco del antiguo procedimiento inquisitorial, se caracterizan por su extrema lentitud.</w:t>
      </w:r>
    </w:p>
    <w:p w14:paraId="6B00423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30.</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Sin embargo, durante la visita, el Grupo de Trabajo pudo valorar importantes avances en materia de lucha contra la impunidad, al derogarse la Ley de Caducidad, tipificarse el delito de desaparición forzada en </w:t>
      </w:r>
      <w:r w:rsidRPr="007879D3">
        <w:rPr>
          <w:rFonts w:eastAsia="Times New Roman" w:cs="Times New Roman"/>
          <w:szCs w:val="20"/>
          <w:lang w:val="es-GT" w:eastAsia="es-ES"/>
        </w:rPr>
        <w:t>2006</w:t>
      </w:r>
      <w:r w:rsidRPr="00C61710">
        <w:rPr>
          <w:rFonts w:eastAsia="Times New Roman" w:cs="Times New Roman"/>
          <w:szCs w:val="20"/>
          <w:lang w:val="es-GT" w:eastAsia="es-ES"/>
        </w:rPr>
        <w:t xml:space="preserve">, reconocerse oficialmente la responsabilidad del Estado por su acción criminal e ilegítima durante el período comprendido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1975</w:t>
      </w:r>
      <w:r w:rsidRPr="00C61710">
        <w:rPr>
          <w:rFonts w:eastAsia="Times New Roman" w:cs="Times New Roman"/>
          <w:szCs w:val="20"/>
          <w:lang w:val="es-GT" w:eastAsia="es-ES"/>
        </w:rPr>
        <w:t xml:space="preserve"> y, en particular, crearse una Fiscalía Especializada en Crímenes de Lesa Humanidad, cuya actuación ha recibido una opinión positiva unánime de parte de todas las personas con las que el Grupo de Trabajo pudo reunirse, incluidas las víctimas. Si bien se ha informado que la actual composición de la Corte Suprema ha ido uniformando la jurisprudencia y de esa manera ha superado algunos obstáculos jurídicos que agravaban las demoras en los procesos penales a través del uso del mecanismo de decisión anticipada, preocupa al Grupo de Trabajo el hecho de que el avance de los casos dependa de la composición circunstancial de la Corte Suprema, ante la carencia de un marco legislativo sólido que perdure en el tiempo.  </w:t>
      </w:r>
    </w:p>
    <w:p w14:paraId="03FA499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31.</w:t>
      </w:r>
      <w:r w:rsidRPr="007879D3">
        <w:rPr>
          <w:rFonts w:eastAsia="Times New Roman" w:cs="Times New Roman"/>
          <w:bCs/>
          <w:szCs w:val="20"/>
          <w:lang w:val="es-GT" w:eastAsia="es-ES"/>
        </w:rPr>
        <w:tab/>
      </w:r>
      <w:r w:rsidRPr="00C61710">
        <w:rPr>
          <w:rFonts w:eastAsia="Times New Roman" w:cs="Times New Roman"/>
          <w:szCs w:val="20"/>
          <w:lang w:val="es-GT" w:eastAsia="es-ES"/>
        </w:rPr>
        <w:t>Por otro lado, se recibió información sobre ataques y críticas a la Fiscalía Especializada en Crímenes de Lesa Humanidad, bajo la acusación de “remover el pasado”. Dicha Fiscalía cuenta además con una pequeña estructura para llevar adelante una cantidad significativa de casos, que tienen la complejidad propia de tratarse de delitos de Estado, ocurridos desde hace cinco décadas, con multiplicidad de víctimas y victimarios. Le inquieta al Grupo de Trabajo que esta Fiscalía no tiene un anclaje normativo, por lo que su continuidad depende de la voluntad de quien ejerza la titularidad de la Fiscalía General.</w:t>
      </w:r>
    </w:p>
    <w:p w14:paraId="33E63CD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32.</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Por ello, el Grupo de Trabajo hace propio lo dispuesto en la sentencia de la Corte Interamericana de Derechos Humanos en el caso </w:t>
      </w:r>
      <w:proofErr w:type="spellStart"/>
      <w:r w:rsidRPr="007879D3">
        <w:rPr>
          <w:rFonts w:eastAsia="Times New Roman" w:cs="Times New Roman"/>
          <w:i/>
          <w:szCs w:val="20"/>
          <w:lang w:val="es-GT" w:eastAsia="es-ES"/>
        </w:rPr>
        <w:t>Maidanik</w:t>
      </w:r>
      <w:proofErr w:type="spellEnd"/>
      <w:r w:rsidRPr="007879D3">
        <w:rPr>
          <w:rFonts w:eastAsia="Times New Roman" w:cs="Times New Roman"/>
          <w:i/>
          <w:szCs w:val="20"/>
          <w:lang w:val="es-GT" w:eastAsia="es-ES"/>
        </w:rPr>
        <w:t xml:space="preserve"> y otros</w:t>
      </w:r>
      <w:r w:rsidRPr="00C61710">
        <w:rPr>
          <w:rFonts w:eastAsia="Times New Roman" w:cs="Times New Roman"/>
          <w:szCs w:val="20"/>
          <w:lang w:val="es-GT" w:eastAsia="es-ES"/>
        </w:rPr>
        <w:t xml:space="preserve"> </w:t>
      </w:r>
      <w:r w:rsidRPr="007879D3">
        <w:rPr>
          <w:rFonts w:eastAsia="Times New Roman" w:cs="Times New Roman"/>
          <w:i/>
          <w:iCs/>
          <w:szCs w:val="20"/>
          <w:lang w:val="es-GT" w:eastAsia="es-ES"/>
        </w:rPr>
        <w:t xml:space="preserve">vs. el </w:t>
      </w:r>
      <w:r w:rsidRPr="007879D3">
        <w:rPr>
          <w:rFonts w:eastAsia="Times New Roman" w:cs="Times New Roman"/>
          <w:i/>
          <w:szCs w:val="20"/>
          <w:lang w:val="es-GT" w:eastAsia="es-ES"/>
        </w:rPr>
        <w:t>Uruguay</w:t>
      </w:r>
      <w:r w:rsidRPr="007879D3">
        <w:rPr>
          <w:rFonts w:eastAsia="Times New Roman" w:cs="Times New Roman"/>
          <w:iCs/>
          <w:sz w:val="18"/>
          <w:szCs w:val="20"/>
          <w:vertAlign w:val="superscript"/>
          <w:lang w:eastAsia="es-ES"/>
        </w:rPr>
        <w:footnoteReference w:id="14"/>
      </w:r>
      <w:r w:rsidRPr="007879D3">
        <w:rPr>
          <w:rFonts w:eastAsia="Times New Roman" w:cs="Times New Roman"/>
          <w:iCs/>
          <w:szCs w:val="20"/>
          <w:lang w:val="es-GT" w:eastAsia="es-ES"/>
        </w:rPr>
        <w:t xml:space="preserve"> con </w:t>
      </w:r>
      <w:r w:rsidRPr="00C61710">
        <w:rPr>
          <w:rFonts w:eastAsia="Times New Roman" w:cs="Times New Roman"/>
          <w:szCs w:val="20"/>
          <w:lang w:val="es-GT" w:eastAsia="es-ES"/>
        </w:rPr>
        <w:t xml:space="preserve">respecto al fortalecimiento de la capacidad de la Fiscalía Especializada en Crímenes de Lesa Humanidad, y resalta que se deben garantizar su estabilidad y recursos humanos, técnicos y financieros suficientes. </w:t>
      </w:r>
    </w:p>
    <w:p w14:paraId="22B8B7C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33.</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insiste en el reconocimiento de la lucha incansable de las familias de personas desaparecidas, que no solo han aportado información clave para las investigaciones, sino que, frente al contexto de impunidad en el país, impulsaron procesos judiciales en Italia e hicieron aportes trascendentales para el avance de juicios en la Argentina, tanto en la “</w:t>
      </w:r>
      <w:proofErr w:type="spellStart"/>
      <w:r w:rsidRPr="00C61710">
        <w:rPr>
          <w:rFonts w:eastAsia="Times New Roman" w:cs="Times New Roman"/>
          <w:szCs w:val="20"/>
          <w:lang w:val="es-GT" w:eastAsia="es-ES"/>
        </w:rPr>
        <w:t>megacausa</w:t>
      </w:r>
      <w:proofErr w:type="spellEnd"/>
      <w:r w:rsidRPr="00C61710">
        <w:rPr>
          <w:rFonts w:eastAsia="Times New Roman" w:cs="Times New Roman"/>
          <w:szCs w:val="20"/>
          <w:lang w:val="es-GT" w:eastAsia="es-ES"/>
        </w:rPr>
        <w:t xml:space="preserve"> Operación Cóndor” como en relación con otros juicios en los que se juzgaron hechos ocurridos en centros clandestinos de detención, como aquellos realizados sobre los Pozos de Banfield y de Quilmes, y Automotores </w:t>
      </w:r>
      <w:proofErr w:type="spellStart"/>
      <w:r w:rsidRPr="00C61710">
        <w:rPr>
          <w:rFonts w:eastAsia="Times New Roman" w:cs="Times New Roman"/>
          <w:szCs w:val="20"/>
          <w:lang w:val="es-GT" w:eastAsia="es-ES"/>
        </w:rPr>
        <w:t>Orletti</w:t>
      </w:r>
      <w:proofErr w:type="spellEnd"/>
      <w:r w:rsidRPr="007879D3">
        <w:rPr>
          <w:rFonts w:eastAsia="Times New Roman" w:cs="Times New Roman"/>
          <w:sz w:val="18"/>
          <w:szCs w:val="20"/>
          <w:vertAlign w:val="superscript"/>
          <w:lang w:eastAsia="es-ES"/>
        </w:rPr>
        <w:footnoteReference w:id="15"/>
      </w:r>
      <w:r w:rsidRPr="00C61710">
        <w:rPr>
          <w:rFonts w:eastAsia="Times New Roman" w:cs="Times New Roman"/>
          <w:szCs w:val="20"/>
          <w:lang w:val="es-GT" w:eastAsia="es-ES"/>
        </w:rPr>
        <w:t>.</w:t>
      </w:r>
    </w:p>
    <w:p w14:paraId="2370406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34.</w:t>
      </w:r>
      <w:r w:rsidRPr="007879D3">
        <w:rPr>
          <w:rFonts w:eastAsia="Times New Roman" w:cs="Times New Roman"/>
          <w:bCs/>
          <w:szCs w:val="20"/>
          <w:lang w:val="es-GT" w:eastAsia="es-ES"/>
        </w:rPr>
        <w:tab/>
      </w:r>
      <w:r w:rsidRPr="00C61710">
        <w:rPr>
          <w:rFonts w:eastAsia="Times New Roman" w:cs="Times New Roman"/>
          <w:szCs w:val="20"/>
          <w:lang w:val="es-GT" w:eastAsia="es-ES"/>
        </w:rPr>
        <w:t>Sin embargo, el Grupo de Trabajo recibió información según la cual el Uruguay no brindaría de manera sistemática las facilidades, la asistencia y el apoyo necesarios a los familiares de personas desaparecidas uruguayas que quieran participar en dichos procedimientos ya sea como testigos, partes civiles o víctimas. Asimismo, prevalecería una falta de proactividad respecto a solicitudes de extradición de personas uruguayas condenadas o procesadas en el contexto de estos casos y actualmente fugitivas, si bien ha sido denunciada su presencia en Estados fronterizos con el Uruguay y, en ocasiones, en el propio territorio del Uruguay.</w:t>
      </w:r>
    </w:p>
    <w:p w14:paraId="2463EF89"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35.</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carencia en materia de rendición de cuentas, extendida durante décadas, dejó marcas indelebles en las víctimas y en la sociedad, y debe ser por lo tanto una premisa sobre la cual desarrollar políticas de investigación, enjuiciamiento y sanción a los responsables que deben caracterizarse por su prioridad dentro de la política criminal del Estado.  </w:t>
      </w:r>
    </w:p>
    <w:p w14:paraId="28E92A1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36.</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fue informado del enjuiciamiento de nuevos casos de crímenes de lesa humanidad y acoge positivamente que se haya llevado a cabo el primer juicio oral en ese marco, que tiene la potencialidad de garantizar la publicidad, el acceso a la información, la reconstrucción de la verdad y el establecimiento de garantías de no repetición</w:t>
      </w:r>
      <w:r w:rsidRPr="007879D3">
        <w:rPr>
          <w:rFonts w:eastAsia="Times New Roman" w:cs="Times New Roman"/>
          <w:sz w:val="18"/>
          <w:szCs w:val="20"/>
          <w:vertAlign w:val="superscript"/>
          <w:lang w:eastAsia="es-ES"/>
        </w:rPr>
        <w:footnoteReference w:id="16"/>
      </w:r>
      <w:r w:rsidRPr="00C61710">
        <w:rPr>
          <w:rFonts w:eastAsia="Times New Roman" w:cs="Times New Roman"/>
          <w:szCs w:val="20"/>
          <w:lang w:val="es-GT" w:eastAsia="es-ES"/>
        </w:rPr>
        <w:t xml:space="preserve">. Los nuevos desafíos derivados de estos procesos requieren que se aseguren el apoyo psicosocial, logístico y financiero de manera que se garantice adecuadamente el acceso a la justicia para víctimas y testigos, y se protejan sus derechos. </w:t>
      </w:r>
    </w:p>
    <w:p w14:paraId="1401A87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37.</w:t>
      </w:r>
      <w:r w:rsidRPr="007879D3">
        <w:rPr>
          <w:rFonts w:eastAsia="Times New Roman" w:cs="Times New Roman"/>
          <w:bCs/>
          <w:szCs w:val="20"/>
          <w:lang w:val="es-GT" w:eastAsia="es-ES"/>
        </w:rPr>
        <w:tab/>
      </w:r>
      <w:r w:rsidRPr="00C61710">
        <w:rPr>
          <w:rFonts w:eastAsia="Times New Roman" w:cs="Times New Roman"/>
          <w:szCs w:val="20"/>
          <w:lang w:val="es-GT" w:eastAsia="es-ES"/>
        </w:rPr>
        <w:t>Se identificaron asimismo dificultades en el acceso de las víctimas a la justicia, en concreto en sus posibilidades reales de conocer el avance de las investigaciones, de ofrecer y controlar la producción de la prueba y de poder recurrir las medidas que les afecten. El Grupo de Trabajo insta al Estado a que ofrezca todas las garantías de acceso a la justicia aun en aquellos casos tramitados con el antiguo procedimiento penal. En particular, debe asegurarse el patrocinio legal gratuito a las víctimas, teniendo en cuenta la oportunidad de hacerlo a través del fortalecimiento de la Defensoría Pública.</w:t>
      </w:r>
    </w:p>
    <w:p w14:paraId="1EA81EAB"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38.</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w:t>
      </w:r>
      <w:proofErr w:type="gramStart"/>
      <w:r w:rsidRPr="00C61710">
        <w:rPr>
          <w:rFonts w:eastAsia="Times New Roman" w:cs="Times New Roman"/>
          <w:szCs w:val="20"/>
          <w:lang w:val="es-GT" w:eastAsia="es-ES"/>
        </w:rPr>
        <w:t>participación activa</w:t>
      </w:r>
      <w:proofErr w:type="gramEnd"/>
      <w:r w:rsidRPr="00C61710">
        <w:rPr>
          <w:rFonts w:eastAsia="Times New Roman" w:cs="Times New Roman"/>
          <w:szCs w:val="20"/>
          <w:lang w:val="es-GT" w:eastAsia="es-ES"/>
        </w:rPr>
        <w:t xml:space="preserve"> de las víctimas y sus familias en los procesos judiciales es también el mejor medio de garantizar la transparencia y la rendición de cuentas en el proceso de investigación, y así, junto a la sociedad civil y otras organizaciones no gubernamentales, han desempeñado a menudo un papel fundamental en la obtención de pruebas y el logro de avances significativos por su intervención en las actuaciones judiciales relacionadas con las denuncias de desapariciones forzadas</w:t>
      </w:r>
      <w:r w:rsidRPr="007879D3">
        <w:rPr>
          <w:rFonts w:eastAsia="Times New Roman" w:cs="Times New Roman"/>
          <w:sz w:val="18"/>
          <w:szCs w:val="20"/>
          <w:vertAlign w:val="superscript"/>
          <w:lang w:eastAsia="es-ES"/>
        </w:rPr>
        <w:footnoteReference w:id="17"/>
      </w:r>
      <w:r w:rsidRPr="00C61710">
        <w:rPr>
          <w:rFonts w:eastAsia="Times New Roman" w:cs="Times New Roman"/>
          <w:szCs w:val="20"/>
          <w:lang w:val="es-GT" w:eastAsia="es-ES"/>
        </w:rPr>
        <w:t>.</w:t>
      </w:r>
    </w:p>
    <w:p w14:paraId="32AD4643"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39.</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recibió información acerca de las denuncias presentadas en </w:t>
      </w:r>
      <w:r w:rsidRPr="007879D3">
        <w:rPr>
          <w:rFonts w:eastAsia="Times New Roman" w:cs="Times New Roman"/>
          <w:szCs w:val="20"/>
          <w:lang w:val="es-GT" w:eastAsia="es-ES"/>
        </w:rPr>
        <w:t>2011</w:t>
      </w:r>
      <w:r w:rsidRPr="00C61710">
        <w:rPr>
          <w:rFonts w:eastAsia="Times New Roman" w:cs="Times New Roman"/>
          <w:szCs w:val="20"/>
          <w:lang w:val="es-GT" w:eastAsia="es-ES"/>
        </w:rPr>
        <w:t xml:space="preserve"> por </w:t>
      </w:r>
      <w:r w:rsidRPr="007879D3">
        <w:rPr>
          <w:rFonts w:eastAsia="Times New Roman" w:cs="Times New Roman"/>
          <w:szCs w:val="20"/>
          <w:lang w:val="es-GT" w:eastAsia="es-ES"/>
        </w:rPr>
        <w:t>28</w:t>
      </w:r>
      <w:r w:rsidRPr="00C61710">
        <w:rPr>
          <w:rFonts w:eastAsia="Times New Roman" w:cs="Times New Roman"/>
          <w:szCs w:val="20"/>
          <w:lang w:val="es-GT" w:eastAsia="es-ES"/>
        </w:rPr>
        <w:t xml:space="preserve"> mujeres que fueron víctimas de violencia sexual mientras eran sometidas a desaparición forzada en centros clandestinos de detención en todo el país. Las violaciones fueron perpetradas de manera generalizada a las mujeres secuestradas, y habían quedado invisibilizadas hasta la valiente decisión de denunciar los hechos. </w:t>
      </w:r>
    </w:p>
    <w:p w14:paraId="3C6D3E6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40.</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Sin embargo, el Grupo de Trabajo lamenta los pocos avances que ha tenido el caso, a pesar de que se había identificado inicialmente a más de </w:t>
      </w:r>
      <w:r w:rsidRPr="007879D3">
        <w:rPr>
          <w:rFonts w:eastAsia="Times New Roman" w:cs="Times New Roman"/>
          <w:szCs w:val="20"/>
          <w:lang w:val="es-GT" w:eastAsia="es-ES"/>
        </w:rPr>
        <w:t>100</w:t>
      </w:r>
      <w:r w:rsidRPr="00C61710">
        <w:rPr>
          <w:rFonts w:eastAsia="Times New Roman" w:cs="Times New Roman"/>
          <w:szCs w:val="20"/>
          <w:lang w:val="es-GT" w:eastAsia="es-ES"/>
        </w:rPr>
        <w:t xml:space="preserve"> perpetradores, y solo se ha llegado al procesamiento y condena de dos imputados. En la tramitación del caso, el expediente pasó por tres jueces distintos y se sometió a las víctimas a prácticas </w:t>
      </w:r>
      <w:proofErr w:type="spellStart"/>
      <w:r w:rsidRPr="00C61710">
        <w:rPr>
          <w:rFonts w:eastAsia="Times New Roman" w:cs="Times New Roman"/>
          <w:szCs w:val="20"/>
          <w:lang w:val="es-GT" w:eastAsia="es-ES"/>
        </w:rPr>
        <w:t>retraumatizantes</w:t>
      </w:r>
      <w:proofErr w:type="spellEnd"/>
      <w:r w:rsidRPr="00C61710">
        <w:rPr>
          <w:rFonts w:eastAsia="Times New Roman" w:cs="Times New Roman"/>
          <w:szCs w:val="20"/>
          <w:lang w:val="es-GT" w:eastAsia="es-ES"/>
        </w:rPr>
        <w:t xml:space="preserve"> durante sus declaraciones y los peritajes que debieron enfrentar, sin tener en cuenta sus necesidades de cuidado y reparación.</w:t>
      </w:r>
    </w:p>
    <w:p w14:paraId="45FFA28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41.</w:t>
      </w:r>
      <w:r w:rsidRPr="007879D3">
        <w:rPr>
          <w:rFonts w:eastAsia="Times New Roman" w:cs="Times New Roman"/>
          <w:bCs/>
          <w:szCs w:val="20"/>
          <w:lang w:val="es-GT" w:eastAsia="es-ES"/>
        </w:rPr>
        <w:tab/>
      </w:r>
      <w:r w:rsidRPr="00C61710">
        <w:rPr>
          <w:rFonts w:eastAsia="Times New Roman" w:cs="Times New Roman"/>
          <w:szCs w:val="20"/>
          <w:lang w:val="es-GT" w:eastAsia="es-ES"/>
        </w:rPr>
        <w:t>Las mujeres sometidas a desaparición forzada son especialmente vulnerables a la violencia sexual, incluida la violación y el embarazo forzado, así como a diversas formas de humillaciones y daños físicos y mentales, que también pueden considerarse tortura</w:t>
      </w:r>
      <w:r w:rsidRPr="007879D3">
        <w:rPr>
          <w:rFonts w:eastAsia="Times New Roman" w:cs="Times New Roman"/>
          <w:szCs w:val="20"/>
          <w:vertAlign w:val="superscript"/>
          <w:lang w:eastAsia="es-ES"/>
        </w:rPr>
        <w:footnoteReference w:id="18"/>
      </w:r>
      <w:r w:rsidRPr="00C61710">
        <w:rPr>
          <w:rFonts w:eastAsia="Times New Roman" w:cs="Times New Roman"/>
          <w:szCs w:val="20"/>
          <w:lang w:val="es-GT" w:eastAsia="es-ES"/>
        </w:rPr>
        <w:t>.</w:t>
      </w:r>
      <w:r w:rsidRPr="00C61710">
        <w:rPr>
          <w:rFonts w:eastAsia="Times New Roman" w:cs="Times New Roman"/>
          <w:szCs w:val="20"/>
          <w:vertAlign w:val="superscript"/>
          <w:lang w:val="es-GT" w:eastAsia="es-ES"/>
        </w:rPr>
        <w:t>.</w:t>
      </w:r>
      <w:r w:rsidRPr="00C61710">
        <w:rPr>
          <w:rFonts w:eastAsia="Times New Roman" w:cs="Times New Roman"/>
          <w:szCs w:val="20"/>
          <w:lang w:val="es-GT" w:eastAsia="es-ES"/>
        </w:rPr>
        <w:t>Por ello, se ha recomendado la adopción de un enfoque basado en género en las investigaciones, que incluya protocolos, cuestionarios y guías específicos para entrevistar a las víctimas y las testigos y se tenga en cuenta la especial importancia probatoria de sus testimonios. También que se establezcan mecanismos que permitan a las mujeres denunciar su experiencia en un marco de respeto y privacidad y que, cuando sea necesario, les proporcionen apoyo psicosocial</w:t>
      </w:r>
      <w:r w:rsidRPr="007879D3">
        <w:rPr>
          <w:rFonts w:eastAsia="Times New Roman" w:cs="Times New Roman"/>
          <w:szCs w:val="20"/>
          <w:vertAlign w:val="superscript"/>
          <w:lang w:eastAsia="es-ES"/>
        </w:rPr>
        <w:footnoteReference w:id="19"/>
      </w:r>
      <w:r w:rsidRPr="00C61710">
        <w:rPr>
          <w:rFonts w:eastAsia="Times New Roman" w:cs="Times New Roman"/>
          <w:szCs w:val="20"/>
          <w:lang w:val="es-GT" w:eastAsia="es-ES"/>
        </w:rPr>
        <w:t>.</w:t>
      </w:r>
    </w:p>
    <w:p w14:paraId="7B0AD5D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42.</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ha establecido que para que el procedimiento penal sea reparador, además de evitar demoras injustificadas, es esencial que los delitos sexuales cometidos en el contexto de desapariciones se atribuyan de forma autónoma a las desapariciones forzadas y a la tortura, y que el impacto diferencial se refleje en la gravedad de las penas previstas en la legislación</w:t>
      </w:r>
      <w:r w:rsidRPr="007879D3">
        <w:rPr>
          <w:rFonts w:eastAsia="Times New Roman" w:cs="Times New Roman"/>
          <w:szCs w:val="20"/>
          <w:vertAlign w:val="superscript"/>
          <w:lang w:eastAsia="es-ES"/>
        </w:rPr>
        <w:footnoteReference w:id="20"/>
      </w:r>
      <w:r w:rsidRPr="00C61710">
        <w:rPr>
          <w:rFonts w:eastAsia="Times New Roman" w:cs="Times New Roman"/>
          <w:szCs w:val="20"/>
          <w:lang w:val="es-GT" w:eastAsia="es-ES"/>
        </w:rPr>
        <w:t>.</w:t>
      </w:r>
    </w:p>
    <w:p w14:paraId="69BB10F7"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43.</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recibió con preocupación información relativa a la participación de altas autoridades del Estado en reuniones con organizaciones que defienden los derechos de personas acusadas o condenadas por perpetrar graves violaciones a los derechos humanos, situación que no habría tenido su correlato en la recepción de las demandas de las víctimas. El Grupo de Trabajo hace hincapié en el valor que tiene el acompañamiento público de las víctimas y de una postura de clara condena de las desapariciones forzadas y de lucha contra la impunidad por parte de las más altas autoridades del Estado en la no repetición de los hechos. La experiencia del Grupo de Trabajo da cuenta de la influencia positiva de los mensajes simbólicos y políticos tanto en las distintas esferas del Estado, como en la sociedad en su conjunto.</w:t>
      </w:r>
    </w:p>
    <w:p w14:paraId="4886CED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44.</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tramitación parlamentaria de un proyecto de ley sobre la sustitución de penas privativas de libertad por el régimen de prisión domiciliaria para procesados y condenados mayores de </w:t>
      </w:r>
      <w:r w:rsidRPr="007879D3">
        <w:rPr>
          <w:rFonts w:eastAsia="Times New Roman" w:cs="Times New Roman"/>
          <w:szCs w:val="20"/>
          <w:lang w:val="es-GT" w:eastAsia="es-ES"/>
        </w:rPr>
        <w:t>65</w:t>
      </w:r>
      <w:r w:rsidRPr="00C61710">
        <w:rPr>
          <w:rFonts w:eastAsia="Times New Roman" w:cs="Times New Roman"/>
          <w:szCs w:val="20"/>
          <w:lang w:val="es-GT" w:eastAsia="es-ES"/>
        </w:rPr>
        <w:t xml:space="preserve"> años, impulsada por uno de los partidos de la coalición de gobierno, también ha sido evaluada por el Grupo de Trabajo como un retroceso en materia de lucha contra la impunidad. Ello en tanto el proyecto sería contrario al derecho internacional de los derechos humanos y, en particular, a los límites impuestos al otorgamiento de amnistías, indultos, reducciones o beneficios en la ejecución de la pena, u otras medidas análogas, a acusados y condenados por graves violaciones de los derechos humanos y crímenes internacionales, incluidas las desapariciones forzadas</w:t>
      </w:r>
      <w:r w:rsidRPr="007879D3">
        <w:rPr>
          <w:rFonts w:eastAsia="Times New Roman" w:cs="Times New Roman"/>
          <w:sz w:val="18"/>
          <w:szCs w:val="20"/>
          <w:vertAlign w:val="superscript"/>
          <w:lang w:eastAsia="es-ES"/>
        </w:rPr>
        <w:footnoteReference w:id="21"/>
      </w:r>
      <w:r w:rsidRPr="00C61710">
        <w:rPr>
          <w:rFonts w:eastAsia="Times New Roman" w:cs="Times New Roman"/>
          <w:szCs w:val="20"/>
          <w:lang w:val="es-GT" w:eastAsia="es-ES"/>
        </w:rPr>
        <w:t>.</w:t>
      </w:r>
    </w:p>
    <w:p w14:paraId="76B9D24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45.</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En el artículo </w:t>
      </w:r>
      <w:r w:rsidRPr="007879D3">
        <w:rPr>
          <w:rFonts w:eastAsia="Times New Roman" w:cs="Times New Roman"/>
          <w:szCs w:val="20"/>
          <w:lang w:val="es-GT" w:eastAsia="es-ES"/>
        </w:rPr>
        <w:t>18</w:t>
      </w:r>
      <w:r w:rsidRPr="00C61710">
        <w:rPr>
          <w:rFonts w:eastAsia="Times New Roman" w:cs="Times New Roman"/>
          <w:szCs w:val="20"/>
          <w:lang w:val="es-GT" w:eastAsia="es-ES"/>
        </w:rPr>
        <w:t xml:space="preserve"> de la Declaración sobre la Protección de Todas las Personas contra las Desapariciones Forzadas se establece que los autores o presuntos autores de actos de desaparición forzada no se beneficiarán de ninguna ley de amnistía especial u otras medidas análogas que tengan por efecto exonerarlos de cualquier procedimiento o sanción penal. Este tipo de medidas constituyen una vulneración directa de los derechos de las familias a la justicia y a conocer la verdad</w:t>
      </w:r>
      <w:r w:rsidRPr="007879D3">
        <w:rPr>
          <w:rFonts w:eastAsia="Times New Roman" w:cs="Times New Roman"/>
          <w:sz w:val="18"/>
          <w:szCs w:val="20"/>
          <w:vertAlign w:val="superscript"/>
          <w:lang w:eastAsia="es-ES"/>
        </w:rPr>
        <w:footnoteReference w:id="22"/>
      </w:r>
      <w:r w:rsidRPr="00C61710">
        <w:rPr>
          <w:rFonts w:eastAsia="Times New Roman" w:cs="Times New Roman"/>
          <w:szCs w:val="20"/>
          <w:lang w:val="es-GT" w:eastAsia="es-ES"/>
        </w:rPr>
        <w:t xml:space="preserve">. En particular, se entiende que, existiendo en el procedimiento penal mecanismos legales que garantizan los derechos de acusados y condenados a acceder a la prisión domiciliaria, la mera tramitación del proyecto resulta innecesaria y solo tiende a dar un mensaje social que afecta al proceso de memoria, verdad y justicia en el país, por lo que es imprescindible que las autoridades del Parlamento archiven el proyecto cuanto antes. </w:t>
      </w:r>
    </w:p>
    <w:p w14:paraId="51C545F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46.</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también recibió información acerca de privilegios recibidos por los perpetradores, como el mantenimiento de los cargos militares y el hecho de seguir recibiendo sus pensiones, aun en los casos de quienes han sido condenados o estando prófugos de la justicia, circunstancias que alimentan el sentimiento de injusticia y la situación de impunidad.</w:t>
      </w:r>
    </w:p>
    <w:p w14:paraId="1819C98F"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IV.</w:t>
      </w:r>
      <w:r w:rsidRPr="007879D3">
        <w:rPr>
          <w:rFonts w:eastAsia="Times New Roman" w:cs="Times New Roman"/>
          <w:b/>
          <w:sz w:val="28"/>
          <w:szCs w:val="20"/>
          <w:lang w:val="es-GT" w:eastAsia="es-ES"/>
        </w:rPr>
        <w:tab/>
        <w:t xml:space="preserve">Derecho a las reparaciones </w:t>
      </w:r>
    </w:p>
    <w:p w14:paraId="30562899"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47.</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artículo </w:t>
      </w:r>
      <w:r w:rsidRPr="007879D3">
        <w:rPr>
          <w:rFonts w:eastAsia="Times New Roman" w:cs="Times New Roman"/>
          <w:szCs w:val="20"/>
          <w:lang w:val="es-GT" w:eastAsia="es-ES"/>
        </w:rPr>
        <w:t>19</w:t>
      </w:r>
      <w:r w:rsidRPr="00C61710">
        <w:rPr>
          <w:rFonts w:eastAsia="Times New Roman" w:cs="Times New Roman"/>
          <w:szCs w:val="20"/>
          <w:lang w:val="es-GT" w:eastAsia="es-ES"/>
        </w:rPr>
        <w:t xml:space="preserve"> de la Declaración sobre la Protección de Todas las Personas contra las Desapariciones Forzadas impone a los Estados la obligación de proporcionar reparación a las víctimas y sus familiares en casos de desaparición forzada, así como a indemnizarlas adecuadamente</w:t>
      </w:r>
      <w:r w:rsidRPr="007879D3">
        <w:rPr>
          <w:rFonts w:eastAsia="Times New Roman" w:cs="Times New Roman"/>
          <w:sz w:val="18"/>
          <w:szCs w:val="20"/>
          <w:vertAlign w:val="superscript"/>
          <w:lang w:eastAsia="es-ES"/>
        </w:rPr>
        <w:footnoteReference w:id="23"/>
      </w:r>
      <w:r w:rsidRPr="00C61710">
        <w:rPr>
          <w:rFonts w:eastAsia="Times New Roman" w:cs="Times New Roman"/>
          <w:szCs w:val="20"/>
          <w:lang w:val="es-GT" w:eastAsia="es-ES"/>
        </w:rPr>
        <w:t xml:space="preserve">. </w:t>
      </w:r>
    </w:p>
    <w:p w14:paraId="7460518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48.</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w:t>
      </w:r>
      <w:r w:rsidRPr="007879D3">
        <w:rPr>
          <w:rFonts w:eastAsia="Times New Roman" w:cs="Times New Roman"/>
          <w:szCs w:val="20"/>
          <w:lang w:val="es-GT" w:eastAsia="es-ES"/>
        </w:rPr>
        <w:t>9</w:t>
      </w:r>
      <w:r w:rsidRPr="00C61710">
        <w:rPr>
          <w:rFonts w:eastAsia="Times New Roman" w:cs="Times New Roman"/>
          <w:szCs w:val="20"/>
          <w:lang w:val="es-GT" w:eastAsia="es-ES"/>
        </w:rPr>
        <w:t xml:space="preserve"> de octubre de </w:t>
      </w:r>
      <w:r w:rsidRPr="007879D3">
        <w:rPr>
          <w:rFonts w:eastAsia="Times New Roman" w:cs="Times New Roman"/>
          <w:szCs w:val="20"/>
          <w:lang w:val="es-GT" w:eastAsia="es-ES"/>
        </w:rPr>
        <w:t>2009</w:t>
      </w:r>
      <w:r w:rsidRPr="00C61710">
        <w:rPr>
          <w:rFonts w:eastAsia="Times New Roman" w:cs="Times New Roman"/>
          <w:szCs w:val="20"/>
          <w:lang w:val="es-GT" w:eastAsia="es-ES"/>
        </w:rPr>
        <w:t xml:space="preserve">, fue aprobada 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596</w:t>
      </w:r>
      <w:r w:rsidRPr="00C61710">
        <w:rPr>
          <w:rFonts w:eastAsia="Times New Roman" w:cs="Times New Roman"/>
          <w:szCs w:val="20"/>
          <w:lang w:val="es-GT" w:eastAsia="es-ES"/>
        </w:rPr>
        <w:t xml:space="preserve">, de reparación a las víctimas. Esta Ley reconoce la responsabilidad del Uruguay por violaciones de derechos humanos cometidas en contra de víctimas “de la actuación ilegítima del Estado” entre el </w:t>
      </w:r>
      <w:r w:rsidRPr="007879D3">
        <w:rPr>
          <w:rFonts w:eastAsia="Times New Roman" w:cs="Times New Roman"/>
          <w:szCs w:val="20"/>
          <w:lang w:val="es-GT" w:eastAsia="es-ES"/>
        </w:rPr>
        <w:t>13</w:t>
      </w:r>
      <w:r w:rsidRPr="00C61710">
        <w:rPr>
          <w:rFonts w:eastAsia="Times New Roman" w:cs="Times New Roman"/>
          <w:szCs w:val="20"/>
          <w:lang w:val="es-GT" w:eastAsia="es-ES"/>
        </w:rPr>
        <w:t xml:space="preserve"> de junio de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el </w:t>
      </w:r>
      <w:r w:rsidRPr="007879D3">
        <w:rPr>
          <w:rFonts w:eastAsia="Times New Roman" w:cs="Times New Roman"/>
          <w:szCs w:val="20"/>
          <w:lang w:val="es-GT" w:eastAsia="es-ES"/>
        </w:rPr>
        <w:t>26</w:t>
      </w:r>
      <w:r w:rsidRPr="00C61710">
        <w:rPr>
          <w:rFonts w:eastAsia="Times New Roman" w:cs="Times New Roman"/>
          <w:szCs w:val="20"/>
          <w:lang w:val="es-GT" w:eastAsia="es-ES"/>
        </w:rPr>
        <w:t xml:space="preserve"> de junio de </w:t>
      </w:r>
      <w:r w:rsidRPr="007879D3">
        <w:rPr>
          <w:rFonts w:eastAsia="Times New Roman" w:cs="Times New Roman"/>
          <w:szCs w:val="20"/>
          <w:lang w:val="es-GT" w:eastAsia="es-ES"/>
        </w:rPr>
        <w:t>1973</w:t>
      </w:r>
      <w:r w:rsidRPr="00C61710">
        <w:rPr>
          <w:rFonts w:eastAsia="Times New Roman" w:cs="Times New Roman"/>
          <w:szCs w:val="20"/>
          <w:lang w:val="es-GT" w:eastAsia="es-ES"/>
        </w:rPr>
        <w:t xml:space="preserve">, así como víctimas “del terrorismo de Estado” entre el </w:t>
      </w:r>
      <w:r w:rsidRPr="007879D3">
        <w:rPr>
          <w:rFonts w:eastAsia="Times New Roman" w:cs="Times New Roman"/>
          <w:szCs w:val="20"/>
          <w:lang w:val="es-GT" w:eastAsia="es-ES"/>
        </w:rPr>
        <w:t>27</w:t>
      </w:r>
      <w:r w:rsidRPr="00C61710">
        <w:rPr>
          <w:rFonts w:eastAsia="Times New Roman" w:cs="Times New Roman"/>
          <w:szCs w:val="20"/>
          <w:lang w:val="es-GT" w:eastAsia="es-ES"/>
        </w:rPr>
        <w:t xml:space="preserve"> de junio de </w:t>
      </w:r>
      <w:r w:rsidRPr="007879D3">
        <w:rPr>
          <w:rFonts w:eastAsia="Times New Roman" w:cs="Times New Roman"/>
          <w:szCs w:val="20"/>
          <w:lang w:val="es-GT" w:eastAsia="es-ES"/>
        </w:rPr>
        <w:t>1973</w:t>
      </w:r>
      <w:r w:rsidRPr="00C61710">
        <w:rPr>
          <w:rFonts w:eastAsia="Times New Roman" w:cs="Times New Roman"/>
          <w:szCs w:val="20"/>
          <w:lang w:val="es-GT" w:eastAsia="es-ES"/>
        </w:rPr>
        <w:t xml:space="preserve"> y el </w:t>
      </w:r>
      <w:r w:rsidRPr="007879D3">
        <w:rPr>
          <w:rFonts w:eastAsia="Times New Roman" w:cs="Times New Roman"/>
          <w:szCs w:val="20"/>
          <w:lang w:val="es-GT" w:eastAsia="es-ES"/>
        </w:rPr>
        <w:t>28</w:t>
      </w:r>
      <w:r w:rsidRPr="00C61710">
        <w:rPr>
          <w:rFonts w:eastAsia="Times New Roman" w:cs="Times New Roman"/>
          <w:szCs w:val="20"/>
          <w:lang w:val="es-GT" w:eastAsia="es-ES"/>
        </w:rPr>
        <w:t xml:space="preserve"> de febrero de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Se trata de quienes “hayan sufrido la violación a su derecho a la vida, a su integridad psicofísica y a su libertad […] por motivos políticos, ideológicos o gremiales”. La ley también establece que dichas violaciones deberán haber sido cometidas por agentes del Estado o de quienes hubiesen contado con su autorización, apoyo o aquiescencia (arts. </w:t>
      </w:r>
      <w:r w:rsidRPr="007879D3">
        <w:rPr>
          <w:rFonts w:eastAsia="Times New Roman" w:cs="Times New Roman"/>
          <w:szCs w:val="20"/>
          <w:lang w:val="es-GT" w:eastAsia="es-ES"/>
        </w:rPr>
        <w:t>4</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5</w:t>
      </w:r>
      <w:r w:rsidRPr="00C61710">
        <w:rPr>
          <w:rFonts w:eastAsia="Times New Roman" w:cs="Times New Roman"/>
          <w:szCs w:val="20"/>
          <w:lang w:val="es-GT" w:eastAsia="es-ES"/>
        </w:rPr>
        <w:t>).</w:t>
      </w:r>
    </w:p>
    <w:p w14:paraId="2E243049"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49.</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596</w:t>
      </w:r>
      <w:r w:rsidRPr="00C61710">
        <w:rPr>
          <w:rFonts w:eastAsia="Times New Roman" w:cs="Times New Roman"/>
          <w:szCs w:val="20"/>
          <w:lang w:val="es-GT" w:eastAsia="es-ES"/>
        </w:rPr>
        <w:t xml:space="preserve"> establece una pensión especial reparatoria otorgada a favor de determinadas víctimas, una indemnización única y el derecho a recibir atención médica integral gratuita. Si bien la aprobación de esta ley fue un paso significativo en el reconocimiento de las víctimas del terrorismo de Estado, el Grupo de Trabajo recibió información que indicaría que los criterios para recibir reparaciones no se ajustan a las normas internacionales en materia de derechos humanos.  </w:t>
      </w:r>
    </w:p>
    <w:p w14:paraId="3D5D39C2"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50.</w:t>
      </w:r>
      <w:r w:rsidRPr="007879D3">
        <w:rPr>
          <w:rFonts w:eastAsia="Times New Roman" w:cs="Times New Roman"/>
          <w:bCs/>
          <w:szCs w:val="20"/>
          <w:lang w:val="es-GT" w:eastAsia="es-ES"/>
        </w:rPr>
        <w:tab/>
      </w:r>
      <w:r w:rsidRPr="00C61710">
        <w:rPr>
          <w:rFonts w:eastAsia="Times New Roman" w:cs="Times New Roman"/>
          <w:szCs w:val="20"/>
          <w:lang w:val="es-GT" w:eastAsia="es-ES"/>
        </w:rPr>
        <w:t>En términos de los daños sufridos, la ley solo otorga reparación a las víctimas que hayan sufrido una “lesión gravísima” (</w:t>
      </w:r>
      <w:r w:rsidRPr="00C61710">
        <w:rPr>
          <w:rFonts w:eastAsia="Times New Roman" w:cs="Arial"/>
          <w:szCs w:val="20"/>
          <w:lang w:val="es-GT" w:eastAsia="es-ES"/>
        </w:rPr>
        <w:t xml:space="preserve">art. </w:t>
      </w:r>
      <w:r w:rsidRPr="007879D3">
        <w:rPr>
          <w:rFonts w:eastAsia="Times New Roman" w:cs="Arial"/>
          <w:szCs w:val="20"/>
          <w:lang w:val="es-GT" w:eastAsia="es-ES"/>
        </w:rPr>
        <w:t>11</w:t>
      </w:r>
      <w:r w:rsidRPr="00C61710">
        <w:rPr>
          <w:rFonts w:eastAsia="Times New Roman" w:cs="Arial"/>
          <w:szCs w:val="20"/>
          <w:lang w:val="es-GT" w:eastAsia="es-ES"/>
        </w:rPr>
        <w:t> B))</w:t>
      </w:r>
      <w:r w:rsidRPr="00C61710">
        <w:rPr>
          <w:rFonts w:eastAsia="Times New Roman" w:cs="Times New Roman"/>
          <w:szCs w:val="20"/>
          <w:lang w:val="es-GT" w:eastAsia="es-ES"/>
        </w:rPr>
        <w:t xml:space="preserve">, dejando fuera, por ejemplo, a quienes sufren de problemas de salud crónicos que resultaron de la aplicación sistemática de tortura o quienes sufren afectaciones psicológicas. </w:t>
      </w:r>
      <w:r w:rsidRPr="00C61710">
        <w:rPr>
          <w:rFonts w:eastAsia="Times New Roman" w:cs="Arial"/>
          <w:szCs w:val="20"/>
          <w:lang w:val="es-GT" w:eastAsia="es-ES"/>
        </w:rPr>
        <w:t xml:space="preserve">El </w:t>
      </w:r>
      <w:r w:rsidRPr="00C61710">
        <w:rPr>
          <w:rFonts w:eastAsia="Times New Roman" w:cs="Times New Roman"/>
          <w:szCs w:val="20"/>
          <w:lang w:val="es-GT" w:eastAsia="es-ES"/>
        </w:rPr>
        <w:t>Grupo de Trabajo</w:t>
      </w:r>
      <w:r w:rsidRPr="00C61710">
        <w:rPr>
          <w:rFonts w:eastAsia="Times New Roman" w:cs="Arial"/>
          <w:szCs w:val="20"/>
          <w:lang w:val="es-GT" w:eastAsia="es-ES"/>
        </w:rPr>
        <w:t xml:space="preserve"> fue informado de que, </w:t>
      </w:r>
      <w:r w:rsidRPr="00C61710">
        <w:rPr>
          <w:rFonts w:eastAsia="Times New Roman" w:cs="Times New Roman"/>
          <w:szCs w:val="20"/>
          <w:lang w:val="es-GT" w:eastAsia="es-ES"/>
        </w:rPr>
        <w:t>aun quienes reciben atención, solo pueden hacerlo a través de prestadores de salud públicos, lo que afecta a quienes ya estaban recibiendo atención privada. Asimismo, el Decreto </w:t>
      </w:r>
      <w:r w:rsidRPr="007879D3">
        <w:rPr>
          <w:rFonts w:eastAsia="Times New Roman" w:cs="Times New Roman"/>
          <w:szCs w:val="20"/>
          <w:lang w:val="es-GT" w:eastAsia="es-ES"/>
        </w:rPr>
        <w:t>297</w:t>
      </w:r>
      <w:r w:rsidRPr="00C61710">
        <w:rPr>
          <w:rFonts w:eastAsia="Times New Roman" w:cs="Times New Roman"/>
          <w:szCs w:val="20"/>
          <w:lang w:val="es-GT" w:eastAsia="es-ES"/>
        </w:rPr>
        <w:t>/</w:t>
      </w:r>
      <w:r w:rsidRPr="007879D3">
        <w:rPr>
          <w:rFonts w:eastAsia="Times New Roman" w:cs="Times New Roman"/>
          <w:szCs w:val="20"/>
          <w:lang w:val="es-GT" w:eastAsia="es-ES"/>
        </w:rPr>
        <w:t>010</w:t>
      </w:r>
      <w:r w:rsidRPr="00C61710">
        <w:rPr>
          <w:rFonts w:eastAsia="Times New Roman" w:cs="Times New Roman"/>
          <w:szCs w:val="20"/>
          <w:lang w:val="es-GT" w:eastAsia="es-ES"/>
        </w:rPr>
        <w:t xml:space="preserve"> extiende el beneficio de la atención de salud a los hijos y nietos de las víctimas directas, sin embargo, excluye a cónyuges o concubinos y concubinas de ciertas víctimas, como personas perseguidas políticas o exiliadas.</w:t>
      </w:r>
    </w:p>
    <w:p w14:paraId="3C7DAE21"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51.</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596</w:t>
      </w:r>
      <w:r w:rsidRPr="00C61710">
        <w:rPr>
          <w:rFonts w:eastAsia="Times New Roman" w:cs="Times New Roman"/>
          <w:szCs w:val="20"/>
          <w:lang w:val="es-GT" w:eastAsia="es-ES"/>
        </w:rPr>
        <w:t xml:space="preserve"> también acota las reparaciones de acuerdo con la duración de las violaciones sufridas, limitándolas, por ejemplo, a quienes hayan permanecido en detención por un </w:t>
      </w:r>
      <w:proofErr w:type="gramStart"/>
      <w:r w:rsidRPr="00C61710">
        <w:rPr>
          <w:rFonts w:eastAsia="Times New Roman" w:cs="Times New Roman"/>
          <w:szCs w:val="20"/>
          <w:lang w:val="es-GT" w:eastAsia="es-ES"/>
        </w:rPr>
        <w:t>lapso de tiempo</w:t>
      </w:r>
      <w:proofErr w:type="gramEnd"/>
      <w:r w:rsidRPr="00C61710">
        <w:rPr>
          <w:rFonts w:eastAsia="Times New Roman" w:cs="Times New Roman"/>
          <w:szCs w:val="20"/>
          <w:lang w:val="es-GT" w:eastAsia="es-ES"/>
        </w:rPr>
        <w:t xml:space="preserve"> superior a los seis meses (arts. </w:t>
      </w:r>
      <w:r w:rsidRPr="007879D3">
        <w:rPr>
          <w:rFonts w:eastAsia="Times New Roman" w:cs="Times New Roman"/>
          <w:szCs w:val="20"/>
          <w:lang w:val="es-GT" w:eastAsia="es-ES"/>
        </w:rPr>
        <w:t>9</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10</w:t>
      </w:r>
      <w:r w:rsidRPr="00C61710">
        <w:rPr>
          <w:rFonts w:eastAsia="Times New Roman" w:cs="Times New Roman"/>
          <w:szCs w:val="20"/>
          <w:lang w:val="es-GT" w:eastAsia="es-ES"/>
        </w:rPr>
        <w:t>). Se observa, asimismo, la necesidad de que las víctimas acrediten fehacientemente que han sido víctimas, recayendo la carga de la prueba desproporcionadamente sobre ellas.</w:t>
      </w:r>
    </w:p>
    <w:p w14:paraId="3C8DFBFC" w14:textId="77777777" w:rsidR="00C61710" w:rsidRPr="00C61710" w:rsidRDefault="00C61710" w:rsidP="00C61710">
      <w:pPr>
        <w:tabs>
          <w:tab w:val="left" w:pos="1701"/>
          <w:tab w:val="left" w:pos="2268"/>
          <w:tab w:val="left" w:pos="2835"/>
          <w:tab w:val="left" w:pos="439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52.</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también fue informado de que las víctimas se ven obligadas a elegir entre la recepción de reparaciones en virtud de 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596</w:t>
      </w:r>
      <w:r w:rsidRPr="00C61710">
        <w:rPr>
          <w:rFonts w:eastAsia="Times New Roman" w:cs="Times New Roman"/>
          <w:szCs w:val="20"/>
          <w:lang w:val="es-GT" w:eastAsia="es-ES"/>
        </w:rPr>
        <w:t xml:space="preserve"> y cualquier otra jubilación, retiro o subsidio por incapacidad, a los que se habrían hecho acreedoras en su calidad de trabajadores, e independientemente de su condición de víctimas (artículo </w:t>
      </w:r>
      <w:r w:rsidRPr="007879D3">
        <w:rPr>
          <w:rFonts w:eastAsia="Times New Roman" w:cs="Times New Roman"/>
          <w:szCs w:val="20"/>
          <w:lang w:val="es-GT" w:eastAsia="es-ES"/>
        </w:rPr>
        <w:t>5</w:t>
      </w:r>
      <w:r w:rsidRPr="00C61710">
        <w:rPr>
          <w:rFonts w:eastAsia="Times New Roman" w:cs="Times New Roman"/>
          <w:szCs w:val="20"/>
          <w:lang w:val="es-GT" w:eastAsia="es-ES"/>
        </w:rPr>
        <w:t xml:space="preserve"> del Decreto </w:t>
      </w:r>
      <w:r w:rsidRPr="007879D3">
        <w:rPr>
          <w:rFonts w:eastAsia="Times New Roman" w:cs="Times New Roman"/>
          <w:szCs w:val="20"/>
          <w:lang w:val="es-GT" w:eastAsia="es-ES"/>
        </w:rPr>
        <w:t>106</w:t>
      </w:r>
      <w:r w:rsidRPr="00C61710">
        <w:rPr>
          <w:rFonts w:eastAsia="Times New Roman" w:cs="Times New Roman"/>
          <w:szCs w:val="20"/>
          <w:lang w:val="es-GT" w:eastAsia="es-ES"/>
        </w:rPr>
        <w:t>/</w:t>
      </w:r>
      <w:r w:rsidRPr="007879D3">
        <w:rPr>
          <w:rFonts w:eastAsia="Times New Roman" w:cs="Times New Roman"/>
          <w:szCs w:val="20"/>
          <w:lang w:val="es-GT" w:eastAsia="es-ES"/>
        </w:rPr>
        <w:t>007</w:t>
      </w:r>
      <w:r w:rsidRPr="00C61710">
        <w:rPr>
          <w:rFonts w:eastAsia="Times New Roman" w:cs="Times New Roman"/>
          <w:szCs w:val="20"/>
          <w:lang w:val="es-GT" w:eastAsia="es-ES"/>
        </w:rPr>
        <w:t xml:space="preserve">). </w:t>
      </w:r>
      <w:bookmarkStart w:id="7" w:name="_Hlk129525822"/>
      <w:r w:rsidRPr="00C61710">
        <w:rPr>
          <w:rFonts w:eastAsia="Times New Roman" w:cs="Times New Roman"/>
          <w:szCs w:val="20"/>
          <w:lang w:val="es-GT" w:eastAsia="es-ES"/>
        </w:rPr>
        <w:t xml:space="preserve">El Grupo de Trabajo reitera que la cuestión de la indemnización monetaria y de las reparaciones debe distinguirse claramente de las medidas de protección social y otras medidas destinadas a ayudar a las familias a hacer frente a las terribles consecuencias causadas por la desaparición forzada. </w:t>
      </w:r>
    </w:p>
    <w:bookmarkEnd w:id="7"/>
    <w:p w14:paraId="2E08BDC7"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53.</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596</w:t>
      </w:r>
      <w:r w:rsidRPr="00C61710">
        <w:rPr>
          <w:rFonts w:eastAsia="Times New Roman" w:cs="Times New Roman"/>
          <w:szCs w:val="20"/>
          <w:lang w:val="es-GT" w:eastAsia="es-ES"/>
        </w:rPr>
        <w:t xml:space="preserve"> también establece condiciones para quienes se vieron en la necesidad de partir en exilio, pero en el artículo </w:t>
      </w:r>
      <w:r w:rsidRPr="007879D3">
        <w:rPr>
          <w:rFonts w:eastAsia="Times New Roman" w:cs="Times New Roman"/>
          <w:szCs w:val="20"/>
          <w:lang w:val="es-GT" w:eastAsia="es-ES"/>
        </w:rPr>
        <w:t>1</w:t>
      </w:r>
      <w:r w:rsidRPr="00C61710">
        <w:rPr>
          <w:rFonts w:eastAsia="Times New Roman" w:cs="Times New Roman"/>
          <w:szCs w:val="20"/>
          <w:lang w:val="es-GT" w:eastAsia="es-ES"/>
        </w:rPr>
        <w:t xml:space="preserve"> del Decreto </w:t>
      </w:r>
      <w:r w:rsidRPr="007879D3">
        <w:rPr>
          <w:rFonts w:eastAsia="Times New Roman" w:cs="Times New Roman"/>
          <w:szCs w:val="20"/>
          <w:lang w:val="es-GT" w:eastAsia="es-ES"/>
        </w:rPr>
        <w:t>106</w:t>
      </w:r>
      <w:r w:rsidRPr="00C61710">
        <w:rPr>
          <w:rFonts w:eastAsia="Times New Roman" w:cs="Times New Roman"/>
          <w:szCs w:val="20"/>
          <w:lang w:val="es-GT" w:eastAsia="es-ES"/>
        </w:rPr>
        <w:t>/</w:t>
      </w:r>
      <w:r w:rsidRPr="007879D3">
        <w:rPr>
          <w:rFonts w:eastAsia="Times New Roman" w:cs="Times New Roman"/>
          <w:szCs w:val="20"/>
          <w:lang w:val="es-GT" w:eastAsia="es-ES"/>
        </w:rPr>
        <w:t>007</w:t>
      </w:r>
      <w:r w:rsidRPr="00C61710">
        <w:rPr>
          <w:rFonts w:eastAsia="Times New Roman" w:cs="Times New Roman"/>
          <w:szCs w:val="20"/>
          <w:lang w:val="es-GT" w:eastAsia="es-ES"/>
        </w:rPr>
        <w:t xml:space="preserve"> se establece que debieron regresar al país antes de marzo de </w:t>
      </w:r>
      <w:r w:rsidRPr="007879D3">
        <w:rPr>
          <w:rFonts w:eastAsia="Times New Roman" w:cs="Times New Roman"/>
          <w:szCs w:val="20"/>
          <w:lang w:val="es-GT" w:eastAsia="es-ES"/>
        </w:rPr>
        <w:t>1995</w:t>
      </w:r>
      <w:r w:rsidRPr="00C61710">
        <w:rPr>
          <w:rFonts w:eastAsia="Times New Roman" w:cs="Times New Roman"/>
          <w:szCs w:val="20"/>
          <w:lang w:val="es-GT" w:eastAsia="es-ES"/>
        </w:rPr>
        <w:t xml:space="preserve"> de manera permanente. Asimismo, en virtud del Decreto, únicamente se otorga pensión a las personas que hubieren sido detenidas y procesadas por la justicia militar entre </w:t>
      </w:r>
      <w:r w:rsidRPr="007879D3">
        <w:rPr>
          <w:rFonts w:eastAsia="Times New Roman" w:cs="Times New Roman"/>
          <w:szCs w:val="20"/>
          <w:lang w:val="es-GT" w:eastAsia="es-ES"/>
        </w:rPr>
        <w:t>1973</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pero se excluye a quienes lo fueron durante el lapso anterior de quiebre institucional que inició en </w:t>
      </w:r>
      <w:r w:rsidRPr="007879D3">
        <w:rPr>
          <w:rFonts w:eastAsia="Times New Roman" w:cs="Times New Roman"/>
          <w:szCs w:val="20"/>
          <w:lang w:val="es-GT" w:eastAsia="es-ES"/>
        </w:rPr>
        <w:t>1968</w:t>
      </w:r>
      <w:r w:rsidRPr="00C61710">
        <w:rPr>
          <w:rFonts w:eastAsia="Times New Roman" w:cs="Times New Roman"/>
          <w:szCs w:val="20"/>
          <w:lang w:val="es-GT" w:eastAsia="es-ES"/>
        </w:rPr>
        <w:t>, o a quienes no fueron formalmente procesados por la justicia militar ya que su detención fue clandestina.</w:t>
      </w:r>
    </w:p>
    <w:p w14:paraId="20653CD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54.</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Preocupa que las leyes </w:t>
      </w:r>
      <w:bookmarkStart w:id="8" w:name="_Hlk129526035"/>
      <w:r w:rsidRPr="00C61710">
        <w:rPr>
          <w:rFonts w:eastAsia="Times New Roman" w:cs="Times New Roman"/>
          <w:szCs w:val="20"/>
          <w:lang w:val="es-GT" w:eastAsia="es-ES"/>
        </w:rPr>
        <w:t xml:space="preserve">de reparación no incluyen a niñas, niños y adolescentes como víctimas directas de violaciones a los derechos humanos durante el período comprendido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Se trata de miles de personas que, siendo menores de edad, sufrieron vulneraciones por parte del Estado</w:t>
      </w:r>
      <w:bookmarkEnd w:id="8"/>
      <w:r w:rsidRPr="00C61710">
        <w:rPr>
          <w:rFonts w:eastAsia="Times New Roman" w:cs="Times New Roman"/>
          <w:szCs w:val="20"/>
          <w:lang w:val="es-GT" w:eastAsia="es-ES"/>
        </w:rPr>
        <w:t xml:space="preserve">, incluida la persecución, el allanamiento, la detención junto con sus padres, el exilio, el nacimiento en cautiverio, la discriminación o el desprestigio en las escuelas y/o la pérdida de la condición de estudiante, experiencias traumatizantes en cárceles, en el contexto de visitas a centros de reclusión por largos períodos, y desapariciones forzadas. </w:t>
      </w:r>
    </w:p>
    <w:p w14:paraId="66DC74E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55.</w:t>
      </w:r>
      <w:r w:rsidRPr="007879D3">
        <w:rPr>
          <w:rFonts w:eastAsia="Times New Roman" w:cs="Times New Roman"/>
          <w:bCs/>
          <w:szCs w:val="20"/>
          <w:lang w:val="es-GT" w:eastAsia="es-ES"/>
        </w:rPr>
        <w:tab/>
      </w:r>
      <w:r w:rsidRPr="00C61710">
        <w:rPr>
          <w:rFonts w:eastAsia="Times New Roman" w:cs="Times New Roman"/>
          <w:szCs w:val="20"/>
          <w:lang w:val="es-GT" w:eastAsia="es-ES"/>
        </w:rPr>
        <w:t>Tras la apertura a la democracia, prevaleció una visión adulto-céntrica y patriarcal, y no fue sino hasta años más tarde que se comenzó a hablar de las violaciones de derechos humanos cometidas contra las mujeres y, finalmente, contra los “hijos” de los presos políticos. Sin embargo, este grupo incluiría en realidad a hijos, nietos y sobrinos como víctimas en sí mismas.</w:t>
      </w:r>
    </w:p>
    <w:p w14:paraId="327E79FF"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56.</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w:t>
      </w:r>
      <w:r w:rsidRPr="007879D3">
        <w:rPr>
          <w:rFonts w:eastAsia="Times New Roman" w:cs="Times New Roman"/>
          <w:szCs w:val="20"/>
          <w:lang w:val="es-GT" w:eastAsia="es-ES"/>
        </w:rPr>
        <w:t>6</w:t>
      </w:r>
      <w:r w:rsidRPr="00C61710">
        <w:rPr>
          <w:rFonts w:eastAsia="Times New Roman" w:cs="Times New Roman"/>
          <w:szCs w:val="20"/>
          <w:lang w:val="es-GT" w:eastAsia="es-ES"/>
        </w:rPr>
        <w:t xml:space="preserve"> de agosto de </w:t>
      </w:r>
      <w:r w:rsidRPr="007879D3">
        <w:rPr>
          <w:rFonts w:eastAsia="Times New Roman" w:cs="Times New Roman"/>
          <w:szCs w:val="20"/>
          <w:lang w:val="es-GT" w:eastAsia="es-ES"/>
        </w:rPr>
        <w:t>2019</w:t>
      </w:r>
      <w:r w:rsidRPr="00C61710">
        <w:rPr>
          <w:rFonts w:eastAsia="Times New Roman" w:cs="Times New Roman"/>
          <w:szCs w:val="20"/>
          <w:lang w:val="es-GT" w:eastAsia="es-ES"/>
        </w:rPr>
        <w:t xml:space="preserve">, </w:t>
      </w:r>
      <w:bookmarkStart w:id="9" w:name="_Hlk129526151"/>
      <w:r w:rsidRPr="00C61710">
        <w:rPr>
          <w:rFonts w:eastAsia="Times New Roman" w:cs="Times New Roman"/>
          <w:szCs w:val="20"/>
          <w:lang w:val="es-GT" w:eastAsia="es-ES"/>
        </w:rPr>
        <w:t xml:space="preserve">la Institución Nacional de Derechos Humanos y Defensoría del Pueblo emitió la resolución núm. </w:t>
      </w:r>
      <w:r w:rsidRPr="007879D3">
        <w:rPr>
          <w:rFonts w:eastAsia="Times New Roman" w:cs="Times New Roman"/>
          <w:szCs w:val="20"/>
          <w:lang w:val="es-GT" w:eastAsia="es-ES"/>
        </w:rPr>
        <w:t>751</w:t>
      </w:r>
      <w:r w:rsidRPr="00C61710">
        <w:rPr>
          <w:rFonts w:eastAsia="Times New Roman" w:cs="Times New Roman"/>
          <w:szCs w:val="20"/>
          <w:lang w:val="es-GT" w:eastAsia="es-ES"/>
        </w:rPr>
        <w:t xml:space="preserve"> que recomienda </w:t>
      </w:r>
      <w:bookmarkEnd w:id="9"/>
      <w:r w:rsidRPr="00C61710">
        <w:rPr>
          <w:rFonts w:eastAsia="Times New Roman" w:cs="Times New Roman"/>
          <w:szCs w:val="20"/>
          <w:lang w:val="es-GT" w:eastAsia="es-ES"/>
        </w:rPr>
        <w:t>reconocer a quienes fueron víctimas directas del terrorismo de Estado siendo niñas, niños y adolescentes</w:t>
      </w:r>
      <w:r w:rsidRPr="007879D3">
        <w:rPr>
          <w:rFonts w:eastAsia="Times New Roman" w:cs="Times New Roman"/>
          <w:sz w:val="18"/>
          <w:szCs w:val="20"/>
          <w:vertAlign w:val="superscript"/>
          <w:lang w:eastAsia="es-ES"/>
        </w:rPr>
        <w:footnoteReference w:id="24"/>
      </w:r>
      <w:r w:rsidRPr="00C61710">
        <w:rPr>
          <w:rFonts w:eastAsia="Times New Roman" w:cs="Times New Roman"/>
          <w:szCs w:val="20"/>
          <w:lang w:val="es-GT" w:eastAsia="es-ES"/>
        </w:rPr>
        <w:t xml:space="preserve">. </w:t>
      </w:r>
    </w:p>
    <w:p w14:paraId="391AF392"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57.</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Posterior a la visita, el Grupo de Trabajo recibió con preocupación información relativa a una propuesta de ley aprobada en el Senado, que prevé indemnizaciones para víctimas y familias por actos cometidos entre </w:t>
      </w:r>
      <w:r w:rsidRPr="007879D3">
        <w:rPr>
          <w:rFonts w:eastAsia="Times New Roman" w:cs="Times New Roman"/>
          <w:szCs w:val="20"/>
          <w:lang w:val="es-GT" w:eastAsia="es-ES"/>
        </w:rPr>
        <w:t>1962</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1976</w:t>
      </w:r>
      <w:r w:rsidRPr="00C61710">
        <w:rPr>
          <w:rFonts w:eastAsia="Times New Roman" w:cs="Times New Roman"/>
          <w:szCs w:val="20"/>
          <w:lang w:val="es-GT" w:eastAsia="es-ES"/>
        </w:rPr>
        <w:t xml:space="preserve"> por “integrantes de grupos armados de carácter ideológico”. La iniciativa propondría un sistema de privilegios y concesiones distinto a la pensión especial reparatoria, y se habría promovido bajo el argumento de que las víctimas de la violencia no estatal durante ese período no habían recibido aún reparación. Sin embargo, el Grupo de Trabajo fue informado de la existencia de un marco legal para brindar reparación de militares vigente desde </w:t>
      </w:r>
      <w:r w:rsidRPr="007879D3">
        <w:rPr>
          <w:rFonts w:eastAsia="Times New Roman" w:cs="Times New Roman"/>
          <w:szCs w:val="20"/>
          <w:lang w:val="es-GT" w:eastAsia="es-ES"/>
        </w:rPr>
        <w:t>1973</w:t>
      </w:r>
      <w:r w:rsidRPr="007879D3">
        <w:rPr>
          <w:rFonts w:eastAsia="Times New Roman" w:cs="Times New Roman"/>
          <w:sz w:val="18"/>
          <w:szCs w:val="20"/>
          <w:vertAlign w:val="superscript"/>
          <w:lang w:eastAsia="es-ES"/>
        </w:rPr>
        <w:footnoteReference w:id="25"/>
      </w:r>
      <w:r w:rsidRPr="00C61710">
        <w:rPr>
          <w:rFonts w:eastAsia="Times New Roman" w:cs="Times New Roman"/>
          <w:szCs w:val="20"/>
          <w:lang w:val="es-GT" w:eastAsia="es-ES"/>
        </w:rPr>
        <w:t xml:space="preserve">, por lo que teme que se trate de una iniciativa para diluir la responsabilidad por los crímenes cometidos por el Estado. </w:t>
      </w:r>
    </w:p>
    <w:p w14:paraId="59FEE9E6"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V.</w:t>
      </w:r>
      <w:r w:rsidRPr="007879D3">
        <w:rPr>
          <w:rFonts w:eastAsia="Times New Roman" w:cs="Times New Roman"/>
          <w:b/>
          <w:sz w:val="28"/>
          <w:szCs w:val="20"/>
          <w:lang w:val="es-GT" w:eastAsia="es-ES"/>
        </w:rPr>
        <w:tab/>
        <w:t>Derecho a la memoria</w:t>
      </w:r>
    </w:p>
    <w:p w14:paraId="23600FC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58.</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observa que el Uruguay ha dado pasos significativos para asumir el pasado a través de la </w:t>
      </w:r>
      <w:proofErr w:type="spellStart"/>
      <w:r w:rsidRPr="00C61710">
        <w:rPr>
          <w:rFonts w:eastAsia="Times New Roman" w:cs="Times New Roman"/>
          <w:szCs w:val="20"/>
          <w:lang w:val="es-GT" w:eastAsia="es-ES"/>
        </w:rPr>
        <w:t>memorialización</w:t>
      </w:r>
      <w:proofErr w:type="spellEnd"/>
      <w:r w:rsidRPr="00C61710">
        <w:rPr>
          <w:rFonts w:eastAsia="Times New Roman" w:cs="Times New Roman"/>
          <w:szCs w:val="20"/>
          <w:lang w:val="es-GT" w:eastAsia="es-ES"/>
        </w:rPr>
        <w:t>. Los memoriales, los sitios de memoria y los actos públicos de reconocimiento son formas fundamentales de reparación individual y colectiva, que representan el rechazo y la condena de la sociedad a las violaciones de derechos humanos cometidas</w:t>
      </w:r>
      <w:r w:rsidRPr="007879D3">
        <w:rPr>
          <w:rFonts w:eastAsia="Times New Roman" w:cs="Times New Roman"/>
          <w:sz w:val="18"/>
          <w:szCs w:val="20"/>
          <w:vertAlign w:val="superscript"/>
          <w:lang w:eastAsia="es-ES"/>
        </w:rPr>
        <w:footnoteReference w:id="26"/>
      </w:r>
      <w:r w:rsidRPr="00C61710">
        <w:rPr>
          <w:rFonts w:eastAsia="Times New Roman" w:cs="Times New Roman"/>
          <w:szCs w:val="20"/>
          <w:lang w:val="es-GT" w:eastAsia="es-ES"/>
        </w:rPr>
        <w:t xml:space="preserve">. Se han tomado varias iniciativas legislativas y conmemorativas para preservar la memoria, honrar a las víctimas y abordar las graves violaciones de los derechos humanos cometidas en el Uruguay. </w:t>
      </w:r>
    </w:p>
    <w:p w14:paraId="374AC68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59.</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En diciembre de </w:t>
      </w:r>
      <w:r w:rsidRPr="007879D3">
        <w:rPr>
          <w:rFonts w:eastAsia="Times New Roman" w:cs="Times New Roman"/>
          <w:szCs w:val="20"/>
          <w:lang w:val="es-GT" w:eastAsia="es-ES"/>
        </w:rPr>
        <w:t>2008</w:t>
      </w:r>
      <w:r w:rsidRPr="00C61710">
        <w:rPr>
          <w:rFonts w:eastAsia="Times New Roman" w:cs="Times New Roman"/>
          <w:szCs w:val="20"/>
          <w:lang w:val="es-GT" w:eastAsia="es-ES"/>
        </w:rPr>
        <w:t>, el Uruguay aprobó 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435</w:t>
      </w:r>
      <w:r w:rsidRPr="00C61710">
        <w:rPr>
          <w:rFonts w:eastAsia="Times New Roman" w:cs="Times New Roman"/>
          <w:szCs w:val="20"/>
          <w:lang w:val="es-GT" w:eastAsia="es-ES"/>
        </w:rPr>
        <w:t xml:space="preserve"> de Creación del Archivo Nacional de la Memoria, en reconocimiento del derecho a la verdad individual y colectiva y con el fin de reunir, organizar y difundir los documentos relacionados con las violaciones de derechos humanos cometidas por el Estado durante el período comprendido entre el </w:t>
      </w:r>
      <w:r w:rsidRPr="007879D3">
        <w:rPr>
          <w:rFonts w:eastAsia="Times New Roman" w:cs="Times New Roman"/>
          <w:szCs w:val="20"/>
          <w:lang w:val="es-GT" w:eastAsia="es-ES"/>
        </w:rPr>
        <w:t>9</w:t>
      </w:r>
      <w:r w:rsidRPr="00C61710">
        <w:rPr>
          <w:rFonts w:eastAsia="Times New Roman" w:cs="Times New Roman"/>
          <w:szCs w:val="20"/>
          <w:lang w:val="es-GT" w:eastAsia="es-ES"/>
        </w:rPr>
        <w:t xml:space="preserve"> de febrero de </w:t>
      </w:r>
      <w:r w:rsidRPr="007879D3">
        <w:rPr>
          <w:rFonts w:eastAsia="Times New Roman" w:cs="Times New Roman"/>
          <w:szCs w:val="20"/>
          <w:lang w:val="es-GT" w:eastAsia="es-ES"/>
        </w:rPr>
        <w:t>1973</w:t>
      </w:r>
      <w:r w:rsidRPr="00C61710">
        <w:rPr>
          <w:rFonts w:eastAsia="Times New Roman" w:cs="Times New Roman"/>
          <w:szCs w:val="20"/>
          <w:lang w:val="es-GT" w:eastAsia="es-ES"/>
        </w:rPr>
        <w:t xml:space="preserve"> y el </w:t>
      </w:r>
      <w:r w:rsidRPr="007879D3">
        <w:rPr>
          <w:rFonts w:eastAsia="Times New Roman" w:cs="Times New Roman"/>
          <w:szCs w:val="20"/>
          <w:lang w:val="es-GT" w:eastAsia="es-ES"/>
        </w:rPr>
        <w:t>1</w:t>
      </w:r>
      <w:r w:rsidRPr="00C61710">
        <w:rPr>
          <w:rFonts w:eastAsia="Times New Roman" w:cs="Times New Roman"/>
          <w:szCs w:val="20"/>
          <w:lang w:val="es-GT" w:eastAsia="es-ES"/>
        </w:rPr>
        <w:t xml:space="preserve"> de marzo de </w:t>
      </w:r>
      <w:r w:rsidRPr="007879D3">
        <w:rPr>
          <w:rFonts w:eastAsia="Times New Roman" w:cs="Times New Roman"/>
          <w:szCs w:val="20"/>
          <w:lang w:val="es-GT" w:eastAsia="es-ES"/>
        </w:rPr>
        <w:t>1985</w:t>
      </w:r>
      <w:r w:rsidRPr="00C61710">
        <w:rPr>
          <w:rFonts w:eastAsia="Times New Roman" w:cs="Times New Roman"/>
          <w:szCs w:val="20"/>
          <w:lang w:val="es-GT" w:eastAsia="es-ES"/>
        </w:rPr>
        <w:t>. La Ley </w:t>
      </w:r>
      <w:r w:rsidRPr="007879D3">
        <w:rPr>
          <w:rFonts w:eastAsia="Times New Roman" w:cs="Times New Roman"/>
          <w:szCs w:val="20"/>
          <w:lang w:val="es-GT" w:eastAsia="es-ES"/>
        </w:rPr>
        <w:t>18</w:t>
      </w:r>
      <w:r w:rsidRPr="00C61710">
        <w:rPr>
          <w:rFonts w:eastAsia="Times New Roman" w:cs="Times New Roman"/>
          <w:szCs w:val="20"/>
          <w:lang w:val="es-GT" w:eastAsia="es-ES"/>
        </w:rPr>
        <w:t>.</w:t>
      </w:r>
      <w:r w:rsidRPr="007879D3">
        <w:rPr>
          <w:rFonts w:eastAsia="Times New Roman" w:cs="Times New Roman"/>
          <w:szCs w:val="20"/>
          <w:lang w:val="es-GT" w:eastAsia="es-ES"/>
        </w:rPr>
        <w:t>596</w:t>
      </w:r>
      <w:r w:rsidRPr="00C61710">
        <w:rPr>
          <w:rFonts w:eastAsia="Times New Roman" w:cs="Times New Roman"/>
          <w:szCs w:val="20"/>
          <w:lang w:val="es-GT" w:eastAsia="es-ES"/>
        </w:rPr>
        <w:t xml:space="preserve">, de reparación a las víctimas de la actuación ilegítima del Estado, promovió asimismo actividades en honor a la memoria histórica de las víctimas del terrorismo, incluyendo la colocación de placas en todos los lugares públicos donde hubieren ocurrido violaciones de derechos humanos como forma de recuerdo de dichas violaciones. Más recientemente, en julio de </w:t>
      </w:r>
      <w:r w:rsidRPr="007879D3">
        <w:rPr>
          <w:rFonts w:eastAsia="Times New Roman" w:cs="Times New Roman"/>
          <w:szCs w:val="20"/>
          <w:lang w:val="es-GT" w:eastAsia="es-ES"/>
        </w:rPr>
        <w:t>2018</w:t>
      </w:r>
      <w:r w:rsidRPr="00C61710">
        <w:rPr>
          <w:rFonts w:eastAsia="Times New Roman" w:cs="Times New Roman"/>
          <w:szCs w:val="20"/>
          <w:lang w:val="es-GT" w:eastAsia="es-ES"/>
        </w:rPr>
        <w:t>, el Uruguay aprobó la Ley </w:t>
      </w:r>
      <w:r w:rsidRPr="007879D3">
        <w:rPr>
          <w:rFonts w:eastAsia="Times New Roman" w:cs="Times New Roman"/>
          <w:szCs w:val="20"/>
          <w:lang w:val="es-GT" w:eastAsia="es-ES"/>
        </w:rPr>
        <w:t>19</w:t>
      </w:r>
      <w:r w:rsidRPr="00C61710">
        <w:rPr>
          <w:rFonts w:eastAsia="Times New Roman" w:cs="Times New Roman"/>
          <w:szCs w:val="20"/>
          <w:lang w:val="es-GT" w:eastAsia="es-ES"/>
        </w:rPr>
        <w:t>.</w:t>
      </w:r>
      <w:r w:rsidRPr="007879D3">
        <w:rPr>
          <w:rFonts w:eastAsia="Times New Roman" w:cs="Times New Roman"/>
          <w:szCs w:val="20"/>
          <w:lang w:val="es-GT" w:eastAsia="es-ES"/>
        </w:rPr>
        <w:t>641</w:t>
      </w:r>
      <w:r w:rsidRPr="00C61710">
        <w:rPr>
          <w:rFonts w:eastAsia="Times New Roman" w:cs="Times New Roman"/>
          <w:szCs w:val="20"/>
          <w:lang w:val="es-GT" w:eastAsia="es-ES"/>
        </w:rPr>
        <w:t xml:space="preserve"> de Declaración y Creación de Sitios de Memoria Histórica del Pasado Reciente, por la que se creó la Comisión Nacional Honoraria de Sitios de Memoria —integrada por representantes gubernamentales y de la sociedad civil— cuya tarea fundamental es recibir y resolver solicitudes de declaración y creación de sitios de memoria histórica, así como velar por su efectiva preservación, difusión y accesibilidad.</w:t>
      </w:r>
    </w:p>
    <w:p w14:paraId="4AAECC1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60.</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destaca la importancia de la conversión del antiguo edificio del Servicio de Inteligencia de la Defensa —lugar que, durante la dictadura, formó parte de la estructura de control social y represión y donde se planificaron y cometieron graves violaciones de los derechos humanos— en la sede de la Institución Nacional de Derechos Humanos y Defensoría del Pueblo, con la inclusión de un sitio de memoria que reconoce y visibiliza públicamente las graves violaciones de los derechos humanos allí cometidas. El sitio ha sido recuperado y está abierto al público como forma de reconocimiento del pasado y como homenaje y reparación a las víctimas. </w:t>
      </w:r>
    </w:p>
    <w:p w14:paraId="2ED9285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bookmarkStart w:id="10" w:name="_Hlk129526581"/>
      <w:r w:rsidRPr="007879D3">
        <w:rPr>
          <w:rFonts w:eastAsia="Times New Roman" w:cs="Times New Roman"/>
          <w:bCs/>
          <w:szCs w:val="20"/>
          <w:lang w:val="es-GT" w:eastAsia="es-ES"/>
        </w:rPr>
        <w:t>61.</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acoge con satisfacción la existencia de un creciente consenso social sobre la necesidad de condenar los crímenes cometidos durante la dictadura y un esfuerzo continuo por fortalecer la narrativa del “Nunca Más”, cuyo mejor ejemplo es la masiva Marcha del Silencio que se realiza anualmente en el mes de mayo y que reúne una diversidad de voces y expresiones políticas y sociales en el Uruguay. </w:t>
      </w:r>
    </w:p>
    <w:p w14:paraId="5BEC4C3E"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62.</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observa que la preservación de la memoria y los actos simbólicos de reparación, incluyendo el esfuerzo permanente en la construcción del “Nunca Más” han sido generalmente liderados por víctimas, familiares y organizaciones de la sociedad civil. El Grupo de Trabajo celebra su valentía, resiliencia e incansable esfuerzo, al tiempo que, sin embargo, destaca que es responsabilidad del Estado preservar la memoria de manera integral e incluyente</w:t>
      </w:r>
      <w:bookmarkEnd w:id="10"/>
      <w:r w:rsidRPr="007879D3">
        <w:rPr>
          <w:rFonts w:eastAsia="Times New Roman" w:cs="Times New Roman"/>
          <w:sz w:val="18"/>
          <w:szCs w:val="20"/>
          <w:vertAlign w:val="superscript"/>
          <w:lang w:eastAsia="es-ES"/>
        </w:rPr>
        <w:footnoteReference w:id="27"/>
      </w:r>
      <w:r w:rsidRPr="00C61710">
        <w:rPr>
          <w:rFonts w:eastAsia="Times New Roman" w:cs="Times New Roman"/>
          <w:szCs w:val="20"/>
          <w:lang w:val="es-GT" w:eastAsia="es-ES"/>
        </w:rPr>
        <w:t xml:space="preserve">.  </w:t>
      </w:r>
    </w:p>
    <w:p w14:paraId="1335D5C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63.</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visitó varios sitios de memoria y monumentos conmemorativos</w:t>
      </w:r>
      <w:r w:rsidRPr="007879D3">
        <w:rPr>
          <w:rFonts w:eastAsia="Times New Roman" w:cs="Times New Roman"/>
          <w:sz w:val="18"/>
          <w:szCs w:val="20"/>
          <w:vertAlign w:val="superscript"/>
          <w:lang w:eastAsia="es-ES"/>
        </w:rPr>
        <w:footnoteReference w:id="28"/>
      </w:r>
      <w:r w:rsidRPr="00C61710">
        <w:rPr>
          <w:rFonts w:eastAsia="Times New Roman" w:cs="Times New Roman"/>
          <w:szCs w:val="20"/>
          <w:lang w:val="es-GT" w:eastAsia="es-ES"/>
        </w:rPr>
        <w:t xml:space="preserve"> y también tomó nota de la existencia de placas y otras formas públicas de recordación de las víctimas del terrorismo de Estado en todo Montevideo y Canelones. Sin embargo, a pesar del creciente número de iniciativas por preservar la memoria histórica, persisten importantes desafíos. El Grupo de Trabajo observa con preocupación los informes recibidos sobre la vandalización de sitios de memoria y conmemoración y quedó consternado cuando, después de la visita, recibió la información sobre el ataque y destrucción parcial del Memorial de los Desaparecidos del Cerro de Montevideo el </w:t>
      </w:r>
      <w:r w:rsidRPr="007879D3">
        <w:rPr>
          <w:rFonts w:eastAsia="Times New Roman" w:cs="Times New Roman"/>
          <w:szCs w:val="20"/>
          <w:lang w:val="es-GT" w:eastAsia="es-ES"/>
        </w:rPr>
        <w:t>30</w:t>
      </w:r>
      <w:r w:rsidRPr="00C61710">
        <w:rPr>
          <w:rFonts w:eastAsia="Times New Roman" w:cs="Times New Roman"/>
          <w:szCs w:val="20"/>
          <w:lang w:val="es-GT" w:eastAsia="es-ES"/>
        </w:rPr>
        <w:t xml:space="preserve"> de agosto de </w:t>
      </w:r>
      <w:r w:rsidRPr="007879D3">
        <w:rPr>
          <w:rFonts w:eastAsia="Times New Roman" w:cs="Times New Roman"/>
          <w:szCs w:val="20"/>
          <w:lang w:val="es-GT" w:eastAsia="es-ES"/>
        </w:rPr>
        <w:t>2022</w:t>
      </w:r>
      <w:r w:rsidRPr="00C61710">
        <w:rPr>
          <w:rFonts w:eastAsia="Times New Roman" w:cs="Times New Roman"/>
          <w:szCs w:val="20"/>
          <w:lang w:val="es-GT" w:eastAsia="es-ES"/>
        </w:rPr>
        <w:t xml:space="preserve">, Día Internacional de las Víctimas de Desapariciones Forzadas. El ataque en un día que pretende recordar y honrar a las víctimas de desapariciones forzadas, y semanas después de que el Grupo de Trabajo realizara su visita y compartiera su informe preliminar, indica claramente la existencia de discursos negacionistas dentro de la sociedad uruguaya. Contrarrestar tales voces y narrativas requiere del pleno compromiso y participación de las autoridades estatales al más alto nivel. </w:t>
      </w:r>
    </w:p>
    <w:p w14:paraId="13579C79"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64.</w:t>
      </w:r>
      <w:r w:rsidRPr="007879D3">
        <w:rPr>
          <w:rFonts w:eastAsia="Times New Roman" w:cs="Times New Roman"/>
          <w:bCs/>
          <w:szCs w:val="20"/>
          <w:lang w:val="es-GT" w:eastAsia="es-ES"/>
        </w:rPr>
        <w:tab/>
      </w:r>
      <w:r w:rsidRPr="00C61710">
        <w:rPr>
          <w:rFonts w:eastAsia="Times New Roman" w:cs="Times New Roman"/>
          <w:szCs w:val="20"/>
          <w:lang w:val="es-GT" w:eastAsia="es-ES"/>
        </w:rPr>
        <w:t>Es responsabilidad del Estado establecer, mantener y asegurar la integridad de los sitios de memoria</w:t>
      </w:r>
      <w:r w:rsidRPr="007879D3">
        <w:rPr>
          <w:rFonts w:eastAsia="Times New Roman" w:cs="Times New Roman"/>
          <w:sz w:val="18"/>
          <w:szCs w:val="20"/>
          <w:vertAlign w:val="superscript"/>
          <w:lang w:eastAsia="es-ES"/>
        </w:rPr>
        <w:footnoteReference w:id="29"/>
      </w:r>
      <w:r w:rsidRPr="00C61710">
        <w:rPr>
          <w:rFonts w:eastAsia="Times New Roman" w:cs="Times New Roman"/>
          <w:szCs w:val="20"/>
          <w:lang w:val="es-GT" w:eastAsia="es-ES"/>
        </w:rPr>
        <w:t>. Sin embargo, el Grupo de Trabajo observa que el nivel de mantenimiento, protección y accesibilidad de los sitios de memoria y de reflexión sobre hechos pasados difiere según el sitio. Por ejemplo, el galpón “</w:t>
      </w:r>
      <w:r w:rsidRPr="007879D3">
        <w:rPr>
          <w:rFonts w:eastAsia="Times New Roman" w:cs="Times New Roman"/>
          <w:szCs w:val="20"/>
          <w:lang w:val="es-GT" w:eastAsia="es-ES"/>
        </w:rPr>
        <w:t>300</w:t>
      </w:r>
      <w:r w:rsidRPr="00C61710">
        <w:rPr>
          <w:rFonts w:eastAsia="Times New Roman" w:cs="Times New Roman"/>
          <w:szCs w:val="20"/>
          <w:lang w:val="es-GT" w:eastAsia="es-ES"/>
        </w:rPr>
        <w:t xml:space="preserve"> Carlos”, situado en una instalación militar —que funcionó como centro clandestino de detención y tortura durante la dictadura cívico-militar y donde al menos </w:t>
      </w:r>
      <w:r w:rsidRPr="007879D3">
        <w:rPr>
          <w:rFonts w:eastAsia="Times New Roman" w:cs="Times New Roman"/>
          <w:szCs w:val="20"/>
          <w:lang w:val="es-GT" w:eastAsia="es-ES"/>
        </w:rPr>
        <w:t>600</w:t>
      </w:r>
      <w:r w:rsidRPr="00C61710">
        <w:rPr>
          <w:rFonts w:eastAsia="Times New Roman" w:cs="Times New Roman"/>
          <w:szCs w:val="20"/>
          <w:lang w:val="es-GT" w:eastAsia="es-ES"/>
        </w:rPr>
        <w:t xml:space="preserve"> personas fueron detenidas y torturadas—, no es de fácil acceso y sigue siendo un almacén militar, y por lo tanto no refleja adecuadamente la gravedad de las violaciones allí cometidas. Asimismo, el sitio de memoria de La Tablada se encuentra en mal estado de conservación por la carencia de recursos, a pesar de su trascendencia por ser uno de los ámbitos en los que se documentó la violencia de género y sexual que allí se cometió. El Grupo de Trabajo ha subrayado la responsabilidad del Estado de reconocer el daño específico causado a las mujeres víctimas de desaparición forzada por razón de género</w:t>
      </w:r>
      <w:r w:rsidRPr="007879D3">
        <w:rPr>
          <w:rFonts w:eastAsia="Times New Roman" w:cs="Times New Roman"/>
          <w:sz w:val="18"/>
          <w:szCs w:val="20"/>
          <w:vertAlign w:val="superscript"/>
          <w:lang w:eastAsia="es-ES"/>
        </w:rPr>
        <w:footnoteReference w:id="30"/>
      </w:r>
      <w:r w:rsidRPr="00C61710">
        <w:rPr>
          <w:rFonts w:eastAsia="Times New Roman" w:cs="Times New Roman"/>
          <w:szCs w:val="20"/>
          <w:lang w:val="es-GT" w:eastAsia="es-ES"/>
        </w:rPr>
        <w:t xml:space="preserve">.  </w:t>
      </w:r>
    </w:p>
    <w:p w14:paraId="231A8BA0"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65.</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lamentó la información recibida sobre los obstáculos frente a las iniciativas de algunos docentes dirigidos a sensibilizar a las nuevas generaciones sobre los crímenes de la dictadura y otros temas relevantes de derechos humanos, Para garantizar un entorno respetuoso de los derechos humanos y asegurar la dignidad de las víctimas de graves violaciones de derechos humanos, son necesarias medidas adecuadas en los ámbitos de la educación formal e informal, la cultura, la </w:t>
      </w:r>
      <w:proofErr w:type="spellStart"/>
      <w:r w:rsidRPr="00C61710">
        <w:rPr>
          <w:rFonts w:eastAsia="Times New Roman" w:cs="Times New Roman"/>
          <w:szCs w:val="20"/>
          <w:lang w:val="es-GT" w:eastAsia="es-ES"/>
        </w:rPr>
        <w:t>memorialización</w:t>
      </w:r>
      <w:proofErr w:type="spellEnd"/>
      <w:r w:rsidRPr="00C61710">
        <w:rPr>
          <w:rFonts w:eastAsia="Times New Roman" w:cs="Times New Roman"/>
          <w:szCs w:val="20"/>
          <w:lang w:val="es-GT" w:eastAsia="es-ES"/>
        </w:rPr>
        <w:t xml:space="preserve"> y la formación en derechos humanos. También es necesario garantizar la educación y la formación en materia de derechos humanos a toda la sociedad, tanto los civiles como el personal militar, así como brindar información a las generaciones futuras sobre el pasado y los abusos que se cometieron, para evitar que se repitan.</w:t>
      </w:r>
    </w:p>
    <w:p w14:paraId="4C6B3F68"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VI.</w:t>
      </w:r>
      <w:r w:rsidRPr="007879D3">
        <w:rPr>
          <w:rFonts w:eastAsia="Times New Roman" w:cs="Times New Roman"/>
          <w:b/>
          <w:sz w:val="28"/>
          <w:szCs w:val="20"/>
          <w:lang w:val="es-GT" w:eastAsia="es-ES"/>
        </w:rPr>
        <w:tab/>
        <w:t xml:space="preserve">Cooperación internacional </w:t>
      </w:r>
    </w:p>
    <w:p w14:paraId="496C6128"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66.</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reconocimiento del alcance transnacional de la práctica de desaparición forzada en el período comprendido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en el marco de la Operación Cóndor es imprescindible para entender las características del fenómeno y brindar respuestas eficaces tanto en materia de búsqueda de las personas desaparecidas como de procuración de justicia. En este sentido, el Grupo de Trabajo evalúa favorablemente que el equipo de la Institución Nacional de Derechos Humanos y Defensoría del Pueblo cuente con un investigador en Buenos Aires, específicamente encargado de revisar documentación que pueda servir para esclarecer la suerte y el paradero de personas uruguayas desaparecidas en la Argentina en el contexto de la Operación Cóndor.</w:t>
      </w:r>
    </w:p>
    <w:p w14:paraId="5DD81658"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67.</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Tras la visita del Grupo de Trabajo, en el mes de octubre de </w:t>
      </w:r>
      <w:r w:rsidRPr="007879D3">
        <w:rPr>
          <w:rFonts w:eastAsia="Times New Roman" w:cs="Times New Roman"/>
          <w:szCs w:val="20"/>
          <w:lang w:val="es-GT" w:eastAsia="es-ES"/>
        </w:rPr>
        <w:t>2022</w:t>
      </w:r>
      <w:r w:rsidRPr="00C61710">
        <w:rPr>
          <w:rFonts w:eastAsia="Times New Roman" w:cs="Times New Roman"/>
          <w:szCs w:val="20"/>
          <w:lang w:val="es-GT" w:eastAsia="es-ES"/>
        </w:rPr>
        <w:t xml:space="preserve">, se hallaron coincidencias entre las huellas dactilares de Héctor Orlando Giordano </w:t>
      </w:r>
      <w:proofErr w:type="spellStart"/>
      <w:r w:rsidRPr="00C61710">
        <w:rPr>
          <w:rFonts w:eastAsia="Times New Roman" w:cs="Times New Roman"/>
          <w:szCs w:val="20"/>
          <w:lang w:val="es-GT" w:eastAsia="es-ES"/>
        </w:rPr>
        <w:t>Cortazzo</w:t>
      </w:r>
      <w:proofErr w:type="spellEnd"/>
      <w:r w:rsidRPr="00C61710">
        <w:rPr>
          <w:rFonts w:eastAsia="Times New Roman" w:cs="Times New Roman"/>
          <w:szCs w:val="20"/>
          <w:lang w:val="es-GT" w:eastAsia="es-ES"/>
        </w:rPr>
        <w:t xml:space="preserve">, ciudadano uruguayo desaparecido en Buenos Aires en </w:t>
      </w:r>
      <w:r w:rsidRPr="007879D3">
        <w:rPr>
          <w:rFonts w:eastAsia="Times New Roman" w:cs="Times New Roman"/>
          <w:szCs w:val="20"/>
          <w:lang w:val="es-GT" w:eastAsia="es-ES"/>
        </w:rPr>
        <w:t>1978</w:t>
      </w:r>
      <w:r w:rsidRPr="00C61710">
        <w:rPr>
          <w:rFonts w:eastAsia="Times New Roman" w:cs="Times New Roman"/>
          <w:szCs w:val="20"/>
          <w:lang w:val="es-GT" w:eastAsia="es-ES"/>
        </w:rPr>
        <w:t xml:space="preserve">, y un cuerpo encontrado en </w:t>
      </w:r>
      <w:r w:rsidRPr="007879D3">
        <w:rPr>
          <w:rFonts w:eastAsia="Times New Roman" w:cs="Times New Roman"/>
          <w:szCs w:val="20"/>
          <w:lang w:val="es-GT" w:eastAsia="es-ES"/>
        </w:rPr>
        <w:t>1978</w:t>
      </w:r>
      <w:r w:rsidRPr="00C61710">
        <w:rPr>
          <w:rFonts w:eastAsia="Times New Roman" w:cs="Times New Roman"/>
          <w:szCs w:val="20"/>
          <w:lang w:val="es-GT" w:eastAsia="es-ES"/>
        </w:rPr>
        <w:t xml:space="preserve"> en la zona de El Palomar, que fue enterrado sin identificar (como “NN”) en el cementerio de Morón, en la provincia de Buenos Aires. Este caso es una muestra concreta de los resultados que puede arrojar la cooperación internacional en materia de búsqueda de personas desaparecidas que, por lo tanto, debe ser auspiciada y ulteriormente fortalecida.</w:t>
      </w:r>
    </w:p>
    <w:p w14:paraId="45DE0D81"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68.</w:t>
      </w:r>
      <w:r w:rsidRPr="007879D3">
        <w:rPr>
          <w:rFonts w:eastAsia="Times New Roman" w:cs="Times New Roman"/>
          <w:bCs/>
          <w:szCs w:val="20"/>
          <w:lang w:val="es-GT" w:eastAsia="es-ES"/>
        </w:rPr>
        <w:tab/>
      </w:r>
      <w:r w:rsidRPr="00C61710">
        <w:rPr>
          <w:rFonts w:eastAsia="Times New Roman" w:cs="Times New Roman"/>
          <w:szCs w:val="20"/>
          <w:lang w:val="es-GT" w:eastAsia="es-ES"/>
        </w:rPr>
        <w:t>Además, el Uruguay mantiene sus obligaciones internacionales con respecto a quienes fueron desaparecidos con la participación de agentes del Estado del Uruguay y debe incluirlos en las actividades de búsqueda, las investigaciones, la procuración de justicia y el programa de medidas de reparación. Por ello, sería importante que la Institución Nacional de Derechos Humanos y Defensoría del Pueblo estableciera un punto focal al que puedan dirigirse personas extranjeras cuyos seres queridos desaparecieron en el marco de la Operación Cóndor y que podrían haber transitado por el Uruguay o cuyo paradero podría haber sido dicho Estado.</w:t>
      </w:r>
    </w:p>
    <w:p w14:paraId="72B8D80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69.</w:t>
      </w:r>
      <w:r w:rsidRPr="007879D3">
        <w:rPr>
          <w:rFonts w:eastAsia="Times New Roman" w:cs="Times New Roman"/>
          <w:bCs/>
          <w:szCs w:val="20"/>
          <w:lang w:val="es-GT" w:eastAsia="es-ES"/>
        </w:rPr>
        <w:tab/>
      </w:r>
      <w:r w:rsidRPr="00C61710">
        <w:rPr>
          <w:rFonts w:eastAsia="Times New Roman" w:cs="Times New Roman"/>
          <w:szCs w:val="20"/>
          <w:lang w:val="es-GT" w:eastAsia="es-ES"/>
        </w:rPr>
        <w:t>También es esencial preservar y contar con el acceso a los archivos de los diferentes Estados involucrados en la Operación Cóndor, a fin de lograr una sistematización y el cruce de información de manera estratégica.</w:t>
      </w:r>
    </w:p>
    <w:p w14:paraId="3844F118"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VII.</w:t>
      </w:r>
      <w:r w:rsidRPr="007879D3">
        <w:rPr>
          <w:rFonts w:eastAsia="Times New Roman" w:cs="Times New Roman"/>
          <w:b/>
          <w:sz w:val="28"/>
          <w:szCs w:val="20"/>
          <w:lang w:val="es-GT" w:eastAsia="es-ES"/>
        </w:rPr>
        <w:tab/>
        <w:t>Prevención y desapariciones en la actualidad</w:t>
      </w:r>
    </w:p>
    <w:p w14:paraId="47E1EA21"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70.</w:t>
      </w:r>
      <w:r w:rsidRPr="007879D3">
        <w:rPr>
          <w:rFonts w:eastAsia="Times New Roman" w:cs="Times New Roman"/>
          <w:bCs/>
          <w:szCs w:val="20"/>
          <w:lang w:val="es-GT" w:eastAsia="es-ES"/>
        </w:rPr>
        <w:tab/>
      </w:r>
      <w:r w:rsidRPr="00C61710">
        <w:rPr>
          <w:rFonts w:eastAsia="Times New Roman" w:cs="Times New Roman"/>
          <w:szCs w:val="20"/>
          <w:lang w:val="es-GT" w:eastAsia="es-ES"/>
        </w:rPr>
        <w:t>De acuerdo con los testimonios recogidos durante la visita, en la actualidad habría categorías de la población en mayor riesgo de sufrir desapariciones. El Grupo de Trabajo ha recibido información relacionada con desapariciones de niñas, niños y adolescentes durante sus estadías en centros de cuidado y protección estatales, o tras esas estadías; así como con desapariciones de mujeres y niñas, posiblemente relacionadas con situaciones de explotación sexual y trata de personas. Según la información recibida, estas desapariciones serían perpetradas por particulares o grupos criminales. Sin embargo, debido a la ausencia de investigaciones eficaces sobre estos casos, no es posible descartar la participación —ya sea directa o indirecta— de agentes estatales en su comisión. El mandato del Grupo de Trabajo se relaciona con la desaparición forzada tal como se define en la Declaración</w:t>
      </w:r>
      <w:r w:rsidRPr="00C61710">
        <w:rPr>
          <w:rFonts w:eastAsia="Times New Roman" w:cs="Times New Roman"/>
          <w:szCs w:val="20"/>
          <w:lang w:val="es-ES" w:eastAsia="es-ES"/>
        </w:rPr>
        <w:t xml:space="preserve"> </w:t>
      </w:r>
      <w:r w:rsidRPr="00C61710">
        <w:rPr>
          <w:rFonts w:eastAsia="Times New Roman" w:cs="Times New Roman"/>
          <w:szCs w:val="20"/>
          <w:lang w:val="es-GT" w:eastAsia="es-ES"/>
        </w:rPr>
        <w:t>sobre la Protección de Todas las Personas contra las Desapariciones Forzadas. Sin embargo, el Grupo de Trabajo condena todos los actos de desaparición independientemente del autor del crimen y reitera que solo mediante una investigación independiente, imparcial y completa se puede descartar una potencial desaparición forzada.</w:t>
      </w:r>
    </w:p>
    <w:p w14:paraId="40DFC79C"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71.</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Según los testimonios recibidos, las víctimas de estas desapariciones son frecuentemente niños, niñas, adolescentes y mujeres en situación de pobreza u otras condiciones de vulnerabilidad, incluyendo circunstancias tales como abandono, violencia o explotación, traumas psicofísicos, consumo o dependencia de sustancias psicoactivas o conflicto con la ley. Estos casos se producirían con más frecuencia en ciertas áreas de Montevideo y en algunas áreas rurales del Estado. Por lo general, se ha registrado una </w:t>
      </w:r>
      <w:proofErr w:type="spellStart"/>
      <w:r w:rsidRPr="00C61710">
        <w:rPr>
          <w:rFonts w:eastAsia="Times New Roman" w:cs="Times New Roman"/>
          <w:szCs w:val="20"/>
          <w:lang w:val="es-GT" w:eastAsia="es-ES"/>
        </w:rPr>
        <w:t>invisibilización</w:t>
      </w:r>
      <w:proofErr w:type="spellEnd"/>
      <w:r w:rsidRPr="00C61710">
        <w:rPr>
          <w:rFonts w:eastAsia="Times New Roman" w:cs="Times New Roman"/>
          <w:szCs w:val="20"/>
          <w:lang w:val="es-GT" w:eastAsia="es-ES"/>
        </w:rPr>
        <w:t xml:space="preserve"> del fenómeno y, cuando los casos llegan a hacerse de conocimiento público, se observaría un clima de estigmatización tanto de las víctimas como de sus familiares y de quienes las acompañan.</w:t>
      </w:r>
    </w:p>
    <w:p w14:paraId="63F97A6B"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72.</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De acuerdo con la información recibida, cuando se producen desapariciones de esta naturaleza, las autoridades no cuentan con protocolos de alerta temprana o búsqueda inmediata, sino que, por el contrario, piden a quien denuncia la desaparición que espere </w:t>
      </w:r>
      <w:r w:rsidRPr="007879D3">
        <w:rPr>
          <w:rFonts w:eastAsia="Times New Roman" w:cs="Times New Roman"/>
          <w:szCs w:val="20"/>
          <w:lang w:val="es-GT" w:eastAsia="es-ES"/>
        </w:rPr>
        <w:t>24</w:t>
      </w:r>
      <w:r w:rsidRPr="00C61710">
        <w:rPr>
          <w:rFonts w:eastAsia="Times New Roman" w:cs="Times New Roman"/>
          <w:szCs w:val="20"/>
          <w:lang w:val="es-GT" w:eastAsia="es-ES"/>
        </w:rPr>
        <w:t xml:space="preserve"> o </w:t>
      </w:r>
      <w:r w:rsidRPr="007879D3">
        <w:rPr>
          <w:rFonts w:eastAsia="Times New Roman" w:cs="Times New Roman"/>
          <w:szCs w:val="20"/>
          <w:lang w:val="es-GT" w:eastAsia="es-ES"/>
        </w:rPr>
        <w:t>48</w:t>
      </w:r>
      <w:r w:rsidRPr="00C61710">
        <w:rPr>
          <w:rFonts w:eastAsia="Times New Roman" w:cs="Times New Roman"/>
          <w:szCs w:val="20"/>
          <w:lang w:val="es-GT" w:eastAsia="es-ES"/>
        </w:rPr>
        <w:t> horas antes de recibir formalmente la denuncia y emprender operaciones de búsqueda. Sin embargo, este período es fundamental para obtener información sobre la suerte y el paradero de la persona desaparecida y evitar la comisión de ulteriores delitos. En la actualidad, el Uruguay no contaría con medidas preventivas eficaces ni con mecanismos o políticas de búsqueda dirigidas específicamente a este grupo de personas (como, por ejemplo, la Alerta Amber o el Protocolo Alba). El Grupo de Trabajo ha sido informado de la existencia de un proyecto de ley para introducir la Alerta Amber en el Uruguay, pero esta iniciativa no parece haber prosperado todavía.</w:t>
      </w:r>
    </w:p>
    <w:p w14:paraId="74DA576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73.</w:t>
      </w:r>
      <w:r w:rsidRPr="007879D3">
        <w:rPr>
          <w:rFonts w:eastAsia="Times New Roman" w:cs="Times New Roman"/>
          <w:bCs/>
          <w:szCs w:val="20"/>
          <w:lang w:val="es-GT" w:eastAsia="es-ES"/>
        </w:rPr>
        <w:tab/>
      </w:r>
      <w:r w:rsidRPr="00C61710">
        <w:rPr>
          <w:rFonts w:eastAsia="Times New Roman" w:cs="Times New Roman"/>
          <w:szCs w:val="20"/>
          <w:lang w:val="es-GT" w:eastAsia="es-ES"/>
        </w:rPr>
        <w:t>El Grupo de Trabajo fue informado de que, cuando finalmente se recogen las denuncias relacionadas con estos tipos de desapariciones de personas más vulnerables, las víctimas se registran como “personas ausentes” y no como “personas desaparecidas”, sin que se lleven a cabo investigaciones exhaustivas ni eficaces que permitan descartar una potencial desaparición forzada. Al respecto, ha sido señalado al Grupo de Trabajo que la página web del Ministerio del Interior dedicada a las personas ausentes tampoco estaría actualizada</w:t>
      </w:r>
      <w:r w:rsidRPr="007879D3">
        <w:rPr>
          <w:rFonts w:eastAsia="Times New Roman" w:cs="Times New Roman"/>
          <w:sz w:val="18"/>
          <w:szCs w:val="20"/>
          <w:vertAlign w:val="superscript"/>
          <w:lang w:eastAsia="es-ES"/>
        </w:rPr>
        <w:footnoteReference w:id="31"/>
      </w:r>
      <w:r w:rsidRPr="00C61710">
        <w:rPr>
          <w:rFonts w:eastAsia="Times New Roman" w:cs="Times New Roman"/>
          <w:szCs w:val="20"/>
          <w:lang w:val="es-GT" w:eastAsia="es-ES"/>
        </w:rPr>
        <w:t>, lo que dificultaría, o imposibilitaría, una búsqueda eficaz de las personas concernidas y las investigaciones correspondientes. Adicionalmente, se ha relatado al Grupo de Trabajo que, cuando finalmente se registran de manera oficial estos casos, las autoridades no adoptarían una actitud proactiva, sino que dejarían recaer la responsabilidad de la búsqueda y las investigaciones sobre los familiares de las personas desaparecidas y de quienes los acompañan, dependiendo principalmente de sus iniciativas.</w:t>
      </w:r>
    </w:p>
    <w:p w14:paraId="7757DFE8"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74.</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Además, los familiares de estas personas enfrentarían dificultades para acceder al patrocinio legal gratuito y a medidas de apoyo psicosocial. El Grupo de Trabajo subraya la importancia de garantizar el acceso al patrocinio legal gratuito y de fortalecer la Unidad de Víctimas y Testigos de la Fiscalía General de la Nación para que cuente con los recursos humanos, financieros y técnicos adecuados y con personal debidamente capacitado y sensibilizado. </w:t>
      </w:r>
    </w:p>
    <w:p w14:paraId="0135D13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75.</w:t>
      </w:r>
      <w:r w:rsidRPr="007879D3">
        <w:rPr>
          <w:rFonts w:eastAsia="Times New Roman" w:cs="Times New Roman"/>
          <w:bCs/>
          <w:szCs w:val="20"/>
          <w:lang w:val="es-GT" w:eastAsia="es-ES"/>
        </w:rPr>
        <w:tab/>
      </w:r>
      <w:r w:rsidRPr="00C61710">
        <w:rPr>
          <w:rFonts w:ascii="TimesNewRomanPSMT" w:eastAsia="Times New Roman" w:hAnsi="TimesNewRomanPSMT" w:cs="TimesNewRomanPSMT"/>
          <w:szCs w:val="20"/>
          <w:lang w:val="es-GT" w:eastAsia="es-ES"/>
        </w:rPr>
        <w:t>E</w:t>
      </w:r>
      <w:r w:rsidRPr="00C61710">
        <w:rPr>
          <w:rFonts w:eastAsia="Times New Roman" w:cs="Times New Roman"/>
          <w:szCs w:val="20"/>
          <w:lang w:val="es-GT" w:eastAsia="es-ES"/>
        </w:rPr>
        <w:t xml:space="preserve">l Grupo de Trabajo ha observado con preocupación las modificaciones realizadas por la Ley </w:t>
      </w:r>
      <w:r w:rsidRPr="007879D3">
        <w:rPr>
          <w:rFonts w:eastAsia="Times New Roman" w:cs="Times New Roman"/>
          <w:szCs w:val="20"/>
          <w:lang w:val="es-GT" w:eastAsia="es-ES"/>
        </w:rPr>
        <w:t>19</w:t>
      </w:r>
      <w:r w:rsidRPr="00C61710">
        <w:rPr>
          <w:rFonts w:eastAsia="Times New Roman" w:cs="Times New Roman"/>
          <w:szCs w:val="20"/>
          <w:lang w:val="es-GT" w:eastAsia="es-ES"/>
        </w:rPr>
        <w:t>.</w:t>
      </w:r>
      <w:r w:rsidRPr="007879D3">
        <w:rPr>
          <w:rFonts w:eastAsia="Times New Roman" w:cs="Times New Roman"/>
          <w:szCs w:val="20"/>
          <w:lang w:val="es-GT" w:eastAsia="es-ES"/>
        </w:rPr>
        <w:t>889</w:t>
      </w:r>
      <w:r w:rsidRPr="00C61710">
        <w:rPr>
          <w:rFonts w:eastAsia="Times New Roman" w:cs="Times New Roman"/>
          <w:szCs w:val="20"/>
          <w:lang w:val="es-GT" w:eastAsia="es-ES"/>
        </w:rPr>
        <w:t xml:space="preserve">, de Urgente Consideración, en su artículo </w:t>
      </w:r>
      <w:r w:rsidRPr="007879D3">
        <w:rPr>
          <w:rFonts w:eastAsia="Times New Roman" w:cs="Times New Roman"/>
          <w:szCs w:val="20"/>
          <w:lang w:val="es-GT" w:eastAsia="es-ES"/>
        </w:rPr>
        <w:t>43</w:t>
      </w:r>
      <w:r w:rsidRPr="00C61710">
        <w:rPr>
          <w:rFonts w:eastAsia="Times New Roman" w:cs="Times New Roman"/>
          <w:szCs w:val="20"/>
          <w:lang w:val="es-GT" w:eastAsia="es-ES"/>
        </w:rPr>
        <w:t>, que aumenta de dos a cuatro horas el plazo de aviso a la Fiscalía sobre la detención; y las alegaciones de retrasos en el acceso a la asistencia letrada, aspecto ulteriormente dificultado por la aplicación del artículo </w:t>
      </w:r>
      <w:r w:rsidRPr="007879D3">
        <w:rPr>
          <w:rFonts w:eastAsia="Times New Roman" w:cs="Times New Roman"/>
          <w:szCs w:val="20"/>
          <w:lang w:val="es-GT" w:eastAsia="es-ES"/>
        </w:rPr>
        <w:t>21</w:t>
      </w:r>
      <w:r w:rsidRPr="00C61710">
        <w:rPr>
          <w:rFonts w:eastAsia="Times New Roman" w:cs="Times New Roman"/>
          <w:szCs w:val="20"/>
          <w:lang w:val="es-GT" w:eastAsia="es-ES"/>
        </w:rPr>
        <w:t xml:space="preserve"> de la Ley de Urgente Consideración, relativo a la facultad de la Policía para realizar interrogatorios de forma autónoma a fin de obtener información para la investigación. Se considera que estas medidas van en el sentido contrario de una eficaz prevención de la desaparición forzada.</w:t>
      </w:r>
    </w:p>
    <w:p w14:paraId="08A860FC"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VIII.</w:t>
      </w:r>
      <w:r w:rsidRPr="007879D3">
        <w:rPr>
          <w:rFonts w:eastAsia="Times New Roman" w:cs="Times New Roman"/>
          <w:b/>
          <w:sz w:val="28"/>
          <w:szCs w:val="20"/>
          <w:lang w:val="es-GT" w:eastAsia="es-ES"/>
        </w:rPr>
        <w:tab/>
        <w:t>Observaciones finales</w:t>
      </w:r>
    </w:p>
    <w:p w14:paraId="3E9D5EE4"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76.</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Tras la recuperación del sistema democrático en </w:t>
      </w:r>
      <w:r w:rsidRPr="007879D3">
        <w:rPr>
          <w:rFonts w:eastAsia="Times New Roman" w:cs="Times New Roman"/>
          <w:szCs w:val="20"/>
          <w:lang w:val="es-GT" w:eastAsia="es-ES"/>
        </w:rPr>
        <w:t>1985</w:t>
      </w:r>
      <w:r w:rsidRPr="00C61710">
        <w:rPr>
          <w:rFonts w:eastAsia="Times New Roman" w:cs="Times New Roman"/>
          <w:szCs w:val="20"/>
          <w:lang w:val="es-GT" w:eastAsia="es-ES"/>
        </w:rPr>
        <w:t xml:space="preserve">, el Uruguay logró progresar significativamente en la protección de los derechos humanos. En particular, se reconocen algunos avances logrados en materia de justicia y lucha contra la impunidad por los crímenes cometidos durante el período de actuación ilegítima del Estado y la dictadura cívico-militar, entre </w:t>
      </w:r>
      <w:r w:rsidRPr="007879D3">
        <w:rPr>
          <w:rFonts w:eastAsia="Times New Roman" w:cs="Times New Roman"/>
          <w:szCs w:val="20"/>
          <w:lang w:val="es-GT" w:eastAsia="es-ES"/>
        </w:rPr>
        <w:t>1968</w:t>
      </w:r>
      <w:r w:rsidRPr="00C61710">
        <w:rPr>
          <w:rFonts w:eastAsia="Times New Roman" w:cs="Times New Roman"/>
          <w:szCs w:val="20"/>
          <w:lang w:val="es-GT" w:eastAsia="es-ES"/>
        </w:rPr>
        <w:t xml:space="preserve"> y </w:t>
      </w:r>
      <w:r w:rsidRPr="007879D3">
        <w:rPr>
          <w:rFonts w:eastAsia="Times New Roman" w:cs="Times New Roman"/>
          <w:szCs w:val="20"/>
          <w:lang w:val="es-GT" w:eastAsia="es-ES"/>
        </w:rPr>
        <w:t>1985</w:t>
      </w:r>
      <w:r w:rsidRPr="00C61710">
        <w:rPr>
          <w:rFonts w:eastAsia="Times New Roman" w:cs="Times New Roman"/>
          <w:szCs w:val="20"/>
          <w:lang w:val="es-GT" w:eastAsia="es-ES"/>
        </w:rPr>
        <w:t>.</w:t>
      </w:r>
    </w:p>
    <w:p w14:paraId="364E30C6"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77.</w:t>
      </w:r>
      <w:r w:rsidRPr="007879D3">
        <w:rPr>
          <w:rFonts w:eastAsia="Times New Roman" w:cs="Times New Roman"/>
          <w:bCs/>
          <w:szCs w:val="20"/>
          <w:lang w:val="es-GT" w:eastAsia="es-ES"/>
        </w:rPr>
        <w:tab/>
      </w:r>
      <w:r w:rsidRPr="00C61710">
        <w:rPr>
          <w:rFonts w:eastAsia="Times New Roman" w:cs="Times New Roman"/>
          <w:szCs w:val="20"/>
          <w:lang w:val="es-GT" w:eastAsia="es-ES"/>
        </w:rPr>
        <w:t>Durante la visita, el Grupo de Trabajo pudo observar la fortaleza social del concepto “Nunca Más” y de la importancia de la búsqueda de las personas desaparecidas, ideas claramente representadas en la Marcha del Silencio, así como en las consignas públicas que se observan en los murales en las calles de las ciudades, que son el resultado de décadas de lucha colectiva liderada con sabiduría y valentía por las víctimas y sus familiares.</w:t>
      </w:r>
    </w:p>
    <w:p w14:paraId="70B1F94A"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78.</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Sin embargo, el Grupo de Trabajo observó que los procesos de búsqueda y justicia por las desapariciones forzadas se han enfrentado con serios obstáculos institucionales que han derivado en grandes demoras. En este sentido, los familiares con los que se reunió el Grupo de Trabajo han expresado su angustia frente al paso del tiempo sin que se produzcan resultados apreciables. El Grupo de Trabajo observa con honda preocupación que en estos años han fallecido muchas personas sin que se haya logrado conocer la verdad sobre lo acontecido a sus seres queridos, ni se haya obtenido justicia. </w:t>
      </w:r>
    </w:p>
    <w:p w14:paraId="76B57228" w14:textId="77777777" w:rsidR="00C61710" w:rsidRPr="00C61710" w:rsidRDefault="00C61710" w:rsidP="00C61710">
      <w:pPr>
        <w:tabs>
          <w:tab w:val="left" w:pos="1701"/>
          <w:tab w:val="left" w:pos="2268"/>
          <w:tab w:val="left" w:pos="2835"/>
        </w:tabs>
        <w:suppressAutoHyphens/>
        <w:bidi w:val="0"/>
        <w:spacing w:after="120"/>
        <w:ind w:left="1134" w:right="1134"/>
        <w:jc w:val="both"/>
        <w:rPr>
          <w:rFonts w:eastAsia="Times New Roman" w:cs="Times New Roman"/>
          <w:szCs w:val="20"/>
          <w:lang w:val="es-GT" w:eastAsia="es-ES"/>
        </w:rPr>
      </w:pPr>
      <w:r w:rsidRPr="007879D3">
        <w:rPr>
          <w:rFonts w:eastAsia="Times New Roman" w:cs="Times New Roman"/>
          <w:bCs/>
          <w:szCs w:val="20"/>
          <w:lang w:val="es-GT" w:eastAsia="es-ES"/>
        </w:rPr>
        <w:t>79.</w:t>
      </w:r>
      <w:r w:rsidRPr="007879D3">
        <w:rPr>
          <w:rFonts w:eastAsia="Times New Roman" w:cs="Times New Roman"/>
          <w:bCs/>
          <w:szCs w:val="20"/>
          <w:lang w:val="es-GT" w:eastAsia="es-ES"/>
        </w:rPr>
        <w:tab/>
      </w:r>
      <w:r w:rsidRPr="00C61710">
        <w:rPr>
          <w:rFonts w:eastAsia="Times New Roman" w:cs="Times New Roman"/>
          <w:szCs w:val="20"/>
          <w:lang w:val="es-GT" w:eastAsia="es-ES"/>
        </w:rPr>
        <w:t xml:space="preserve">El Grupo de Trabajo considera que el Estado debe asumir como suyo el apremio vivido a cada instante de los últimos </w:t>
      </w:r>
      <w:r w:rsidRPr="007879D3">
        <w:rPr>
          <w:rFonts w:eastAsia="Times New Roman" w:cs="Times New Roman"/>
          <w:szCs w:val="20"/>
          <w:lang w:val="es-GT" w:eastAsia="es-ES"/>
        </w:rPr>
        <w:t>50</w:t>
      </w:r>
      <w:r w:rsidRPr="00C61710">
        <w:rPr>
          <w:rFonts w:eastAsia="Times New Roman" w:cs="Times New Roman"/>
          <w:szCs w:val="20"/>
          <w:lang w:val="es-GT" w:eastAsia="es-ES"/>
        </w:rPr>
        <w:t xml:space="preserve"> años por parte de los familiares y desde las más altas instancias del Estado debe llegar a todas las autoridades y a toda la sociedad uruguaya un mensaje claro e inequívoco de que esta tarea debe asumirse colectivamente con seriedad, proactividad y urgencia.</w:t>
      </w:r>
    </w:p>
    <w:p w14:paraId="29E9667D" w14:textId="77777777" w:rsidR="00C61710" w:rsidRPr="007879D3" w:rsidRDefault="00C61710" w:rsidP="00C61710">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GT" w:eastAsia="es-ES"/>
        </w:rPr>
      </w:pPr>
      <w:r w:rsidRPr="007879D3">
        <w:rPr>
          <w:rFonts w:eastAsia="Times New Roman" w:cs="Times New Roman"/>
          <w:b/>
          <w:sz w:val="28"/>
          <w:szCs w:val="20"/>
          <w:lang w:val="es-GT" w:eastAsia="es-ES"/>
        </w:rPr>
        <w:tab/>
        <w:t>IX.</w:t>
      </w:r>
      <w:r w:rsidRPr="007879D3">
        <w:rPr>
          <w:rFonts w:eastAsia="Times New Roman" w:cs="Times New Roman"/>
          <w:b/>
          <w:sz w:val="28"/>
          <w:szCs w:val="20"/>
          <w:lang w:val="es-GT" w:eastAsia="es-ES"/>
        </w:rPr>
        <w:tab/>
        <w:t>Recomendaciones</w:t>
      </w:r>
    </w:p>
    <w:p w14:paraId="7A0D89EC" w14:textId="77777777" w:rsidR="00C61710" w:rsidRPr="007879D3" w:rsidRDefault="00C61710" w:rsidP="00C61710">
      <w:pPr>
        <w:tabs>
          <w:tab w:val="left" w:pos="1701"/>
          <w:tab w:val="left" w:pos="2268"/>
          <w:tab w:val="left" w:pos="2835"/>
        </w:tabs>
        <w:suppressAutoHyphens/>
        <w:bidi w:val="0"/>
        <w:spacing w:after="120"/>
        <w:ind w:left="1134" w:right="1134"/>
        <w:jc w:val="both"/>
        <w:rPr>
          <w:rFonts w:eastAsia="Times New Roman" w:cs="Times New Roman"/>
          <w:b/>
          <w:bCs/>
          <w:szCs w:val="20"/>
          <w:lang w:val="es-GT" w:eastAsia="es-ES"/>
        </w:rPr>
      </w:pPr>
      <w:r w:rsidRPr="007879D3">
        <w:rPr>
          <w:rFonts w:eastAsia="Times New Roman" w:cs="Times New Roman"/>
          <w:bCs/>
          <w:szCs w:val="20"/>
          <w:lang w:val="es-GT" w:eastAsia="es-ES"/>
        </w:rPr>
        <w:t>80.</w:t>
      </w:r>
      <w:r w:rsidRPr="007879D3">
        <w:rPr>
          <w:rFonts w:eastAsia="Times New Roman" w:cs="Times New Roman"/>
          <w:bCs/>
          <w:szCs w:val="20"/>
          <w:lang w:val="es-GT" w:eastAsia="es-ES"/>
        </w:rPr>
        <w:tab/>
      </w:r>
      <w:r w:rsidRPr="007879D3">
        <w:rPr>
          <w:rFonts w:eastAsia="Times New Roman" w:cs="Times New Roman"/>
          <w:b/>
          <w:bCs/>
          <w:szCs w:val="20"/>
          <w:lang w:val="es-GT" w:eastAsia="es-ES"/>
        </w:rPr>
        <w:t>Con base en las consideraciones anteriores, el Grupo de Trabajo recomienda al Uruguay:</w:t>
      </w:r>
    </w:p>
    <w:p w14:paraId="74710BA2"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C61710">
        <w:rPr>
          <w:rFonts w:eastAsia="Times New Roman" w:cs="Times New Roman"/>
          <w:szCs w:val="20"/>
          <w:lang w:val="es-GT" w:eastAsia="es-ES"/>
        </w:rPr>
        <w:tab/>
      </w:r>
      <w:r w:rsidRPr="007879D3">
        <w:rPr>
          <w:rFonts w:eastAsia="Times New Roman" w:cs="Times New Roman"/>
          <w:b/>
          <w:bCs/>
          <w:szCs w:val="20"/>
          <w:lang w:val="es-GT" w:eastAsia="es-ES"/>
        </w:rPr>
        <w:t>a)</w:t>
      </w:r>
      <w:r w:rsidRPr="007879D3">
        <w:rPr>
          <w:rFonts w:eastAsia="Times New Roman" w:cs="Times New Roman"/>
          <w:b/>
          <w:bCs/>
          <w:szCs w:val="20"/>
          <w:lang w:val="es-GT" w:eastAsia="es-ES"/>
        </w:rPr>
        <w:tab/>
        <w:t>Aceptar que, independientemente de su duración, la detención de personas por parte de autoridades estatales, acompañada por la negativa a reconocer su detención o revelar su paradero, constituye una desaparición forzada en virtud del derecho internacional de los derechos humanos. En este sentido, se recomienda que el Estado refleje ese reconocimiento tanto en el discurso oficial como en la legislación y en el reconocimiento de los derechos de todas las personas víctimas de desaparición forzada, incluidos sus familiares;</w:t>
      </w:r>
    </w:p>
    <w:p w14:paraId="2FD82B15"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b)</w:t>
      </w:r>
      <w:r w:rsidRPr="007879D3">
        <w:rPr>
          <w:rFonts w:eastAsia="Times New Roman" w:cs="Times New Roman"/>
          <w:b/>
          <w:bCs/>
          <w:szCs w:val="20"/>
          <w:lang w:val="es-GT" w:eastAsia="es-ES"/>
        </w:rPr>
        <w:tab/>
        <w:t>Sensibilizar, tanto a la sociedad civil como al servicio público, sobre el fenómeno de la desaparición forzada de personas, los mecanismos de denuncia existentes y las obligaciones correspondientes;</w:t>
      </w:r>
    </w:p>
    <w:p w14:paraId="12F98765"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c)</w:t>
      </w:r>
      <w:r w:rsidRPr="007879D3">
        <w:rPr>
          <w:rFonts w:eastAsia="Times New Roman" w:cs="Times New Roman"/>
          <w:b/>
          <w:bCs/>
          <w:szCs w:val="20"/>
          <w:lang w:val="es-GT" w:eastAsia="es-ES"/>
        </w:rPr>
        <w:tab/>
        <w:t>Transmitir desde todos los sectores políticos y sociales un mensaje claro de apoyo a las víctimas y de condena a las desapariciones forzadas y otras graves violaciones de los derechos humanos, construyendo una política de Estado sobre estas bases;</w:t>
      </w:r>
    </w:p>
    <w:p w14:paraId="09CBDB1A"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d)</w:t>
      </w:r>
      <w:r w:rsidRPr="007879D3">
        <w:rPr>
          <w:rFonts w:eastAsia="Times New Roman" w:cs="Times New Roman"/>
          <w:b/>
          <w:bCs/>
          <w:szCs w:val="20"/>
          <w:lang w:val="es-GT" w:eastAsia="es-ES"/>
        </w:rPr>
        <w:tab/>
        <w:t>Asegurar, por parte de las autoridades ejecutivas y parlamentarias, que la Institución Nacional de Derechos Humanos y Defensoría del Pueblo cumpla con todos los requisitos establecidos en los Principios de París, en particular en relación con la idoneidad e independencia requeridas para llevar adelante la búsqueda de las personas desaparecidas; y garantizar que cuente con los recursos humanos, financieros y técnicos suficientes;</w:t>
      </w:r>
    </w:p>
    <w:p w14:paraId="6CA12AC4"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e)</w:t>
      </w:r>
      <w:r w:rsidRPr="007879D3">
        <w:rPr>
          <w:rFonts w:eastAsia="Times New Roman" w:cs="Times New Roman"/>
          <w:b/>
          <w:bCs/>
          <w:szCs w:val="20"/>
          <w:lang w:val="es-GT" w:eastAsia="es-ES"/>
        </w:rPr>
        <w:tab/>
        <w:t>Adoptar medidas para asegurar una sólida estabilidad institucional en la Institución Nacional de Derechos Humanos y Defensoría del Pueblo que trascienda el mandato de los directores y el resto del personal, así como de mecanismos para la evaluación y rendición de cuentas sobre la labor de búsqueda en los que también participen las víctimas;</w:t>
      </w:r>
    </w:p>
    <w:p w14:paraId="7DF2957D"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f)</w:t>
      </w:r>
      <w:r w:rsidRPr="007879D3">
        <w:rPr>
          <w:rFonts w:eastAsia="Times New Roman" w:cs="Times New Roman"/>
          <w:b/>
          <w:bCs/>
          <w:szCs w:val="20"/>
          <w:lang w:val="es-GT" w:eastAsia="es-ES"/>
        </w:rPr>
        <w:tab/>
        <w:t>Elaborar y aplicar políticas integrales para la conservación, análisis y divulgación de la información contenida en los archivos de los órganos militares, policiales y de inteligencia, previendo los recursos humanos y materiales necesarios para la evaluación de la información, de la que deben encargarse profesionales especializados;</w:t>
      </w:r>
    </w:p>
    <w:p w14:paraId="5E5DD904"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g)</w:t>
      </w:r>
      <w:r w:rsidRPr="007879D3">
        <w:rPr>
          <w:rFonts w:eastAsia="Times New Roman" w:cs="Times New Roman"/>
          <w:b/>
          <w:bCs/>
          <w:szCs w:val="20"/>
          <w:lang w:val="es-GT" w:eastAsia="es-ES"/>
        </w:rPr>
        <w:tab/>
        <w:t>Asegurar que la Institución Nacional de Derechos Humanos y Defensoría del Pueblo continúe recibiendo los recursos humanos, financieros y técnicos suficientes para llevar a cabo su mandato con celeridad e independencia y con toda la tecnología disponible necesaria para detectar y exhumar restos humanos;</w:t>
      </w:r>
    </w:p>
    <w:p w14:paraId="515B4AFD"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h)</w:t>
      </w:r>
      <w:r w:rsidRPr="007879D3">
        <w:rPr>
          <w:rFonts w:eastAsia="Times New Roman" w:cs="Times New Roman"/>
          <w:b/>
          <w:bCs/>
          <w:szCs w:val="20"/>
          <w:lang w:val="es-GT" w:eastAsia="es-ES"/>
        </w:rPr>
        <w:tab/>
        <w:t>Tomar medidas legislativas a los efectos de superar los obstáculos y demoras en el avance de los procedimientos penales iniciados por desapariciones forzadas y otras graves violaciones de los derechos humanos, incluidas aquellas que impidan que la multiplicidad de recursos interpuestos detenga los procesos, la digitalización de expedientes y el uso sistemático del mecanismo de la decisión anticipada por parte de las instancias judiciales competentes en la resolución de los recursos correspondientes;</w:t>
      </w:r>
    </w:p>
    <w:p w14:paraId="3658B243"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i)</w:t>
      </w:r>
      <w:r w:rsidRPr="007879D3">
        <w:rPr>
          <w:rFonts w:eastAsia="Times New Roman" w:cs="Times New Roman"/>
          <w:b/>
          <w:bCs/>
          <w:szCs w:val="20"/>
          <w:lang w:val="es-GT" w:eastAsia="es-ES"/>
        </w:rPr>
        <w:tab/>
        <w:t>Fortalecer las capacidades de la Fiscalía Especializada de Crímenes de Lesa Humanidad, dotándola de estabilidad normativa, y garantizar recursos humanos, técnicos y financieros suficientes;</w:t>
      </w:r>
    </w:p>
    <w:p w14:paraId="03BB92D4"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j)</w:t>
      </w:r>
      <w:r w:rsidRPr="007879D3">
        <w:rPr>
          <w:rFonts w:eastAsia="Times New Roman" w:cs="Times New Roman"/>
          <w:b/>
          <w:bCs/>
          <w:szCs w:val="20"/>
          <w:lang w:val="es-GT" w:eastAsia="es-ES"/>
        </w:rPr>
        <w:tab/>
        <w:t>Asegurar el apoyo psicosocial, logístico y financiero necesario para el desarrollo de los juicios orales por graves violaciones de los derechos humanos, incluidas las desapariciones forzadas, y prever las medidas de protección que fueren necesarias para las víctimas, testigos y todos los intervinientes en los procesos;</w:t>
      </w:r>
    </w:p>
    <w:p w14:paraId="4DFC845D"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k)</w:t>
      </w:r>
      <w:r w:rsidRPr="007879D3">
        <w:rPr>
          <w:rFonts w:eastAsia="Times New Roman" w:cs="Times New Roman"/>
          <w:b/>
          <w:bCs/>
          <w:szCs w:val="20"/>
          <w:lang w:val="es-GT" w:eastAsia="es-ES"/>
        </w:rPr>
        <w:tab/>
        <w:t xml:space="preserve">Garantizar el acceso a la justicia de las víctimas de manera que se permita su </w:t>
      </w:r>
      <w:proofErr w:type="gramStart"/>
      <w:r w:rsidRPr="007879D3">
        <w:rPr>
          <w:rFonts w:eastAsia="Times New Roman" w:cs="Times New Roman"/>
          <w:b/>
          <w:bCs/>
          <w:szCs w:val="20"/>
          <w:lang w:val="es-GT" w:eastAsia="es-ES"/>
        </w:rPr>
        <w:t>participación activa</w:t>
      </w:r>
      <w:proofErr w:type="gramEnd"/>
      <w:r w:rsidRPr="007879D3">
        <w:rPr>
          <w:rFonts w:eastAsia="Times New Roman" w:cs="Times New Roman"/>
          <w:b/>
          <w:bCs/>
          <w:szCs w:val="20"/>
          <w:lang w:val="es-GT" w:eastAsia="es-ES"/>
        </w:rPr>
        <w:t xml:space="preserve"> en los procesos, previendo inclusive mecanismos para el patrocinio legal gratuito de aquellas personas que lo requirieren;</w:t>
      </w:r>
    </w:p>
    <w:p w14:paraId="6B6ECA36"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l)</w:t>
      </w:r>
      <w:r w:rsidRPr="007879D3">
        <w:rPr>
          <w:rFonts w:eastAsia="Times New Roman" w:cs="Times New Roman"/>
          <w:b/>
          <w:bCs/>
          <w:szCs w:val="20"/>
          <w:lang w:val="es-GT" w:eastAsia="es-ES"/>
        </w:rPr>
        <w:tab/>
        <w:t>Adoptar un enfoque de género en las investigaciones y el enjuiciamiento de las desapariciones forzadas, en particular cuando las personas, y especialmente las mujeres, hubieren sido víctimas de violencia sexual. En este sentido, se insta al Estado a desarrollar protocolos, cuestionarios y guías específicos para entrevistar a estas personas;</w:t>
      </w:r>
    </w:p>
    <w:p w14:paraId="14505F13"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m)</w:t>
      </w:r>
      <w:r w:rsidRPr="007879D3">
        <w:rPr>
          <w:rFonts w:eastAsia="Times New Roman" w:cs="Times New Roman"/>
          <w:b/>
          <w:bCs/>
          <w:szCs w:val="20"/>
          <w:lang w:val="es-GT" w:eastAsia="es-ES"/>
        </w:rPr>
        <w:tab/>
        <w:t>Archivar el proyecto legislativo que busca la sustitución de penas privativas de la libertad por el régimen de prisión domiciliaria a procesados y condenados mayores de 65 años; y eliminar cualquier tipo de privilegios a los perpetradores, como el mantenimiento de cargos militares y pensiones a los condenados y prófugos de la justicia;</w:t>
      </w:r>
    </w:p>
    <w:p w14:paraId="6A5C0D47"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n)</w:t>
      </w:r>
      <w:r w:rsidRPr="007879D3">
        <w:rPr>
          <w:rFonts w:eastAsia="Times New Roman" w:cs="Times New Roman"/>
          <w:b/>
          <w:bCs/>
          <w:szCs w:val="20"/>
          <w:lang w:val="es-GT" w:eastAsia="es-ES"/>
        </w:rPr>
        <w:tab/>
        <w:t xml:space="preserve">Dar cabal cumplimiento a la resolución núm. 751 de 6 de agosto de 2019 de la Institución Nacional de Derechos Humanos y Defensoría del Pueblo, que </w:t>
      </w:r>
      <w:bookmarkStart w:id="11" w:name="_Hlk129559443"/>
      <w:r w:rsidRPr="007879D3">
        <w:rPr>
          <w:rFonts w:eastAsia="Times New Roman" w:cs="Times New Roman"/>
          <w:b/>
          <w:bCs/>
          <w:szCs w:val="20"/>
          <w:lang w:val="es-GT" w:eastAsia="es-ES"/>
        </w:rPr>
        <w:t xml:space="preserve">recomienda realizar un acto público de reconocimiento de responsabilidad, que incluya un pedido de disculpas por parte del Estado del Uruguay a las personas que siendo niñas, niños o adolescentes durante el período </w:t>
      </w:r>
      <w:r w:rsidRPr="007879D3">
        <w:rPr>
          <w:rFonts w:eastAsia="Times New Roman" w:cs="Times New Roman"/>
          <w:b/>
          <w:bCs/>
          <w:i/>
          <w:iCs/>
          <w:szCs w:val="20"/>
          <w:lang w:val="es-GT" w:eastAsia="es-ES"/>
        </w:rPr>
        <w:t>de facto</w:t>
      </w:r>
      <w:bookmarkEnd w:id="11"/>
      <w:r w:rsidRPr="007879D3">
        <w:rPr>
          <w:rFonts w:eastAsia="Times New Roman" w:cs="Times New Roman"/>
          <w:b/>
          <w:bCs/>
          <w:szCs w:val="20"/>
          <w:lang w:val="es-GT" w:eastAsia="es-ES"/>
        </w:rPr>
        <w:t xml:space="preserve"> sufrieron un perjuicio directo por las desapariciones forzadas perpetradas;</w:t>
      </w:r>
    </w:p>
    <w:p w14:paraId="68765187"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o)</w:t>
      </w:r>
      <w:r w:rsidRPr="007879D3">
        <w:rPr>
          <w:rFonts w:eastAsia="Times New Roman" w:cs="Times New Roman"/>
          <w:b/>
          <w:bCs/>
          <w:szCs w:val="20"/>
          <w:lang w:val="es-GT" w:eastAsia="es-ES"/>
        </w:rPr>
        <w:tab/>
        <w:t>Diseñar un plan integral de reparaciones para las víctimas de desaparición forzada que sea exhaustivo, equitativo y eficiente, y que incluya medidas relacionadas con actos de violencia sexual y discriminación de género;</w:t>
      </w:r>
    </w:p>
    <w:p w14:paraId="1E22A819"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p)</w:t>
      </w:r>
      <w:r w:rsidRPr="007879D3">
        <w:rPr>
          <w:rFonts w:eastAsia="Times New Roman" w:cs="Times New Roman"/>
          <w:b/>
          <w:bCs/>
          <w:szCs w:val="20"/>
          <w:lang w:val="es-GT" w:eastAsia="es-ES"/>
        </w:rPr>
        <w:tab/>
        <w:t>Reforzar las políticas de memoria, garantizando la preservación y protección de cada uno de los sitios conmemorativos y de memoria y asignando los recursos presupuestarios necesarios;</w:t>
      </w:r>
    </w:p>
    <w:p w14:paraId="32978AD1"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q)</w:t>
      </w:r>
      <w:r w:rsidRPr="007879D3">
        <w:rPr>
          <w:rFonts w:eastAsia="Times New Roman" w:cs="Times New Roman"/>
          <w:b/>
          <w:bCs/>
          <w:szCs w:val="20"/>
          <w:lang w:val="es-GT" w:eastAsia="es-ES"/>
        </w:rPr>
        <w:tab/>
        <w:t>Tomar medidas para recuperar y proteger los sitios de memoria dañados, incluido el Memorial de los Detenidos Desaparecidos del Cerro de Montevideo, e investigar los ataques, e identificar, enjuiciar y sancionar a los responsables;</w:t>
      </w:r>
    </w:p>
    <w:p w14:paraId="7AB5558E"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r)</w:t>
      </w:r>
      <w:r w:rsidRPr="007879D3">
        <w:rPr>
          <w:rFonts w:eastAsia="Times New Roman" w:cs="Times New Roman"/>
          <w:b/>
          <w:bCs/>
          <w:szCs w:val="20"/>
          <w:lang w:val="es-GT" w:eastAsia="es-ES"/>
        </w:rPr>
        <w:tab/>
        <w:t>Adaptar los programas escolares, desde la educación primaria hasta la superior y en un lenguaje acorde a cada edad, para que incluyan capítulos dedicados específicamente al período de la dictadura cívico-militar y reflejen las graves violaciones cometidas;</w:t>
      </w:r>
    </w:p>
    <w:p w14:paraId="19A01C6E"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s)</w:t>
      </w:r>
      <w:r w:rsidRPr="007879D3">
        <w:rPr>
          <w:rFonts w:eastAsia="Times New Roman" w:cs="Times New Roman"/>
          <w:b/>
          <w:bCs/>
          <w:szCs w:val="20"/>
          <w:lang w:val="es-GT" w:eastAsia="es-ES"/>
        </w:rPr>
        <w:tab/>
        <w:t>Apoyar los esfuerzos de la sociedad civil en los sitios de memoria, y desarrollar políticas para integrar un enfoque de género, en particular en lugares como La Tablada y la cárcel de Punta Rieles, donde se cometieron abusos sexuales contra mujeres. El enfoque debe ser inclusivo y garantizar la participación y el empoderamiento de las mujeres y reflejar las violaciones cometidas contra ellas, celebrando al mismo tiempo la historia de su resistencia;</w:t>
      </w:r>
    </w:p>
    <w:p w14:paraId="2E6F548B"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t)</w:t>
      </w:r>
      <w:r w:rsidRPr="007879D3">
        <w:rPr>
          <w:rFonts w:eastAsia="Times New Roman" w:cs="Times New Roman"/>
          <w:b/>
          <w:bCs/>
          <w:szCs w:val="20"/>
          <w:lang w:val="es-GT" w:eastAsia="es-ES"/>
        </w:rPr>
        <w:tab/>
        <w:t xml:space="preserve">Recuperar y transformar por completo el antiguo centro clandestino de detención “300 Carlos”, en el </w:t>
      </w:r>
      <w:hyperlink r:id="rId11" w:tooltip="Servicio de Material y Armamento del Ejército (aún no redactado)" w:history="1">
        <w:r w:rsidRPr="007879D3">
          <w:rPr>
            <w:rFonts w:eastAsia="Times New Roman" w:cs="Times New Roman"/>
            <w:b/>
            <w:bCs/>
            <w:szCs w:val="20"/>
            <w:lang w:val="es-GT" w:eastAsia="es-ES"/>
          </w:rPr>
          <w:t>Servicio de Material y Armamento del Ejército</w:t>
        </w:r>
      </w:hyperlink>
      <w:r w:rsidRPr="007879D3">
        <w:rPr>
          <w:rFonts w:eastAsia="Times New Roman" w:cs="Times New Roman"/>
          <w:b/>
          <w:bCs/>
          <w:szCs w:val="20"/>
          <w:lang w:val="es-GT" w:eastAsia="es-ES"/>
        </w:rPr>
        <w:t>, en un sitio de memoria que honre a las 600 personas que fueron sometidas a desaparición forzada y otros delitos en ese lugar, y refleje sus vidas, sus historias y la violencia cometida contra ellas, y proporcionar al público en general un acceso al lugar sin obstáculos;</w:t>
      </w:r>
    </w:p>
    <w:p w14:paraId="000B3543"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u)</w:t>
      </w:r>
      <w:r w:rsidRPr="007879D3">
        <w:rPr>
          <w:rFonts w:eastAsia="Times New Roman" w:cs="Times New Roman"/>
          <w:b/>
          <w:bCs/>
          <w:szCs w:val="20"/>
          <w:lang w:val="es-GT" w:eastAsia="es-ES"/>
        </w:rPr>
        <w:tab/>
        <w:t>Fortalecer la cooperación con otros Estados para prestarse todo el auxilio posible con el fin de asistir a los familiares de las personas desaparecidas en el marco de la Operación Cóndor, así como en la búsqueda, localización y liberación de las personas desaparecidas y, en caso de fallecimiento, en la exhumación, la identificación de las personas desaparecidas y la restitución de sus restos;</w:t>
      </w:r>
    </w:p>
    <w:p w14:paraId="4906F9DF"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v)</w:t>
      </w:r>
      <w:r w:rsidRPr="007879D3">
        <w:rPr>
          <w:rFonts w:eastAsia="Times New Roman" w:cs="Times New Roman"/>
          <w:b/>
          <w:bCs/>
          <w:szCs w:val="20"/>
          <w:lang w:val="es-GT" w:eastAsia="es-ES"/>
        </w:rPr>
        <w:tab/>
        <w:t>Asegurar que la Institución Nacional de Derechos Humanos y Defensoría del Pueblo establezca un coordinador al que puedan dirigirse ciudadanos de otra nacionalidad cuyos seres queridos desaparecieron en el marco de la Operación Cóndor y que podrían haber transitado por el Uruguay o cuyo paradero podría haber sido este país, y se informe debidamente con respecto a esta medida, inclusive a través de los canales diplomáticos y consulares pertinentes;</w:t>
      </w:r>
    </w:p>
    <w:p w14:paraId="2BACB223"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w)</w:t>
      </w:r>
      <w:r w:rsidRPr="007879D3">
        <w:rPr>
          <w:rFonts w:eastAsia="Times New Roman" w:cs="Times New Roman"/>
          <w:b/>
          <w:bCs/>
          <w:szCs w:val="20"/>
          <w:lang w:val="es-GT" w:eastAsia="es-ES"/>
        </w:rPr>
        <w:tab/>
        <w:t>Preservar y poner a disposición los archivos que pueden contener información relevante sobre las desapariciones forzadas perpetradas en el marco de la Operación Cóndor y facilitar su consulta, coordinándose para ese fin con los otros Estados involucrados y garantizando una metodología que permita el cruce de información de manera sistemática y estratégica;</w:t>
      </w:r>
    </w:p>
    <w:p w14:paraId="1B3AACD4"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x)</w:t>
      </w:r>
      <w:r w:rsidRPr="007879D3">
        <w:rPr>
          <w:rFonts w:eastAsia="Times New Roman" w:cs="Times New Roman"/>
          <w:b/>
          <w:bCs/>
          <w:szCs w:val="20"/>
          <w:lang w:val="es-GT" w:eastAsia="es-ES"/>
        </w:rPr>
        <w:tab/>
        <w:t>Redoblar los esfuerzos —especialmente en casos que involucran a nacionales uruguayos como víctimas— en materia de auxilio judicial internacional en lo que respecta a cualquier procedimiento penal relativo a un delito de desaparición forzada, y cooperar proactivamente con otros Estados</w:t>
      </w:r>
      <w:r w:rsidRPr="007879D3">
        <w:rPr>
          <w:rFonts w:eastAsia="Times New Roman" w:cs="Times New Roman"/>
          <w:b/>
          <w:bCs/>
          <w:spacing w:val="4"/>
          <w:szCs w:val="20"/>
          <w:lang w:val="es-GT" w:eastAsia="es-ES"/>
        </w:rPr>
        <w:t>;</w:t>
      </w:r>
    </w:p>
    <w:p w14:paraId="3504F8C3"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y)</w:t>
      </w:r>
      <w:r w:rsidRPr="007879D3">
        <w:rPr>
          <w:rFonts w:eastAsia="Times New Roman" w:cs="Times New Roman"/>
          <w:b/>
          <w:bCs/>
          <w:szCs w:val="20"/>
          <w:lang w:val="es-GT" w:eastAsia="es-ES"/>
        </w:rPr>
        <w:tab/>
        <w:t xml:space="preserve">Adoptar todas las medidas necesarias, de carácter judicial y diplomático, para juzgar y sancionar a todos los responsables de desapariciones forzadas, inclusive impulsando por todos los medios a su alcance las solicitudes de extradición que correspondan. La inexistencia de tratados de extradición no constituye una base o justificación suficiente para dejar de impulsar una solicitud en ese sentido; </w:t>
      </w:r>
    </w:p>
    <w:p w14:paraId="1AC83014"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t>z)</w:t>
      </w:r>
      <w:r w:rsidRPr="007879D3">
        <w:rPr>
          <w:rFonts w:eastAsia="Times New Roman" w:cs="Times New Roman"/>
          <w:b/>
          <w:bCs/>
          <w:szCs w:val="20"/>
          <w:lang w:val="es-GT" w:eastAsia="es-ES"/>
        </w:rPr>
        <w:tab/>
        <w:t>En cumplimiento de lo ordenado por la Corte Interamericana de Derechos Humanos en una sentencia relacionada con desapariciones forzadas perpetradas en el marco de la Operación Cóndor</w:t>
      </w:r>
      <w:r w:rsidRPr="007879D3">
        <w:rPr>
          <w:rFonts w:eastAsia="Times New Roman" w:cs="Times New Roman"/>
          <w:sz w:val="18"/>
          <w:szCs w:val="20"/>
          <w:vertAlign w:val="superscript"/>
          <w:lang w:eastAsia="es-ES"/>
        </w:rPr>
        <w:footnoteReference w:id="32"/>
      </w:r>
      <w:r w:rsidRPr="007879D3">
        <w:rPr>
          <w:rFonts w:eastAsia="Times New Roman" w:cs="Times New Roman"/>
          <w:b/>
          <w:bCs/>
          <w:szCs w:val="20"/>
          <w:lang w:val="es-GT" w:eastAsia="es-ES"/>
        </w:rPr>
        <w:t>, apoyar el establecimiento de un grupo de trabajo conjunto que coordine los esfuerzos posibles para llevar adelante las tareas de investigación, extradición, enjuiciamiento y, en su caso, sanción de los responsables de los crímenes cometidos;</w:t>
      </w:r>
    </w:p>
    <w:p w14:paraId="0CE91D93"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aa</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Asegurar de manera sistemática las facilidades, la asistencia y el apoyo necesarios a los familiares de personas uruguayas desaparecidas en el marco de la Operación Cóndor que deseen participar, ya sea como testigos, partes civiles o víctimas, en los procedimientos que se llevan a cabo en el extranjero;</w:t>
      </w:r>
    </w:p>
    <w:p w14:paraId="66204D9E"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bb</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 xml:space="preserve">Reconocer la existencia de desapariciones en la actualidad, en su mayoría relacionadas con niños, niñas, adolescentes y mujeres, pues es el primer paso necesario para desarrollar medidas integrales y efectivas para su erradicación; </w:t>
      </w:r>
    </w:p>
    <w:p w14:paraId="004E8F9A"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cc</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Elaborar y mantener una base de datos actualizada, que contenga datos estadísticos desagregados, entre otros, por sexo, edad y ubicación geográfica de las personas desaparecidas;</w:t>
      </w:r>
    </w:p>
    <w:p w14:paraId="60E7BB52"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dd</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Actuar con debida diligencia en la búsqueda y la investigación de las desapariciones de niños, niñas, adolescentes y mujeres, asegurando un adecuado análisis de contexto, en particular con respecto a la posible comisión de delitos y la participación de autoridades en su comisión;</w:t>
      </w:r>
    </w:p>
    <w:p w14:paraId="350A115B"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ee</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 xml:space="preserve">Adoptar sin más demora políticas y programas de búsqueda dirigidas específicamente a este grupo de personas desaparecidas, tales como la Alerta Amber y el Protocolo Alba, y garantizar que la búsqueda se implemente </w:t>
      </w:r>
      <w:r w:rsidRPr="007879D3">
        <w:rPr>
          <w:rFonts w:eastAsia="Times New Roman" w:cs="Times New Roman"/>
          <w:b/>
          <w:bCs/>
          <w:i/>
          <w:iCs/>
          <w:szCs w:val="20"/>
          <w:lang w:val="es-GT" w:eastAsia="es-ES"/>
        </w:rPr>
        <w:t xml:space="preserve">ex </w:t>
      </w:r>
      <w:proofErr w:type="spellStart"/>
      <w:r w:rsidRPr="007879D3">
        <w:rPr>
          <w:rFonts w:eastAsia="Times New Roman" w:cs="Times New Roman"/>
          <w:b/>
          <w:bCs/>
          <w:i/>
          <w:iCs/>
          <w:szCs w:val="20"/>
          <w:lang w:val="es-GT" w:eastAsia="es-ES"/>
        </w:rPr>
        <w:t>officio</w:t>
      </w:r>
      <w:proofErr w:type="spellEnd"/>
      <w:r w:rsidRPr="007879D3">
        <w:rPr>
          <w:rFonts w:eastAsia="Times New Roman" w:cs="Times New Roman"/>
          <w:b/>
          <w:bCs/>
          <w:szCs w:val="20"/>
          <w:lang w:val="es-GT" w:eastAsia="es-ES"/>
        </w:rPr>
        <w:t xml:space="preserve"> y sin dilación, de acuerdo con los Principios Rectores para la Búsqueda de Personas Desaparecidas y en particular el principio 4, sobre la búsqueda de personas en situación de vulnerabilidad;</w:t>
      </w:r>
    </w:p>
    <w:p w14:paraId="5E48ACBE"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ff</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Garantizar en general, y en particular a los familiares de niños, niñas, adolescentes y mujeres desaparecidas, el acceso al patrocinio legal gratuito y fortalecer a la Unidad de Víctimas y Testigos de la Fiscalía General de la Nación para que cuente con los recursos humanos, financieros y técnicos adecuados y con personal debidamente capacitado y sensibilizado;</w:t>
      </w:r>
    </w:p>
    <w:p w14:paraId="2517E950"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gg</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Adoptar programas de sensibilización y formación permanente en derechos humanos dirigidos al personal militar o civil encargado de la aplicación de la ley, así como al personal médico, a los funcionarios y a otras personas que puedan intervenir en la custodia o tratamiento de las personas privadas de libertad o en custodia;</w:t>
      </w:r>
    </w:p>
    <w:p w14:paraId="215E784F"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hh</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Adecuar la legislación aplicable para asegurar que toda persona detenida o presa a causa de una infracción penal sea llevada sin demora ante un juez u otro funcionario autorizado por la ley para ejercer funciones judiciales y tenga acceso a asistencia letrada sin demora;</w:t>
      </w:r>
    </w:p>
    <w:p w14:paraId="403A24CC" w14:textId="77777777" w:rsidR="00C61710" w:rsidRPr="007879D3" w:rsidRDefault="00C61710" w:rsidP="00C61710">
      <w:pPr>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ii</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El Grupo de Trabajo alienta al Uruguay a seguir cooperando con otros mecanismos internacionales —a nivel de las Naciones Unidas y regional― de protección de los derechos humanos en el marco de los respectivos mandatos. En particular, el Grupo de Trabajo recomienda al Uruguay implementar a cabalidad las órdenes contenidas en los fallos de la Corte Interamericana de Derechos Humanos relacionados con casos de desaparición forzada, así como con las recomendaciones formuladas en las observaciones finales del Comité contra la Desaparición Forzada, el Comité de Derechos Humanos y el Comité contra la Tortura;</w:t>
      </w:r>
    </w:p>
    <w:p w14:paraId="11A2857F" w14:textId="77777777" w:rsidR="00C61710" w:rsidRPr="007879D3" w:rsidRDefault="00C61710" w:rsidP="00C61710">
      <w:pPr>
        <w:keepNext/>
        <w:keepLines/>
        <w:tabs>
          <w:tab w:val="left" w:pos="1701"/>
          <w:tab w:val="left" w:pos="2268"/>
          <w:tab w:val="left" w:pos="2835"/>
        </w:tabs>
        <w:bidi w:val="0"/>
        <w:spacing w:after="120"/>
        <w:ind w:left="1134" w:right="1134"/>
        <w:jc w:val="both"/>
        <w:rPr>
          <w:rFonts w:eastAsia="Times New Roman" w:cs="Times New Roman"/>
          <w:b/>
          <w:bCs/>
          <w:szCs w:val="20"/>
          <w:lang w:val="es-GT" w:eastAsia="es-ES"/>
        </w:rPr>
      </w:pPr>
      <w:r w:rsidRPr="007879D3">
        <w:rPr>
          <w:rFonts w:eastAsia="Times New Roman" w:cs="Times New Roman"/>
          <w:b/>
          <w:bCs/>
          <w:szCs w:val="20"/>
          <w:lang w:val="es-GT" w:eastAsia="es-ES"/>
        </w:rPr>
        <w:tab/>
      </w:r>
      <w:proofErr w:type="spellStart"/>
      <w:r w:rsidRPr="007879D3">
        <w:rPr>
          <w:rFonts w:eastAsia="Times New Roman" w:cs="Times New Roman"/>
          <w:b/>
          <w:bCs/>
          <w:szCs w:val="20"/>
          <w:lang w:val="es-GT" w:eastAsia="es-ES"/>
        </w:rPr>
        <w:t>jj</w:t>
      </w:r>
      <w:proofErr w:type="spellEnd"/>
      <w:r w:rsidRPr="007879D3">
        <w:rPr>
          <w:rFonts w:eastAsia="Times New Roman" w:cs="Times New Roman"/>
          <w:b/>
          <w:bCs/>
          <w:szCs w:val="20"/>
          <w:lang w:val="es-GT" w:eastAsia="es-ES"/>
        </w:rPr>
        <w:t>)</w:t>
      </w:r>
      <w:r w:rsidRPr="007879D3">
        <w:rPr>
          <w:rFonts w:eastAsia="Times New Roman" w:cs="Times New Roman"/>
          <w:b/>
          <w:bCs/>
          <w:szCs w:val="20"/>
          <w:lang w:val="es-GT" w:eastAsia="es-ES"/>
        </w:rPr>
        <w:tab/>
        <w:t xml:space="preserve">El Grupo de Trabajo invita al Gobierno del Uruguay a que, en un plazo de 90 días a partir de la fecha de publicación de este informe, presente un cronograma en el que se indiquen las medidas que se llevarán a cabo para implementar las recomendaciones del Grupo de Trabajo y las fechas previstas para aplicar cada una de estas medidas. </w:t>
      </w:r>
    </w:p>
    <w:p w14:paraId="22E81562" w14:textId="77777777" w:rsidR="00C61710" w:rsidRPr="00C61710" w:rsidRDefault="00C61710" w:rsidP="00C61710">
      <w:pPr>
        <w:tabs>
          <w:tab w:val="left" w:pos="1701"/>
          <w:tab w:val="left" w:pos="2268"/>
          <w:tab w:val="left" w:pos="2835"/>
        </w:tabs>
        <w:suppressAutoHyphens/>
        <w:bidi w:val="0"/>
        <w:spacing w:before="240"/>
        <w:ind w:left="1134" w:right="1134"/>
        <w:jc w:val="center"/>
        <w:rPr>
          <w:rFonts w:eastAsia="Times New Roman" w:cs="Times New Roman"/>
          <w:szCs w:val="20"/>
          <w:u w:val="single"/>
          <w:lang w:val="es-GT" w:eastAsia="es-ES"/>
        </w:rPr>
      </w:pPr>
      <w:r w:rsidRPr="00C61710">
        <w:rPr>
          <w:rFonts w:eastAsia="Times New Roman" w:cs="Times New Roman"/>
          <w:szCs w:val="20"/>
          <w:u w:val="single"/>
          <w:lang w:val="es-GT" w:eastAsia="es-ES"/>
        </w:rPr>
        <w:tab/>
      </w:r>
      <w:r w:rsidRPr="00C61710">
        <w:rPr>
          <w:rFonts w:eastAsia="Times New Roman" w:cs="Times New Roman"/>
          <w:szCs w:val="20"/>
          <w:u w:val="single"/>
          <w:lang w:val="es-GT" w:eastAsia="es-ES"/>
        </w:rPr>
        <w:tab/>
      </w:r>
      <w:r w:rsidRPr="00C61710">
        <w:rPr>
          <w:rFonts w:eastAsia="Times New Roman" w:cs="Times New Roman"/>
          <w:szCs w:val="20"/>
          <w:u w:val="single"/>
          <w:lang w:val="es-GT" w:eastAsia="es-ES"/>
        </w:rPr>
        <w:tab/>
      </w:r>
      <w:r w:rsidRPr="00C61710">
        <w:rPr>
          <w:rFonts w:eastAsia="Times New Roman" w:cs="Times New Roman"/>
          <w:szCs w:val="20"/>
          <w:u w:val="single"/>
          <w:lang w:val="es-GT" w:eastAsia="es-ES"/>
        </w:rPr>
        <w:tab/>
      </w:r>
    </w:p>
    <w:sectPr w:rsidR="00C61710" w:rsidRPr="00C61710" w:rsidSect="000F479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0D540" w14:textId="77777777" w:rsidR="00032B0A" w:rsidRPr="002901D9" w:rsidRDefault="00032B0A" w:rsidP="00AD3834">
      <w:pPr>
        <w:spacing w:after="60" w:line="240" w:lineRule="auto"/>
        <w:ind w:left="57"/>
        <w:rPr>
          <w:i/>
          <w:iCs/>
        </w:rPr>
      </w:pPr>
      <w:r>
        <w:rPr>
          <w:rFonts w:hint="cs"/>
          <w:i/>
          <w:iCs/>
          <w:rtl/>
        </w:rPr>
        <w:t>الحواشي</w:t>
      </w:r>
    </w:p>
  </w:endnote>
  <w:endnote w:type="continuationSeparator" w:id="0">
    <w:p w14:paraId="347056F8" w14:textId="77777777" w:rsidR="00032B0A" w:rsidRDefault="00032B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2C9B7" w14:textId="10DA189E" w:rsidR="00B6187F" w:rsidRPr="00B6187F" w:rsidRDefault="00B6187F" w:rsidP="00B6187F">
    <w:pPr>
      <w:pStyle w:val="Footer"/>
      <w:tabs>
        <w:tab w:val="right" w:pos="9638"/>
      </w:tabs>
      <w:rPr>
        <w:b/>
        <w:sz w:val="18"/>
        <w:lang w:val="en-US"/>
      </w:rPr>
    </w:pPr>
    <w:r>
      <w:rPr>
        <w:lang w:val="en-US"/>
      </w:rPr>
      <w:t>GE.23-12027</w:t>
    </w:r>
    <w:r>
      <w:rPr>
        <w:lang w:val="en-US"/>
      </w:rPr>
      <w:tab/>
    </w:r>
    <w:r w:rsidRPr="00B6187F">
      <w:rPr>
        <w:b/>
        <w:sz w:val="18"/>
        <w:lang w:val="en-US"/>
      </w:rPr>
      <w:fldChar w:fldCharType="begin"/>
    </w:r>
    <w:r w:rsidRPr="00B6187F">
      <w:rPr>
        <w:b/>
        <w:sz w:val="18"/>
        <w:lang w:val="en-US"/>
      </w:rPr>
      <w:instrText xml:space="preserve"> PAGE  \* MERGEFORMAT </w:instrText>
    </w:r>
    <w:r w:rsidRPr="00B6187F">
      <w:rPr>
        <w:b/>
        <w:sz w:val="18"/>
        <w:lang w:val="en-US"/>
      </w:rPr>
      <w:fldChar w:fldCharType="separate"/>
    </w:r>
    <w:r w:rsidRPr="00B6187F">
      <w:rPr>
        <w:b/>
        <w:noProof/>
        <w:sz w:val="18"/>
        <w:lang w:val="en-US"/>
      </w:rPr>
      <w:t>2</w:t>
    </w:r>
    <w:r w:rsidRPr="00B618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C9BB1" w14:textId="33751F8A" w:rsidR="006959B0" w:rsidRPr="00B6187F" w:rsidRDefault="00B6187F" w:rsidP="00B618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GE.23-12027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84968" w14:textId="52B2DC71" w:rsidR="00FD4BC9" w:rsidRPr="00B6187F" w:rsidRDefault="00B6187F" w:rsidP="00B6187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8F7E28B" wp14:editId="6EFB5CC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23-12027 (A)</w:t>
    </w:r>
    <w:r>
      <w:rPr>
        <w:noProof/>
        <w:sz w:val="20"/>
        <w:lang w:val="en-US"/>
      </w:rPr>
      <w:drawing>
        <wp:anchor distT="0" distB="0" distL="114300" distR="114300" simplePos="0" relativeHeight="251659264" behindDoc="0" locked="0" layoutInCell="1" allowOverlap="1" wp14:anchorId="2B668F99" wp14:editId="7C8BF16A">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37ACC" w14:textId="7D706488" w:rsidR="00032B0A" w:rsidRPr="00C61710" w:rsidRDefault="00C61710" w:rsidP="00C61710">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E42ABF">
        <w:rPr>
          <w:noProof/>
          <w:color w:val="FFFFFF" w:themeColor="background1"/>
          <w:sz w:val="2"/>
          <w:szCs w:val="2"/>
          <w:rtl/>
        </w:rPr>
        <w:instrText>18</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2</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E42ABF">
        <w:rPr>
          <w:noProof/>
        </w:rPr>
        <w:tab/>
      </w:r>
      <w:r w:rsidR="00E42ABF" w:rsidRPr="00605216">
        <w:rPr>
          <w:noProof/>
        </w:rPr>
        <w:t>____________</w:t>
      </w:r>
      <w:r w:rsidRPr="00605216">
        <w:fldChar w:fldCharType="end"/>
      </w:r>
    </w:p>
  </w:footnote>
  <w:footnote w:type="continuationSeparator" w:id="0">
    <w:p w14:paraId="1939B37A" w14:textId="77777777" w:rsidR="00032B0A" w:rsidRDefault="00032B0A" w:rsidP="00656392">
      <w:pPr>
        <w:spacing w:line="240" w:lineRule="auto"/>
      </w:pPr>
      <w:r>
        <w:continuationSeparator/>
      </w:r>
    </w:p>
  </w:footnote>
  <w:footnote w:id="1">
    <w:p w14:paraId="58F2FD9D" w14:textId="3D44192A" w:rsidR="00C61710" w:rsidRPr="00C61710" w:rsidRDefault="00C61710" w:rsidP="00C61710">
      <w:pPr>
        <w:pStyle w:val="FootnoteText1"/>
        <w:rPr>
          <w:rtl/>
        </w:rPr>
      </w:pPr>
      <w:r>
        <w:rPr>
          <w:rtl/>
        </w:rPr>
        <w:t>*</w:t>
      </w:r>
      <w:r>
        <w:rPr>
          <w:rtl/>
        </w:rPr>
        <w:tab/>
        <w:t>يعمَّم موجز هذا التقرير بجميع اللغات الرسمية. أما التقرير نفسه، الوارد في مرفق هذا الموجز، فيُعمم باللغة التي قُدّم بها فقط.</w:t>
      </w:r>
    </w:p>
  </w:footnote>
  <w:footnote w:id="2">
    <w:p w14:paraId="6FA7C259" w14:textId="77777777" w:rsidR="00C61710" w:rsidRPr="00155D8B" w:rsidRDefault="00C61710" w:rsidP="00C61710">
      <w:pPr>
        <w:pStyle w:val="FootnoteText"/>
        <w:rPr>
          <w:rFonts w:hint="default"/>
          <w:lang w:val="es-MX"/>
        </w:rPr>
      </w:pPr>
      <w:r>
        <w:rPr>
          <w:lang w:val="es-MX"/>
        </w:rPr>
        <w:tab/>
      </w:r>
      <w:r w:rsidRPr="007879D3">
        <w:rPr>
          <w:rStyle w:val="FootnoteReference"/>
          <w:lang w:val="en-US"/>
        </w:rPr>
        <w:footnoteRef/>
      </w:r>
      <w:r w:rsidRPr="004804E1">
        <w:rPr>
          <w:lang w:val="es-MX"/>
        </w:rPr>
        <w:tab/>
      </w:r>
      <w:r>
        <w:rPr>
          <w:lang w:val="es-GT"/>
        </w:rPr>
        <w:t>V</w:t>
      </w:r>
      <w:r w:rsidRPr="00457BF1">
        <w:rPr>
          <w:lang w:val="es-GT"/>
        </w:rPr>
        <w:t xml:space="preserve">éanse los </w:t>
      </w:r>
      <w:r w:rsidRPr="00503DD6">
        <w:rPr>
          <w:lang w:val="es-MX"/>
        </w:rPr>
        <w:t>párr</w:t>
      </w:r>
      <w:r>
        <w:rPr>
          <w:lang w:val="es-MX"/>
        </w:rPr>
        <w:t>afos</w:t>
      </w:r>
      <w:r w:rsidRPr="00503DD6">
        <w:rPr>
          <w:lang w:val="es-MX"/>
        </w:rPr>
        <w:t xml:space="preserve"> </w:t>
      </w:r>
      <w:r w:rsidRPr="007879D3">
        <w:rPr>
          <w:lang w:val="es-MX"/>
        </w:rPr>
        <w:t>13</w:t>
      </w:r>
      <w:r w:rsidRPr="00503DD6">
        <w:rPr>
          <w:lang w:val="es-MX"/>
        </w:rPr>
        <w:t xml:space="preserve"> y </w:t>
      </w:r>
      <w:r w:rsidRPr="007879D3">
        <w:rPr>
          <w:lang w:val="es-MX"/>
        </w:rPr>
        <w:t>14</w:t>
      </w:r>
      <w:r w:rsidRPr="00503DD6">
        <w:rPr>
          <w:lang w:val="es-MX"/>
        </w:rPr>
        <w:t xml:space="preserve">, </w:t>
      </w:r>
      <w:r w:rsidRPr="007879D3">
        <w:rPr>
          <w:lang w:val="es-MX"/>
        </w:rPr>
        <w:t>33</w:t>
      </w:r>
      <w:r w:rsidRPr="00503DD6">
        <w:rPr>
          <w:lang w:val="es-MX"/>
        </w:rPr>
        <w:t xml:space="preserve"> y </w:t>
      </w:r>
      <w:r w:rsidRPr="007879D3">
        <w:rPr>
          <w:lang w:val="es-MX"/>
        </w:rPr>
        <w:t>66</w:t>
      </w:r>
      <w:r w:rsidRPr="00503DD6">
        <w:rPr>
          <w:lang w:val="es-MX"/>
        </w:rPr>
        <w:t xml:space="preserve"> a </w:t>
      </w:r>
      <w:r w:rsidRPr="007879D3">
        <w:rPr>
          <w:lang w:val="es-MX"/>
        </w:rPr>
        <w:t>69</w:t>
      </w:r>
      <w:r w:rsidRPr="004804E1">
        <w:rPr>
          <w:lang w:val="es-MX"/>
        </w:rPr>
        <w:t>.</w:t>
      </w:r>
      <w:r w:rsidRPr="00155D8B">
        <w:rPr>
          <w:lang w:val="es-MX"/>
        </w:rPr>
        <w:t xml:space="preserve"> </w:t>
      </w:r>
    </w:p>
  </w:footnote>
  <w:footnote w:id="3">
    <w:p w14:paraId="11D7CA65" w14:textId="77777777" w:rsidR="00C61710" w:rsidRPr="00155D8B" w:rsidRDefault="00C61710" w:rsidP="00C61710">
      <w:pPr>
        <w:pStyle w:val="FootnoteText"/>
        <w:rPr>
          <w:rFonts w:hint="default"/>
          <w:lang w:val="es-MX"/>
        </w:rPr>
      </w:pPr>
      <w:r>
        <w:rPr>
          <w:lang w:val="es-MX"/>
        </w:rPr>
        <w:tab/>
      </w:r>
      <w:r w:rsidRPr="007879D3">
        <w:rPr>
          <w:rStyle w:val="FootnoteReference"/>
          <w:lang w:val="en-US"/>
        </w:rPr>
        <w:footnoteRef/>
      </w:r>
      <w:r>
        <w:rPr>
          <w:lang w:val="es-MX"/>
        </w:rPr>
        <w:tab/>
        <w:t>E</w:t>
      </w:r>
      <w:r w:rsidRPr="00155D8B">
        <w:rPr>
          <w:lang w:val="es-MX"/>
        </w:rPr>
        <w:t xml:space="preserve">ntre otros, Corte Interamericana de Derechos Humanos, </w:t>
      </w:r>
      <w:r w:rsidRPr="007879D3">
        <w:rPr>
          <w:i/>
          <w:iCs/>
          <w:lang w:val="es-MX"/>
        </w:rPr>
        <w:t>Familia Julien Grisonas</w:t>
      </w:r>
      <w:r w:rsidRPr="00155D8B">
        <w:rPr>
          <w:lang w:val="es-MX"/>
        </w:rPr>
        <w:t xml:space="preserve"> </w:t>
      </w:r>
      <w:r w:rsidRPr="007879D3">
        <w:rPr>
          <w:i/>
          <w:iCs/>
          <w:lang w:val="es-MX"/>
        </w:rPr>
        <w:t>vs. la Argentina</w:t>
      </w:r>
      <w:r w:rsidRPr="00FC0BE3">
        <w:rPr>
          <w:lang w:val="es-MX"/>
        </w:rPr>
        <w:t xml:space="preserve">, </w:t>
      </w:r>
      <w:r w:rsidRPr="00155D8B">
        <w:rPr>
          <w:lang w:val="es-MX"/>
        </w:rPr>
        <w:t xml:space="preserve">sentencia de </w:t>
      </w:r>
      <w:r w:rsidRPr="007879D3">
        <w:rPr>
          <w:lang w:val="es-MX"/>
        </w:rPr>
        <w:t>23</w:t>
      </w:r>
      <w:r w:rsidRPr="00155D8B">
        <w:rPr>
          <w:lang w:val="es-MX"/>
        </w:rPr>
        <w:t xml:space="preserve"> de septiembre de </w:t>
      </w:r>
      <w:r w:rsidRPr="007879D3">
        <w:rPr>
          <w:lang w:val="es-MX"/>
        </w:rPr>
        <w:t>2021</w:t>
      </w:r>
      <w:r w:rsidRPr="00155D8B">
        <w:rPr>
          <w:lang w:val="es-MX"/>
        </w:rPr>
        <w:t xml:space="preserve">, </w:t>
      </w:r>
      <w:proofErr w:type="spellStart"/>
      <w:r w:rsidRPr="00155D8B">
        <w:rPr>
          <w:lang w:val="es-MX"/>
        </w:rPr>
        <w:t>párr</w:t>
      </w:r>
      <w:r>
        <w:rPr>
          <w:lang w:val="es-MX"/>
        </w:rPr>
        <w:t>s</w:t>
      </w:r>
      <w:proofErr w:type="spellEnd"/>
      <w:r w:rsidRPr="00155D8B">
        <w:rPr>
          <w:lang w:val="es-MX"/>
        </w:rPr>
        <w:t>.</w:t>
      </w:r>
      <w:r>
        <w:rPr>
          <w:lang w:val="es-MX"/>
        </w:rPr>
        <w:t xml:space="preserve"> </w:t>
      </w:r>
      <w:r w:rsidRPr="007879D3">
        <w:rPr>
          <w:lang w:val="es-MX"/>
        </w:rPr>
        <w:t>67</w:t>
      </w:r>
      <w:r w:rsidRPr="00155D8B">
        <w:rPr>
          <w:lang w:val="es-MX"/>
        </w:rPr>
        <w:t xml:space="preserve"> y </w:t>
      </w:r>
      <w:r w:rsidRPr="007879D3">
        <w:rPr>
          <w:lang w:val="es-MX"/>
        </w:rPr>
        <w:t>88</w:t>
      </w:r>
      <w:r w:rsidRPr="00155D8B">
        <w:rPr>
          <w:lang w:val="es-MX"/>
        </w:rPr>
        <w:t>.</w:t>
      </w:r>
    </w:p>
  </w:footnote>
  <w:footnote w:id="4">
    <w:p w14:paraId="1E7C3420" w14:textId="77777777" w:rsidR="00C61710" w:rsidRPr="00FC0BE3" w:rsidRDefault="00C61710" w:rsidP="00C61710">
      <w:pPr>
        <w:pStyle w:val="FootnoteText"/>
        <w:rPr>
          <w:rFonts w:hint="default"/>
          <w:lang w:val="es-AR"/>
        </w:rPr>
      </w:pPr>
      <w:r>
        <w:rPr>
          <w:lang w:val="es-MX"/>
        </w:rPr>
        <w:tab/>
      </w:r>
      <w:r w:rsidRPr="007879D3">
        <w:rPr>
          <w:rStyle w:val="FootnoteReference"/>
          <w:lang w:val="en-US"/>
        </w:rPr>
        <w:footnoteRef/>
      </w:r>
      <w:r>
        <w:rPr>
          <w:lang w:val="es-MX"/>
        </w:rPr>
        <w:tab/>
      </w:r>
      <w:r>
        <w:rPr>
          <w:szCs w:val="24"/>
          <w:lang w:val="es-GT"/>
        </w:rPr>
        <w:t xml:space="preserve">Véanse los párrafos </w:t>
      </w:r>
      <w:r w:rsidRPr="007879D3">
        <w:rPr>
          <w:szCs w:val="24"/>
          <w:lang w:val="es-GT"/>
        </w:rPr>
        <w:t>70</w:t>
      </w:r>
      <w:r>
        <w:rPr>
          <w:szCs w:val="24"/>
          <w:lang w:val="es-GT"/>
        </w:rPr>
        <w:t xml:space="preserve"> a </w:t>
      </w:r>
      <w:r w:rsidRPr="007879D3">
        <w:rPr>
          <w:szCs w:val="24"/>
          <w:lang w:val="es-GT"/>
        </w:rPr>
        <w:t>74</w:t>
      </w:r>
      <w:r w:rsidRPr="00FC0BE3">
        <w:rPr>
          <w:lang w:val="es-AR"/>
        </w:rPr>
        <w:t>.</w:t>
      </w:r>
    </w:p>
  </w:footnote>
  <w:footnote w:id="5">
    <w:p w14:paraId="1DE86247" w14:textId="77777777" w:rsidR="00C61710" w:rsidRDefault="00C61710" w:rsidP="00C61710">
      <w:pPr>
        <w:pStyle w:val="FootnoteText"/>
        <w:widowControl w:val="0"/>
        <w:suppressAutoHyphens/>
        <w:rPr>
          <w:rFonts w:hint="default"/>
        </w:rPr>
      </w:pPr>
      <w:r>
        <w:tab/>
      </w:r>
      <w:r w:rsidRPr="007879D3">
        <w:rPr>
          <w:rStyle w:val="FootnoteReference"/>
          <w:lang w:val="en-US"/>
        </w:rPr>
        <w:footnoteRef/>
      </w:r>
      <w:r>
        <w:tab/>
      </w:r>
      <w:r w:rsidRPr="00F30286">
        <w:rPr>
          <w:lang w:val="pt-BR"/>
        </w:rPr>
        <w:t>A/HRC/</w:t>
      </w:r>
      <w:r w:rsidRPr="007879D3">
        <w:rPr>
          <w:lang w:val="pt-BR"/>
        </w:rPr>
        <w:t>19</w:t>
      </w:r>
      <w:r w:rsidRPr="00F30286">
        <w:rPr>
          <w:lang w:val="pt-BR"/>
        </w:rPr>
        <w:t>/</w:t>
      </w:r>
      <w:r w:rsidRPr="007879D3">
        <w:rPr>
          <w:lang w:val="pt-BR"/>
        </w:rPr>
        <w:t>58</w:t>
      </w:r>
      <w:r w:rsidRPr="00F30286">
        <w:rPr>
          <w:lang w:val="pt-BR"/>
        </w:rPr>
        <w:t>/Add.</w:t>
      </w:r>
      <w:r w:rsidRPr="007879D3">
        <w:rPr>
          <w:lang w:val="pt-BR"/>
        </w:rPr>
        <w:t>2</w:t>
      </w:r>
      <w:r w:rsidRPr="00F30286">
        <w:rPr>
          <w:lang w:val="pt-BR"/>
        </w:rPr>
        <w:t xml:space="preserve">, </w:t>
      </w:r>
      <w:proofErr w:type="spellStart"/>
      <w:r w:rsidRPr="00F30286">
        <w:rPr>
          <w:lang w:val="pt-BR"/>
        </w:rPr>
        <w:t>párr</w:t>
      </w:r>
      <w:proofErr w:type="spellEnd"/>
      <w:r w:rsidRPr="00F30286">
        <w:rPr>
          <w:lang w:val="pt-BR"/>
        </w:rPr>
        <w:t>.</w:t>
      </w:r>
      <w:r>
        <w:rPr>
          <w:lang w:val="pt-BR"/>
        </w:rPr>
        <w:t xml:space="preserve"> </w:t>
      </w:r>
      <w:r w:rsidRPr="007879D3">
        <w:rPr>
          <w:lang w:val="pt-BR"/>
        </w:rPr>
        <w:t>21</w:t>
      </w:r>
      <w:r w:rsidRPr="00F30286">
        <w:rPr>
          <w:lang w:val="pt-BR"/>
        </w:rPr>
        <w:t>.</w:t>
      </w:r>
    </w:p>
  </w:footnote>
  <w:footnote w:id="6">
    <w:p w14:paraId="770F0F89" w14:textId="77777777" w:rsidR="00C61710" w:rsidRPr="00F30286" w:rsidRDefault="00C61710" w:rsidP="00C61710">
      <w:pPr>
        <w:pStyle w:val="FootnoteText"/>
        <w:rPr>
          <w:rFonts w:hint="default"/>
          <w:lang w:val="pt-BR"/>
        </w:rPr>
      </w:pPr>
      <w:r w:rsidRPr="00F30286">
        <w:rPr>
          <w:lang w:val="pt-BR"/>
        </w:rPr>
        <w:tab/>
      </w:r>
      <w:r w:rsidRPr="007879D3">
        <w:rPr>
          <w:rStyle w:val="FootnoteReference"/>
          <w:lang w:val="en-US"/>
        </w:rPr>
        <w:footnoteRef/>
      </w:r>
      <w:r w:rsidRPr="00F30286">
        <w:rPr>
          <w:lang w:val="pt-BR"/>
        </w:rPr>
        <w:tab/>
      </w:r>
      <w:r>
        <w:rPr>
          <w:lang w:val="es-GT"/>
        </w:rPr>
        <w:t xml:space="preserve">Véanse los párrafos </w:t>
      </w:r>
      <w:r w:rsidRPr="007879D3">
        <w:rPr>
          <w:lang w:val="pt-BR"/>
        </w:rPr>
        <w:t>28</w:t>
      </w:r>
      <w:r>
        <w:rPr>
          <w:lang w:val="pt-BR"/>
        </w:rPr>
        <w:t xml:space="preserve"> a </w:t>
      </w:r>
      <w:r w:rsidRPr="007879D3">
        <w:rPr>
          <w:lang w:val="pt-BR"/>
        </w:rPr>
        <w:t>44</w:t>
      </w:r>
      <w:r>
        <w:rPr>
          <w:lang w:val="pt-BR"/>
        </w:rPr>
        <w:t>.</w:t>
      </w:r>
    </w:p>
  </w:footnote>
  <w:footnote w:id="7">
    <w:p w14:paraId="17D4017E" w14:textId="77777777" w:rsidR="00C61710" w:rsidRPr="00155D8B" w:rsidRDefault="00C61710" w:rsidP="00C61710">
      <w:pPr>
        <w:pStyle w:val="FootnoteText"/>
        <w:rPr>
          <w:rFonts w:hint="default"/>
          <w:lang w:val="es-MX"/>
        </w:rPr>
      </w:pPr>
      <w:r w:rsidRPr="00F30286">
        <w:rPr>
          <w:lang w:val="pt-BR"/>
        </w:rPr>
        <w:tab/>
      </w:r>
      <w:r w:rsidRPr="007879D3">
        <w:rPr>
          <w:rStyle w:val="FootnoteReference"/>
          <w:lang w:val="en-US"/>
        </w:rPr>
        <w:footnoteRef/>
      </w:r>
      <w:r>
        <w:rPr>
          <w:lang w:val="es-MX"/>
        </w:rPr>
        <w:tab/>
      </w:r>
      <w:r w:rsidRPr="00155D8B">
        <w:rPr>
          <w:lang w:val="es-MX"/>
        </w:rPr>
        <w:t xml:space="preserve">Entre otros, Corte Interamericana de Derechos Humanos, </w:t>
      </w:r>
      <w:r w:rsidRPr="007879D3">
        <w:rPr>
          <w:i/>
          <w:iCs/>
          <w:lang w:val="es-MX"/>
        </w:rPr>
        <w:t>Gelman y otros</w:t>
      </w:r>
      <w:r w:rsidRPr="00155D8B">
        <w:rPr>
          <w:lang w:val="es-MX"/>
        </w:rPr>
        <w:t xml:space="preserve"> </w:t>
      </w:r>
      <w:r w:rsidRPr="007879D3">
        <w:rPr>
          <w:i/>
          <w:iCs/>
          <w:lang w:val="es-MX"/>
        </w:rPr>
        <w:t>vs. el</w:t>
      </w:r>
      <w:r w:rsidRPr="00155D8B">
        <w:rPr>
          <w:lang w:val="es-MX"/>
        </w:rPr>
        <w:t xml:space="preserve"> </w:t>
      </w:r>
      <w:r w:rsidRPr="007879D3">
        <w:rPr>
          <w:i/>
          <w:iCs/>
          <w:lang w:val="es-MX"/>
        </w:rPr>
        <w:t>Uruguay</w:t>
      </w:r>
      <w:r w:rsidRPr="00155D8B">
        <w:rPr>
          <w:lang w:val="es-MX"/>
        </w:rPr>
        <w:t xml:space="preserve">, sentencia de </w:t>
      </w:r>
      <w:r w:rsidRPr="007879D3">
        <w:rPr>
          <w:lang w:val="es-MX"/>
        </w:rPr>
        <w:t>24</w:t>
      </w:r>
      <w:r w:rsidRPr="00155D8B">
        <w:rPr>
          <w:lang w:val="es-MX"/>
        </w:rPr>
        <w:t xml:space="preserve"> de febrero de </w:t>
      </w:r>
      <w:r w:rsidRPr="007879D3">
        <w:rPr>
          <w:lang w:val="es-MX"/>
        </w:rPr>
        <w:t>2011</w:t>
      </w:r>
      <w:r w:rsidRPr="00155D8B">
        <w:rPr>
          <w:lang w:val="es-MX"/>
        </w:rPr>
        <w:t xml:space="preserve">, </w:t>
      </w:r>
      <w:proofErr w:type="spellStart"/>
      <w:r w:rsidRPr="00155D8B">
        <w:rPr>
          <w:lang w:val="es-MX"/>
        </w:rPr>
        <w:t>párr</w:t>
      </w:r>
      <w:r>
        <w:rPr>
          <w:lang w:val="es-MX"/>
        </w:rPr>
        <w:t>s</w:t>
      </w:r>
      <w:proofErr w:type="spellEnd"/>
      <w:r w:rsidRPr="00155D8B">
        <w:rPr>
          <w:lang w:val="es-MX"/>
        </w:rPr>
        <w:t>.</w:t>
      </w:r>
      <w:r>
        <w:rPr>
          <w:lang w:val="es-MX"/>
        </w:rPr>
        <w:t xml:space="preserve"> </w:t>
      </w:r>
      <w:r w:rsidRPr="007879D3">
        <w:rPr>
          <w:lang w:val="es-MX"/>
        </w:rPr>
        <w:t>49</w:t>
      </w:r>
      <w:r>
        <w:rPr>
          <w:lang w:val="es-MX"/>
        </w:rPr>
        <w:t xml:space="preserve"> a </w:t>
      </w:r>
      <w:r w:rsidRPr="007879D3">
        <w:rPr>
          <w:lang w:val="es-MX"/>
        </w:rPr>
        <w:t>61</w:t>
      </w:r>
      <w:r w:rsidRPr="00155D8B">
        <w:rPr>
          <w:lang w:val="es-MX"/>
        </w:rPr>
        <w:t xml:space="preserve">; </w:t>
      </w:r>
      <w:proofErr w:type="spellStart"/>
      <w:r w:rsidRPr="007879D3">
        <w:rPr>
          <w:i/>
          <w:iCs/>
          <w:lang w:val="es-MX"/>
        </w:rPr>
        <w:t>Maidanik</w:t>
      </w:r>
      <w:proofErr w:type="spellEnd"/>
      <w:r w:rsidRPr="007879D3">
        <w:rPr>
          <w:i/>
          <w:iCs/>
          <w:lang w:val="es-MX"/>
        </w:rPr>
        <w:t xml:space="preserve"> y otros</w:t>
      </w:r>
      <w:r w:rsidRPr="00155D8B">
        <w:rPr>
          <w:lang w:val="es-MX"/>
        </w:rPr>
        <w:t xml:space="preserve"> </w:t>
      </w:r>
      <w:r w:rsidRPr="007879D3">
        <w:rPr>
          <w:i/>
          <w:iCs/>
          <w:lang w:val="es-MX"/>
        </w:rPr>
        <w:t>vs. el</w:t>
      </w:r>
      <w:r>
        <w:rPr>
          <w:lang w:val="es-MX"/>
        </w:rPr>
        <w:t xml:space="preserve"> </w:t>
      </w:r>
      <w:r w:rsidRPr="007879D3">
        <w:rPr>
          <w:i/>
          <w:iCs/>
          <w:lang w:val="es-MX"/>
        </w:rPr>
        <w:t>Uruguay</w:t>
      </w:r>
      <w:r w:rsidRPr="00155D8B">
        <w:rPr>
          <w:lang w:val="es-MX"/>
        </w:rPr>
        <w:t xml:space="preserve">, sentencia de </w:t>
      </w:r>
      <w:r w:rsidRPr="007879D3">
        <w:rPr>
          <w:lang w:val="es-MX"/>
        </w:rPr>
        <w:t>15</w:t>
      </w:r>
      <w:r w:rsidRPr="00155D8B">
        <w:rPr>
          <w:lang w:val="es-MX"/>
        </w:rPr>
        <w:t xml:space="preserve"> de noviembre de </w:t>
      </w:r>
      <w:r w:rsidRPr="007879D3">
        <w:rPr>
          <w:lang w:val="es-MX"/>
        </w:rPr>
        <w:t>2021</w:t>
      </w:r>
      <w:r w:rsidRPr="00155D8B">
        <w:rPr>
          <w:lang w:val="es-MX"/>
        </w:rPr>
        <w:t>, párr.</w:t>
      </w:r>
      <w:r>
        <w:rPr>
          <w:lang w:val="es-MX"/>
        </w:rPr>
        <w:t xml:space="preserve"> </w:t>
      </w:r>
      <w:r w:rsidRPr="007879D3">
        <w:rPr>
          <w:lang w:val="es-MX"/>
        </w:rPr>
        <w:t>31</w:t>
      </w:r>
      <w:r w:rsidRPr="00155D8B">
        <w:rPr>
          <w:lang w:val="es-MX"/>
        </w:rPr>
        <w:t xml:space="preserve">; y </w:t>
      </w:r>
      <w:r w:rsidRPr="007879D3">
        <w:rPr>
          <w:i/>
          <w:iCs/>
          <w:lang w:val="es-MX"/>
        </w:rPr>
        <w:t>Familia Julien Grisonas vs. la Argentina</w:t>
      </w:r>
      <w:r w:rsidRPr="00FC0BE3">
        <w:rPr>
          <w:lang w:val="es-MX"/>
        </w:rPr>
        <w:t>,</w:t>
      </w:r>
      <w:r w:rsidRPr="007879D3">
        <w:rPr>
          <w:i/>
          <w:iCs/>
          <w:lang w:val="es-MX"/>
        </w:rPr>
        <w:t xml:space="preserve"> </w:t>
      </w:r>
      <w:proofErr w:type="spellStart"/>
      <w:r w:rsidRPr="00155D8B">
        <w:rPr>
          <w:lang w:val="es-MX"/>
        </w:rPr>
        <w:t>párr</w:t>
      </w:r>
      <w:r>
        <w:rPr>
          <w:lang w:val="es-MX"/>
        </w:rPr>
        <w:t>s</w:t>
      </w:r>
      <w:proofErr w:type="spellEnd"/>
      <w:r w:rsidRPr="00155D8B">
        <w:rPr>
          <w:lang w:val="es-MX"/>
        </w:rPr>
        <w:t>.</w:t>
      </w:r>
      <w:r>
        <w:rPr>
          <w:lang w:val="es-MX"/>
        </w:rPr>
        <w:t> </w:t>
      </w:r>
      <w:r w:rsidRPr="007879D3">
        <w:rPr>
          <w:lang w:val="es-MX"/>
        </w:rPr>
        <w:t>61</w:t>
      </w:r>
      <w:r>
        <w:rPr>
          <w:lang w:val="es-MX"/>
        </w:rPr>
        <w:t xml:space="preserve"> a </w:t>
      </w:r>
      <w:r w:rsidRPr="007879D3">
        <w:rPr>
          <w:lang w:val="es-MX"/>
        </w:rPr>
        <w:t>65</w:t>
      </w:r>
      <w:r w:rsidRPr="00155D8B">
        <w:rPr>
          <w:lang w:val="es-MX"/>
        </w:rPr>
        <w:t>.</w:t>
      </w:r>
    </w:p>
  </w:footnote>
  <w:footnote w:id="8">
    <w:p w14:paraId="3B4A0907" w14:textId="77777777" w:rsidR="00C61710" w:rsidRPr="00155D8B" w:rsidRDefault="00C61710" w:rsidP="00C61710">
      <w:pPr>
        <w:pStyle w:val="FootnoteText"/>
        <w:rPr>
          <w:rFonts w:hint="default"/>
          <w:lang w:val="es-MX"/>
        </w:rPr>
      </w:pPr>
      <w:r>
        <w:rPr>
          <w:lang w:val="es-MX"/>
        </w:rPr>
        <w:tab/>
      </w:r>
      <w:r w:rsidRPr="007879D3">
        <w:rPr>
          <w:rStyle w:val="FootnoteReference"/>
          <w:lang w:val="en-US"/>
        </w:rPr>
        <w:footnoteRef/>
      </w:r>
      <w:r>
        <w:rPr>
          <w:lang w:val="es-MX"/>
        </w:rPr>
        <w:tab/>
      </w:r>
      <w:r w:rsidRPr="00155D8B">
        <w:rPr>
          <w:lang w:val="es-MX"/>
        </w:rPr>
        <w:t>A/HRC/</w:t>
      </w:r>
      <w:r w:rsidRPr="007879D3">
        <w:rPr>
          <w:lang w:val="es-MX"/>
        </w:rPr>
        <w:t>33</w:t>
      </w:r>
      <w:r w:rsidRPr="00155D8B">
        <w:rPr>
          <w:lang w:val="es-MX"/>
        </w:rPr>
        <w:t>/</w:t>
      </w:r>
      <w:r w:rsidRPr="007879D3">
        <w:rPr>
          <w:lang w:val="es-MX"/>
        </w:rPr>
        <w:t>51</w:t>
      </w:r>
      <w:r w:rsidRPr="00155D8B">
        <w:rPr>
          <w:lang w:val="es-MX"/>
        </w:rPr>
        <w:t>, párr.</w:t>
      </w:r>
      <w:r>
        <w:rPr>
          <w:lang w:val="es-MX"/>
        </w:rPr>
        <w:t xml:space="preserve"> </w:t>
      </w:r>
      <w:r w:rsidRPr="007879D3">
        <w:rPr>
          <w:lang w:val="es-MX"/>
        </w:rPr>
        <w:t>56</w:t>
      </w:r>
      <w:r w:rsidRPr="00155D8B">
        <w:rPr>
          <w:lang w:val="es-MX"/>
        </w:rPr>
        <w:t>.</w:t>
      </w:r>
    </w:p>
  </w:footnote>
  <w:footnote w:id="9">
    <w:p w14:paraId="22492B9C" w14:textId="77777777" w:rsidR="00C61710" w:rsidRPr="00155D8B" w:rsidRDefault="00C61710" w:rsidP="00C61710">
      <w:pPr>
        <w:pStyle w:val="FootnoteText"/>
        <w:rPr>
          <w:rFonts w:hint="default"/>
          <w:lang w:val="es-MX"/>
        </w:rPr>
      </w:pPr>
      <w:r>
        <w:rPr>
          <w:lang w:val="es-MX"/>
        </w:rPr>
        <w:tab/>
      </w:r>
      <w:r w:rsidRPr="007879D3">
        <w:rPr>
          <w:rStyle w:val="FootnoteReference"/>
          <w:lang w:val="en-US"/>
        </w:rPr>
        <w:footnoteRef/>
      </w:r>
      <w:r>
        <w:rPr>
          <w:lang w:val="es-MX"/>
        </w:rPr>
        <w:tab/>
      </w:r>
      <w:r w:rsidRPr="00155D8B">
        <w:rPr>
          <w:lang w:val="es-MX"/>
        </w:rPr>
        <w:t xml:space="preserve">Cifras obtenidas por organizaciones de la sociedad civil con base en los listados de la Secretaría de </w:t>
      </w:r>
      <w:r>
        <w:rPr>
          <w:lang w:val="es-MX"/>
        </w:rPr>
        <w:tab/>
        <w:t>Derechos Humanos</w:t>
      </w:r>
      <w:r w:rsidRPr="00155D8B">
        <w:rPr>
          <w:lang w:val="es-MX"/>
        </w:rPr>
        <w:t xml:space="preserve"> para el Pasado Reciente de</w:t>
      </w:r>
      <w:r>
        <w:rPr>
          <w:lang w:val="es-MX"/>
        </w:rPr>
        <w:t xml:space="preserve"> la</w:t>
      </w:r>
      <w:r w:rsidRPr="00155D8B">
        <w:rPr>
          <w:lang w:val="es-MX"/>
        </w:rPr>
        <w:t xml:space="preserve"> Presidencia de la República.</w:t>
      </w:r>
    </w:p>
  </w:footnote>
  <w:footnote w:id="10">
    <w:p w14:paraId="6C1ABFE2" w14:textId="77777777" w:rsidR="00C61710" w:rsidRPr="00155D8B" w:rsidRDefault="00C61710" w:rsidP="00C61710">
      <w:pPr>
        <w:pStyle w:val="FootnoteText"/>
        <w:rPr>
          <w:rFonts w:hint="default"/>
          <w:lang w:val="es-MX"/>
        </w:rPr>
      </w:pPr>
      <w:r>
        <w:rPr>
          <w:lang w:val="es-MX"/>
        </w:rPr>
        <w:tab/>
      </w:r>
      <w:r w:rsidRPr="007879D3">
        <w:rPr>
          <w:rStyle w:val="FootnoteReference"/>
          <w:lang w:val="en-US"/>
        </w:rPr>
        <w:footnoteRef/>
      </w:r>
      <w:r>
        <w:rPr>
          <w:lang w:val="es-MX"/>
        </w:rPr>
        <w:tab/>
      </w:r>
      <w:r w:rsidRPr="00155D8B">
        <w:rPr>
          <w:lang w:val="es-MX"/>
        </w:rPr>
        <w:t xml:space="preserve">En cumplimiento de la sentencia de la Corte Interamericana de Derechos Humanos </w:t>
      </w:r>
      <w:r>
        <w:rPr>
          <w:lang w:val="es-MX"/>
        </w:rPr>
        <w:t>relativa</w:t>
      </w:r>
      <w:r w:rsidRPr="00155D8B">
        <w:rPr>
          <w:lang w:val="es-MX"/>
        </w:rPr>
        <w:t xml:space="preserve"> </w:t>
      </w:r>
      <w:r>
        <w:rPr>
          <w:lang w:val="es-MX"/>
        </w:rPr>
        <w:t>a</w:t>
      </w:r>
      <w:r w:rsidRPr="00155D8B">
        <w:rPr>
          <w:lang w:val="es-MX"/>
        </w:rPr>
        <w:t xml:space="preserve">l caso </w:t>
      </w:r>
      <w:r w:rsidRPr="007879D3">
        <w:rPr>
          <w:i/>
          <w:iCs/>
          <w:lang w:val="es-MX"/>
        </w:rPr>
        <w:t>Gelman</w:t>
      </w:r>
      <w:r w:rsidRPr="00155D8B">
        <w:rPr>
          <w:lang w:val="es-MX"/>
        </w:rPr>
        <w:t>, se dictó la</w:t>
      </w:r>
      <w:r>
        <w:rPr>
          <w:lang w:val="es-MX"/>
        </w:rPr>
        <w:t xml:space="preserve"> r</w:t>
      </w:r>
      <w:r w:rsidRPr="00155D8B">
        <w:rPr>
          <w:lang w:val="es-MX"/>
        </w:rPr>
        <w:t xml:space="preserve">esolución </w:t>
      </w:r>
      <w:r>
        <w:rPr>
          <w:lang w:val="es-MX"/>
        </w:rPr>
        <w:t>núm</w:t>
      </w:r>
      <w:r w:rsidRPr="00155D8B">
        <w:rPr>
          <w:lang w:val="es-MX"/>
        </w:rPr>
        <w:t xml:space="preserve">. </w:t>
      </w:r>
      <w:r w:rsidRPr="007879D3">
        <w:rPr>
          <w:lang w:val="es-MX"/>
        </w:rPr>
        <w:t>450</w:t>
      </w:r>
      <w:r w:rsidRPr="00155D8B">
        <w:rPr>
          <w:lang w:val="es-MX"/>
        </w:rPr>
        <w:t>/</w:t>
      </w:r>
      <w:r w:rsidRPr="007879D3">
        <w:rPr>
          <w:lang w:val="es-MX"/>
        </w:rPr>
        <w:t>011</w:t>
      </w:r>
      <w:r w:rsidRPr="00155D8B">
        <w:rPr>
          <w:lang w:val="es-MX"/>
        </w:rPr>
        <w:t>.</w:t>
      </w:r>
    </w:p>
  </w:footnote>
  <w:footnote w:id="11">
    <w:p w14:paraId="5940347D" w14:textId="77777777" w:rsidR="00C61710" w:rsidRPr="00155D8B" w:rsidRDefault="00C61710" w:rsidP="00C61710">
      <w:pPr>
        <w:pStyle w:val="FootnoteText"/>
        <w:rPr>
          <w:rFonts w:hint="default"/>
          <w:lang w:val="es-MX"/>
        </w:rPr>
      </w:pPr>
      <w:r>
        <w:rPr>
          <w:lang w:val="es-MX"/>
        </w:rPr>
        <w:tab/>
      </w:r>
      <w:r w:rsidRPr="007879D3">
        <w:rPr>
          <w:rStyle w:val="FootnoteReference"/>
          <w:lang w:val="en-US"/>
        </w:rPr>
        <w:footnoteRef/>
      </w:r>
      <w:r>
        <w:rPr>
          <w:lang w:val="es-MX"/>
        </w:rPr>
        <w:tab/>
      </w:r>
      <w:r w:rsidRPr="00CD5D47">
        <w:rPr>
          <w:lang w:val="es-MX"/>
        </w:rPr>
        <w:t xml:space="preserve">Institución Nacional de Derechos Humanos y Defensoría del Pueblo, </w:t>
      </w:r>
      <w:r>
        <w:rPr>
          <w:lang w:val="es-MX"/>
        </w:rPr>
        <w:t>“</w:t>
      </w:r>
      <w:hyperlink r:id="rId1" w:history="1">
        <w:r w:rsidRPr="00CD5D47">
          <w:t>Primer informe sobre la búsqueda de detenidos desaparecidos</w:t>
        </w:r>
      </w:hyperlink>
      <w:r>
        <w:t xml:space="preserve">”, mayo de </w:t>
      </w:r>
      <w:r w:rsidRPr="007879D3">
        <w:t>2020</w:t>
      </w:r>
      <w:r w:rsidRPr="007F3F56">
        <w:t xml:space="preserve">, </w:t>
      </w:r>
      <w:proofErr w:type="spellStart"/>
      <w:r w:rsidRPr="007F3F56">
        <w:t>párr</w:t>
      </w:r>
      <w:proofErr w:type="spellEnd"/>
      <w:r w:rsidRPr="00155D8B">
        <w:rPr>
          <w:lang w:val="es-MX"/>
        </w:rPr>
        <w:t>.</w:t>
      </w:r>
      <w:r>
        <w:rPr>
          <w:lang w:val="es-MX"/>
        </w:rPr>
        <w:t xml:space="preserve"> </w:t>
      </w:r>
      <w:r w:rsidRPr="007879D3">
        <w:rPr>
          <w:lang w:val="es-MX"/>
        </w:rPr>
        <w:t>29</w:t>
      </w:r>
      <w:r w:rsidRPr="00155D8B">
        <w:rPr>
          <w:lang w:val="es-MX"/>
        </w:rPr>
        <w:t xml:space="preserve">. </w:t>
      </w:r>
    </w:p>
  </w:footnote>
  <w:footnote w:id="12">
    <w:p w14:paraId="0F2A9520" w14:textId="77777777" w:rsidR="00C61710" w:rsidRPr="00611D1F" w:rsidRDefault="00C61710" w:rsidP="00C61710">
      <w:pPr>
        <w:pStyle w:val="FootnoteText"/>
        <w:rPr>
          <w:rFonts w:hint="default"/>
        </w:rPr>
      </w:pPr>
      <w:r>
        <w:rPr>
          <w:lang w:val="es-MX"/>
        </w:rPr>
        <w:tab/>
      </w:r>
      <w:r w:rsidRPr="007879D3">
        <w:rPr>
          <w:rStyle w:val="FootnoteReference"/>
          <w:lang w:val="en-US"/>
        </w:rPr>
        <w:footnoteRef/>
      </w:r>
      <w:r>
        <w:rPr>
          <w:lang w:val="es-MX"/>
        </w:rPr>
        <w:tab/>
      </w:r>
      <w:r w:rsidRPr="00611D1F">
        <w:t>El “</w:t>
      </w:r>
      <w:hyperlink r:id="rId2" w:history="1">
        <w:r>
          <w:rPr>
            <w:rStyle w:val="Hyperlink"/>
            <w:color w:val="auto"/>
          </w:rPr>
          <w:t>a</w:t>
        </w:r>
        <w:r w:rsidRPr="00611D1F">
          <w:rPr>
            <w:rStyle w:val="Hyperlink"/>
            <w:color w:val="auto"/>
          </w:rPr>
          <w:t xml:space="preserve">rchivo </w:t>
        </w:r>
        <w:proofErr w:type="spellStart"/>
        <w:r w:rsidRPr="00611D1F">
          <w:rPr>
            <w:rStyle w:val="Hyperlink"/>
            <w:color w:val="auto"/>
          </w:rPr>
          <w:t>Berruti</w:t>
        </w:r>
        <w:proofErr w:type="spellEnd"/>
      </w:hyperlink>
      <w:r w:rsidRPr="00611D1F">
        <w:t xml:space="preserve">” está compuesto por unos </w:t>
      </w:r>
      <w:r w:rsidRPr="007879D3">
        <w:t>1500</w:t>
      </w:r>
      <w:r w:rsidRPr="00611D1F">
        <w:t xml:space="preserve"> rollos de microfilms, cada uno</w:t>
      </w:r>
      <w:r>
        <w:t xml:space="preserve"> de ellos </w:t>
      </w:r>
      <w:r w:rsidRPr="00611D1F">
        <w:t>co</w:t>
      </w:r>
      <w:r>
        <w:t>ntiene</w:t>
      </w:r>
      <w:r w:rsidRPr="00611D1F">
        <w:t xml:space="preserve"> miles de páginas en promedio de documentos </w:t>
      </w:r>
      <w:r>
        <w:t>con</w:t>
      </w:r>
      <w:r w:rsidRPr="00611D1F">
        <w:t xml:space="preserve"> fechas </w:t>
      </w:r>
      <w:r>
        <w:t>comprendidas entre</w:t>
      </w:r>
      <w:r w:rsidRPr="00611D1F">
        <w:t xml:space="preserve"> </w:t>
      </w:r>
      <w:r w:rsidRPr="007879D3">
        <w:t>1968</w:t>
      </w:r>
      <w:r w:rsidRPr="00611D1F">
        <w:t xml:space="preserve"> </w:t>
      </w:r>
      <w:r>
        <w:t xml:space="preserve">y </w:t>
      </w:r>
      <w:r w:rsidRPr="007879D3">
        <w:t>2000</w:t>
      </w:r>
      <w:r>
        <w:t>,</w:t>
      </w:r>
      <w:r w:rsidRPr="00611D1F">
        <w:t xml:space="preserve"> aproximadamente. </w:t>
      </w:r>
    </w:p>
  </w:footnote>
  <w:footnote w:id="13">
    <w:p w14:paraId="6FA7ADCF" w14:textId="77777777" w:rsidR="00C61710" w:rsidRPr="00C61710" w:rsidRDefault="00C61710" w:rsidP="00C61710">
      <w:pPr>
        <w:pStyle w:val="FootnoteText"/>
        <w:widowControl w:val="0"/>
        <w:suppressAutoHyphens/>
        <w:rPr>
          <w:rFonts w:hint="default"/>
        </w:rPr>
      </w:pPr>
      <w:r>
        <w:tab/>
      </w:r>
      <w:r w:rsidRPr="007879D3">
        <w:rPr>
          <w:rStyle w:val="FootnoteReference"/>
          <w:lang w:val="en-US"/>
        </w:rPr>
        <w:footnoteRef/>
      </w:r>
      <w:r>
        <w:tab/>
      </w:r>
      <w:r w:rsidRPr="00611D1F">
        <w:t>A/HRC/</w:t>
      </w:r>
      <w:r w:rsidRPr="007879D3">
        <w:t>45</w:t>
      </w:r>
      <w:r w:rsidRPr="00611D1F">
        <w:t>/</w:t>
      </w:r>
      <w:r w:rsidRPr="007879D3">
        <w:t>13</w:t>
      </w:r>
      <w:r w:rsidRPr="00611D1F">
        <w:t>/Add.</w:t>
      </w:r>
      <w:r w:rsidRPr="007879D3">
        <w:t>3</w:t>
      </w:r>
      <w:r w:rsidRPr="00611D1F">
        <w:t xml:space="preserve">, </w:t>
      </w:r>
      <w:proofErr w:type="spellStart"/>
      <w:r w:rsidRPr="00065E2B">
        <w:rPr>
          <w:lang w:val="es-MX"/>
        </w:rPr>
        <w:t>párrs</w:t>
      </w:r>
      <w:proofErr w:type="spellEnd"/>
      <w:r w:rsidRPr="00065E2B">
        <w:rPr>
          <w:lang w:val="es-MX"/>
        </w:rPr>
        <w:t xml:space="preserve">. </w:t>
      </w:r>
      <w:r w:rsidRPr="007879D3">
        <w:rPr>
          <w:lang w:val="es-MX"/>
        </w:rPr>
        <w:t>24</w:t>
      </w:r>
      <w:r w:rsidRPr="00065E2B">
        <w:rPr>
          <w:lang w:val="es-MX"/>
        </w:rPr>
        <w:t xml:space="preserve"> a </w:t>
      </w:r>
      <w:r w:rsidRPr="007879D3">
        <w:rPr>
          <w:lang w:val="es-MX"/>
        </w:rPr>
        <w:t>26</w:t>
      </w:r>
      <w:r w:rsidRPr="004804E1">
        <w:rPr>
          <w:lang w:val="es-MX"/>
        </w:rPr>
        <w:t xml:space="preserve">, </w:t>
      </w:r>
      <w:r w:rsidRPr="007879D3">
        <w:rPr>
          <w:lang w:val="es-MX"/>
        </w:rPr>
        <w:t>77</w:t>
      </w:r>
      <w:r w:rsidRPr="004804E1">
        <w:rPr>
          <w:lang w:val="es-MX"/>
        </w:rPr>
        <w:t xml:space="preserve"> y </w:t>
      </w:r>
      <w:r w:rsidRPr="007879D3">
        <w:rPr>
          <w:lang w:val="es-MX"/>
        </w:rPr>
        <w:t>78</w:t>
      </w:r>
      <w:r w:rsidRPr="00C61710">
        <w:t>.</w:t>
      </w:r>
    </w:p>
  </w:footnote>
  <w:footnote w:id="14">
    <w:p w14:paraId="0EC3DF74" w14:textId="77777777" w:rsidR="00C61710" w:rsidRPr="00C61710" w:rsidRDefault="00C61710" w:rsidP="00C61710">
      <w:pPr>
        <w:pStyle w:val="FootnoteText"/>
        <w:rPr>
          <w:rFonts w:hint="default"/>
          <w:lang w:val="en-GB"/>
        </w:rPr>
      </w:pPr>
      <w:r w:rsidRPr="00C61710">
        <w:tab/>
      </w:r>
      <w:r w:rsidRPr="007879D3">
        <w:rPr>
          <w:rStyle w:val="FootnoteReference"/>
          <w:lang w:val="en-US"/>
        </w:rPr>
        <w:footnoteRef/>
      </w:r>
      <w:r w:rsidRPr="00C61710">
        <w:rPr>
          <w:lang w:val="en-GB"/>
        </w:rPr>
        <w:tab/>
      </w:r>
      <w:proofErr w:type="spellStart"/>
      <w:r w:rsidRPr="00C61710">
        <w:rPr>
          <w:lang w:val="en-GB"/>
        </w:rPr>
        <w:t>Párrafos</w:t>
      </w:r>
      <w:proofErr w:type="spellEnd"/>
      <w:r w:rsidRPr="00C61710">
        <w:rPr>
          <w:lang w:val="en-GB"/>
        </w:rPr>
        <w:t xml:space="preserve"> </w:t>
      </w:r>
      <w:r w:rsidRPr="007879D3">
        <w:rPr>
          <w:lang w:val="en-GB"/>
        </w:rPr>
        <w:t>254</w:t>
      </w:r>
      <w:r w:rsidRPr="00C61710">
        <w:rPr>
          <w:lang w:val="en-GB"/>
        </w:rPr>
        <w:t xml:space="preserve"> y </w:t>
      </w:r>
      <w:r w:rsidRPr="007879D3">
        <w:rPr>
          <w:lang w:val="en-GB"/>
        </w:rPr>
        <w:t>255</w:t>
      </w:r>
      <w:r w:rsidRPr="00C61710">
        <w:rPr>
          <w:lang w:val="en-GB"/>
        </w:rPr>
        <w:t>.</w:t>
      </w:r>
    </w:p>
  </w:footnote>
  <w:footnote w:id="15">
    <w:p w14:paraId="0B60255C" w14:textId="77777777" w:rsidR="00C61710" w:rsidRPr="007A4366" w:rsidRDefault="00C61710" w:rsidP="00C61710">
      <w:pPr>
        <w:pStyle w:val="FootnoteText"/>
        <w:rPr>
          <w:rFonts w:hint="default"/>
          <w:lang w:val="en-GB"/>
        </w:rPr>
      </w:pPr>
      <w:r w:rsidRPr="00C61710">
        <w:rPr>
          <w:lang w:val="en-GB"/>
        </w:rPr>
        <w:tab/>
      </w:r>
      <w:r w:rsidRPr="007879D3">
        <w:rPr>
          <w:rStyle w:val="FootnoteReference"/>
          <w:lang w:val="en-US"/>
        </w:rPr>
        <w:footnoteRef/>
      </w:r>
      <w:r w:rsidRPr="00F30286">
        <w:rPr>
          <w:lang w:val="en-GB"/>
        </w:rPr>
        <w:tab/>
      </w:r>
      <w:r w:rsidRPr="007A4366">
        <w:rPr>
          <w:lang w:val="en-GB"/>
        </w:rPr>
        <w:t xml:space="preserve">Entre </w:t>
      </w:r>
      <w:proofErr w:type="spellStart"/>
      <w:r w:rsidRPr="007A4366">
        <w:rPr>
          <w:lang w:val="en-GB"/>
        </w:rPr>
        <w:t>otros</w:t>
      </w:r>
      <w:proofErr w:type="spellEnd"/>
      <w:r w:rsidRPr="007A4366">
        <w:rPr>
          <w:lang w:val="en-GB"/>
        </w:rPr>
        <w:t xml:space="preserve">, </w:t>
      </w:r>
      <w:r w:rsidRPr="00FC0BE3">
        <w:rPr>
          <w:lang w:val="en-GB"/>
        </w:rPr>
        <w:t xml:space="preserve">Francesca </w:t>
      </w:r>
      <w:proofErr w:type="spellStart"/>
      <w:r w:rsidRPr="007A4366">
        <w:rPr>
          <w:lang w:val="en-GB"/>
        </w:rPr>
        <w:t>Lessa</w:t>
      </w:r>
      <w:proofErr w:type="spellEnd"/>
      <w:r w:rsidRPr="00FC0BE3">
        <w:rPr>
          <w:lang w:val="en-GB"/>
        </w:rPr>
        <w:t>,</w:t>
      </w:r>
      <w:r w:rsidRPr="007A4366">
        <w:rPr>
          <w:lang w:val="en-GB"/>
        </w:rPr>
        <w:t xml:space="preserve"> </w:t>
      </w:r>
      <w:r w:rsidRPr="007879D3">
        <w:rPr>
          <w:i/>
          <w:iCs/>
          <w:lang w:val="en-GB"/>
        </w:rPr>
        <w:t xml:space="preserve">The Condor Trials: Transnational Repression and Human Rights in South America </w:t>
      </w:r>
      <w:r w:rsidRPr="00FC0BE3">
        <w:rPr>
          <w:lang w:val="en-GB"/>
        </w:rPr>
        <w:t>(</w:t>
      </w:r>
      <w:proofErr w:type="spellStart"/>
      <w:r w:rsidRPr="007A4366">
        <w:rPr>
          <w:lang w:val="en-GB"/>
        </w:rPr>
        <w:t>Lon</w:t>
      </w:r>
      <w:r w:rsidRPr="00FC0BE3">
        <w:rPr>
          <w:lang w:val="en-GB"/>
        </w:rPr>
        <w:t>dres</w:t>
      </w:r>
      <w:proofErr w:type="spellEnd"/>
      <w:r w:rsidRPr="007A4366">
        <w:rPr>
          <w:lang w:val="en-GB"/>
        </w:rPr>
        <w:t xml:space="preserve">, </w:t>
      </w:r>
      <w:r w:rsidRPr="007879D3">
        <w:rPr>
          <w:lang w:val="en-GB"/>
        </w:rPr>
        <w:t>2022</w:t>
      </w:r>
      <w:r w:rsidRPr="00FC0BE3">
        <w:rPr>
          <w:lang w:val="en-GB"/>
        </w:rPr>
        <w:t>)</w:t>
      </w:r>
      <w:r w:rsidRPr="007A4366">
        <w:rPr>
          <w:lang w:val="en-GB"/>
        </w:rPr>
        <w:t>.</w:t>
      </w:r>
    </w:p>
  </w:footnote>
  <w:footnote w:id="16">
    <w:p w14:paraId="0285E117" w14:textId="77777777" w:rsidR="00C61710" w:rsidRPr="00155D8B" w:rsidRDefault="00C61710" w:rsidP="00C61710">
      <w:pPr>
        <w:pStyle w:val="FootnoteText"/>
        <w:rPr>
          <w:rFonts w:hint="default"/>
          <w:lang w:val="es-MX"/>
        </w:rPr>
      </w:pPr>
      <w:r w:rsidRPr="007A4366">
        <w:rPr>
          <w:lang w:val="en-GB"/>
        </w:rPr>
        <w:tab/>
      </w:r>
      <w:r w:rsidRPr="007879D3">
        <w:rPr>
          <w:rStyle w:val="FootnoteReference"/>
          <w:lang w:val="en-US"/>
        </w:rPr>
        <w:footnoteRef/>
      </w:r>
      <w:r w:rsidRPr="007A4366">
        <w:tab/>
        <w:t xml:space="preserve">En el mes de marzo de </w:t>
      </w:r>
      <w:r w:rsidRPr="007879D3">
        <w:t>2023</w:t>
      </w:r>
      <w:r w:rsidRPr="007A4366">
        <w:t xml:space="preserve"> se emitió sentencia de condena por los crímenes cometidos en el centro </w:t>
      </w:r>
      <w:r w:rsidRPr="007A4366">
        <w:tab/>
        <w:t>clandestino Los Vagones.</w:t>
      </w:r>
    </w:p>
  </w:footnote>
  <w:footnote w:id="17">
    <w:p w14:paraId="6518D857" w14:textId="77777777" w:rsidR="00C61710" w:rsidRPr="00FC0BE3" w:rsidRDefault="00C61710" w:rsidP="00C61710">
      <w:pPr>
        <w:pStyle w:val="FootnoteText"/>
        <w:rPr>
          <w:rFonts w:hint="default"/>
          <w:lang w:val="es-AR"/>
        </w:rPr>
      </w:pPr>
      <w:r>
        <w:rPr>
          <w:lang w:val="es-MX"/>
        </w:rPr>
        <w:tab/>
      </w:r>
      <w:r w:rsidRPr="007879D3">
        <w:rPr>
          <w:rStyle w:val="FootnoteReference"/>
          <w:lang w:val="en-US"/>
        </w:rPr>
        <w:footnoteRef/>
      </w:r>
      <w:r w:rsidRPr="00FC0BE3">
        <w:rPr>
          <w:lang w:val="es-AR"/>
        </w:rPr>
        <w:tab/>
        <w:t>A/HRC/</w:t>
      </w:r>
      <w:r w:rsidRPr="007879D3">
        <w:rPr>
          <w:lang w:val="es-AR"/>
        </w:rPr>
        <w:t>45</w:t>
      </w:r>
      <w:r w:rsidRPr="00FC0BE3">
        <w:rPr>
          <w:lang w:val="es-AR"/>
        </w:rPr>
        <w:t>/</w:t>
      </w:r>
      <w:r w:rsidRPr="007879D3">
        <w:rPr>
          <w:lang w:val="es-AR"/>
        </w:rPr>
        <w:t>13</w:t>
      </w:r>
      <w:r w:rsidRPr="00FC0BE3">
        <w:rPr>
          <w:lang w:val="es-AR"/>
        </w:rPr>
        <w:t>/Add.</w:t>
      </w:r>
      <w:r w:rsidRPr="007879D3">
        <w:rPr>
          <w:lang w:val="es-AR"/>
        </w:rPr>
        <w:t>3</w:t>
      </w:r>
      <w:r w:rsidRPr="00FC0BE3">
        <w:rPr>
          <w:lang w:val="es-AR"/>
        </w:rPr>
        <w:t xml:space="preserve">, </w:t>
      </w:r>
      <w:proofErr w:type="spellStart"/>
      <w:r w:rsidRPr="00FC0BE3">
        <w:rPr>
          <w:lang w:val="es-AR"/>
        </w:rPr>
        <w:t>párrs</w:t>
      </w:r>
      <w:proofErr w:type="spellEnd"/>
      <w:r w:rsidRPr="00FC0BE3">
        <w:rPr>
          <w:lang w:val="es-AR"/>
        </w:rPr>
        <w:t xml:space="preserve">. </w:t>
      </w:r>
      <w:r w:rsidRPr="007879D3">
        <w:rPr>
          <w:lang w:val="es-AR"/>
        </w:rPr>
        <w:t>60</w:t>
      </w:r>
      <w:r w:rsidRPr="00FC0BE3">
        <w:rPr>
          <w:lang w:val="es-AR"/>
        </w:rPr>
        <w:t xml:space="preserve"> y </w:t>
      </w:r>
      <w:r w:rsidRPr="007879D3">
        <w:rPr>
          <w:lang w:val="es-AR"/>
        </w:rPr>
        <w:t>61</w:t>
      </w:r>
      <w:r w:rsidRPr="00FC0BE3">
        <w:rPr>
          <w:lang w:val="es-AR"/>
        </w:rPr>
        <w:t>.</w:t>
      </w:r>
    </w:p>
  </w:footnote>
  <w:footnote w:id="18">
    <w:p w14:paraId="0530692A" w14:textId="77777777" w:rsidR="00C61710" w:rsidRPr="00F30286" w:rsidRDefault="00C61710" w:rsidP="00C61710">
      <w:pPr>
        <w:pStyle w:val="FootnoteText"/>
        <w:rPr>
          <w:rFonts w:hint="default"/>
          <w:lang w:val="en-GB"/>
        </w:rPr>
      </w:pPr>
      <w:r w:rsidRPr="00FC0BE3">
        <w:rPr>
          <w:lang w:val="es-AR"/>
        </w:rPr>
        <w:tab/>
      </w:r>
      <w:r w:rsidRPr="007879D3">
        <w:rPr>
          <w:rStyle w:val="FootnoteReference"/>
          <w:lang w:val="en-US"/>
        </w:rPr>
        <w:footnoteRef/>
      </w:r>
      <w:r w:rsidRPr="00F30286">
        <w:rPr>
          <w:lang w:val="en-GB"/>
        </w:rPr>
        <w:tab/>
        <w:t>A/HRC/WGEID/</w:t>
      </w:r>
      <w:r w:rsidRPr="007879D3">
        <w:rPr>
          <w:lang w:val="en-GB"/>
        </w:rPr>
        <w:t>98</w:t>
      </w:r>
      <w:r w:rsidRPr="00F30286">
        <w:rPr>
          <w:lang w:val="en-GB"/>
        </w:rPr>
        <w:t>/</w:t>
      </w:r>
      <w:r w:rsidRPr="007879D3">
        <w:rPr>
          <w:lang w:val="en-GB"/>
        </w:rPr>
        <w:t>2</w:t>
      </w:r>
      <w:r w:rsidRPr="00F30286">
        <w:rPr>
          <w:lang w:val="en-GB"/>
        </w:rPr>
        <w:t xml:space="preserve">, </w:t>
      </w:r>
      <w:proofErr w:type="spellStart"/>
      <w:r w:rsidRPr="00F30286">
        <w:rPr>
          <w:lang w:val="en-GB"/>
        </w:rPr>
        <w:t>preámbulo</w:t>
      </w:r>
      <w:proofErr w:type="spellEnd"/>
      <w:r w:rsidRPr="00F30286">
        <w:rPr>
          <w:lang w:val="en-GB"/>
        </w:rPr>
        <w:t>.</w:t>
      </w:r>
    </w:p>
  </w:footnote>
  <w:footnote w:id="19">
    <w:p w14:paraId="2D3F156C" w14:textId="77777777" w:rsidR="00C61710" w:rsidRPr="00041059" w:rsidRDefault="00C61710" w:rsidP="00C61710">
      <w:pPr>
        <w:pStyle w:val="FootnoteText"/>
        <w:rPr>
          <w:rFonts w:hint="default"/>
        </w:rPr>
      </w:pPr>
      <w:r w:rsidRPr="00F30286">
        <w:rPr>
          <w:lang w:val="en-GB"/>
        </w:rPr>
        <w:tab/>
      </w:r>
      <w:r w:rsidRPr="007879D3">
        <w:rPr>
          <w:rStyle w:val="FootnoteReference"/>
          <w:lang w:val="en-US"/>
        </w:rPr>
        <w:footnoteRef/>
      </w:r>
      <w:r w:rsidRPr="00FC0BE3">
        <w:rPr>
          <w:lang w:val="en-US"/>
        </w:rPr>
        <w:tab/>
        <w:t>A/HRC/</w:t>
      </w:r>
      <w:r w:rsidRPr="007879D3">
        <w:rPr>
          <w:lang w:val="en-US"/>
        </w:rPr>
        <w:t>45</w:t>
      </w:r>
      <w:r w:rsidRPr="00FC0BE3">
        <w:rPr>
          <w:lang w:val="en-US"/>
        </w:rPr>
        <w:t>/</w:t>
      </w:r>
      <w:r w:rsidRPr="007879D3">
        <w:rPr>
          <w:lang w:val="en-US"/>
        </w:rPr>
        <w:t>13</w:t>
      </w:r>
      <w:r w:rsidRPr="00FC0BE3">
        <w:rPr>
          <w:lang w:val="en-US"/>
        </w:rPr>
        <w:t>/Add.</w:t>
      </w:r>
      <w:r w:rsidRPr="007879D3">
        <w:rPr>
          <w:lang w:val="en-US"/>
        </w:rPr>
        <w:t>3</w:t>
      </w:r>
      <w:r w:rsidRPr="00FC0BE3">
        <w:rPr>
          <w:lang w:val="en-US"/>
        </w:rPr>
        <w:t xml:space="preserve">, </w:t>
      </w:r>
      <w:proofErr w:type="spellStart"/>
      <w:r w:rsidRPr="00FC0BE3">
        <w:rPr>
          <w:lang w:val="en-US"/>
        </w:rPr>
        <w:t>párrs</w:t>
      </w:r>
      <w:proofErr w:type="spellEnd"/>
      <w:r w:rsidRPr="00FC0BE3">
        <w:rPr>
          <w:lang w:val="en-US"/>
        </w:rPr>
        <w:t xml:space="preserve">. </w:t>
      </w:r>
      <w:r w:rsidRPr="007879D3">
        <w:t>83</w:t>
      </w:r>
      <w:r w:rsidRPr="00041059">
        <w:t xml:space="preserve"> y </w:t>
      </w:r>
      <w:r w:rsidRPr="007879D3">
        <w:t>84</w:t>
      </w:r>
      <w:r w:rsidRPr="00041059">
        <w:t>.</w:t>
      </w:r>
    </w:p>
  </w:footnote>
  <w:footnote w:id="20">
    <w:p w14:paraId="6825ADAB" w14:textId="77777777" w:rsidR="00C61710" w:rsidRPr="00FC0BE3" w:rsidRDefault="00C61710" w:rsidP="00C61710">
      <w:pPr>
        <w:pStyle w:val="FootnoteText"/>
        <w:rPr>
          <w:rFonts w:hint="default"/>
          <w:lang w:val="es-MX"/>
        </w:rPr>
      </w:pPr>
      <w:r w:rsidRPr="00041059">
        <w:tab/>
      </w:r>
      <w:r w:rsidRPr="007879D3">
        <w:rPr>
          <w:rStyle w:val="FootnoteReference"/>
          <w:lang w:val="en-US"/>
        </w:rPr>
        <w:footnoteRef/>
      </w:r>
      <w:r w:rsidRPr="00FC0BE3">
        <w:rPr>
          <w:lang w:val="es-MX"/>
        </w:rPr>
        <w:tab/>
      </w:r>
      <w:r w:rsidRPr="007879D3">
        <w:rPr>
          <w:i/>
          <w:iCs/>
          <w:lang w:val="es-MX"/>
        </w:rPr>
        <w:t>Ibid</w:t>
      </w:r>
      <w:r w:rsidRPr="00FC0BE3">
        <w:rPr>
          <w:lang w:val="es-MX"/>
        </w:rPr>
        <w:t xml:space="preserve">., párr. </w:t>
      </w:r>
      <w:r w:rsidRPr="007879D3">
        <w:rPr>
          <w:lang w:val="es-MX"/>
        </w:rPr>
        <w:t>85</w:t>
      </w:r>
      <w:r w:rsidRPr="00FC0BE3">
        <w:rPr>
          <w:lang w:val="es-MX"/>
        </w:rPr>
        <w:t>.</w:t>
      </w:r>
    </w:p>
  </w:footnote>
  <w:footnote w:id="21">
    <w:p w14:paraId="0884665F" w14:textId="77777777" w:rsidR="00C61710" w:rsidRPr="00FC0BE3" w:rsidRDefault="00C61710" w:rsidP="00C61710">
      <w:pPr>
        <w:pStyle w:val="FootnoteText"/>
        <w:rPr>
          <w:rFonts w:hint="default"/>
          <w:lang w:val="es-AR"/>
        </w:rPr>
      </w:pPr>
      <w:r w:rsidRPr="00FC0BE3">
        <w:rPr>
          <w:lang w:val="es-MX"/>
        </w:rPr>
        <w:tab/>
      </w:r>
      <w:r w:rsidRPr="007879D3">
        <w:rPr>
          <w:rStyle w:val="FootnoteReference"/>
          <w:lang w:val="en-US"/>
        </w:rPr>
        <w:footnoteRef/>
      </w:r>
      <w:r w:rsidRPr="00FC0BE3">
        <w:rPr>
          <w:lang w:val="es-AR"/>
        </w:rPr>
        <w:tab/>
      </w:r>
      <w:hyperlink r:id="rId3" w:history="1">
        <w:r w:rsidRPr="00FC0BE3">
          <w:rPr>
            <w:rStyle w:val="Hyperlink"/>
            <w:color w:val="auto"/>
            <w:lang w:val="es-AR"/>
          </w:rPr>
          <w:t xml:space="preserve">Véase la comunicación URY </w:t>
        </w:r>
        <w:r w:rsidRPr="007879D3">
          <w:rPr>
            <w:rStyle w:val="Hyperlink"/>
            <w:color w:val="auto"/>
            <w:lang w:val="es-AR"/>
          </w:rPr>
          <w:t>2</w:t>
        </w:r>
        <w:r w:rsidRPr="00FC0BE3">
          <w:rPr>
            <w:rStyle w:val="Hyperlink"/>
            <w:color w:val="auto"/>
            <w:lang w:val="es-AR"/>
          </w:rPr>
          <w:t>/</w:t>
        </w:r>
        <w:r w:rsidRPr="007879D3">
          <w:rPr>
            <w:rStyle w:val="Hyperlink"/>
            <w:color w:val="auto"/>
            <w:lang w:val="es-AR"/>
          </w:rPr>
          <w:t>2021</w:t>
        </w:r>
      </w:hyperlink>
      <w:r w:rsidRPr="00FC0BE3">
        <w:rPr>
          <w:rStyle w:val="Hyperlink"/>
          <w:color w:val="auto"/>
          <w:lang w:val="es-AR"/>
        </w:rPr>
        <w:t xml:space="preserve">, disponible en </w:t>
      </w:r>
      <w:hyperlink r:id="rId4" w:history="1">
        <w:r w:rsidRPr="00013136">
          <w:rPr>
            <w:rStyle w:val="Hyperlink"/>
            <w:lang w:val="es-AR"/>
          </w:rPr>
          <w:t>https://spcommreports.ohchr.org/tmsearch/TMDocuments</w:t>
        </w:r>
      </w:hyperlink>
      <w:r w:rsidRPr="00013136">
        <w:rPr>
          <w:lang w:val="es-AR"/>
        </w:rPr>
        <w:t>.</w:t>
      </w:r>
    </w:p>
  </w:footnote>
  <w:footnote w:id="22">
    <w:p w14:paraId="5A57F78B" w14:textId="77777777" w:rsidR="00C61710" w:rsidRPr="00FC0BE3" w:rsidRDefault="00C61710" w:rsidP="00C61710">
      <w:pPr>
        <w:pStyle w:val="FootnoteText"/>
        <w:rPr>
          <w:rFonts w:hint="default"/>
          <w:lang w:val="en-US"/>
        </w:rPr>
      </w:pPr>
      <w:r w:rsidRPr="00FC0BE3">
        <w:rPr>
          <w:lang w:val="es-AR"/>
        </w:rPr>
        <w:tab/>
      </w:r>
      <w:r w:rsidRPr="007879D3">
        <w:rPr>
          <w:rStyle w:val="FootnoteReference"/>
          <w:lang w:val="en-US"/>
        </w:rPr>
        <w:footnoteRef/>
      </w:r>
      <w:r w:rsidRPr="00F30286">
        <w:rPr>
          <w:lang w:val="en-GB"/>
        </w:rPr>
        <w:tab/>
        <w:t>A/HRC/</w:t>
      </w:r>
      <w:r w:rsidRPr="007879D3">
        <w:rPr>
          <w:lang w:val="en-GB"/>
        </w:rPr>
        <w:t>45</w:t>
      </w:r>
      <w:r w:rsidRPr="00F30286">
        <w:rPr>
          <w:lang w:val="en-GB"/>
        </w:rPr>
        <w:t>/</w:t>
      </w:r>
      <w:r w:rsidRPr="007879D3">
        <w:rPr>
          <w:lang w:val="en-GB"/>
        </w:rPr>
        <w:t>13</w:t>
      </w:r>
      <w:r w:rsidRPr="00F30286">
        <w:rPr>
          <w:lang w:val="en-GB"/>
        </w:rPr>
        <w:t>/Add.</w:t>
      </w:r>
      <w:r w:rsidRPr="007879D3">
        <w:rPr>
          <w:lang w:val="en-GB"/>
        </w:rPr>
        <w:t>3</w:t>
      </w:r>
      <w:r w:rsidRPr="00F30286">
        <w:rPr>
          <w:lang w:val="en-GB"/>
        </w:rPr>
        <w:t xml:space="preserve">, </w:t>
      </w:r>
      <w:proofErr w:type="spellStart"/>
      <w:r w:rsidRPr="00F30286">
        <w:rPr>
          <w:lang w:val="en-GB"/>
        </w:rPr>
        <w:t>párr</w:t>
      </w:r>
      <w:proofErr w:type="spellEnd"/>
      <w:r w:rsidRPr="00F30286">
        <w:rPr>
          <w:lang w:val="en-GB"/>
        </w:rPr>
        <w:t>.</w:t>
      </w:r>
      <w:r>
        <w:rPr>
          <w:lang w:val="en-GB"/>
        </w:rPr>
        <w:t xml:space="preserve"> </w:t>
      </w:r>
      <w:r w:rsidRPr="007879D3">
        <w:rPr>
          <w:lang w:val="en-US"/>
        </w:rPr>
        <w:t>30</w:t>
      </w:r>
      <w:r w:rsidRPr="00FC0BE3">
        <w:rPr>
          <w:lang w:val="en-US"/>
        </w:rPr>
        <w:t>.</w:t>
      </w:r>
    </w:p>
  </w:footnote>
  <w:footnote w:id="23">
    <w:p w14:paraId="7BC06FB3" w14:textId="77777777" w:rsidR="00C61710" w:rsidRPr="00C61710" w:rsidRDefault="00C61710" w:rsidP="00C61710">
      <w:pPr>
        <w:pStyle w:val="FootnoteText"/>
        <w:rPr>
          <w:rFonts w:hint="default"/>
          <w:lang w:val="fr-CH"/>
        </w:rPr>
      </w:pPr>
      <w:r w:rsidRPr="00FC0BE3">
        <w:rPr>
          <w:lang w:val="en-US"/>
        </w:rPr>
        <w:tab/>
      </w:r>
      <w:r w:rsidRPr="007879D3">
        <w:rPr>
          <w:rStyle w:val="FootnoteReference"/>
          <w:lang w:val="en-US"/>
        </w:rPr>
        <w:footnoteRef/>
      </w:r>
      <w:r w:rsidRPr="00FC0BE3">
        <w:rPr>
          <w:lang w:val="en-US"/>
        </w:rPr>
        <w:tab/>
        <w:t>A/HRC/</w:t>
      </w:r>
      <w:r w:rsidRPr="007879D3">
        <w:rPr>
          <w:lang w:val="en-US"/>
        </w:rPr>
        <w:t>22</w:t>
      </w:r>
      <w:r w:rsidRPr="00FC0BE3">
        <w:rPr>
          <w:lang w:val="en-US"/>
        </w:rPr>
        <w:t>/</w:t>
      </w:r>
      <w:r w:rsidRPr="007879D3">
        <w:rPr>
          <w:lang w:val="en-US"/>
        </w:rPr>
        <w:t>45</w:t>
      </w:r>
      <w:r w:rsidRPr="00FC0BE3">
        <w:rPr>
          <w:lang w:val="en-US"/>
        </w:rPr>
        <w:t xml:space="preserve">, </w:t>
      </w:r>
      <w:proofErr w:type="spellStart"/>
      <w:r w:rsidRPr="00FC0BE3">
        <w:rPr>
          <w:lang w:val="en-US"/>
        </w:rPr>
        <w:t>párrs</w:t>
      </w:r>
      <w:proofErr w:type="spellEnd"/>
      <w:r w:rsidRPr="00FC0BE3">
        <w:rPr>
          <w:lang w:val="en-US"/>
        </w:rPr>
        <w:t xml:space="preserve">. </w:t>
      </w:r>
      <w:r w:rsidRPr="007879D3">
        <w:rPr>
          <w:lang w:val="fr-CH"/>
        </w:rPr>
        <w:t>46</w:t>
      </w:r>
      <w:r w:rsidRPr="00C61710">
        <w:rPr>
          <w:lang w:val="fr-CH"/>
        </w:rPr>
        <w:t xml:space="preserve"> </w:t>
      </w:r>
      <w:proofErr w:type="gramStart"/>
      <w:r w:rsidRPr="00C61710">
        <w:rPr>
          <w:lang w:val="fr-CH"/>
        </w:rPr>
        <w:t>a</w:t>
      </w:r>
      <w:proofErr w:type="gramEnd"/>
      <w:r w:rsidRPr="00C61710">
        <w:rPr>
          <w:lang w:val="fr-CH"/>
        </w:rPr>
        <w:t xml:space="preserve"> </w:t>
      </w:r>
      <w:r w:rsidRPr="007879D3">
        <w:rPr>
          <w:lang w:val="fr-CH"/>
        </w:rPr>
        <w:t>68</w:t>
      </w:r>
      <w:r w:rsidRPr="00C61710">
        <w:rPr>
          <w:lang w:val="fr-CH"/>
        </w:rPr>
        <w:t>.</w:t>
      </w:r>
    </w:p>
  </w:footnote>
  <w:footnote w:id="24">
    <w:p w14:paraId="208A2EEC" w14:textId="77777777" w:rsidR="00C61710" w:rsidRPr="00C61710" w:rsidRDefault="00C61710" w:rsidP="00C61710">
      <w:pPr>
        <w:pStyle w:val="FootnoteText"/>
        <w:rPr>
          <w:rFonts w:hint="default"/>
          <w:lang w:val="fr-CH"/>
        </w:rPr>
      </w:pPr>
      <w:r w:rsidRPr="00C61710">
        <w:rPr>
          <w:lang w:val="fr-CH"/>
        </w:rPr>
        <w:tab/>
      </w:r>
      <w:r w:rsidRPr="007879D3">
        <w:rPr>
          <w:rStyle w:val="FootnoteReference"/>
          <w:lang w:val="en-US"/>
        </w:rPr>
        <w:footnoteRef/>
      </w:r>
      <w:r w:rsidRPr="00C61710">
        <w:rPr>
          <w:lang w:val="fr-CH"/>
        </w:rPr>
        <w:tab/>
      </w:r>
      <w:proofErr w:type="spellStart"/>
      <w:r w:rsidRPr="00C61710">
        <w:rPr>
          <w:lang w:val="fr-CH"/>
        </w:rPr>
        <w:t>Véase</w:t>
      </w:r>
      <w:proofErr w:type="spellEnd"/>
      <w:r w:rsidRPr="00C61710">
        <w:rPr>
          <w:lang w:val="fr-CH"/>
        </w:rPr>
        <w:t xml:space="preserve"> </w:t>
      </w:r>
      <w:hyperlink r:id="rId5" w:history="1">
        <w:r w:rsidRPr="00C61710">
          <w:rPr>
            <w:rStyle w:val="Hyperlink"/>
            <w:lang w:val="fr-CH"/>
          </w:rPr>
          <w:t>https://www.gub.uy/institucion-nacional-derechos-humanos-uruguay/sites/institucion-nacional-derechos-humanos-uruguay/files/documentos/noticias/Resoluci%C</w:t>
        </w:r>
        <w:r w:rsidRPr="007879D3">
          <w:rPr>
            <w:rStyle w:val="Hyperlink"/>
            <w:lang w:val="fr-CH"/>
          </w:rPr>
          <w:t>3</w:t>
        </w:r>
        <w:r w:rsidRPr="00C61710">
          <w:rPr>
            <w:rStyle w:val="Hyperlink"/>
            <w:lang w:val="fr-CH"/>
          </w:rPr>
          <w:t>%B</w:t>
        </w:r>
        <w:r w:rsidRPr="007879D3">
          <w:rPr>
            <w:rStyle w:val="Hyperlink"/>
            <w:lang w:val="fr-CH"/>
          </w:rPr>
          <w:t>3</w:t>
        </w:r>
        <w:r w:rsidRPr="00C61710">
          <w:rPr>
            <w:rStyle w:val="Hyperlink"/>
            <w:lang w:val="fr-CH"/>
          </w:rPr>
          <w:t>n-</w:t>
        </w:r>
        <w:r w:rsidRPr="007879D3">
          <w:rPr>
            <w:rStyle w:val="Hyperlink"/>
            <w:lang w:val="fr-CH"/>
          </w:rPr>
          <w:t>751</w:t>
        </w:r>
        <w:r w:rsidRPr="00C61710">
          <w:rPr>
            <w:rStyle w:val="Hyperlink"/>
            <w:lang w:val="fr-CH"/>
          </w:rPr>
          <w:t>-</w:t>
        </w:r>
        <w:r w:rsidRPr="007879D3">
          <w:rPr>
            <w:rStyle w:val="Hyperlink"/>
            <w:lang w:val="fr-CH"/>
          </w:rPr>
          <w:t>2019</w:t>
        </w:r>
        <w:r w:rsidRPr="00C61710">
          <w:rPr>
            <w:rStyle w:val="Hyperlink"/>
            <w:lang w:val="fr-CH"/>
          </w:rPr>
          <w:t>-</w:t>
        </w:r>
        <w:r w:rsidRPr="007879D3">
          <w:rPr>
            <w:rStyle w:val="Hyperlink"/>
            <w:lang w:val="fr-CH"/>
          </w:rPr>
          <w:t>023</w:t>
        </w:r>
        <w:r w:rsidRPr="00C61710">
          <w:rPr>
            <w:rStyle w:val="Hyperlink"/>
            <w:lang w:val="fr-CH"/>
          </w:rPr>
          <w:t>-</w:t>
        </w:r>
        <w:r w:rsidRPr="007879D3">
          <w:rPr>
            <w:rStyle w:val="Hyperlink"/>
            <w:lang w:val="fr-CH"/>
          </w:rPr>
          <w:t>19</w:t>
        </w:r>
        <w:r w:rsidRPr="00C61710">
          <w:rPr>
            <w:rStyle w:val="Hyperlink"/>
            <w:lang w:val="fr-CH"/>
          </w:rPr>
          <w:t>%</w:t>
        </w:r>
        <w:r w:rsidRPr="007879D3">
          <w:rPr>
            <w:rStyle w:val="Hyperlink"/>
            <w:lang w:val="fr-CH"/>
          </w:rPr>
          <w:t>20</w:t>
        </w:r>
        <w:r w:rsidRPr="00C61710">
          <w:rPr>
            <w:rStyle w:val="Hyperlink"/>
            <w:lang w:val="fr-CH"/>
          </w:rPr>
          <w:t>%</w:t>
        </w:r>
        <w:r w:rsidRPr="007879D3">
          <w:rPr>
            <w:rStyle w:val="Hyperlink"/>
            <w:lang w:val="fr-CH"/>
          </w:rPr>
          <w:t>281</w:t>
        </w:r>
        <w:r w:rsidRPr="00C61710">
          <w:rPr>
            <w:rStyle w:val="Hyperlink"/>
            <w:lang w:val="fr-CH"/>
          </w:rPr>
          <w:t>%</w:t>
        </w:r>
        <w:r w:rsidRPr="007879D3">
          <w:rPr>
            <w:rStyle w:val="Hyperlink"/>
            <w:lang w:val="fr-CH"/>
          </w:rPr>
          <w:t>29</w:t>
        </w:r>
        <w:r w:rsidRPr="00C61710">
          <w:rPr>
            <w:rStyle w:val="Hyperlink"/>
            <w:lang w:val="fr-CH"/>
          </w:rPr>
          <w:t>.pdf</w:t>
        </w:r>
      </w:hyperlink>
      <w:r w:rsidRPr="00C61710">
        <w:rPr>
          <w:lang w:val="fr-CH"/>
        </w:rPr>
        <w:t>.</w:t>
      </w:r>
    </w:p>
  </w:footnote>
  <w:footnote w:id="25">
    <w:p w14:paraId="7036E82D" w14:textId="77777777" w:rsidR="00C61710" w:rsidRPr="001A6FE2" w:rsidRDefault="00C61710" w:rsidP="00C61710">
      <w:pPr>
        <w:pStyle w:val="FootnoteText"/>
        <w:rPr>
          <w:rFonts w:hint="default"/>
        </w:rPr>
      </w:pPr>
      <w:r w:rsidRPr="00C61710">
        <w:rPr>
          <w:lang w:val="fr-CH"/>
        </w:rPr>
        <w:tab/>
      </w:r>
      <w:r w:rsidRPr="007879D3">
        <w:rPr>
          <w:rStyle w:val="FootnoteReference"/>
          <w:lang w:val="en-US"/>
        </w:rPr>
        <w:footnoteRef/>
      </w:r>
      <w:r w:rsidRPr="00AB7499">
        <w:tab/>
        <w:t xml:space="preserve">Artículo </w:t>
      </w:r>
      <w:r w:rsidRPr="007879D3">
        <w:t>115</w:t>
      </w:r>
      <w:r w:rsidRPr="00AB7499">
        <w:t xml:space="preserve"> de la Ley </w:t>
      </w:r>
      <w:r w:rsidRPr="007879D3">
        <w:t>14</w:t>
      </w:r>
      <w:r w:rsidRPr="00AB7499">
        <w:t>.</w:t>
      </w:r>
      <w:r w:rsidRPr="007879D3">
        <w:t>106</w:t>
      </w:r>
      <w:r>
        <w:t>,</w:t>
      </w:r>
      <w:r w:rsidRPr="001A6FE2">
        <w:t xml:space="preserve"> de </w:t>
      </w:r>
      <w:r w:rsidRPr="007879D3">
        <w:t>1973</w:t>
      </w:r>
      <w:r>
        <w:t>;</w:t>
      </w:r>
      <w:r w:rsidRPr="001A6FE2">
        <w:t xml:space="preserve"> y </w:t>
      </w:r>
      <w:r>
        <w:t>D</w:t>
      </w:r>
      <w:r w:rsidRPr="001A6FE2">
        <w:t xml:space="preserve">ecreto Ley </w:t>
      </w:r>
      <w:r w:rsidRPr="007879D3">
        <w:t>14</w:t>
      </w:r>
      <w:r w:rsidRPr="001A6FE2">
        <w:t>.</w:t>
      </w:r>
      <w:r w:rsidRPr="007879D3">
        <w:t>265</w:t>
      </w:r>
      <w:r w:rsidRPr="001A6FE2">
        <w:t xml:space="preserve">, promulgado en </w:t>
      </w:r>
      <w:r w:rsidRPr="007879D3">
        <w:t>1974</w:t>
      </w:r>
      <w:r w:rsidRPr="001A6FE2">
        <w:t>.</w:t>
      </w:r>
    </w:p>
  </w:footnote>
  <w:footnote w:id="26">
    <w:p w14:paraId="0575FB64" w14:textId="77777777" w:rsidR="00C61710" w:rsidRPr="001A6FE2" w:rsidRDefault="00C61710" w:rsidP="00C61710">
      <w:pPr>
        <w:pStyle w:val="FootnoteText"/>
        <w:rPr>
          <w:rFonts w:hint="default"/>
        </w:rPr>
      </w:pPr>
      <w:r w:rsidRPr="001A6FE2">
        <w:tab/>
      </w:r>
      <w:r w:rsidRPr="007879D3">
        <w:rPr>
          <w:rStyle w:val="FootnoteReference"/>
          <w:lang w:val="en-US"/>
        </w:rPr>
        <w:footnoteRef/>
      </w:r>
      <w:r w:rsidRPr="001A6FE2">
        <w:tab/>
      </w:r>
      <w:r w:rsidRPr="00FC0BE3">
        <w:t>A/HRC/</w:t>
      </w:r>
      <w:r w:rsidRPr="007879D3">
        <w:t>22</w:t>
      </w:r>
      <w:r w:rsidRPr="00FC0BE3">
        <w:t>/</w:t>
      </w:r>
      <w:r w:rsidRPr="007879D3">
        <w:t>45</w:t>
      </w:r>
      <w:r w:rsidRPr="001A6FE2">
        <w:t xml:space="preserve">, </w:t>
      </w:r>
      <w:proofErr w:type="spellStart"/>
      <w:r w:rsidRPr="001A6FE2">
        <w:t>párr</w:t>
      </w:r>
      <w:r>
        <w:t>s</w:t>
      </w:r>
      <w:proofErr w:type="spellEnd"/>
      <w:r w:rsidRPr="001A6FE2">
        <w:t>.</w:t>
      </w:r>
      <w:r>
        <w:t xml:space="preserve"> </w:t>
      </w:r>
      <w:r w:rsidRPr="007879D3">
        <w:t>63</w:t>
      </w:r>
      <w:r w:rsidRPr="001A6FE2">
        <w:t xml:space="preserve">, </w:t>
      </w:r>
      <w:r w:rsidRPr="007879D3">
        <w:t>64</w:t>
      </w:r>
      <w:r w:rsidRPr="001A6FE2">
        <w:t xml:space="preserve"> y </w:t>
      </w:r>
      <w:r w:rsidRPr="007879D3">
        <w:t>66</w:t>
      </w:r>
      <w:r w:rsidRPr="001A6FE2">
        <w:t>.</w:t>
      </w:r>
    </w:p>
  </w:footnote>
  <w:footnote w:id="27">
    <w:p w14:paraId="1A39D451" w14:textId="77777777" w:rsidR="00C61710" w:rsidRPr="00556E38" w:rsidRDefault="00C61710" w:rsidP="00C61710">
      <w:pPr>
        <w:pStyle w:val="FootnoteText"/>
        <w:rPr>
          <w:rFonts w:hint="default"/>
        </w:rPr>
      </w:pPr>
      <w:r w:rsidRPr="00556E38">
        <w:tab/>
      </w:r>
      <w:r w:rsidRPr="007879D3">
        <w:rPr>
          <w:rStyle w:val="FootnoteReference"/>
          <w:lang w:val="en-US"/>
        </w:rPr>
        <w:footnoteRef/>
      </w:r>
      <w:r w:rsidRPr="00556E38">
        <w:tab/>
      </w:r>
      <w:hyperlink r:id="rId6" w:history="1">
        <w:r w:rsidRPr="00556E38">
          <w:rPr>
            <w:rStyle w:val="Hyperlink"/>
            <w:color w:val="auto"/>
          </w:rPr>
          <w:t>E/CN.</w:t>
        </w:r>
        <w:r w:rsidRPr="007879D3">
          <w:rPr>
            <w:rStyle w:val="Hyperlink"/>
            <w:color w:val="auto"/>
          </w:rPr>
          <w:t>4</w:t>
        </w:r>
        <w:r w:rsidRPr="00556E38">
          <w:rPr>
            <w:rStyle w:val="Hyperlink"/>
            <w:color w:val="auto"/>
          </w:rPr>
          <w:t>/</w:t>
        </w:r>
        <w:r w:rsidRPr="007879D3">
          <w:rPr>
            <w:rStyle w:val="Hyperlink"/>
            <w:color w:val="auto"/>
          </w:rPr>
          <w:t>2005</w:t>
        </w:r>
        <w:r w:rsidRPr="00556E38">
          <w:rPr>
            <w:rStyle w:val="Hyperlink"/>
            <w:color w:val="auto"/>
          </w:rPr>
          <w:t>/</w:t>
        </w:r>
        <w:r w:rsidRPr="007879D3">
          <w:rPr>
            <w:rStyle w:val="Hyperlink"/>
            <w:color w:val="auto"/>
          </w:rPr>
          <w:t>102</w:t>
        </w:r>
        <w:r w:rsidRPr="00556E38">
          <w:rPr>
            <w:rStyle w:val="Hyperlink"/>
            <w:color w:val="auto"/>
          </w:rPr>
          <w:t>/Add.</w:t>
        </w:r>
        <w:r w:rsidRPr="007879D3">
          <w:rPr>
            <w:rStyle w:val="Hyperlink"/>
            <w:color w:val="auto"/>
          </w:rPr>
          <w:t>1</w:t>
        </w:r>
      </w:hyperlink>
      <w:r w:rsidRPr="00556E38">
        <w:t>.</w:t>
      </w:r>
    </w:p>
  </w:footnote>
  <w:footnote w:id="28">
    <w:p w14:paraId="3792E89D" w14:textId="77777777" w:rsidR="00C61710" w:rsidRPr="00556E38" w:rsidRDefault="00C61710" w:rsidP="00C61710">
      <w:pPr>
        <w:pStyle w:val="FootnoteText"/>
        <w:rPr>
          <w:rFonts w:hint="default"/>
        </w:rPr>
      </w:pPr>
      <w:r w:rsidRPr="00556E38">
        <w:tab/>
      </w:r>
      <w:r w:rsidRPr="007879D3">
        <w:rPr>
          <w:rStyle w:val="FootnoteReference"/>
          <w:lang w:val="en-US"/>
        </w:rPr>
        <w:footnoteRef/>
      </w:r>
      <w:r w:rsidRPr="00556E38">
        <w:tab/>
      </w:r>
      <w:r>
        <w:t>V</w:t>
      </w:r>
      <w:proofErr w:type="spellStart"/>
      <w:r>
        <w:rPr>
          <w:lang w:val="es-GT"/>
        </w:rPr>
        <w:t>éase</w:t>
      </w:r>
      <w:proofErr w:type="spellEnd"/>
      <w:r>
        <w:rPr>
          <w:lang w:val="es-GT"/>
        </w:rPr>
        <w:t xml:space="preserve"> el párrafo </w:t>
      </w:r>
      <w:r w:rsidRPr="007879D3">
        <w:rPr>
          <w:lang w:val="es-GT"/>
        </w:rPr>
        <w:t>4</w:t>
      </w:r>
      <w:r>
        <w:rPr>
          <w:lang w:val="es-GT"/>
        </w:rPr>
        <w:t>.</w:t>
      </w:r>
    </w:p>
  </w:footnote>
  <w:footnote w:id="29">
    <w:p w14:paraId="19F2A9ED" w14:textId="77777777" w:rsidR="00C61710" w:rsidRPr="00C61710" w:rsidRDefault="00C61710" w:rsidP="00C61710">
      <w:pPr>
        <w:pStyle w:val="FootnoteText"/>
        <w:rPr>
          <w:rFonts w:hint="default"/>
        </w:rPr>
      </w:pPr>
      <w:r w:rsidRPr="00556E38">
        <w:tab/>
      </w:r>
      <w:r w:rsidRPr="007879D3">
        <w:rPr>
          <w:rStyle w:val="FootnoteReference"/>
          <w:lang w:val="en-US"/>
        </w:rPr>
        <w:footnoteRef/>
      </w:r>
      <w:r w:rsidRPr="00C61710">
        <w:tab/>
      </w:r>
      <w:hyperlink r:id="rId7" w:history="1">
        <w:r w:rsidRPr="00C61710">
          <w:rPr>
            <w:rStyle w:val="Hyperlink"/>
            <w:color w:val="auto"/>
          </w:rPr>
          <w:t>A/HRC/</w:t>
        </w:r>
        <w:r w:rsidRPr="007879D3">
          <w:rPr>
            <w:rStyle w:val="Hyperlink"/>
            <w:color w:val="auto"/>
          </w:rPr>
          <w:t>22</w:t>
        </w:r>
        <w:r w:rsidRPr="00C61710">
          <w:rPr>
            <w:rStyle w:val="Hyperlink"/>
            <w:color w:val="auto"/>
          </w:rPr>
          <w:t>/</w:t>
        </w:r>
        <w:r w:rsidRPr="007879D3">
          <w:rPr>
            <w:rStyle w:val="Hyperlink"/>
            <w:color w:val="auto"/>
          </w:rPr>
          <w:t>45</w:t>
        </w:r>
      </w:hyperlink>
      <w:r w:rsidRPr="00C61710">
        <w:t xml:space="preserve">, párr. </w:t>
      </w:r>
      <w:r w:rsidRPr="007879D3">
        <w:t>64</w:t>
      </w:r>
      <w:r w:rsidRPr="00C61710">
        <w:t>.</w:t>
      </w:r>
    </w:p>
  </w:footnote>
  <w:footnote w:id="30">
    <w:p w14:paraId="0D6DA93D" w14:textId="77777777" w:rsidR="00C61710" w:rsidRPr="00BB7577" w:rsidRDefault="00C61710" w:rsidP="00C61710">
      <w:pPr>
        <w:pStyle w:val="FootnoteText"/>
        <w:rPr>
          <w:rFonts w:hint="default"/>
        </w:rPr>
      </w:pPr>
      <w:r w:rsidRPr="00C61710">
        <w:tab/>
      </w:r>
      <w:r w:rsidRPr="007879D3">
        <w:rPr>
          <w:rStyle w:val="FootnoteReference"/>
          <w:lang w:val="en-US"/>
        </w:rPr>
        <w:footnoteRef/>
      </w:r>
      <w:r w:rsidRPr="00C61710">
        <w:tab/>
      </w:r>
      <w:hyperlink r:id="rId8" w:history="1">
        <w:r w:rsidRPr="00C61710">
          <w:rPr>
            <w:rStyle w:val="Hyperlink"/>
            <w:color w:val="auto"/>
          </w:rPr>
          <w:t>A/HRC/WGEID/</w:t>
        </w:r>
        <w:r w:rsidRPr="007879D3">
          <w:rPr>
            <w:rStyle w:val="Hyperlink"/>
            <w:color w:val="auto"/>
          </w:rPr>
          <w:t>98</w:t>
        </w:r>
        <w:r w:rsidRPr="00C61710">
          <w:rPr>
            <w:rStyle w:val="Hyperlink"/>
            <w:color w:val="auto"/>
          </w:rPr>
          <w:t>/</w:t>
        </w:r>
        <w:r w:rsidRPr="007879D3">
          <w:rPr>
            <w:rStyle w:val="Hyperlink"/>
            <w:color w:val="auto"/>
          </w:rPr>
          <w:t>2</w:t>
        </w:r>
      </w:hyperlink>
      <w:r w:rsidRPr="00C61710">
        <w:t xml:space="preserve">, </w:t>
      </w:r>
      <w:proofErr w:type="spellStart"/>
      <w:r w:rsidRPr="00C61710">
        <w:t>párrs</w:t>
      </w:r>
      <w:proofErr w:type="spellEnd"/>
      <w:r w:rsidRPr="00C61710">
        <w:t xml:space="preserve">. </w:t>
      </w:r>
      <w:r w:rsidRPr="007879D3">
        <w:t>5</w:t>
      </w:r>
      <w:r w:rsidRPr="00BB7577">
        <w:t xml:space="preserve"> y </w:t>
      </w:r>
      <w:r w:rsidRPr="007879D3">
        <w:t>8</w:t>
      </w:r>
      <w:r w:rsidRPr="00BB7577">
        <w:t>.</w:t>
      </w:r>
    </w:p>
  </w:footnote>
  <w:footnote w:id="31">
    <w:p w14:paraId="43024F38" w14:textId="77777777" w:rsidR="00C61710" w:rsidRPr="006B77D6" w:rsidRDefault="00C61710" w:rsidP="00C61710">
      <w:pPr>
        <w:pStyle w:val="FootnoteText"/>
        <w:rPr>
          <w:rFonts w:hint="default"/>
          <w:lang w:val="fr-CH"/>
        </w:rPr>
      </w:pPr>
      <w:r>
        <w:rPr>
          <w:lang w:val="es-MX"/>
        </w:rPr>
        <w:tab/>
      </w:r>
      <w:r w:rsidRPr="007879D3">
        <w:rPr>
          <w:rStyle w:val="FootnoteReference"/>
          <w:lang w:val="en-US"/>
        </w:rPr>
        <w:footnoteRef/>
      </w:r>
      <w:r w:rsidRPr="006B77D6">
        <w:rPr>
          <w:lang w:val="fr-CH"/>
        </w:rPr>
        <w:tab/>
      </w:r>
      <w:proofErr w:type="spellStart"/>
      <w:r w:rsidRPr="006B77D6">
        <w:rPr>
          <w:lang w:val="fr-CH"/>
        </w:rPr>
        <w:t>Véase</w:t>
      </w:r>
      <w:proofErr w:type="spellEnd"/>
      <w:r w:rsidRPr="006B77D6">
        <w:rPr>
          <w:lang w:val="fr-CH"/>
        </w:rPr>
        <w:t xml:space="preserve"> </w:t>
      </w:r>
      <w:hyperlink r:id="rId9" w:history="1">
        <w:r w:rsidRPr="006B77D6">
          <w:rPr>
            <w:rStyle w:val="Hyperlink"/>
            <w:lang w:val="fr-CH"/>
          </w:rPr>
          <w:t>https://www.minterior.gub.uy/index.php/ausentes#:~:text=*%</w:t>
        </w:r>
        <w:r w:rsidRPr="007879D3">
          <w:rPr>
            <w:rStyle w:val="Hyperlink"/>
            <w:lang w:val="fr-CH"/>
          </w:rPr>
          <w:t>20</w:t>
        </w:r>
        <w:r w:rsidRPr="006B77D6">
          <w:rPr>
            <w:rStyle w:val="Hyperlink"/>
            <w:lang w:val="fr-CH"/>
          </w:rPr>
          <w:t>En%</w:t>
        </w:r>
        <w:r w:rsidRPr="007879D3">
          <w:rPr>
            <w:rStyle w:val="Hyperlink"/>
            <w:lang w:val="fr-CH"/>
          </w:rPr>
          <w:t>20</w:t>
        </w:r>
        <w:r w:rsidRPr="006B77D6">
          <w:rPr>
            <w:rStyle w:val="Hyperlink"/>
            <w:lang w:val="fr-CH"/>
          </w:rPr>
          <w:t>el%</w:t>
        </w:r>
        <w:r w:rsidRPr="007879D3">
          <w:rPr>
            <w:rStyle w:val="Hyperlink"/>
            <w:lang w:val="fr-CH"/>
          </w:rPr>
          <w:t>20</w:t>
        </w:r>
        <w:r w:rsidRPr="006B77D6">
          <w:rPr>
            <w:rStyle w:val="Hyperlink"/>
            <w:lang w:val="fr-CH"/>
          </w:rPr>
          <w:t>caso%</w:t>
        </w:r>
        <w:r w:rsidRPr="006B77D6">
          <w:rPr>
            <w:rStyle w:val="Hyperlink"/>
            <w:lang w:val="fr-CH"/>
          </w:rPr>
          <w:tab/>
        </w:r>
        <w:r w:rsidRPr="007879D3">
          <w:rPr>
            <w:rStyle w:val="Hyperlink"/>
            <w:lang w:val="fr-CH"/>
          </w:rPr>
          <w:t>20</w:t>
        </w:r>
        <w:r w:rsidRPr="006B77D6">
          <w:rPr>
            <w:rStyle w:val="Hyperlink"/>
            <w:lang w:val="fr-CH"/>
          </w:rPr>
          <w:t>de%</w:t>
        </w:r>
        <w:r w:rsidRPr="007879D3">
          <w:rPr>
            <w:rStyle w:val="Hyperlink"/>
            <w:lang w:val="fr-CH"/>
          </w:rPr>
          <w:t>20</w:t>
        </w:r>
        <w:r w:rsidRPr="006B77D6">
          <w:rPr>
            <w:rStyle w:val="Hyperlink"/>
            <w:lang w:val="fr-CH"/>
          </w:rPr>
          <w:t>tener,deber%C</w:t>
        </w:r>
        <w:r w:rsidRPr="007879D3">
          <w:rPr>
            <w:rStyle w:val="Hyperlink"/>
            <w:lang w:val="fr-CH"/>
          </w:rPr>
          <w:t>3</w:t>
        </w:r>
        <w:r w:rsidRPr="006B77D6">
          <w:rPr>
            <w:rStyle w:val="Hyperlink"/>
            <w:lang w:val="fr-CH"/>
          </w:rPr>
          <w:t>%A</w:t>
        </w:r>
        <w:r w:rsidRPr="007879D3">
          <w:rPr>
            <w:rStyle w:val="Hyperlink"/>
            <w:lang w:val="fr-CH"/>
          </w:rPr>
          <w:t>1</w:t>
        </w:r>
        <w:r w:rsidRPr="006B77D6">
          <w:rPr>
            <w:rStyle w:val="Hyperlink"/>
            <w:lang w:val="fr-CH"/>
          </w:rPr>
          <w:t>%</w:t>
        </w:r>
        <w:r w:rsidRPr="007879D3">
          <w:rPr>
            <w:rStyle w:val="Hyperlink"/>
            <w:lang w:val="fr-CH"/>
          </w:rPr>
          <w:t>20</w:t>
        </w:r>
        <w:r w:rsidRPr="006B77D6">
          <w:rPr>
            <w:rStyle w:val="Hyperlink"/>
            <w:lang w:val="fr-CH"/>
          </w:rPr>
          <w:t>llamar%</w:t>
        </w:r>
        <w:r w:rsidRPr="007879D3">
          <w:rPr>
            <w:rStyle w:val="Hyperlink"/>
            <w:lang w:val="fr-CH"/>
          </w:rPr>
          <w:t>20</w:t>
        </w:r>
        <w:r w:rsidRPr="006B77D6">
          <w:rPr>
            <w:rStyle w:val="Hyperlink"/>
            <w:lang w:val="fr-CH"/>
          </w:rPr>
          <w:t>al%</w:t>
        </w:r>
        <w:r w:rsidRPr="007879D3">
          <w:rPr>
            <w:rStyle w:val="Hyperlink"/>
            <w:lang w:val="fr-CH"/>
          </w:rPr>
          <w:t>200800</w:t>
        </w:r>
        <w:r w:rsidRPr="006B77D6">
          <w:rPr>
            <w:rStyle w:val="Hyperlink"/>
            <w:lang w:val="fr-CH"/>
          </w:rPr>
          <w:t>%</w:t>
        </w:r>
        <w:r w:rsidRPr="007879D3">
          <w:rPr>
            <w:rStyle w:val="Hyperlink"/>
            <w:lang w:val="fr-CH"/>
          </w:rPr>
          <w:t>209942</w:t>
        </w:r>
      </w:hyperlink>
      <w:r w:rsidRPr="006B77D6">
        <w:rPr>
          <w:lang w:val="fr-CH"/>
        </w:rPr>
        <w:t>.</w:t>
      </w:r>
    </w:p>
  </w:footnote>
  <w:footnote w:id="32">
    <w:p w14:paraId="4AA5EAD0" w14:textId="77777777" w:rsidR="00C61710" w:rsidRPr="00155D8B" w:rsidRDefault="00C61710" w:rsidP="00C61710">
      <w:pPr>
        <w:pStyle w:val="FootnoteText"/>
        <w:rPr>
          <w:rFonts w:hint="default"/>
          <w:lang w:val="es-MX"/>
        </w:rPr>
      </w:pPr>
      <w:r w:rsidRPr="006B77D6">
        <w:rPr>
          <w:lang w:val="fr-CH"/>
        </w:rPr>
        <w:tab/>
      </w:r>
      <w:r w:rsidRPr="007879D3">
        <w:rPr>
          <w:rStyle w:val="FootnoteReference"/>
          <w:lang w:val="en-US"/>
        </w:rPr>
        <w:footnoteRef/>
      </w:r>
      <w:r>
        <w:rPr>
          <w:lang w:val="es-MX"/>
        </w:rPr>
        <w:tab/>
      </w:r>
      <w:r w:rsidRPr="007879D3">
        <w:rPr>
          <w:i/>
          <w:iCs/>
          <w:lang w:val="es-MX"/>
        </w:rPr>
        <w:t>Familia Julien Grisonas vs. la</w:t>
      </w:r>
      <w:r>
        <w:rPr>
          <w:lang w:val="es-MX"/>
        </w:rPr>
        <w:t xml:space="preserve"> </w:t>
      </w:r>
      <w:r w:rsidRPr="007879D3">
        <w:rPr>
          <w:i/>
          <w:iCs/>
          <w:lang w:val="es-MX"/>
        </w:rPr>
        <w:t>Argentina</w:t>
      </w:r>
      <w:r w:rsidRPr="00155D8B">
        <w:rPr>
          <w:lang w:val="es-MX"/>
        </w:rPr>
        <w:t>, párr.</w:t>
      </w:r>
      <w:r>
        <w:rPr>
          <w:lang w:val="es-MX"/>
        </w:rPr>
        <w:t xml:space="preserve"> </w:t>
      </w:r>
      <w:r w:rsidRPr="007879D3">
        <w:rPr>
          <w:lang w:val="es-MX"/>
        </w:rPr>
        <w:t>288</w:t>
      </w:r>
      <w:r w:rsidRPr="00155D8B">
        <w:rPr>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5AE39" w14:textId="4B349D91" w:rsidR="00B6187F" w:rsidRPr="00B6187F" w:rsidRDefault="00B6187F" w:rsidP="00B618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2ABF">
      <w:t>A/HRC/54/22/Add.1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7DD3E" w14:textId="1EE3AE02" w:rsidR="00B6187F" w:rsidRPr="00B6187F" w:rsidRDefault="00B6187F" w:rsidP="00B618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2ABF">
      <w:t>A/HRC/54/22/Add.1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AF11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6"/>
  </w:num>
  <w:num w:numId="2" w16cid:durableId="935098275">
    <w:abstractNumId w:val="13"/>
  </w:num>
  <w:num w:numId="3" w16cid:durableId="1639139447">
    <w:abstractNumId w:val="3"/>
  </w:num>
  <w:num w:numId="4" w16cid:durableId="1572694197">
    <w:abstractNumId w:val="12"/>
  </w:num>
  <w:num w:numId="5" w16cid:durableId="1925720790">
    <w:abstractNumId w:val="9"/>
  </w:num>
  <w:num w:numId="6" w16cid:durableId="91560015">
    <w:abstractNumId w:val="6"/>
  </w:num>
  <w:num w:numId="7" w16cid:durableId="2106460064">
    <w:abstractNumId w:val="18"/>
  </w:num>
  <w:num w:numId="8" w16cid:durableId="2097823867">
    <w:abstractNumId w:val="3"/>
  </w:num>
  <w:num w:numId="9" w16cid:durableId="1816800725">
    <w:abstractNumId w:val="12"/>
  </w:num>
  <w:num w:numId="10" w16cid:durableId="2136369355">
    <w:abstractNumId w:val="6"/>
  </w:num>
  <w:num w:numId="11" w16cid:durableId="317735952">
    <w:abstractNumId w:val="18"/>
  </w:num>
  <w:num w:numId="12" w16cid:durableId="1418399343">
    <w:abstractNumId w:val="3"/>
  </w:num>
  <w:num w:numId="13" w16cid:durableId="1358655889">
    <w:abstractNumId w:val="12"/>
  </w:num>
  <w:num w:numId="14" w16cid:durableId="1379091271">
    <w:abstractNumId w:val="9"/>
  </w:num>
  <w:num w:numId="15" w16cid:durableId="210505640">
    <w:abstractNumId w:val="6"/>
  </w:num>
  <w:num w:numId="16" w16cid:durableId="859507329">
    <w:abstractNumId w:val="18"/>
  </w:num>
  <w:num w:numId="17" w16cid:durableId="1850562670">
    <w:abstractNumId w:val="5"/>
  </w:num>
  <w:num w:numId="18" w16cid:durableId="1486434645">
    <w:abstractNumId w:val="4"/>
  </w:num>
  <w:num w:numId="19" w16cid:durableId="1070691319">
    <w:abstractNumId w:val="17"/>
  </w:num>
  <w:num w:numId="20" w16cid:durableId="1460222330">
    <w:abstractNumId w:val="14"/>
  </w:num>
  <w:num w:numId="21" w16cid:durableId="1860073779">
    <w:abstractNumId w:val="2"/>
  </w:num>
  <w:num w:numId="22" w16cid:durableId="1489974171">
    <w:abstractNumId w:val="15"/>
  </w:num>
  <w:num w:numId="23" w16cid:durableId="804469644">
    <w:abstractNumId w:val="1"/>
  </w:num>
  <w:num w:numId="24" w16cid:durableId="2139642830">
    <w:abstractNumId w:val="10"/>
  </w:num>
  <w:num w:numId="25" w16cid:durableId="1982153633">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8"/>
  </w:num>
  <w:num w:numId="31" w16cid:durableId="208432996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7"/>
  </w:num>
  <w:num w:numId="33" w16cid:durableId="1836341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0A"/>
    <w:rsid w:val="000076D5"/>
    <w:rsid w:val="00014B0C"/>
    <w:rsid w:val="00031428"/>
    <w:rsid w:val="00032B0A"/>
    <w:rsid w:val="0004034F"/>
    <w:rsid w:val="00043663"/>
    <w:rsid w:val="000505CF"/>
    <w:rsid w:val="00072019"/>
    <w:rsid w:val="000C566D"/>
    <w:rsid w:val="000D701C"/>
    <w:rsid w:val="000E2A71"/>
    <w:rsid w:val="000E524A"/>
    <w:rsid w:val="000E60EE"/>
    <w:rsid w:val="000F1714"/>
    <w:rsid w:val="000F4797"/>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B77D6"/>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879D3"/>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6187F"/>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61710"/>
    <w:rsid w:val="00C70B0C"/>
    <w:rsid w:val="00C7601E"/>
    <w:rsid w:val="00C81B50"/>
    <w:rsid w:val="00C92BF2"/>
    <w:rsid w:val="00C944BE"/>
    <w:rsid w:val="00CA655B"/>
    <w:rsid w:val="00CB14BE"/>
    <w:rsid w:val="00CB3C3C"/>
    <w:rsid w:val="00CC497B"/>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2ABF"/>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362C294"/>
  <w15:docId w15:val="{1DD16674-C88D-436A-8D67-EA1F2A9D2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4_G,BVI fnr Car1 Car Car Car Car Car Car Car Car Car Car,ftref Car Car Car Car Car Car Car Car Car Car Car Car Car Car Car Car,BVI fnr Char Car Car Car Car Car Car Car Car Car Car Car Car Car1 Car Car Car Car Car Car,f"/>
    <w:basedOn w:val="DefaultParagraphFont"/>
    <w:link w:val="BVIfnrCar1CarCarCarCarCarCarCarCarCar"/>
    <w:uiPriority w:val="99"/>
    <w:qFormat/>
    <w:rsid w:val="00C61710"/>
    <w:rPr>
      <w:rFonts w:ascii="Times New Roman" w:hAnsi="Times New Roman"/>
      <w:sz w:val="18"/>
      <w:vertAlign w:val="superscript"/>
    </w:rPr>
  </w:style>
  <w:style w:type="paragraph" w:customStyle="1" w:styleId="HChG">
    <w:name w:val="_ H _Ch_G"/>
    <w:basedOn w:val="Normal"/>
    <w:next w:val="Normal"/>
    <w:qFormat/>
    <w:rsid w:val="00C61710"/>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val="es-ES" w:eastAsia="es-ES"/>
    </w:rPr>
  </w:style>
  <w:style w:type="paragraph" w:customStyle="1" w:styleId="H1G">
    <w:name w:val="_ H_1_G"/>
    <w:basedOn w:val="Normal"/>
    <w:next w:val="Normal"/>
    <w:qFormat/>
    <w:rsid w:val="00C61710"/>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es-ES" w:eastAsia="es-ES"/>
    </w:rPr>
  </w:style>
  <w:style w:type="paragraph" w:customStyle="1" w:styleId="SingleTxtG">
    <w:name w:val="_ Single Txt_G"/>
    <w:basedOn w:val="Normal"/>
    <w:link w:val="SingleTxtGChar"/>
    <w:qFormat/>
    <w:rsid w:val="00C61710"/>
    <w:pPr>
      <w:tabs>
        <w:tab w:val="left" w:pos="1701"/>
        <w:tab w:val="left" w:pos="2268"/>
        <w:tab w:val="left" w:pos="2835"/>
      </w:tabs>
      <w:bidi w:val="0"/>
      <w:spacing w:after="120"/>
      <w:ind w:left="1134" w:right="1134"/>
      <w:jc w:val="both"/>
    </w:pPr>
    <w:rPr>
      <w:rFonts w:eastAsia="Times New Roman"/>
      <w:szCs w:val="30"/>
      <w:lang w:val="es-ES" w:eastAsia="es-ES"/>
    </w:rPr>
  </w:style>
  <w:style w:type="paragraph" w:styleId="FootnoteText">
    <w:name w:val="footnote text"/>
    <w:aliases w:val="5_G,Voetnoottekst1,Char1,FA Fu1,Footnote Text Char Char Char1,Footnote Text Char Char Char Char1,Footnote Text Char Char1,Footnote Text Char Char Char Char Char1,5_GR,Car,Footnote Text Char Char Char Char Char,FA Fu,Ca"/>
    <w:basedOn w:val="Normal"/>
    <w:link w:val="FootnoteTextChar"/>
    <w:uiPriority w:val="99"/>
    <w:qFormat/>
    <w:rsid w:val="00C61710"/>
    <w:pPr>
      <w:tabs>
        <w:tab w:val="right" w:pos="1021"/>
      </w:tabs>
      <w:bidi w:val="0"/>
      <w:spacing w:line="220" w:lineRule="exact"/>
      <w:ind w:left="1134" w:right="1134" w:hanging="1134"/>
      <w:jc w:val="left"/>
    </w:pPr>
    <w:rPr>
      <w:rFonts w:eastAsia="Times New Roman" w:hint="cs"/>
      <w:sz w:val="18"/>
      <w:szCs w:val="30"/>
      <w:lang w:val="es-ES" w:eastAsia="es-ES"/>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5_GR Char,Car Char,FA Fu Char"/>
    <w:basedOn w:val="DefaultParagraphFont"/>
    <w:link w:val="FootnoteText"/>
    <w:uiPriority w:val="99"/>
    <w:rsid w:val="00C61710"/>
    <w:rPr>
      <w:rFonts w:ascii="Times New Roman" w:eastAsia="Times New Roman" w:hAnsi="Times New Roman" w:cs="Simplified Arabic"/>
      <w:sz w:val="18"/>
      <w:szCs w:val="30"/>
      <w:lang w:val="es-ES" w:eastAsia="es-ES"/>
    </w:rPr>
  </w:style>
  <w:style w:type="paragraph" w:styleId="ListNumber2">
    <w:name w:val="List Number 2"/>
    <w:basedOn w:val="Normal"/>
    <w:semiHidden/>
    <w:rsid w:val="00C61710"/>
    <w:pPr>
      <w:numPr>
        <w:numId w:val="33"/>
      </w:numPr>
      <w:bidi w:val="0"/>
      <w:jc w:val="left"/>
    </w:pPr>
    <w:rPr>
      <w:rFonts w:eastAsia="Times New Roman" w:hint="cs"/>
      <w:szCs w:val="30"/>
      <w:lang w:val="es-ES" w:eastAsia="es-ES"/>
    </w:rPr>
  </w:style>
  <w:style w:type="character" w:customStyle="1" w:styleId="SingleTxtGChar">
    <w:name w:val="_ Single Txt_G Char"/>
    <w:link w:val="SingleTxtG"/>
    <w:rsid w:val="00C61710"/>
    <w:rPr>
      <w:rFonts w:ascii="Times New Roman" w:eastAsia="Times New Roman" w:hAnsi="Times New Roman" w:cs="Simplified Arabic"/>
      <w:szCs w:val="30"/>
      <w:lang w:val="es-ES" w:eastAsia="es-E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FootnoteReference"/>
    <w:uiPriority w:val="99"/>
    <w:rsid w:val="00C61710"/>
    <w:pPr>
      <w:bidi w:val="0"/>
      <w:spacing w:before="200" w:after="160" w:line="240" w:lineRule="exact"/>
      <w:jc w:val="left"/>
    </w:pPr>
    <w:rPr>
      <w:rFonts w:cs="Arial"/>
      <w:sz w:val="18"/>
      <w:szCs w:val="20"/>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ndex.php?title=Servicio_de_Material_y_Armamento_del_Ej%C3%A9rcito&amp;action=edit&amp;redlink=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hchr.org/sites/default/files/documents/issues/wgeid/2022-07-14/Observaciones-preliminares-GDTFI-Uruguay.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s.wikipedia.org/w/index.php?title=Servicio_de_Material_y_Armamento_del_Ej%C3%A9rcito&amp;action=edit&amp;redlink=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A%2FHRC%2FWGEID%2F98%2F2&amp;Language=E&amp;DeviceType=Desktop&amp;LangRequested=False" TargetMode="External"/><Relationship Id="rId3" Type="http://schemas.openxmlformats.org/officeDocument/2006/relationships/hyperlink" Target="https://spcommreports.ohchr.org/TMResultsBase/DownLoadPublicCommunicationFile?gId=26816" TargetMode="External"/><Relationship Id="rId7" Type="http://schemas.openxmlformats.org/officeDocument/2006/relationships/hyperlink" Target="https://undocs.org/Home/Mobile?FinalSymbol=A%2FHRC%2F22%2F45&amp;Language=E&amp;DeviceType=Desktop&amp;LangRequested=False" TargetMode="External"/><Relationship Id="rId2" Type="http://schemas.openxmlformats.org/officeDocument/2006/relationships/hyperlink" Target="https://sitiosdememoria.uy/origen/archivo-berruti" TargetMode="External"/><Relationship Id="rId1" Type="http://schemas.openxmlformats.org/officeDocument/2006/relationships/hyperlink" Target="https://www.gub.uy/institucion-nacional-derechos-humanos-uruguay/comunicacion/noticias/primer-informe-sobre-busqueda-detenidos-desaparecidos" TargetMode="External"/><Relationship Id="rId6" Type="http://schemas.openxmlformats.org/officeDocument/2006/relationships/hyperlink" Target="https://undocs.org/Home/Mobile?FinalSymbol=E%2FCN.4%2F2005%2F102%2FAdd.1&amp;Language=E&amp;DeviceType=Desktop&amp;LangRequested=False" TargetMode="External"/><Relationship Id="rId5" Type="http://schemas.openxmlformats.org/officeDocument/2006/relationships/hyperlink" Target="https://www.gub.uy/institucion-nacional-derechos-humanos-uruguay/sites/institucion-nacional-derechos-humanos-uruguay/files/documentos/noticias/Resoluci%C3%B3n-751-2019-023-19%20%281%29.pdf" TargetMode="External"/><Relationship Id="rId4" Type="http://schemas.openxmlformats.org/officeDocument/2006/relationships/hyperlink" Target="https://spcommreports.ohchr.org/tmsearch/TMDocuments" TargetMode="External"/><Relationship Id="rId9" Type="http://schemas.openxmlformats.org/officeDocument/2006/relationships/hyperlink" Target="https://www.minterior.gub.uy/index.php/ausentes%23:~:text=*%20En%20el%20caso%25%0920de%20tener,deber%C3%A1%20llamar%20al%200800%2099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10736</Words>
  <Characters>57761</Characters>
  <Application>Microsoft Office Word</Application>
  <DocSecurity>0</DocSecurity>
  <Lines>875</Lines>
  <Paragraphs>172</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A/HRC/54/22/Add.1</vt:lpstr>
      <vt:lpstr>    زيارة أوروغواي</vt:lpstr>
      <vt:lpstr>        تقرير الفريق العامل المعني بحالات الاختفاء القسري أو غير الطوعي*</vt:lpstr>
      <vt:lpstr>    Anexo</vt:lpstr>
      <vt:lpstr>    Informe del Grupo de Trabajo sobre las Desapariciones Forzadas o Involuntarias</vt:lpstr>
      <vt:lpstr>    I.	Introducción </vt:lpstr>
      <vt:lpstr>    II.	Derecho a la verdad</vt:lpstr>
      <vt:lpstr>    III.	Derecho a la justicia</vt:lpstr>
      <vt:lpstr>    IV.	Derecho a las reparaciones </vt:lpstr>
      <vt:lpstr>    V.	Derecho a la memoria</vt:lpstr>
      <vt:lpstr>    VI.	Cooperación internacional </vt:lpstr>
      <vt:lpstr>    VII.	Prevención y desapariciones en la actualidad</vt:lpstr>
      <vt:lpstr>    VIII.	Observaciones finales</vt:lpstr>
      <vt:lpstr>    IX.	Recomendaciones</vt:lpstr>
    </vt:vector>
  </TitlesOfParts>
  <Company>DCM</Company>
  <LinksUpToDate>false</LinksUpToDate>
  <CharactersWithSpaces>68325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A/HRC/54/22/Add.1</dc:title>
  <dc:subject>GE.2312027(A)</dc:subject>
  <dc:creator>IBAL34 - </dc:creator>
  <cp:keywords>GE.(A)</cp:keywords>
  <dc:description>_x000d_
_x000d_
Arabic_x000d_
</dc:description>
  <cp:lastModifiedBy>Jamila Chedad</cp:lastModifiedBy>
  <cp:revision>3</cp:revision>
  <cp:lastPrinted>2023-07-12T11:55:00Z</cp:lastPrinted>
  <dcterms:created xsi:type="dcterms:W3CDTF">2023-07-12T11:55:00Z</dcterms:created>
  <dcterms:modified xsi:type="dcterms:W3CDTF">2023-07-12T11:55:00Z</dcterms:modified>
  <cp:category>Final</cp:category>
</cp:coreProperties>
</file>