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EC74C7">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6A0A51" w:rsidP="00450545">
            <w:pPr>
              <w:jc w:val="right"/>
            </w:pPr>
            <w:r w:rsidRPr="006A0A51">
              <w:rPr>
                <w:sz w:val="40"/>
              </w:rPr>
              <w:t>CCPR</w:t>
            </w:r>
            <w:r>
              <w:t>/C/BEN/Q/2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F56858" w:rsidP="00464EEE">
            <w:pPr>
              <w:spacing w:before="120"/>
              <w:jc w:val="center"/>
            </w:pPr>
            <w:r>
              <w:rPr>
                <w:noProof/>
                <w:lang w:val="en-US"/>
              </w:rPr>
              <w:drawing>
                <wp:inline distT="0" distB="0" distL="0" distR="0">
                  <wp:extent cx="712470" cy="593725"/>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6A0A51" w:rsidP="00464EEE">
            <w:pPr>
              <w:spacing w:before="240"/>
            </w:pPr>
            <w:r>
              <w:t>Distr.</w:t>
            </w:r>
            <w:r w:rsidR="007E5C1B">
              <w:t xml:space="preserve"> générale</w:t>
            </w:r>
          </w:p>
          <w:p w:rsidR="006A0A51" w:rsidRDefault="00623C9C" w:rsidP="00D81394">
            <w:pPr>
              <w:spacing w:line="240" w:lineRule="exact"/>
            </w:pPr>
            <w:r w:rsidRPr="006B4506">
              <w:t>2</w:t>
            </w:r>
            <w:r w:rsidR="009F5BB4">
              <w:t>8</w:t>
            </w:r>
            <w:r w:rsidR="007E5C1B" w:rsidRPr="006B4506">
              <w:t xml:space="preserve"> avril</w:t>
            </w:r>
            <w:r w:rsidR="006A0A51">
              <w:t xml:space="preserve"> 2015</w:t>
            </w:r>
          </w:p>
          <w:p w:rsidR="006A0A51" w:rsidRDefault="006A0A51" w:rsidP="006A0A51">
            <w:pPr>
              <w:spacing w:line="240" w:lineRule="exact"/>
            </w:pPr>
          </w:p>
          <w:p w:rsidR="006A0A51" w:rsidRDefault="006A0A51" w:rsidP="006A0A51">
            <w:pPr>
              <w:spacing w:line="240" w:lineRule="exact"/>
            </w:pPr>
            <w:r>
              <w:t xml:space="preserve">Original: français </w:t>
            </w:r>
          </w:p>
          <w:p w:rsidR="00810AFC" w:rsidRPr="00DB58B5" w:rsidRDefault="00810AFC" w:rsidP="006A0A51">
            <w:pPr>
              <w:spacing w:line="240" w:lineRule="exact"/>
            </w:pPr>
            <w:r>
              <w:t>Anglais, espagnol et français seulement</w:t>
            </w:r>
          </w:p>
        </w:tc>
      </w:tr>
    </w:tbl>
    <w:p w:rsidR="00EC74C7" w:rsidRDefault="00EC74C7" w:rsidP="00EC74C7">
      <w:pPr>
        <w:autoSpaceDE w:val="0"/>
        <w:autoSpaceDN w:val="0"/>
        <w:adjustRightInd w:val="0"/>
        <w:spacing w:before="120"/>
        <w:rPr>
          <w:b/>
          <w:sz w:val="24"/>
          <w:szCs w:val="24"/>
        </w:rPr>
      </w:pPr>
      <w:r w:rsidRPr="00372C64">
        <w:rPr>
          <w:b/>
          <w:bCs/>
          <w:sz w:val="24"/>
          <w:szCs w:val="24"/>
        </w:rPr>
        <w:t>Comité des droits de l’homme</w:t>
      </w:r>
    </w:p>
    <w:p w:rsidR="00EC74C7" w:rsidRPr="0083009C" w:rsidRDefault="00EC74C7" w:rsidP="00B11322">
      <w:pPr>
        <w:pStyle w:val="HChG"/>
      </w:pPr>
      <w:r w:rsidRPr="0083009C">
        <w:tab/>
      </w:r>
      <w:r w:rsidRPr="0083009C">
        <w:tab/>
        <w:t xml:space="preserve">Liste de points concernant le </w:t>
      </w:r>
      <w:r w:rsidR="005C02AB">
        <w:t>deu</w:t>
      </w:r>
      <w:r w:rsidR="005C02AB" w:rsidRPr="002D55C3">
        <w:t>xième</w:t>
      </w:r>
      <w:r>
        <w:t xml:space="preserve"> rapport périodique</w:t>
      </w:r>
      <w:r w:rsidR="00AA4910">
        <w:t xml:space="preserve"> </w:t>
      </w:r>
      <w:r>
        <w:t>d</w:t>
      </w:r>
      <w:r w:rsidR="00AA4910">
        <w:t>u</w:t>
      </w:r>
      <w:r>
        <w:t xml:space="preserve"> </w:t>
      </w:r>
      <w:r w:rsidR="005C02AB">
        <w:t>B</w:t>
      </w:r>
      <w:r w:rsidR="00B11322">
        <w:t>é</w:t>
      </w:r>
      <w:r w:rsidR="005C02AB">
        <w:t>nin</w:t>
      </w:r>
      <w:r w:rsidR="00450545" w:rsidRPr="006B4506">
        <w:rPr>
          <w:rStyle w:val="Appelnotedebasdep"/>
          <w:b w:val="0"/>
          <w:bCs/>
          <w:sz w:val="20"/>
          <w:vertAlign w:val="baseline"/>
        </w:rPr>
        <w:footnoteReference w:customMarkFollows="1" w:id="2"/>
        <w:t>*</w:t>
      </w:r>
    </w:p>
    <w:p w:rsidR="00EC74C7" w:rsidRDefault="00EC74C7" w:rsidP="00EC74C7">
      <w:pPr>
        <w:pStyle w:val="H23G"/>
      </w:pPr>
      <w:r>
        <w:tab/>
      </w:r>
      <w:r>
        <w:tab/>
      </w:r>
      <w:r w:rsidRPr="00A67E0A">
        <w:t>Cadre constitutionnel et juridique de l</w:t>
      </w:r>
      <w:r>
        <w:t>’application du Pacte (art. 2)</w:t>
      </w:r>
    </w:p>
    <w:p w:rsidR="0063349A" w:rsidRPr="0063349A" w:rsidRDefault="0063349A" w:rsidP="009D2EE4">
      <w:pPr>
        <w:pStyle w:val="SingleTxtG"/>
      </w:pPr>
      <w:r w:rsidRPr="0063349A">
        <w:t>1.</w:t>
      </w:r>
      <w:r w:rsidRPr="0063349A">
        <w:tab/>
        <w:t>Compte tenu des précédentes observations finales du Comité, donner des renseignements sur l’a</w:t>
      </w:r>
      <w:bookmarkStart w:id="0" w:name="_GoBack"/>
      <w:bookmarkEnd w:id="0"/>
      <w:r w:rsidRPr="0063349A">
        <w:t>pplicabilité du Pacte dans son ensemble</w:t>
      </w:r>
      <w:r w:rsidR="00D81394">
        <w:t xml:space="preserve"> (voir CCPR/CO/82/BEN, par. 27)</w:t>
      </w:r>
      <w:r w:rsidRPr="0063349A">
        <w:t xml:space="preserve">. Par ailleurs, étant donné que le Pacte a un statut supérieur aux lois internes dans l’État partie, fournir des exemples concrets de procédures judiciaires dans lesquelles les dispositions du Pacte ont été invoquées directement par l’une des parties, et des cas dans lesquels les tribunaux nationaux ont appliqué le Pacte directement ou s’y sont référés. Indiquer par ailleurs les mesures prises par l’État partie pour </w:t>
      </w:r>
      <w:r w:rsidR="00903E9E">
        <w:t>diffus</w:t>
      </w:r>
      <w:r w:rsidR="00723B6B">
        <w:t>er</w:t>
      </w:r>
      <w:r w:rsidR="00903E9E">
        <w:t xml:space="preserve"> </w:t>
      </w:r>
      <w:r w:rsidRPr="0063349A">
        <w:t>le Pacte auprès des juges et autres agents d’application de la loi.</w:t>
      </w:r>
    </w:p>
    <w:p w:rsidR="0063349A" w:rsidRPr="0063349A" w:rsidRDefault="0063349A" w:rsidP="00AA0C4B">
      <w:pPr>
        <w:pStyle w:val="SingleTxtG"/>
      </w:pPr>
      <w:r w:rsidRPr="0063349A">
        <w:t>2.</w:t>
      </w:r>
      <w:r w:rsidRPr="0063349A">
        <w:tab/>
        <w:t xml:space="preserve">Donner des informations complémentaires sur l’adoption du décret d’application de la loi n° 2012-36 du 15 février 2013 portant création de la nouvelle Commission béninoise des droits de l’homme, y compris la désignation des membres de cette Commission. Indiquer les mesures envisagées pour que la Commission soit entièrement conforme aux </w:t>
      </w:r>
      <w:r w:rsidR="00B11322">
        <w:t>P</w:t>
      </w:r>
      <w:r w:rsidRPr="0063349A">
        <w:t xml:space="preserve">rincipes concernant le statut des institutions nationales </w:t>
      </w:r>
      <w:r w:rsidR="00B11322">
        <w:t xml:space="preserve">pour la promotion et la protection des droits de l’homme </w:t>
      </w:r>
      <w:r w:rsidRPr="0063349A">
        <w:t>(Principes de Paris)</w:t>
      </w:r>
      <w:r w:rsidR="00AA4910" w:rsidRPr="00B11322">
        <w:t>.</w:t>
      </w:r>
    </w:p>
    <w:p w:rsidR="0063349A" w:rsidRPr="0063349A" w:rsidRDefault="0063349A" w:rsidP="00AA0C4B">
      <w:pPr>
        <w:pStyle w:val="SingleTxtG"/>
      </w:pPr>
      <w:r w:rsidRPr="0063349A">
        <w:t>3.</w:t>
      </w:r>
      <w:r w:rsidRPr="0063349A">
        <w:tab/>
      </w:r>
      <w:r w:rsidRPr="003D2676">
        <w:t>Suite à la recommandation</w:t>
      </w:r>
      <w:r w:rsidRPr="0063349A">
        <w:t xml:space="preserve"> du Comité, préciser si l’État partie a mis sur pied des programmes de sensibilisation de la population en matière de droits de l’homme</w:t>
      </w:r>
      <w:r w:rsidR="003D2676">
        <w:t xml:space="preserve"> (voir CCPR/CO/82/BEN, par. 25)</w:t>
      </w:r>
      <w:r w:rsidRPr="0063349A">
        <w:t>. Préciser également si les droits de l’homme sont intégrés dans les cursus scolaire et universitaire.</w:t>
      </w:r>
    </w:p>
    <w:p w:rsidR="0063349A" w:rsidRPr="00624EF1" w:rsidRDefault="0063349A" w:rsidP="00B11322">
      <w:pPr>
        <w:pStyle w:val="H23G"/>
        <w:rPr>
          <w:sz w:val="22"/>
          <w:szCs w:val="22"/>
        </w:rPr>
      </w:pPr>
      <w:r w:rsidRPr="00624EF1">
        <w:rPr>
          <w:sz w:val="22"/>
          <w:szCs w:val="22"/>
        </w:rPr>
        <w:tab/>
      </w:r>
      <w:r w:rsidRPr="00624EF1">
        <w:rPr>
          <w:sz w:val="22"/>
          <w:szCs w:val="22"/>
        </w:rPr>
        <w:tab/>
        <w:t>Non-discrimination, égalité entre hommes et femmes (art. 2, 3</w:t>
      </w:r>
      <w:r>
        <w:rPr>
          <w:sz w:val="22"/>
          <w:szCs w:val="22"/>
        </w:rPr>
        <w:t>, 23 et</w:t>
      </w:r>
      <w:r w:rsidRPr="00624EF1">
        <w:rPr>
          <w:sz w:val="22"/>
          <w:szCs w:val="22"/>
        </w:rPr>
        <w:t xml:space="preserve"> 2</w:t>
      </w:r>
      <w:r>
        <w:rPr>
          <w:sz w:val="22"/>
          <w:szCs w:val="22"/>
        </w:rPr>
        <w:t>6</w:t>
      </w:r>
      <w:r w:rsidRPr="00624EF1">
        <w:rPr>
          <w:sz w:val="22"/>
          <w:szCs w:val="22"/>
        </w:rPr>
        <w:t xml:space="preserve">) </w:t>
      </w:r>
    </w:p>
    <w:p w:rsidR="0063349A" w:rsidRPr="0041493E" w:rsidRDefault="0063349A" w:rsidP="00AA0C4B">
      <w:pPr>
        <w:pStyle w:val="SingleTxtG"/>
        <w:rPr>
          <w:lang w:val="fr-FR"/>
        </w:rPr>
      </w:pPr>
      <w:r>
        <w:rPr>
          <w:lang w:val="fr-FR"/>
        </w:rPr>
        <w:t>4.</w:t>
      </w:r>
      <w:r>
        <w:rPr>
          <w:lang w:val="fr-FR"/>
        </w:rPr>
        <w:tab/>
      </w:r>
      <w:r w:rsidRPr="0041493E">
        <w:rPr>
          <w:lang w:val="fr-FR"/>
        </w:rPr>
        <w:t>En référence aux paragraphes 68 à 72 du rapport de l’</w:t>
      </w:r>
      <w:r>
        <w:rPr>
          <w:lang w:val="fr-FR"/>
        </w:rPr>
        <w:t>É</w:t>
      </w:r>
      <w:r w:rsidRPr="0041493E">
        <w:rPr>
          <w:lang w:val="fr-FR"/>
        </w:rPr>
        <w:t>tat partie selon le</w:t>
      </w:r>
      <w:r w:rsidR="00B11322">
        <w:rPr>
          <w:lang w:val="fr-FR"/>
        </w:rPr>
        <w:t>s</w:t>
      </w:r>
      <w:r w:rsidRPr="0041493E">
        <w:rPr>
          <w:lang w:val="fr-FR"/>
        </w:rPr>
        <w:t>quel</w:t>
      </w:r>
      <w:r w:rsidR="00B11322">
        <w:rPr>
          <w:lang w:val="fr-FR"/>
        </w:rPr>
        <w:t>s</w:t>
      </w:r>
      <w:r w:rsidRPr="0041493E">
        <w:rPr>
          <w:lang w:val="fr-FR"/>
        </w:rPr>
        <w:t xml:space="preserve"> un Observatoire de la famille, de la femme et de l’enfant a été créé, fournir des informations détaillées et actualisées sur les mesures prises en vue d’éliminer les discriminations </w:t>
      </w:r>
      <w:r w:rsidR="00B11322">
        <w:rPr>
          <w:lang w:val="fr-FR"/>
        </w:rPr>
        <w:t>à l’égard d</w:t>
      </w:r>
      <w:r w:rsidRPr="0041493E">
        <w:rPr>
          <w:lang w:val="fr-FR"/>
        </w:rPr>
        <w:t xml:space="preserve">es femmes et en éradiquer les </w:t>
      </w:r>
      <w:r>
        <w:rPr>
          <w:lang w:val="fr-FR"/>
        </w:rPr>
        <w:t>causes</w:t>
      </w:r>
      <w:r w:rsidRPr="0041493E">
        <w:rPr>
          <w:lang w:val="fr-FR"/>
        </w:rPr>
        <w:t xml:space="preserve">, et pour sensibiliser la population au sujet de l’égalité des droits des hommes et des femmes. </w:t>
      </w:r>
      <w:r>
        <w:rPr>
          <w:lang w:val="fr-FR"/>
        </w:rPr>
        <w:t>Décrire</w:t>
      </w:r>
      <w:r w:rsidRPr="0041493E">
        <w:rPr>
          <w:lang w:val="fr-FR"/>
        </w:rPr>
        <w:t xml:space="preserve"> également les mesures prises pour protéger les femmes </w:t>
      </w:r>
      <w:r>
        <w:rPr>
          <w:lang w:val="fr-FR"/>
        </w:rPr>
        <w:t>qui étaient déjà engagées</w:t>
      </w:r>
      <w:r w:rsidRPr="0041493E">
        <w:rPr>
          <w:lang w:val="fr-FR"/>
        </w:rPr>
        <w:t xml:space="preserve"> dans des unions polygamiques</w:t>
      </w:r>
      <w:r>
        <w:rPr>
          <w:lang w:val="fr-FR"/>
        </w:rPr>
        <w:t>,</w:t>
      </w:r>
      <w:r w:rsidRPr="0041493E">
        <w:rPr>
          <w:lang w:val="fr-FR"/>
        </w:rPr>
        <w:t xml:space="preserve"> et les mesures </w:t>
      </w:r>
      <w:r>
        <w:rPr>
          <w:lang w:val="fr-FR"/>
        </w:rPr>
        <w:t>additionnelles prises</w:t>
      </w:r>
      <w:r w:rsidRPr="0041493E">
        <w:rPr>
          <w:lang w:val="fr-FR"/>
        </w:rPr>
        <w:t xml:space="preserve"> afin d’abolir la polygamie</w:t>
      </w:r>
      <w:r>
        <w:rPr>
          <w:lang w:val="fr-FR"/>
        </w:rPr>
        <w:t xml:space="preserve"> dans la pratique</w:t>
      </w:r>
      <w:r w:rsidRPr="0041493E">
        <w:rPr>
          <w:lang w:val="fr-FR"/>
        </w:rPr>
        <w:t>.</w:t>
      </w:r>
    </w:p>
    <w:p w:rsidR="00F74EAF" w:rsidRPr="00F74EAF" w:rsidRDefault="0063349A" w:rsidP="00B11322">
      <w:pPr>
        <w:pStyle w:val="SingleTxtG"/>
        <w:rPr>
          <w:lang w:val="fr-FR"/>
        </w:rPr>
      </w:pPr>
      <w:r>
        <w:rPr>
          <w:lang w:val="fr-FR"/>
        </w:rPr>
        <w:t>5.</w:t>
      </w:r>
      <w:r>
        <w:rPr>
          <w:lang w:val="fr-FR"/>
        </w:rPr>
        <w:tab/>
        <w:t>D</w:t>
      </w:r>
      <w:r w:rsidRPr="0041493E">
        <w:rPr>
          <w:lang w:val="fr-FR"/>
        </w:rPr>
        <w:t xml:space="preserve">écrire les mesures concrètes adoptées pour promouvoir l’application effective de la législation et des politiques tendant à l’égalité des sexes, et </w:t>
      </w:r>
      <w:r>
        <w:rPr>
          <w:lang w:val="fr-FR"/>
        </w:rPr>
        <w:t>notamment</w:t>
      </w:r>
      <w:r w:rsidRPr="0041493E">
        <w:rPr>
          <w:lang w:val="fr-FR"/>
        </w:rPr>
        <w:t xml:space="preserve"> garantir la </w:t>
      </w:r>
      <w:r w:rsidRPr="0041493E">
        <w:rPr>
          <w:lang w:val="fr-FR"/>
        </w:rPr>
        <w:lastRenderedPageBreak/>
        <w:t>participation des femmes aux divers aspects de la vie publique</w:t>
      </w:r>
      <w:r>
        <w:rPr>
          <w:lang w:val="fr-FR"/>
        </w:rPr>
        <w:t xml:space="preserve"> et promouvoir l’accès des femmes à la propriété</w:t>
      </w:r>
      <w:r w:rsidRPr="0041493E">
        <w:rPr>
          <w:lang w:val="fr-FR"/>
        </w:rPr>
        <w:t xml:space="preserve">. </w:t>
      </w:r>
      <w:r>
        <w:rPr>
          <w:lang w:val="fr-FR"/>
        </w:rPr>
        <w:t>Indiquer si l</w:t>
      </w:r>
      <w:r w:rsidRPr="0041493E">
        <w:rPr>
          <w:lang w:val="fr-FR"/>
        </w:rPr>
        <w:t xml:space="preserve">’État partie a évalué </w:t>
      </w:r>
      <w:r>
        <w:rPr>
          <w:lang w:val="fr-FR"/>
        </w:rPr>
        <w:t>l’impact de la mise sur pied</w:t>
      </w:r>
      <w:r w:rsidRPr="0041493E">
        <w:rPr>
          <w:lang w:val="fr-FR"/>
        </w:rPr>
        <w:t xml:space="preserve"> de l’Institut national pour la promotion de la femme </w:t>
      </w:r>
      <w:r w:rsidRPr="005313BC">
        <w:rPr>
          <w:lang w:val="fr-FR"/>
        </w:rPr>
        <w:t>en décembre 2009</w:t>
      </w:r>
      <w:r w:rsidRPr="00B759EE">
        <w:rPr>
          <w:lang w:val="fr-FR"/>
        </w:rPr>
        <w:t>.</w:t>
      </w:r>
    </w:p>
    <w:p w:rsidR="0063349A" w:rsidRPr="00624EF1" w:rsidRDefault="0063349A" w:rsidP="00B11322">
      <w:pPr>
        <w:pStyle w:val="SingleTxtG"/>
        <w:spacing w:before="240"/>
        <w:rPr>
          <w:sz w:val="22"/>
          <w:szCs w:val="22"/>
        </w:rPr>
      </w:pPr>
      <w:r w:rsidRPr="00624EF1">
        <w:rPr>
          <w:b/>
          <w:sz w:val="22"/>
          <w:szCs w:val="22"/>
        </w:rPr>
        <w:t xml:space="preserve">Violence à l’égard des femmes, </w:t>
      </w:r>
      <w:r w:rsidRPr="00CD6BD6">
        <w:rPr>
          <w:b/>
          <w:sz w:val="22"/>
          <w:szCs w:val="22"/>
        </w:rPr>
        <w:t>y compris la violence dans la famille</w:t>
      </w:r>
      <w:r w:rsidRPr="00624EF1">
        <w:rPr>
          <w:b/>
          <w:sz w:val="22"/>
          <w:szCs w:val="22"/>
        </w:rPr>
        <w:t xml:space="preserve"> (art. 2, 3, 7, 23 et 26)</w:t>
      </w:r>
      <w:r w:rsidRPr="00624EF1">
        <w:rPr>
          <w:sz w:val="22"/>
          <w:szCs w:val="22"/>
        </w:rPr>
        <w:t xml:space="preserve"> </w:t>
      </w:r>
    </w:p>
    <w:p w:rsidR="0063349A" w:rsidRPr="0041493E" w:rsidRDefault="0063349A" w:rsidP="00AA0C4B">
      <w:pPr>
        <w:pStyle w:val="SingleTxtG"/>
        <w:rPr>
          <w:lang w:val="fr-FR"/>
        </w:rPr>
      </w:pPr>
      <w:r>
        <w:rPr>
          <w:lang w:val="fr-FR"/>
        </w:rPr>
        <w:t>6.</w:t>
      </w:r>
      <w:r>
        <w:rPr>
          <w:lang w:val="fr-FR"/>
        </w:rPr>
        <w:tab/>
      </w:r>
      <w:r w:rsidRPr="0041493E">
        <w:rPr>
          <w:lang w:val="fr-FR"/>
        </w:rPr>
        <w:t>Suite à l’adoption de la loi n</w:t>
      </w:r>
      <w:r w:rsidR="00AA0C4B" w:rsidRPr="006B4506">
        <w:rPr>
          <w:vertAlign w:val="superscript"/>
          <w:lang w:val="fr-FR"/>
        </w:rPr>
        <w:t>o</w:t>
      </w:r>
      <w:r>
        <w:rPr>
          <w:lang w:val="fr-FR"/>
        </w:rPr>
        <w:t xml:space="preserve"> </w:t>
      </w:r>
      <w:r w:rsidRPr="0041493E">
        <w:rPr>
          <w:lang w:val="fr-FR"/>
        </w:rPr>
        <w:t>2011-26 du 9 janvier</w:t>
      </w:r>
      <w:r w:rsidRPr="0041493E">
        <w:rPr>
          <w:lang w:eastAsia="en-GB"/>
        </w:rPr>
        <w:t xml:space="preserve"> 2012 sur la prévention et l’interdiction de la violence à l’égard des femmes qui couvre la violence conjugale et le viol conjugal, le harcèlement sexuel, la prostitution forcée, le mariage forcé, les crimes d’honneur, et d’autres pratiques néfastes, </w:t>
      </w:r>
      <w:r w:rsidRPr="0041493E">
        <w:rPr>
          <w:lang w:val="fr-FR"/>
        </w:rPr>
        <w:t xml:space="preserve">fournir des renseignements sur </w:t>
      </w:r>
      <w:r>
        <w:rPr>
          <w:lang w:val="fr-FR"/>
        </w:rPr>
        <w:t>l’application effective de cette loi ainsi que l’application des dispositions pertinentes du Code des personnes et de la famille</w:t>
      </w:r>
      <w:r w:rsidRPr="0041493E">
        <w:rPr>
          <w:lang w:val="fr-FR"/>
        </w:rPr>
        <w:t>. Indique</w:t>
      </w:r>
      <w:r>
        <w:rPr>
          <w:lang w:val="fr-FR"/>
        </w:rPr>
        <w:t xml:space="preserve">r </w:t>
      </w:r>
      <w:r w:rsidRPr="0041493E">
        <w:rPr>
          <w:lang w:val="fr-FR"/>
        </w:rPr>
        <w:t xml:space="preserve">le nombre de plaintes enregistrées </w:t>
      </w:r>
      <w:r>
        <w:rPr>
          <w:lang w:val="fr-FR"/>
        </w:rPr>
        <w:t xml:space="preserve">et les suites réservées à ces plaintes, y compris </w:t>
      </w:r>
      <w:r w:rsidR="00AA0C4B">
        <w:rPr>
          <w:lang w:val="fr-FR"/>
        </w:rPr>
        <w:t xml:space="preserve">concernant </w:t>
      </w:r>
      <w:r>
        <w:rPr>
          <w:lang w:val="fr-FR"/>
        </w:rPr>
        <w:t>les viols sur mineurs.</w:t>
      </w:r>
      <w:r w:rsidRPr="0041493E">
        <w:rPr>
          <w:lang w:val="fr-FR"/>
        </w:rPr>
        <w:t xml:space="preserve"> </w:t>
      </w:r>
      <w:r>
        <w:rPr>
          <w:lang w:val="fr-FR"/>
        </w:rPr>
        <w:t>Indiquer également d’autres mesures prises pour éliminer dans la pratique toutes les formes de violence à l’égard des femmes, y compris le</w:t>
      </w:r>
      <w:r w:rsidR="00723B6B">
        <w:rPr>
          <w:lang w:val="fr-FR"/>
        </w:rPr>
        <w:t>s pratiques liées au</w:t>
      </w:r>
      <w:r>
        <w:rPr>
          <w:lang w:val="fr-FR"/>
        </w:rPr>
        <w:t xml:space="preserve"> veuvage </w:t>
      </w:r>
      <w:r w:rsidR="00521086">
        <w:rPr>
          <w:lang w:val="fr-FR"/>
        </w:rPr>
        <w:t xml:space="preserve">ainsi que </w:t>
      </w:r>
      <w:r>
        <w:rPr>
          <w:lang w:val="fr-FR"/>
        </w:rPr>
        <w:t>le lévirat.</w:t>
      </w:r>
    </w:p>
    <w:p w:rsidR="0063349A" w:rsidRPr="00507861" w:rsidRDefault="0063349A" w:rsidP="00AA0C4B">
      <w:pPr>
        <w:pStyle w:val="SingleTxtG"/>
        <w:ind w:left="1200"/>
        <w:rPr>
          <w:lang w:val="fr-FR"/>
        </w:rPr>
      </w:pPr>
      <w:r>
        <w:rPr>
          <w:lang w:val="fr-FR"/>
        </w:rPr>
        <w:t>7.</w:t>
      </w:r>
      <w:r>
        <w:rPr>
          <w:lang w:val="fr-FR"/>
        </w:rPr>
        <w:tab/>
      </w:r>
      <w:r w:rsidRPr="00507861">
        <w:rPr>
          <w:lang w:val="fr-FR"/>
        </w:rPr>
        <w:t>Compte tenu de la loi n</w:t>
      </w:r>
      <w:r w:rsidR="00AA0C4B" w:rsidRPr="00964841">
        <w:rPr>
          <w:vertAlign w:val="superscript"/>
          <w:lang w:val="fr-FR"/>
        </w:rPr>
        <w:t>o</w:t>
      </w:r>
      <w:r w:rsidRPr="00507861">
        <w:rPr>
          <w:lang w:val="fr-FR"/>
        </w:rPr>
        <w:t xml:space="preserve"> 2003-03 interdisant les mutilations génitales féminines</w:t>
      </w:r>
      <w:r w:rsidR="00AA0C4B">
        <w:rPr>
          <w:lang w:val="fr-FR"/>
        </w:rPr>
        <w:t>,</w:t>
      </w:r>
      <w:r w:rsidRPr="00507861">
        <w:rPr>
          <w:lang w:val="fr-FR"/>
        </w:rPr>
        <w:t xml:space="preserve"> donner des précisions sur les progrès accomplis en indiquant également toute autre mesure prise en vue d’éradiquer cette pratique, y compris les campagnes de sensibilisation menées à cet effet auprès de la population, notamment des chefs religieux.</w:t>
      </w:r>
    </w:p>
    <w:p w:rsidR="0063349A" w:rsidRPr="000F3703" w:rsidRDefault="0063349A" w:rsidP="00AA0C4B">
      <w:pPr>
        <w:pStyle w:val="H23G"/>
        <w:rPr>
          <w:sz w:val="22"/>
          <w:szCs w:val="22"/>
        </w:rPr>
      </w:pPr>
      <w:bookmarkStart w:id="1" w:name="art4"/>
      <w:bookmarkStart w:id="2" w:name="art15"/>
      <w:bookmarkStart w:id="3" w:name="art16"/>
      <w:bookmarkStart w:id="4" w:name="art17"/>
      <w:bookmarkStart w:id="5" w:name="art18"/>
      <w:bookmarkEnd w:id="1"/>
      <w:bookmarkEnd w:id="2"/>
      <w:bookmarkEnd w:id="3"/>
      <w:bookmarkEnd w:id="4"/>
      <w:bookmarkEnd w:id="5"/>
      <w:r w:rsidRPr="00F13181">
        <w:rPr>
          <w:color w:val="FF0000"/>
        </w:rPr>
        <w:tab/>
      </w:r>
      <w:r w:rsidRPr="000F3703">
        <w:rPr>
          <w:color w:val="FF0000"/>
          <w:sz w:val="22"/>
          <w:szCs w:val="22"/>
        </w:rPr>
        <w:tab/>
      </w:r>
      <w:r w:rsidRPr="000F3703">
        <w:rPr>
          <w:sz w:val="22"/>
          <w:szCs w:val="22"/>
        </w:rPr>
        <w:t>Droit à la vie, interdiction de la torture et des traitements cruels, inhumains ou dégradants (art. 6</w:t>
      </w:r>
      <w:r w:rsidR="007C3CAA">
        <w:rPr>
          <w:sz w:val="22"/>
          <w:szCs w:val="22"/>
        </w:rPr>
        <w:t xml:space="preserve"> et</w:t>
      </w:r>
      <w:r w:rsidRPr="000F3703">
        <w:rPr>
          <w:sz w:val="22"/>
          <w:szCs w:val="22"/>
        </w:rPr>
        <w:t xml:space="preserve"> 7) </w:t>
      </w:r>
    </w:p>
    <w:p w:rsidR="0063349A" w:rsidRPr="003D2676" w:rsidRDefault="0063349A" w:rsidP="00AA0C4B">
      <w:pPr>
        <w:pStyle w:val="SingleTxtG"/>
        <w:ind w:left="1200"/>
        <w:rPr>
          <w:lang w:val="fr-FR"/>
        </w:rPr>
      </w:pPr>
      <w:r>
        <w:rPr>
          <w:lang w:val="fr-FR"/>
        </w:rPr>
        <w:t>8.</w:t>
      </w:r>
      <w:r>
        <w:rPr>
          <w:lang w:val="fr-FR"/>
        </w:rPr>
        <w:tab/>
      </w:r>
      <w:r w:rsidRPr="00507861">
        <w:rPr>
          <w:lang w:val="fr-FR"/>
        </w:rPr>
        <w:t>Indiquer l’état d’avancement du projet de loi portant modification du Code pénal</w:t>
      </w:r>
      <w:r>
        <w:rPr>
          <w:lang w:val="fr-FR"/>
        </w:rPr>
        <w:t xml:space="preserve">. </w:t>
      </w:r>
      <w:r w:rsidR="00AA0C4B">
        <w:rPr>
          <w:lang w:val="fr-FR"/>
        </w:rPr>
        <w:t>Indiquer</w:t>
      </w:r>
      <w:r w:rsidR="00AA0C4B" w:rsidRPr="0041493E">
        <w:rPr>
          <w:lang w:val="fr-FR"/>
        </w:rPr>
        <w:t xml:space="preserve"> </w:t>
      </w:r>
      <w:r w:rsidRPr="0041493E">
        <w:rPr>
          <w:lang w:val="fr-FR"/>
        </w:rPr>
        <w:t xml:space="preserve">les mesures prises </w:t>
      </w:r>
      <w:r>
        <w:rPr>
          <w:lang w:val="fr-FR"/>
        </w:rPr>
        <w:t xml:space="preserve">dans le cadre de cette réforme </w:t>
      </w:r>
      <w:r w:rsidRPr="0041493E">
        <w:rPr>
          <w:lang w:val="fr-FR"/>
        </w:rPr>
        <w:t xml:space="preserve">pour donner suite à la recommandation du Comité exhortant </w:t>
      </w:r>
      <w:r>
        <w:rPr>
          <w:lang w:val="fr-FR"/>
        </w:rPr>
        <w:t xml:space="preserve">l’État </w:t>
      </w:r>
      <w:r w:rsidRPr="0041493E">
        <w:rPr>
          <w:lang w:val="fr-FR"/>
        </w:rPr>
        <w:t xml:space="preserve">partie </w:t>
      </w:r>
      <w:r w:rsidR="00AA0C4B">
        <w:rPr>
          <w:lang w:val="fr-FR"/>
        </w:rPr>
        <w:t xml:space="preserve">à </w:t>
      </w:r>
      <w:r w:rsidRPr="0041493E">
        <w:rPr>
          <w:lang w:val="fr-FR"/>
        </w:rPr>
        <w:t>veiller à la garantie des droits à la sécurité et à la liberté de la personne,</w:t>
      </w:r>
      <w:r w:rsidR="00AA4910">
        <w:rPr>
          <w:lang w:val="fr-FR"/>
        </w:rPr>
        <w:t xml:space="preserve"> </w:t>
      </w:r>
      <w:r w:rsidR="00AA0C4B">
        <w:rPr>
          <w:lang w:val="fr-FR"/>
        </w:rPr>
        <w:t xml:space="preserve">du </w:t>
      </w:r>
      <w:r w:rsidRPr="0041493E">
        <w:rPr>
          <w:lang w:val="fr-FR"/>
        </w:rPr>
        <w:t xml:space="preserve">droit à un procès équitable, et </w:t>
      </w:r>
      <w:r w:rsidR="00AA0C4B">
        <w:rPr>
          <w:lang w:val="fr-FR"/>
        </w:rPr>
        <w:t xml:space="preserve">du </w:t>
      </w:r>
      <w:r w:rsidRPr="0041493E">
        <w:rPr>
          <w:lang w:val="fr-FR"/>
        </w:rPr>
        <w:t xml:space="preserve">droit de ne pas être soumis à la torture ou à </w:t>
      </w:r>
      <w:r w:rsidRPr="003D2676">
        <w:rPr>
          <w:lang w:val="fr-FR"/>
        </w:rPr>
        <w:t>des peines ou traitements cruels, inhumains ou dégradants</w:t>
      </w:r>
      <w:r w:rsidR="00AA0C4B" w:rsidRPr="003D2676">
        <w:rPr>
          <w:lang w:val="fr-FR"/>
        </w:rPr>
        <w:t xml:space="preserve"> (voir CCPR/CO/82/BEN, par.</w:t>
      </w:r>
      <w:r w:rsidR="00AA0C4B" w:rsidRPr="006B4506">
        <w:rPr>
          <w:lang w:val="fr-FR"/>
        </w:rPr>
        <w:t> </w:t>
      </w:r>
      <w:r w:rsidR="00AA0C4B" w:rsidRPr="003D2676">
        <w:rPr>
          <w:lang w:val="fr-FR"/>
        </w:rPr>
        <w:t>12)</w:t>
      </w:r>
      <w:r w:rsidRPr="003D2676">
        <w:rPr>
          <w:lang w:val="fr-FR"/>
        </w:rPr>
        <w:t>.</w:t>
      </w:r>
      <w:r>
        <w:rPr>
          <w:lang w:val="fr-FR"/>
        </w:rPr>
        <w:t xml:space="preserve"> </w:t>
      </w:r>
      <w:r>
        <w:t>Considérant que la</w:t>
      </w:r>
      <w:r w:rsidRPr="0041493E">
        <w:t xml:space="preserve"> loi </w:t>
      </w:r>
      <w:r>
        <w:t xml:space="preserve">béninoise </w:t>
      </w:r>
      <w:r w:rsidRPr="0041493E">
        <w:t xml:space="preserve">n’interdit </w:t>
      </w:r>
      <w:r>
        <w:t xml:space="preserve">pas expressément </w:t>
      </w:r>
      <w:r w:rsidRPr="0041493E">
        <w:t>l’utilisation de</w:t>
      </w:r>
      <w:r>
        <w:t>s</w:t>
      </w:r>
      <w:r w:rsidRPr="0041493E">
        <w:t xml:space="preserve"> preuve</w:t>
      </w:r>
      <w:r>
        <w:t>s</w:t>
      </w:r>
      <w:r w:rsidRPr="0041493E">
        <w:t xml:space="preserve"> obtenue</w:t>
      </w:r>
      <w:r>
        <w:t>s</w:t>
      </w:r>
      <w:r w:rsidRPr="0041493E">
        <w:t xml:space="preserve"> sous la torture</w:t>
      </w:r>
      <w:r>
        <w:t>,</w:t>
      </w:r>
      <w:r w:rsidRPr="0041493E">
        <w:t xml:space="preserve"> indiquer si </w:t>
      </w:r>
      <w:r>
        <w:t xml:space="preserve">l’État </w:t>
      </w:r>
      <w:r w:rsidRPr="0041493E">
        <w:t xml:space="preserve">partie a </w:t>
      </w:r>
      <w:r>
        <w:t>prévu d’incorporer une disposition relative à l’irrecevabilité des déclarations obtenues sous la torture</w:t>
      </w:r>
      <w:r w:rsidRPr="0041493E">
        <w:t xml:space="preserve"> </w:t>
      </w:r>
      <w:r>
        <w:t>dans le nouveau Code pénal,</w:t>
      </w:r>
      <w:r>
        <w:rPr>
          <w:lang w:val="fr-FR"/>
        </w:rPr>
        <w:t xml:space="preserve"> y compris une</w:t>
      </w:r>
      <w:r w:rsidRPr="0041493E">
        <w:t xml:space="preserve"> définition de la torture et des traitements cruels, inhumains ou dégradants, </w:t>
      </w:r>
      <w:r w:rsidRPr="003B674C">
        <w:t>conforme à l’article 1 de la Convention contre la torture</w:t>
      </w:r>
      <w:r>
        <w:t xml:space="preserve">. </w:t>
      </w:r>
      <w:r>
        <w:rPr>
          <w:lang w:val="fr-FR"/>
        </w:rPr>
        <w:t>Donner</w:t>
      </w:r>
      <w:r w:rsidRPr="0041493E">
        <w:rPr>
          <w:lang w:val="fr-FR"/>
        </w:rPr>
        <w:t xml:space="preserve"> de</w:t>
      </w:r>
      <w:r>
        <w:rPr>
          <w:lang w:val="fr-FR"/>
        </w:rPr>
        <w:t>s</w:t>
      </w:r>
      <w:r w:rsidRPr="0041493E">
        <w:rPr>
          <w:lang w:val="fr-FR"/>
        </w:rPr>
        <w:t xml:space="preserve"> renseignements sur les mécanismes permettant d’examiner </w:t>
      </w:r>
      <w:r>
        <w:rPr>
          <w:lang w:val="fr-FR"/>
        </w:rPr>
        <w:t>de manière impartiale</w:t>
      </w:r>
      <w:r w:rsidRPr="0041493E">
        <w:rPr>
          <w:lang w:val="fr-FR"/>
        </w:rPr>
        <w:t xml:space="preserve"> les plaintes pour torture ou mauvais traitements formulées à l’encontre des agents de l’État</w:t>
      </w:r>
      <w:r>
        <w:rPr>
          <w:lang w:val="fr-FR"/>
        </w:rPr>
        <w:t xml:space="preserve"> </w:t>
      </w:r>
      <w:r w:rsidRPr="0041493E">
        <w:rPr>
          <w:lang w:val="fr-FR"/>
        </w:rPr>
        <w:t xml:space="preserve">à tous les stades de la privation de </w:t>
      </w:r>
      <w:r w:rsidRPr="005313BC">
        <w:rPr>
          <w:lang w:val="fr-FR"/>
        </w:rPr>
        <w:t>liberté.</w:t>
      </w:r>
      <w:r w:rsidRPr="00B759EE">
        <w:rPr>
          <w:lang w:val="fr-FR"/>
        </w:rPr>
        <w:t xml:space="preserve"> Fournir des informations détaillées sur le projet de loi concernant l’établissement d’un Observatoire national pour la préven</w:t>
      </w:r>
      <w:r w:rsidRPr="003D2676">
        <w:rPr>
          <w:lang w:val="fr-FR"/>
        </w:rPr>
        <w:t>tion de la torture.</w:t>
      </w:r>
    </w:p>
    <w:p w:rsidR="0063349A" w:rsidRPr="003D2676" w:rsidRDefault="0063349A" w:rsidP="0063349A">
      <w:pPr>
        <w:pStyle w:val="SingleTxtG"/>
        <w:ind w:left="1200"/>
        <w:rPr>
          <w:lang w:val="fr-FR"/>
        </w:rPr>
      </w:pPr>
      <w:r w:rsidRPr="003D2676">
        <w:rPr>
          <w:lang w:val="fr-FR"/>
        </w:rPr>
        <w:t>9.</w:t>
      </w:r>
      <w:r w:rsidRPr="003D2676">
        <w:rPr>
          <w:lang w:val="fr-FR"/>
        </w:rPr>
        <w:tab/>
        <w:t>Suite à la ratification du deuxième Protocole facultatif se rapportant au Pacte international relatif aux droits civils et politiques</w:t>
      </w:r>
      <w:r w:rsidR="004F558A" w:rsidRPr="003D2676">
        <w:rPr>
          <w:lang w:val="fr-FR"/>
        </w:rPr>
        <w:t>,</w:t>
      </w:r>
      <w:r w:rsidRPr="003D2676">
        <w:rPr>
          <w:lang w:val="fr-FR"/>
        </w:rPr>
        <w:t xml:space="preserve"> visant à abolir la peine de mort,</w:t>
      </w:r>
      <w:r w:rsidR="00AA4910" w:rsidRPr="003D2676">
        <w:rPr>
          <w:lang w:val="fr-FR"/>
        </w:rPr>
        <w:t xml:space="preserve"> </w:t>
      </w:r>
      <w:r w:rsidRPr="003D2676">
        <w:rPr>
          <w:lang w:val="fr-FR"/>
        </w:rPr>
        <w:t>préciser si le projet de loi portant modification du Code pénal consacre explicitement l’abolition de la peine de mort au Bénin. Indiquer également si les peines des derniers condamnés à mort ont été commuées par le Gouvernement.</w:t>
      </w:r>
    </w:p>
    <w:p w:rsidR="0063349A" w:rsidRDefault="0063349A" w:rsidP="0063349A">
      <w:pPr>
        <w:pStyle w:val="SingleTxtG"/>
        <w:ind w:left="1200"/>
        <w:rPr>
          <w:lang w:val="fr-FR"/>
        </w:rPr>
      </w:pPr>
      <w:r w:rsidRPr="003D2676">
        <w:rPr>
          <w:lang w:val="fr-FR"/>
        </w:rPr>
        <w:t>10.</w:t>
      </w:r>
      <w:r w:rsidRPr="003D2676">
        <w:rPr>
          <w:lang w:val="fr-FR"/>
        </w:rPr>
        <w:tab/>
        <w:t xml:space="preserve">Fournir des informations détaillées sur l’ampleur des vindictes populaires et des infanticides au Bénin et </w:t>
      </w:r>
      <w:r w:rsidR="00AA0C4B" w:rsidRPr="003D2676">
        <w:rPr>
          <w:lang w:val="fr-FR"/>
        </w:rPr>
        <w:t xml:space="preserve">sur </w:t>
      </w:r>
      <w:r w:rsidRPr="003D2676">
        <w:rPr>
          <w:lang w:val="fr-FR"/>
        </w:rPr>
        <w:t xml:space="preserve">les mesures concrètes prises pour lutter contre ces phénomènes. </w:t>
      </w:r>
      <w:r w:rsidRPr="003D2676">
        <w:t>Donner également des informations sur les mesures visant à</w:t>
      </w:r>
      <w:r w:rsidR="00AA4910" w:rsidRPr="003D2676">
        <w:t xml:space="preserve"> </w:t>
      </w:r>
      <w:r w:rsidRPr="003D2676">
        <w:t xml:space="preserve">lutter contre le phénomène des enfants dits «sorciers». Donner des renseignements sur l’état d’avancement des enquêtes devant élucider notamment le décès du journaliste Jean Christophe Houngo et </w:t>
      </w:r>
      <w:r w:rsidR="00AA0C4B" w:rsidRPr="003D2676">
        <w:t xml:space="preserve">de </w:t>
      </w:r>
      <w:r w:rsidRPr="003D2676">
        <w:t xml:space="preserve">sa famille, le décès de l’étudiant René Miwanou et la tentative d’assassinat du défenseur des droits de l’homme Martin Assogba. </w:t>
      </w:r>
      <w:r w:rsidRPr="003D2676">
        <w:rPr>
          <w:lang w:val="fr-FR"/>
        </w:rPr>
        <w:t>Préciser</w:t>
      </w:r>
      <w:r>
        <w:rPr>
          <w:lang w:val="fr-FR"/>
        </w:rPr>
        <w:t xml:space="preserve"> d’autres</w:t>
      </w:r>
      <w:r w:rsidRPr="0041493E">
        <w:rPr>
          <w:lang w:val="fr-FR"/>
        </w:rPr>
        <w:t xml:space="preserve"> mesures</w:t>
      </w:r>
      <w:r>
        <w:rPr>
          <w:lang w:val="fr-FR"/>
        </w:rPr>
        <w:t xml:space="preserve"> que</w:t>
      </w:r>
      <w:r w:rsidRPr="0041493E">
        <w:rPr>
          <w:lang w:val="fr-FR"/>
        </w:rPr>
        <w:t xml:space="preserve"> l’État partie </w:t>
      </w:r>
      <w:r>
        <w:rPr>
          <w:lang w:val="fr-FR"/>
        </w:rPr>
        <w:t xml:space="preserve">a prises ou </w:t>
      </w:r>
      <w:r w:rsidRPr="0041493E">
        <w:rPr>
          <w:lang w:val="fr-FR"/>
        </w:rPr>
        <w:t xml:space="preserve">envisage de prendre pour </w:t>
      </w:r>
      <w:r>
        <w:rPr>
          <w:lang w:val="fr-FR"/>
        </w:rPr>
        <w:t xml:space="preserve">mieux </w:t>
      </w:r>
      <w:r w:rsidRPr="0041493E">
        <w:rPr>
          <w:lang w:val="fr-FR"/>
        </w:rPr>
        <w:t>protéger</w:t>
      </w:r>
      <w:r w:rsidR="00AA4910">
        <w:rPr>
          <w:lang w:val="fr-FR"/>
        </w:rPr>
        <w:t xml:space="preserve"> </w:t>
      </w:r>
      <w:r>
        <w:rPr>
          <w:lang w:val="fr-FR"/>
        </w:rPr>
        <w:t xml:space="preserve">le </w:t>
      </w:r>
      <w:r w:rsidRPr="0041493E">
        <w:rPr>
          <w:lang w:val="fr-FR"/>
        </w:rPr>
        <w:t xml:space="preserve">droit à la vie et à l’intégrité physique. </w:t>
      </w:r>
    </w:p>
    <w:p w:rsidR="007C3CAA" w:rsidRPr="000F3703" w:rsidRDefault="007C3CAA" w:rsidP="00B11322">
      <w:pPr>
        <w:pStyle w:val="H23G"/>
        <w:rPr>
          <w:sz w:val="22"/>
          <w:szCs w:val="22"/>
        </w:rPr>
      </w:pPr>
      <w:r w:rsidRPr="00F13181">
        <w:rPr>
          <w:color w:val="FF0000"/>
        </w:rPr>
        <w:lastRenderedPageBreak/>
        <w:tab/>
      </w:r>
      <w:r w:rsidRPr="000F3703">
        <w:rPr>
          <w:color w:val="FF0000"/>
          <w:sz w:val="22"/>
          <w:szCs w:val="22"/>
        </w:rPr>
        <w:tab/>
      </w:r>
      <w:r>
        <w:rPr>
          <w:sz w:val="22"/>
          <w:szCs w:val="22"/>
        </w:rPr>
        <w:t>L</w:t>
      </w:r>
      <w:r w:rsidRPr="000F3703">
        <w:rPr>
          <w:sz w:val="22"/>
          <w:szCs w:val="22"/>
        </w:rPr>
        <w:t xml:space="preserve">iberté et sécurité de la personne, traitement des personnes privées de liberté (art. 9 et 10) </w:t>
      </w:r>
    </w:p>
    <w:p w:rsidR="0063349A" w:rsidRPr="0041493E" w:rsidRDefault="0063349A" w:rsidP="003D2676">
      <w:pPr>
        <w:pStyle w:val="SingleTxtG"/>
        <w:rPr>
          <w:lang w:val="fr-FR"/>
        </w:rPr>
      </w:pPr>
      <w:r>
        <w:rPr>
          <w:lang w:val="fr-FR"/>
        </w:rPr>
        <w:t>11.</w:t>
      </w:r>
      <w:r>
        <w:rPr>
          <w:lang w:val="fr-FR"/>
        </w:rPr>
        <w:tab/>
        <w:t>S</w:t>
      </w:r>
      <w:r w:rsidRPr="0041493E">
        <w:rPr>
          <w:lang w:val="fr-FR"/>
        </w:rPr>
        <w:t xml:space="preserve">uite </w:t>
      </w:r>
      <w:r w:rsidR="003D2676">
        <w:rPr>
          <w:lang w:val="fr-FR"/>
        </w:rPr>
        <w:t xml:space="preserve">aux </w:t>
      </w:r>
      <w:r w:rsidRPr="0041493E">
        <w:rPr>
          <w:lang w:val="fr-FR"/>
        </w:rPr>
        <w:t>recomman</w:t>
      </w:r>
      <w:r w:rsidRPr="006B4506">
        <w:rPr>
          <w:lang w:val="fr-FR"/>
        </w:rPr>
        <w:t>dation</w:t>
      </w:r>
      <w:r w:rsidR="003D2676" w:rsidRPr="006B4506">
        <w:rPr>
          <w:lang w:val="fr-FR"/>
        </w:rPr>
        <w:t>s</w:t>
      </w:r>
      <w:r w:rsidRPr="0041493E">
        <w:rPr>
          <w:lang w:val="fr-FR"/>
        </w:rPr>
        <w:t xml:space="preserve"> du Comité</w:t>
      </w:r>
      <w:r>
        <w:rPr>
          <w:lang w:val="fr-FR"/>
        </w:rPr>
        <w:t>, fournir des détails sur le respect des nouvelles dispositions du Code de procédure pénale relatives aux</w:t>
      </w:r>
      <w:r w:rsidRPr="0041493E">
        <w:rPr>
          <w:lang w:val="fr-FR"/>
        </w:rPr>
        <w:t xml:space="preserve"> droits de la personne </w:t>
      </w:r>
      <w:r>
        <w:rPr>
          <w:lang w:val="fr-FR"/>
        </w:rPr>
        <w:t xml:space="preserve">gardée à vue </w:t>
      </w:r>
      <w:r w:rsidRPr="0041493E">
        <w:rPr>
          <w:lang w:val="fr-FR"/>
        </w:rPr>
        <w:t xml:space="preserve">d’accéder à un avocat dans les premières heures de détention, d’informer </w:t>
      </w:r>
      <w:r w:rsidR="00AA0C4B">
        <w:rPr>
          <w:lang w:val="fr-FR"/>
        </w:rPr>
        <w:t>s</w:t>
      </w:r>
      <w:r w:rsidRPr="0041493E">
        <w:rPr>
          <w:lang w:val="fr-FR"/>
        </w:rPr>
        <w:t>es proches</w:t>
      </w:r>
      <w:r w:rsidR="00AA0C4B">
        <w:rPr>
          <w:lang w:val="fr-FR"/>
        </w:rPr>
        <w:t xml:space="preserve"> de sa détention</w:t>
      </w:r>
      <w:r w:rsidRPr="0041493E">
        <w:rPr>
          <w:lang w:val="fr-FR"/>
        </w:rPr>
        <w:t xml:space="preserve">, </w:t>
      </w:r>
      <w:r>
        <w:rPr>
          <w:lang w:val="fr-FR"/>
        </w:rPr>
        <w:t>de se faire examiner par un médecin de son choix</w:t>
      </w:r>
      <w:r w:rsidRPr="0041493E">
        <w:rPr>
          <w:lang w:val="fr-FR"/>
        </w:rPr>
        <w:t>, et d’être informé</w:t>
      </w:r>
      <w:r>
        <w:rPr>
          <w:lang w:val="fr-FR"/>
        </w:rPr>
        <w:t>e</w:t>
      </w:r>
      <w:r w:rsidRPr="0041493E">
        <w:rPr>
          <w:lang w:val="fr-FR"/>
        </w:rPr>
        <w:t xml:space="preserve"> de </w:t>
      </w:r>
      <w:r>
        <w:rPr>
          <w:lang w:val="fr-FR"/>
        </w:rPr>
        <w:t>ses</w:t>
      </w:r>
      <w:r w:rsidRPr="0041493E">
        <w:rPr>
          <w:lang w:val="fr-FR"/>
        </w:rPr>
        <w:t xml:space="preserve"> droits</w:t>
      </w:r>
      <w:r w:rsidR="00AA0C4B">
        <w:rPr>
          <w:lang w:val="fr-FR"/>
        </w:rPr>
        <w:t xml:space="preserve"> (</w:t>
      </w:r>
      <w:r w:rsidR="00AA0C4B" w:rsidRPr="003D2676">
        <w:rPr>
          <w:lang w:val="fr-FR"/>
        </w:rPr>
        <w:t>voir CCPR/CO/82/BEN</w:t>
      </w:r>
      <w:r w:rsidR="00623C9C" w:rsidRPr="003D2676">
        <w:rPr>
          <w:lang w:val="fr-FR"/>
        </w:rPr>
        <w:t>, par. </w:t>
      </w:r>
      <w:r w:rsidR="003D2676" w:rsidRPr="003D2676">
        <w:rPr>
          <w:lang w:val="fr-FR"/>
        </w:rPr>
        <w:t xml:space="preserve">15 et </w:t>
      </w:r>
      <w:r w:rsidR="00623C9C" w:rsidRPr="003D2676">
        <w:rPr>
          <w:lang w:val="fr-FR"/>
        </w:rPr>
        <w:t>16</w:t>
      </w:r>
      <w:r w:rsidR="00AA0C4B" w:rsidRPr="003D2676">
        <w:rPr>
          <w:lang w:val="fr-FR"/>
        </w:rPr>
        <w:t>)</w:t>
      </w:r>
      <w:r w:rsidRPr="003D2676">
        <w:rPr>
          <w:lang w:val="fr-FR"/>
        </w:rPr>
        <w:t>. Fo</w:t>
      </w:r>
      <w:r>
        <w:rPr>
          <w:lang w:val="fr-FR"/>
        </w:rPr>
        <w:t>urnir</w:t>
      </w:r>
      <w:r w:rsidRPr="0041493E">
        <w:rPr>
          <w:lang w:val="fr-FR"/>
        </w:rPr>
        <w:t xml:space="preserve"> également des informations sur les répa</w:t>
      </w:r>
      <w:r>
        <w:rPr>
          <w:lang w:val="fr-FR"/>
        </w:rPr>
        <w:t xml:space="preserve">rations accordées aux victimes </w:t>
      </w:r>
      <w:r w:rsidRPr="0041493E">
        <w:rPr>
          <w:lang w:val="fr-FR"/>
        </w:rPr>
        <w:t>de garde à vue abusive et de détention pr</w:t>
      </w:r>
      <w:r w:rsidR="00AA0C4B">
        <w:rPr>
          <w:lang w:val="fr-FR"/>
        </w:rPr>
        <w:t xml:space="preserve">ovisoire </w:t>
      </w:r>
      <w:r w:rsidRPr="0041493E">
        <w:rPr>
          <w:lang w:val="fr-FR"/>
        </w:rPr>
        <w:t>arbitraire</w:t>
      </w:r>
      <w:r>
        <w:rPr>
          <w:lang w:val="fr-FR"/>
        </w:rPr>
        <w:t xml:space="preserve"> suite aux décisions </w:t>
      </w:r>
      <w:r w:rsidRPr="005313BC">
        <w:rPr>
          <w:lang w:val="fr-FR"/>
        </w:rPr>
        <w:t>de la Cour constitutionnelle et en vertu des articles 206 à 210 du nouveau Code de procédure pénale</w:t>
      </w:r>
      <w:r w:rsidRPr="00B759EE">
        <w:rPr>
          <w:lang w:val="fr-FR"/>
        </w:rPr>
        <w:t>.</w:t>
      </w:r>
    </w:p>
    <w:p w:rsidR="0063349A" w:rsidRDefault="0063349A" w:rsidP="00015E9D">
      <w:pPr>
        <w:pStyle w:val="SingleTxtG"/>
        <w:rPr>
          <w:lang w:val="fr-FR"/>
        </w:rPr>
      </w:pPr>
      <w:r>
        <w:rPr>
          <w:lang w:val="fr-FR"/>
        </w:rPr>
        <w:t>12.</w:t>
      </w:r>
      <w:r>
        <w:rPr>
          <w:lang w:val="fr-FR"/>
        </w:rPr>
        <w:tab/>
        <w:t>Fournir des informations supplémentaires sur les mesures concrètes prises pour améliorer</w:t>
      </w:r>
      <w:r w:rsidRPr="0041493E">
        <w:rPr>
          <w:lang w:val="fr-FR"/>
        </w:rPr>
        <w:t xml:space="preserve"> les conditions de détention</w:t>
      </w:r>
      <w:r>
        <w:rPr>
          <w:lang w:val="fr-FR"/>
        </w:rPr>
        <w:t>, en particulier</w:t>
      </w:r>
      <w:r w:rsidRPr="0041493E">
        <w:rPr>
          <w:rFonts w:eastAsia="SimSun"/>
          <w:lang w:val="fr-FR" w:eastAsia="zh-CN"/>
        </w:rPr>
        <w:t xml:space="preserve"> l’hygiène, l’accès aux soins de santé </w:t>
      </w:r>
      <w:r>
        <w:rPr>
          <w:rFonts w:eastAsia="SimSun"/>
          <w:lang w:val="fr-FR" w:eastAsia="zh-CN"/>
        </w:rPr>
        <w:t xml:space="preserve">et </w:t>
      </w:r>
      <w:r w:rsidRPr="0041493E">
        <w:rPr>
          <w:rFonts w:eastAsia="SimSun"/>
          <w:lang w:val="fr-FR" w:eastAsia="zh-CN"/>
        </w:rPr>
        <w:t>l’alimentation</w:t>
      </w:r>
      <w:r>
        <w:rPr>
          <w:rFonts w:eastAsia="SimSun"/>
          <w:lang w:val="fr-FR" w:eastAsia="zh-CN"/>
        </w:rPr>
        <w:t>.</w:t>
      </w:r>
      <w:r w:rsidRPr="0041493E">
        <w:rPr>
          <w:lang w:val="fr-FR"/>
        </w:rPr>
        <w:t xml:space="preserve"> Donner des informations sur les progrès accomplis </w:t>
      </w:r>
      <w:r>
        <w:rPr>
          <w:lang w:val="fr-FR"/>
        </w:rPr>
        <w:t>concernant</w:t>
      </w:r>
      <w:r w:rsidRPr="0041493E">
        <w:rPr>
          <w:lang w:val="fr-FR"/>
        </w:rPr>
        <w:t xml:space="preserve"> la réhabilitation des établissements pénitentiaires</w:t>
      </w:r>
      <w:r>
        <w:rPr>
          <w:lang w:val="fr-FR"/>
        </w:rPr>
        <w:t xml:space="preserve"> et les</w:t>
      </w:r>
      <w:r w:rsidRPr="0041493E">
        <w:rPr>
          <w:lang w:val="fr-FR"/>
        </w:rPr>
        <w:t xml:space="preserve"> mesures supplémentaires prises pour réduire la surpopulation carcérale, et </w:t>
      </w:r>
      <w:r>
        <w:rPr>
          <w:lang w:val="fr-FR"/>
        </w:rPr>
        <w:t>s’assurer</w:t>
      </w:r>
      <w:r w:rsidRPr="0041493E">
        <w:rPr>
          <w:lang w:val="fr-FR"/>
        </w:rPr>
        <w:t xml:space="preserve"> que les prévenus soient séparés des personnes condamnées, les femmes des hommes et les mineurs des adultes</w:t>
      </w:r>
      <w:r>
        <w:rPr>
          <w:lang w:val="fr-FR"/>
        </w:rPr>
        <w:t>.</w:t>
      </w:r>
      <w:r w:rsidRPr="001D1D48">
        <w:rPr>
          <w:rFonts w:eastAsia="SimSun"/>
          <w:lang w:val="fr-FR" w:eastAsia="zh-CN"/>
        </w:rPr>
        <w:t xml:space="preserve"> </w:t>
      </w:r>
      <w:r w:rsidR="00903E9E">
        <w:rPr>
          <w:rFonts w:eastAsia="SimSun"/>
          <w:lang w:val="fr-FR" w:eastAsia="zh-CN"/>
        </w:rPr>
        <w:t xml:space="preserve">Fournir des </w:t>
      </w:r>
      <w:r w:rsidR="00A064CE">
        <w:rPr>
          <w:rFonts w:eastAsia="SimSun"/>
          <w:lang w:val="fr-FR" w:eastAsia="zh-CN"/>
        </w:rPr>
        <w:t xml:space="preserve">renseignements sur les </w:t>
      </w:r>
      <w:r w:rsidR="00903E9E">
        <w:rPr>
          <w:rFonts w:eastAsia="SimSun"/>
          <w:lang w:val="fr-FR" w:eastAsia="zh-CN"/>
        </w:rPr>
        <w:t xml:space="preserve">mesures prises </w:t>
      </w:r>
      <w:r w:rsidR="00903E9E" w:rsidRPr="00DC1F3D">
        <w:rPr>
          <w:rFonts w:eastAsia="SimSun"/>
          <w:lang w:val="fr-FR" w:eastAsia="zh-CN"/>
        </w:rPr>
        <w:t>pour</w:t>
      </w:r>
      <w:r w:rsidR="00903E9E">
        <w:rPr>
          <w:rFonts w:eastAsia="SimSun"/>
          <w:lang w:val="fr-FR" w:eastAsia="zh-CN"/>
        </w:rPr>
        <w:t xml:space="preserve"> </w:t>
      </w:r>
      <w:r w:rsidR="00DC1F3D">
        <w:rPr>
          <w:rFonts w:eastAsia="SimSun"/>
          <w:lang w:val="fr-FR" w:eastAsia="zh-CN"/>
        </w:rPr>
        <w:t>recourir aux</w:t>
      </w:r>
      <w:r w:rsidR="00903E9E">
        <w:rPr>
          <w:rFonts w:eastAsia="SimSun"/>
          <w:lang w:val="fr-FR" w:eastAsia="zh-CN"/>
        </w:rPr>
        <w:t xml:space="preserve"> peines alternatives à l’emprisonnement.</w:t>
      </w:r>
      <w:r w:rsidR="00AA4910">
        <w:rPr>
          <w:lang w:val="fr-FR"/>
        </w:rPr>
        <w:t xml:space="preserve"> </w:t>
      </w:r>
      <w:r>
        <w:rPr>
          <w:lang w:val="fr-FR"/>
        </w:rPr>
        <w:t>Préciser dans quelle mesure l’augmentation du nombre de magistrats a permis à ces derniers d</w:t>
      </w:r>
      <w:r w:rsidR="00AA4910">
        <w:rPr>
          <w:lang w:val="fr-FR"/>
        </w:rPr>
        <w:t>’</w:t>
      </w:r>
      <w:r w:rsidRPr="0041493E">
        <w:rPr>
          <w:lang w:val="fr-FR"/>
        </w:rPr>
        <w:t>effectuer des contrôles inopinés régulie</w:t>
      </w:r>
      <w:r>
        <w:rPr>
          <w:lang w:val="fr-FR"/>
        </w:rPr>
        <w:t>rs dans les lieux de détentions. Donner des renseignements sur</w:t>
      </w:r>
      <w:r w:rsidRPr="0041493E">
        <w:rPr>
          <w:lang w:val="fr-FR"/>
        </w:rPr>
        <w:t xml:space="preserve"> </w:t>
      </w:r>
      <w:r>
        <w:rPr>
          <w:lang w:val="fr-FR"/>
        </w:rPr>
        <w:t>les critères de</w:t>
      </w:r>
      <w:r w:rsidRPr="0041493E">
        <w:rPr>
          <w:lang w:val="fr-FR"/>
        </w:rPr>
        <w:t xml:space="preserve"> sélection des </w:t>
      </w:r>
      <w:r w:rsidR="00015E9D">
        <w:rPr>
          <w:lang w:val="fr-FR"/>
        </w:rPr>
        <w:t xml:space="preserve">organisations non gouvernementales </w:t>
      </w:r>
      <w:r w:rsidRPr="0041493E">
        <w:rPr>
          <w:lang w:val="fr-FR"/>
        </w:rPr>
        <w:t>autoris</w:t>
      </w:r>
      <w:r>
        <w:rPr>
          <w:lang w:val="fr-FR"/>
        </w:rPr>
        <w:t>ées à visiter l</w:t>
      </w:r>
      <w:r w:rsidRPr="0041493E">
        <w:rPr>
          <w:lang w:val="fr-FR"/>
        </w:rPr>
        <w:t>es lieux de détention</w:t>
      </w:r>
      <w:r>
        <w:rPr>
          <w:lang w:val="fr-FR"/>
        </w:rPr>
        <w:t>.</w:t>
      </w:r>
    </w:p>
    <w:p w:rsidR="0063349A" w:rsidRPr="00624EF1" w:rsidRDefault="0063349A" w:rsidP="00B11322">
      <w:pPr>
        <w:pStyle w:val="H23G"/>
        <w:rPr>
          <w:sz w:val="22"/>
          <w:szCs w:val="22"/>
        </w:rPr>
      </w:pPr>
      <w:r w:rsidRPr="00F13181">
        <w:tab/>
      </w:r>
      <w:r>
        <w:tab/>
      </w:r>
      <w:r w:rsidR="00F971DA">
        <w:t>É</w:t>
      </w:r>
      <w:r w:rsidRPr="00624EF1">
        <w:rPr>
          <w:sz w:val="22"/>
          <w:szCs w:val="22"/>
        </w:rPr>
        <w:t>limination de l’esclavage</w:t>
      </w:r>
      <w:r>
        <w:rPr>
          <w:sz w:val="22"/>
          <w:szCs w:val="22"/>
        </w:rPr>
        <w:t>, du travail forcé</w:t>
      </w:r>
      <w:r w:rsidRPr="00624EF1">
        <w:rPr>
          <w:sz w:val="22"/>
          <w:szCs w:val="22"/>
        </w:rPr>
        <w:t xml:space="preserve"> </w:t>
      </w:r>
      <w:r w:rsidRPr="00B3767D">
        <w:rPr>
          <w:sz w:val="22"/>
          <w:szCs w:val="22"/>
        </w:rPr>
        <w:t>et de la servitude</w:t>
      </w:r>
      <w:r w:rsidRPr="00624EF1">
        <w:rPr>
          <w:sz w:val="22"/>
          <w:szCs w:val="22"/>
        </w:rPr>
        <w:t xml:space="preserve"> (art. 8 et 24) </w:t>
      </w:r>
    </w:p>
    <w:p w:rsidR="00F74EAF" w:rsidRDefault="0063349A" w:rsidP="00623C9C">
      <w:pPr>
        <w:pStyle w:val="SingleTxtG"/>
        <w:rPr>
          <w:bCs/>
          <w:lang w:val="fr-FR"/>
        </w:rPr>
      </w:pPr>
      <w:r>
        <w:t>13.</w:t>
      </w:r>
      <w:r>
        <w:tab/>
      </w:r>
      <w:r w:rsidRPr="0041493E">
        <w:rPr>
          <w:lang w:val="fr-FR"/>
        </w:rPr>
        <w:t xml:space="preserve">Selon </w:t>
      </w:r>
      <w:r>
        <w:rPr>
          <w:lang w:val="fr-FR"/>
        </w:rPr>
        <w:t xml:space="preserve">les </w:t>
      </w:r>
      <w:r w:rsidRPr="0041493E">
        <w:rPr>
          <w:lang w:val="fr-FR"/>
        </w:rPr>
        <w:t>informations</w:t>
      </w:r>
      <w:r>
        <w:rPr>
          <w:lang w:val="fr-FR"/>
        </w:rPr>
        <w:t xml:space="preserve"> à la disposition du Comité</w:t>
      </w:r>
      <w:r w:rsidRPr="0041493E">
        <w:rPr>
          <w:lang w:val="fr-FR"/>
        </w:rPr>
        <w:t>, l’</w:t>
      </w:r>
      <w:r>
        <w:rPr>
          <w:lang w:val="fr-FR"/>
        </w:rPr>
        <w:t>É</w:t>
      </w:r>
      <w:r w:rsidRPr="0041493E">
        <w:rPr>
          <w:lang w:val="fr-FR"/>
        </w:rPr>
        <w:t xml:space="preserve">tat partie serait un pays source, de transit et de destination du trafic d’êtres humains pour le travail forcé et l’exploitation sexuelle. </w:t>
      </w:r>
      <w:r>
        <w:rPr>
          <w:lang w:val="fr-FR"/>
        </w:rPr>
        <w:t>Donner</w:t>
      </w:r>
      <w:r w:rsidRPr="0041493E">
        <w:t xml:space="preserve"> des renseignements sur les mesures prises pour lutte</w:t>
      </w:r>
      <w:r>
        <w:t>r</w:t>
      </w:r>
      <w:r w:rsidRPr="0041493E">
        <w:t xml:space="preserve"> contre la traite d’êtres humains, notamment </w:t>
      </w:r>
      <w:r>
        <w:t>d</w:t>
      </w:r>
      <w:r w:rsidRPr="0041493E">
        <w:t xml:space="preserve">es femmes et </w:t>
      </w:r>
      <w:r>
        <w:t>d</w:t>
      </w:r>
      <w:r w:rsidRPr="0041493E">
        <w:t>es enfants</w:t>
      </w:r>
      <w:r>
        <w:t>; pour éradiquer le travail des enfants, notamment le phénomène de</w:t>
      </w:r>
      <w:r w:rsidR="00015E9D">
        <w:t>s enfants</w:t>
      </w:r>
      <w:r>
        <w:t xml:space="preserve"> </w:t>
      </w:r>
      <w:r w:rsidR="00015E9D">
        <w:t>«v</w:t>
      </w:r>
      <w:r>
        <w:t>idomégon</w:t>
      </w:r>
      <w:r w:rsidR="00015E9D">
        <w:t>»</w:t>
      </w:r>
      <w:r>
        <w:t xml:space="preserve"> qui</w:t>
      </w:r>
      <w:r w:rsidR="00015E9D">
        <w:t>,</w:t>
      </w:r>
      <w:r>
        <w:t xml:space="preserve"> en plus d’être un problème</w:t>
      </w:r>
      <w:r w:rsidR="00015E9D">
        <w:t>,</w:t>
      </w:r>
      <w:r>
        <w:t xml:space="preserve"> alimenterait les réseaux de vente et de traite d’enfants</w:t>
      </w:r>
      <w:r w:rsidRPr="0041493E">
        <w:t xml:space="preserve">. </w:t>
      </w:r>
      <w:r>
        <w:t>D</w:t>
      </w:r>
      <w:r w:rsidRPr="0041493E">
        <w:t xml:space="preserve">onner également des renseignements sur </w:t>
      </w:r>
      <w:r>
        <w:t>les mesures prises pour éliminer la traite et le travail forcé des enfants, y</w:t>
      </w:r>
      <w:r w:rsidR="00D44A87">
        <w:t> </w:t>
      </w:r>
      <w:r>
        <w:t xml:space="preserve">compris </w:t>
      </w:r>
      <w:r w:rsidRPr="0041493E">
        <w:t xml:space="preserve">les enquêtes </w:t>
      </w:r>
      <w:r>
        <w:t xml:space="preserve">menées, les poursuites engagées </w:t>
      </w:r>
      <w:r w:rsidRPr="0041493E">
        <w:rPr>
          <w:lang w:val="fr-FR"/>
        </w:rPr>
        <w:t xml:space="preserve">ainsi que </w:t>
      </w:r>
      <w:r w:rsidRPr="0041493E">
        <w:rPr>
          <w:bCs/>
          <w:lang w:val="fr-FR"/>
        </w:rPr>
        <w:t xml:space="preserve">la </w:t>
      </w:r>
      <w:r>
        <w:rPr>
          <w:bCs/>
          <w:lang w:val="fr-FR"/>
        </w:rPr>
        <w:t>prise en charge et l’indemnisation</w:t>
      </w:r>
      <w:r w:rsidRPr="0041493E">
        <w:rPr>
          <w:bCs/>
          <w:lang w:val="fr-FR"/>
        </w:rPr>
        <w:t xml:space="preserve"> des victimes.</w:t>
      </w:r>
      <w:r w:rsidR="00F74EAF">
        <w:rPr>
          <w:bCs/>
          <w:lang w:val="fr-FR"/>
        </w:rPr>
        <w:t xml:space="preserve"> </w:t>
      </w:r>
      <w:r w:rsidR="00244556">
        <w:rPr>
          <w:bCs/>
          <w:lang w:val="fr-FR"/>
        </w:rPr>
        <w:t xml:space="preserve">Confirmer si un </w:t>
      </w:r>
      <w:r w:rsidR="00F74EAF">
        <w:t xml:space="preserve">projet de loi contre la traite des personnes </w:t>
      </w:r>
      <w:r w:rsidR="00244556">
        <w:t>est</w:t>
      </w:r>
      <w:r w:rsidR="00F74EAF">
        <w:t xml:space="preserve"> en cours d’élaboration</w:t>
      </w:r>
      <w:r w:rsidR="00A064CE">
        <w:t xml:space="preserve"> et i</w:t>
      </w:r>
      <w:r w:rsidR="00F74EAF">
        <w:t>nd</w:t>
      </w:r>
      <w:r w:rsidR="00521086">
        <w:t xml:space="preserve">iquer l’état d’avancement pour son </w:t>
      </w:r>
      <w:r w:rsidR="00F74EAF">
        <w:t xml:space="preserve">adoption ainsi que les </w:t>
      </w:r>
      <w:r w:rsidR="001A3A6D">
        <w:t xml:space="preserve">différents </w:t>
      </w:r>
      <w:r w:rsidR="00F74EAF">
        <w:t>acteurs</w:t>
      </w:r>
      <w:r w:rsidR="00AA4910">
        <w:t xml:space="preserve"> </w:t>
      </w:r>
      <w:r w:rsidR="00F74EAF">
        <w:t>impliqués.</w:t>
      </w:r>
    </w:p>
    <w:p w:rsidR="0063349A" w:rsidRPr="00624EF1" w:rsidRDefault="0063349A" w:rsidP="0063349A">
      <w:pPr>
        <w:pStyle w:val="H23G"/>
        <w:rPr>
          <w:sz w:val="22"/>
          <w:szCs w:val="22"/>
        </w:rPr>
      </w:pPr>
      <w:r w:rsidRPr="00F13181">
        <w:tab/>
      </w:r>
      <w:r w:rsidRPr="00F13181">
        <w:tab/>
      </w:r>
      <w:r w:rsidRPr="00624EF1">
        <w:rPr>
          <w:sz w:val="22"/>
          <w:szCs w:val="22"/>
        </w:rPr>
        <w:t xml:space="preserve">Indépendance du système judiciaire, droit à un procès équitable (art. 14) </w:t>
      </w:r>
    </w:p>
    <w:p w:rsidR="0063349A" w:rsidRPr="003D2676" w:rsidRDefault="0063349A" w:rsidP="00D44A87">
      <w:pPr>
        <w:pStyle w:val="SingleTxtG"/>
        <w:rPr>
          <w:lang w:val="fr-FR"/>
        </w:rPr>
      </w:pPr>
      <w:r>
        <w:rPr>
          <w:lang w:val="fr-FR"/>
        </w:rPr>
        <w:t>14.</w:t>
      </w:r>
      <w:r>
        <w:rPr>
          <w:lang w:val="fr-FR"/>
        </w:rPr>
        <w:tab/>
        <w:t xml:space="preserve">L’État partie a fait référence aux plaintes des justiciables en 2006 qui portaient essentiellement sur </w:t>
      </w:r>
      <w:r w:rsidRPr="0041493E">
        <w:rPr>
          <w:lang w:val="fr-FR"/>
        </w:rPr>
        <w:t xml:space="preserve">la lenteur de la procédure et </w:t>
      </w:r>
      <w:r>
        <w:rPr>
          <w:lang w:val="fr-FR"/>
        </w:rPr>
        <w:t>la dénonciation de</w:t>
      </w:r>
      <w:r w:rsidRPr="0041493E">
        <w:rPr>
          <w:lang w:val="fr-FR"/>
        </w:rPr>
        <w:t xml:space="preserve"> comportements de</w:t>
      </w:r>
      <w:r>
        <w:rPr>
          <w:lang w:val="fr-FR"/>
        </w:rPr>
        <w:t>s</w:t>
      </w:r>
      <w:r w:rsidRPr="0041493E">
        <w:rPr>
          <w:lang w:val="fr-FR"/>
        </w:rPr>
        <w:t xml:space="preserve"> </w:t>
      </w:r>
      <w:r w:rsidRPr="00507861">
        <w:rPr>
          <w:lang w:val="fr-FR"/>
        </w:rPr>
        <w:t xml:space="preserve">acteurs </w:t>
      </w:r>
      <w:r w:rsidRPr="0041493E">
        <w:rPr>
          <w:lang w:val="fr-FR"/>
        </w:rPr>
        <w:t>de la justice</w:t>
      </w:r>
      <w:r w:rsidR="00D44A87">
        <w:rPr>
          <w:lang w:val="fr-FR"/>
        </w:rPr>
        <w:t xml:space="preserve"> </w:t>
      </w:r>
      <w:r w:rsidR="00D44A87" w:rsidRPr="003D2676">
        <w:rPr>
          <w:lang w:val="fr-FR"/>
        </w:rPr>
        <w:t>(voir CCPR/C/BEN/2, par. 48)</w:t>
      </w:r>
      <w:r w:rsidRPr="003D2676">
        <w:rPr>
          <w:lang w:val="fr-FR"/>
        </w:rPr>
        <w:t>. Préciser les mesures prises par l’État partie pour remédier à ces d</w:t>
      </w:r>
      <w:r w:rsidR="00D44A87" w:rsidRPr="003D2676">
        <w:rPr>
          <w:lang w:val="fr-FR"/>
        </w:rPr>
        <w:t>y</w:t>
      </w:r>
      <w:r w:rsidRPr="003D2676">
        <w:rPr>
          <w:lang w:val="fr-FR"/>
        </w:rPr>
        <w:t>sfonctionnements et fournir des données actualisées.</w:t>
      </w:r>
      <w:r w:rsidR="00AA4910" w:rsidRPr="003D2676">
        <w:rPr>
          <w:lang w:val="fr-FR"/>
        </w:rPr>
        <w:t xml:space="preserve"> </w:t>
      </w:r>
      <w:r w:rsidRPr="003D2676">
        <w:rPr>
          <w:lang w:val="fr-FR"/>
        </w:rPr>
        <w:t>Donner des renseignements sur le processus de nomination et de révocation des juges et des magistrats du ministère public ainsi que des informations sur les mesures pour combattre la corruption dans le milieu judiciaire et faciliter l’accès à la justice par la population.</w:t>
      </w:r>
    </w:p>
    <w:p w:rsidR="0063349A" w:rsidRPr="0041493E" w:rsidRDefault="0063349A" w:rsidP="00BC2436">
      <w:pPr>
        <w:pStyle w:val="SingleTxtG"/>
        <w:rPr>
          <w:lang w:val="fr-FR"/>
        </w:rPr>
      </w:pPr>
      <w:r w:rsidRPr="003D2676">
        <w:rPr>
          <w:rFonts w:eastAsia="SimSun"/>
          <w:lang w:val="fr-FR" w:eastAsia="zh-CN"/>
        </w:rPr>
        <w:t>15.</w:t>
      </w:r>
      <w:r w:rsidRPr="003D2676">
        <w:rPr>
          <w:rFonts w:eastAsia="SimSun"/>
          <w:lang w:val="fr-FR" w:eastAsia="zh-CN"/>
        </w:rPr>
        <w:tab/>
        <w:t>Compte tenu des précédentes observations finales du Comité, expliquer les mesures qui ont été prises en ce qui concerne le système d’homologation par les tribunaux</w:t>
      </w:r>
      <w:r w:rsidR="00AA4910" w:rsidRPr="003D2676">
        <w:rPr>
          <w:rFonts w:eastAsia="SimSun"/>
          <w:lang w:val="fr-FR" w:eastAsia="zh-CN"/>
        </w:rPr>
        <w:t xml:space="preserve"> </w:t>
      </w:r>
      <w:r w:rsidRPr="003D2676">
        <w:rPr>
          <w:rFonts w:eastAsia="SimSun"/>
          <w:lang w:val="fr-FR" w:eastAsia="zh-CN"/>
        </w:rPr>
        <w:t>et i</w:t>
      </w:r>
      <w:r w:rsidRPr="003D2676">
        <w:rPr>
          <w:lang w:val="fr-FR"/>
        </w:rPr>
        <w:t>ndiquer si l’obligation pour les prévenus et condamnés de porter un gilet indiquant le lieu de leur détention</w:t>
      </w:r>
      <w:r w:rsidR="00AA4910" w:rsidRPr="003D2676">
        <w:rPr>
          <w:lang w:val="fr-FR"/>
        </w:rPr>
        <w:t xml:space="preserve"> </w:t>
      </w:r>
      <w:r w:rsidRPr="003D2676">
        <w:rPr>
          <w:lang w:val="fr-FR"/>
        </w:rPr>
        <w:t>a été abolie</w:t>
      </w:r>
      <w:r w:rsidR="00D44A87" w:rsidRPr="003D2676">
        <w:rPr>
          <w:lang w:val="fr-FR"/>
        </w:rPr>
        <w:t xml:space="preserve"> (voir CCPR/CO/82/BEN, par. 19 et 21)</w:t>
      </w:r>
      <w:r w:rsidRPr="003D2676">
        <w:rPr>
          <w:lang w:val="fr-FR"/>
        </w:rPr>
        <w:t>.</w:t>
      </w:r>
    </w:p>
    <w:p w:rsidR="0063349A" w:rsidRPr="0041493E" w:rsidRDefault="0063349A" w:rsidP="00CC5E8F">
      <w:pPr>
        <w:pStyle w:val="SingleTxtG"/>
        <w:rPr>
          <w:lang w:val="fr-FR"/>
        </w:rPr>
      </w:pPr>
      <w:r>
        <w:rPr>
          <w:lang w:val="fr-FR"/>
        </w:rPr>
        <w:t>16.</w:t>
      </w:r>
      <w:r>
        <w:rPr>
          <w:lang w:val="fr-FR"/>
        </w:rPr>
        <w:tab/>
      </w:r>
      <w:r w:rsidRPr="0041493E">
        <w:rPr>
          <w:lang w:val="fr-FR"/>
        </w:rPr>
        <w:t xml:space="preserve">En référence à la recommandation du Comité exhortant </w:t>
      </w:r>
      <w:r>
        <w:rPr>
          <w:lang w:val="fr-FR"/>
        </w:rPr>
        <w:t xml:space="preserve">l’État </w:t>
      </w:r>
      <w:r w:rsidRPr="0041493E">
        <w:rPr>
          <w:lang w:val="fr-FR"/>
        </w:rPr>
        <w:t xml:space="preserve">partie </w:t>
      </w:r>
      <w:r w:rsidR="00CC5E8F">
        <w:rPr>
          <w:lang w:val="fr-FR"/>
        </w:rPr>
        <w:t xml:space="preserve">à </w:t>
      </w:r>
      <w:r w:rsidRPr="0041493E">
        <w:rPr>
          <w:lang w:val="fr-FR"/>
        </w:rPr>
        <w:t>faciliter l’accès à un avocat et à l’aide juri</w:t>
      </w:r>
      <w:r>
        <w:rPr>
          <w:lang w:val="fr-FR"/>
        </w:rPr>
        <w:t>dictionnelle en matière pénale</w:t>
      </w:r>
      <w:r w:rsidRPr="004B6AF1">
        <w:rPr>
          <w:lang w:val="fr-FR"/>
        </w:rPr>
        <w:t xml:space="preserve"> </w:t>
      </w:r>
      <w:r w:rsidRPr="0041493E">
        <w:rPr>
          <w:lang w:val="fr-FR"/>
        </w:rPr>
        <w:t>dès l’arrestation</w:t>
      </w:r>
      <w:r>
        <w:rPr>
          <w:lang w:val="fr-FR"/>
        </w:rPr>
        <w:t>,</w:t>
      </w:r>
      <w:r w:rsidRPr="0041493E">
        <w:rPr>
          <w:lang w:val="fr-FR"/>
        </w:rPr>
        <w:t xml:space="preserve"> </w:t>
      </w:r>
      <w:r>
        <w:rPr>
          <w:lang w:val="fr-FR"/>
        </w:rPr>
        <w:t xml:space="preserve">donner </w:t>
      </w:r>
      <w:r>
        <w:rPr>
          <w:lang w:val="fr-FR"/>
        </w:rPr>
        <w:lastRenderedPageBreak/>
        <w:t xml:space="preserve">des renseignements sur la situation actuelle et </w:t>
      </w:r>
      <w:r w:rsidRPr="0041493E">
        <w:rPr>
          <w:lang w:val="fr-FR"/>
        </w:rPr>
        <w:t>préciser si une aide judic</w:t>
      </w:r>
      <w:r w:rsidR="00CC5E8F">
        <w:rPr>
          <w:lang w:val="fr-FR"/>
        </w:rPr>
        <w:t>i</w:t>
      </w:r>
      <w:r w:rsidRPr="0041493E">
        <w:rPr>
          <w:lang w:val="fr-FR"/>
        </w:rPr>
        <w:t xml:space="preserve">aire gratuite est assurée aux personnes </w:t>
      </w:r>
      <w:r w:rsidRPr="003D2676">
        <w:rPr>
          <w:lang w:val="fr-FR"/>
        </w:rPr>
        <w:t>indigentes</w:t>
      </w:r>
      <w:r w:rsidR="00CC5E8F" w:rsidRPr="003D2676">
        <w:rPr>
          <w:lang w:val="fr-FR"/>
        </w:rPr>
        <w:t xml:space="preserve"> (voir CCPR/CO/82/BEN, par. 20)</w:t>
      </w:r>
      <w:r w:rsidRPr="003D2676">
        <w:rPr>
          <w:lang w:val="fr-FR"/>
        </w:rPr>
        <w:t>.</w:t>
      </w:r>
      <w:r>
        <w:rPr>
          <w:lang w:val="fr-FR"/>
        </w:rPr>
        <w:t xml:space="preserve"> </w:t>
      </w:r>
    </w:p>
    <w:p w:rsidR="0063349A" w:rsidRPr="006B4506" w:rsidRDefault="0063349A" w:rsidP="00B11322">
      <w:pPr>
        <w:pStyle w:val="H23G"/>
        <w:rPr>
          <w:spacing w:val="-2"/>
          <w:sz w:val="22"/>
          <w:szCs w:val="22"/>
        </w:rPr>
      </w:pPr>
      <w:r w:rsidRPr="00F13181">
        <w:tab/>
      </w:r>
      <w:r w:rsidRPr="00F13181">
        <w:tab/>
      </w:r>
      <w:r w:rsidRPr="006B4506">
        <w:rPr>
          <w:spacing w:val="-2"/>
          <w:sz w:val="22"/>
          <w:szCs w:val="22"/>
        </w:rPr>
        <w:t>Liberté d’opinion et d’expression</w:t>
      </w:r>
      <w:r w:rsidRPr="006B4506">
        <w:rPr>
          <w:rFonts w:ascii="Times New Roman Bold" w:hAnsi="Times New Roman Bold" w:cs="Times New Roman Bold"/>
          <w:spacing w:val="-2"/>
          <w:sz w:val="22"/>
          <w:szCs w:val="22"/>
        </w:rPr>
        <w:t xml:space="preserve">, de </w:t>
      </w:r>
      <w:r w:rsidRPr="006B4506">
        <w:rPr>
          <w:spacing w:val="-2"/>
          <w:sz w:val="22"/>
          <w:szCs w:val="22"/>
        </w:rPr>
        <w:t>réunion et d’association</w:t>
      </w:r>
      <w:r w:rsidR="00AA4910" w:rsidRPr="006B4506">
        <w:rPr>
          <w:spacing w:val="-2"/>
          <w:sz w:val="22"/>
          <w:szCs w:val="22"/>
        </w:rPr>
        <w:t xml:space="preserve"> </w:t>
      </w:r>
      <w:r w:rsidRPr="006B4506">
        <w:rPr>
          <w:spacing w:val="-2"/>
          <w:sz w:val="22"/>
          <w:szCs w:val="22"/>
        </w:rPr>
        <w:t>(art. 19, 21 et</w:t>
      </w:r>
      <w:r w:rsidR="00F971DA" w:rsidRPr="006B4506">
        <w:rPr>
          <w:spacing w:val="-2"/>
          <w:sz w:val="22"/>
          <w:szCs w:val="22"/>
        </w:rPr>
        <w:t> </w:t>
      </w:r>
      <w:r w:rsidRPr="006B4506">
        <w:rPr>
          <w:spacing w:val="-2"/>
          <w:sz w:val="22"/>
          <w:szCs w:val="22"/>
        </w:rPr>
        <w:t>22)</w:t>
      </w:r>
    </w:p>
    <w:p w:rsidR="0063349A" w:rsidRPr="0041493E" w:rsidRDefault="0063349A" w:rsidP="00E1526A">
      <w:pPr>
        <w:pStyle w:val="SingleTxtG"/>
        <w:rPr>
          <w:lang w:val="fr-FR"/>
        </w:rPr>
      </w:pPr>
      <w:r>
        <w:rPr>
          <w:lang w:val="fr-FR"/>
        </w:rPr>
        <w:t>17.</w:t>
      </w:r>
      <w:r>
        <w:rPr>
          <w:lang w:val="fr-FR"/>
        </w:rPr>
        <w:tab/>
      </w:r>
      <w:r w:rsidRPr="003B674C">
        <w:rPr>
          <w:lang w:val="fr-FR"/>
        </w:rPr>
        <w:t xml:space="preserve">Au regard des informations à la disposition du Comité portant sur les restrictions aux rassemblements de personnes, particulièrement les rassemblements publics qui ne seraient pas favorables au </w:t>
      </w:r>
      <w:r w:rsidR="00E1526A">
        <w:rPr>
          <w:lang w:val="fr-FR"/>
        </w:rPr>
        <w:t>G</w:t>
      </w:r>
      <w:r w:rsidRPr="003B674C">
        <w:rPr>
          <w:lang w:val="fr-FR"/>
        </w:rPr>
        <w:t xml:space="preserve">ouvernement, </w:t>
      </w:r>
      <w:r w:rsidRPr="0063349A">
        <w:rPr>
          <w:lang w:val="fr-FR"/>
        </w:rPr>
        <w:t>préciser les motifs de ces restrictions et de</w:t>
      </w:r>
      <w:r w:rsidRPr="003B674C">
        <w:rPr>
          <w:lang w:val="fr-FR"/>
        </w:rPr>
        <w:t xml:space="preserve"> quelle manière l’État partie protège le droit à la liberté de réunion pacifique.</w:t>
      </w:r>
      <w:r w:rsidRPr="0041493E">
        <w:rPr>
          <w:lang w:val="fr-FR"/>
        </w:rPr>
        <w:t xml:space="preserve"> </w:t>
      </w:r>
    </w:p>
    <w:p w:rsidR="00F74EAF" w:rsidRPr="003D2676" w:rsidRDefault="0063349A" w:rsidP="00E1526A">
      <w:pPr>
        <w:pStyle w:val="SingleTxtG"/>
        <w:rPr>
          <w:lang w:val="fr-FR"/>
        </w:rPr>
      </w:pPr>
      <w:r>
        <w:rPr>
          <w:lang w:val="fr-FR"/>
        </w:rPr>
        <w:t>18.</w:t>
      </w:r>
      <w:r>
        <w:rPr>
          <w:lang w:val="fr-FR"/>
        </w:rPr>
        <w:tab/>
        <w:t>D</w:t>
      </w:r>
      <w:r w:rsidRPr="0041493E">
        <w:rPr>
          <w:lang w:val="fr-FR"/>
        </w:rPr>
        <w:t xml:space="preserve">étailler les mesures prises pour créer un environnement propice pour que tous les médias de </w:t>
      </w:r>
      <w:r>
        <w:rPr>
          <w:lang w:val="fr-FR"/>
        </w:rPr>
        <w:t xml:space="preserve">l’État </w:t>
      </w:r>
      <w:r w:rsidRPr="0041493E">
        <w:rPr>
          <w:lang w:val="fr-FR"/>
        </w:rPr>
        <w:t xml:space="preserve">partie s’expriment librement sur la totalité des sujets d’information. </w:t>
      </w:r>
      <w:r>
        <w:rPr>
          <w:lang w:val="fr-FR"/>
        </w:rPr>
        <w:t>F</w:t>
      </w:r>
      <w:r w:rsidRPr="0041493E">
        <w:rPr>
          <w:lang w:val="fr-FR"/>
        </w:rPr>
        <w:t xml:space="preserve">ournir des informations détaillées sur les critères utilisés par la Haute Autorité de l’audiovisuel et de la communication pour évaluer les activités de diverses organisations et les mesures </w:t>
      </w:r>
      <w:r>
        <w:rPr>
          <w:lang w:val="fr-FR"/>
        </w:rPr>
        <w:t>en place</w:t>
      </w:r>
      <w:r w:rsidRPr="0041493E">
        <w:rPr>
          <w:lang w:val="fr-FR"/>
        </w:rPr>
        <w:t xml:space="preserve"> pour garantir l’indépendance totale de la </w:t>
      </w:r>
      <w:r w:rsidR="00E1526A">
        <w:rPr>
          <w:lang w:val="fr-FR"/>
        </w:rPr>
        <w:t xml:space="preserve">Haute Autorité </w:t>
      </w:r>
      <w:r w:rsidRPr="0041493E">
        <w:rPr>
          <w:lang w:val="fr-FR"/>
        </w:rPr>
        <w:t>par rapport au pouvoir exécutif.</w:t>
      </w:r>
      <w:r w:rsidR="00F74EAF" w:rsidRPr="00F74EAF">
        <w:rPr>
          <w:rFonts w:eastAsia="Calibri"/>
          <w:lang w:val="fr-FR"/>
        </w:rPr>
        <w:t xml:space="preserve"> </w:t>
      </w:r>
      <w:r w:rsidR="00E9264D">
        <w:rPr>
          <w:rFonts w:eastAsia="Calibri"/>
          <w:lang w:val="fr-FR"/>
        </w:rPr>
        <w:t xml:space="preserve">Donner des renseignements sur la </w:t>
      </w:r>
      <w:r w:rsidR="00E9264D" w:rsidRPr="005313BC">
        <w:rPr>
          <w:rFonts w:eastAsia="Calibri"/>
          <w:lang w:val="fr-FR"/>
        </w:rPr>
        <w:t xml:space="preserve">marche </w:t>
      </w:r>
      <w:r w:rsidR="00244556" w:rsidRPr="00B759EE">
        <w:rPr>
          <w:rFonts w:eastAsia="Calibri"/>
          <w:lang w:val="fr-FR"/>
        </w:rPr>
        <w:t>du</w:t>
      </w:r>
      <w:r w:rsidR="00E9264D" w:rsidRPr="003D2676">
        <w:rPr>
          <w:rFonts w:eastAsia="Calibri"/>
          <w:lang w:val="fr-FR"/>
        </w:rPr>
        <w:t xml:space="preserve"> 4 février 2015 </w:t>
      </w:r>
      <w:r w:rsidR="00244556" w:rsidRPr="003D2676">
        <w:rPr>
          <w:rFonts w:eastAsia="Calibri"/>
          <w:lang w:val="fr-FR"/>
        </w:rPr>
        <w:t xml:space="preserve">qui aurait été organisée </w:t>
      </w:r>
      <w:r w:rsidR="00903E9E" w:rsidRPr="003D2676">
        <w:rPr>
          <w:rFonts w:eastAsia="Calibri"/>
          <w:lang w:val="fr-FR"/>
        </w:rPr>
        <w:t xml:space="preserve">pour protester contre l’utilisation </w:t>
      </w:r>
      <w:r w:rsidR="00090603" w:rsidRPr="003D2676">
        <w:rPr>
          <w:rFonts w:eastAsia="Calibri"/>
          <w:lang w:val="fr-FR"/>
        </w:rPr>
        <w:t>d</w:t>
      </w:r>
      <w:r w:rsidR="00E9264D" w:rsidRPr="003D2676">
        <w:rPr>
          <w:rFonts w:eastAsia="Calibri"/>
          <w:lang w:val="fr-FR"/>
        </w:rPr>
        <w:t>es médias publics</w:t>
      </w:r>
      <w:r w:rsidR="00090603" w:rsidRPr="003D2676">
        <w:rPr>
          <w:rFonts w:eastAsia="Calibri"/>
          <w:lang w:val="fr-FR"/>
        </w:rPr>
        <w:t xml:space="preserve"> par le</w:t>
      </w:r>
      <w:r w:rsidR="00E9264D" w:rsidRPr="003D2676">
        <w:rPr>
          <w:rFonts w:eastAsia="Calibri"/>
          <w:lang w:val="fr-FR"/>
        </w:rPr>
        <w:t xml:space="preserve"> pouvoir en place.</w:t>
      </w:r>
    </w:p>
    <w:p w:rsidR="0063349A" w:rsidRPr="003D2676" w:rsidRDefault="0063349A" w:rsidP="00BD2E25">
      <w:pPr>
        <w:pStyle w:val="SingleTxtG"/>
        <w:rPr>
          <w:lang w:val="fr-FR"/>
        </w:rPr>
      </w:pPr>
      <w:r w:rsidRPr="003D2676">
        <w:t>19.</w:t>
      </w:r>
      <w:r w:rsidRPr="003D2676">
        <w:tab/>
        <w:t>Selon les informations à la disposition du Comité, certains journalistes continuent d’être emprisonnés. Préciser si la dépénalisation des délits de presse est effective dans le cadre de la réforme du Code pénal et dans quelle mesure</w:t>
      </w:r>
      <w:r w:rsidR="00AA4910" w:rsidRPr="003D2676">
        <w:t xml:space="preserve"> </w:t>
      </w:r>
      <w:r w:rsidRPr="003D2676">
        <w:t>l’article 59 du Code de procédure pénale</w:t>
      </w:r>
      <w:r w:rsidR="00BD2E25" w:rsidRPr="003D2676">
        <w:t>,</w:t>
      </w:r>
      <w:r w:rsidRPr="003D2676">
        <w:t xml:space="preserve"> </w:t>
      </w:r>
      <w:r w:rsidR="00521086" w:rsidRPr="003D2676">
        <w:t xml:space="preserve">qui </w:t>
      </w:r>
      <w:r w:rsidRPr="003D2676">
        <w:t>interdi</w:t>
      </w:r>
      <w:r w:rsidR="00521086" w:rsidRPr="003D2676">
        <w:t>t</w:t>
      </w:r>
      <w:r w:rsidRPr="003D2676">
        <w:t xml:space="preserve"> la garde à vue pour les infractions commises par voie de presse</w:t>
      </w:r>
      <w:r w:rsidR="00BD2E25" w:rsidRPr="003D2676">
        <w:t>,</w:t>
      </w:r>
      <w:r w:rsidR="00521086" w:rsidRPr="003D2676">
        <w:t xml:space="preserve"> est mis en application</w:t>
      </w:r>
      <w:r w:rsidRPr="003D2676">
        <w:rPr>
          <w:lang w:val="fr-FR"/>
        </w:rPr>
        <w:t>.</w:t>
      </w:r>
      <w:r w:rsidR="00244556" w:rsidRPr="003D2676">
        <w:t xml:space="preserve"> Fournir des renseignements sur le </w:t>
      </w:r>
      <w:r w:rsidR="00521086" w:rsidRPr="003D2676">
        <w:t>C</w:t>
      </w:r>
      <w:r w:rsidR="00244556" w:rsidRPr="003D2676">
        <w:t>ode de l’information et de la communication adopté</w:t>
      </w:r>
      <w:r w:rsidR="00AA4910" w:rsidRPr="003D2676">
        <w:t xml:space="preserve"> </w:t>
      </w:r>
      <w:r w:rsidR="00244556" w:rsidRPr="003D2676">
        <w:t xml:space="preserve">le 22 janvier 2015, en particulier en ce qui concerne le délit </w:t>
      </w:r>
      <w:r w:rsidR="00BD2E25" w:rsidRPr="003D2676">
        <w:t xml:space="preserve">de </w:t>
      </w:r>
      <w:r w:rsidR="00244556" w:rsidRPr="003D2676">
        <w:t xml:space="preserve">presse, </w:t>
      </w:r>
      <w:r w:rsidR="001A3A6D" w:rsidRPr="003D2676">
        <w:t>son</w:t>
      </w:r>
      <w:r w:rsidR="00244556" w:rsidRPr="003D2676">
        <w:t xml:space="preserve"> délai de prescription et l</w:t>
      </w:r>
      <w:r w:rsidR="001A3A6D" w:rsidRPr="003D2676">
        <w:t>a peine encourue</w:t>
      </w:r>
      <w:r w:rsidR="00244556" w:rsidRPr="003D2676">
        <w:t>.</w:t>
      </w:r>
    </w:p>
    <w:p w:rsidR="0063349A" w:rsidRPr="003D2676" w:rsidRDefault="0063349A" w:rsidP="00B11322">
      <w:pPr>
        <w:pStyle w:val="H23G"/>
        <w:rPr>
          <w:sz w:val="22"/>
          <w:szCs w:val="22"/>
        </w:rPr>
      </w:pPr>
      <w:r w:rsidRPr="003D2676">
        <w:rPr>
          <w:color w:val="FF0000"/>
        </w:rPr>
        <w:tab/>
      </w:r>
      <w:r w:rsidRPr="003D2676">
        <w:rPr>
          <w:color w:val="FF0000"/>
          <w:sz w:val="22"/>
          <w:szCs w:val="22"/>
        </w:rPr>
        <w:tab/>
      </w:r>
      <w:r w:rsidRPr="003D2676">
        <w:rPr>
          <w:sz w:val="22"/>
          <w:szCs w:val="22"/>
        </w:rPr>
        <w:t>Non-discrimination et</w:t>
      </w:r>
      <w:r w:rsidRPr="006B4506">
        <w:rPr>
          <w:sz w:val="22"/>
          <w:szCs w:val="22"/>
        </w:rPr>
        <w:t xml:space="preserve"> </w:t>
      </w:r>
      <w:r w:rsidRPr="005313BC">
        <w:rPr>
          <w:sz w:val="22"/>
          <w:szCs w:val="22"/>
        </w:rPr>
        <w:t>droits de l’enfant (art</w:t>
      </w:r>
      <w:r w:rsidRPr="003D2676">
        <w:rPr>
          <w:sz w:val="22"/>
          <w:szCs w:val="22"/>
        </w:rPr>
        <w:t xml:space="preserve">. 3 et 24) </w:t>
      </w:r>
    </w:p>
    <w:p w:rsidR="0063349A" w:rsidRDefault="0063349A" w:rsidP="0063349A">
      <w:pPr>
        <w:pStyle w:val="SingleTxtG"/>
        <w:ind w:left="1200"/>
        <w:rPr>
          <w:lang w:val="fr-FR"/>
        </w:rPr>
      </w:pPr>
      <w:r w:rsidRPr="003D2676">
        <w:rPr>
          <w:lang w:val="fr-FR"/>
        </w:rPr>
        <w:t>20.</w:t>
      </w:r>
      <w:r w:rsidRPr="003D2676">
        <w:rPr>
          <w:lang w:val="fr-FR"/>
        </w:rPr>
        <w:tab/>
        <w:t xml:space="preserve">Fournir des renseignements </w:t>
      </w:r>
      <w:r w:rsidR="00244556" w:rsidRPr="003D2676">
        <w:rPr>
          <w:lang w:val="fr-FR"/>
        </w:rPr>
        <w:t xml:space="preserve"> sur </w:t>
      </w:r>
      <w:r w:rsidR="00D12340" w:rsidRPr="003D2676">
        <w:rPr>
          <w:lang w:val="fr-FR"/>
        </w:rPr>
        <w:t xml:space="preserve">la </w:t>
      </w:r>
      <w:r w:rsidR="00903E9E" w:rsidRPr="003D2676">
        <w:rPr>
          <w:lang w:val="fr-FR"/>
        </w:rPr>
        <w:t>diffusion</w:t>
      </w:r>
      <w:r w:rsidR="00D12340" w:rsidRPr="003D2676">
        <w:rPr>
          <w:lang w:val="fr-FR"/>
        </w:rPr>
        <w:t xml:space="preserve"> et la mise en œuvre du C</w:t>
      </w:r>
      <w:r w:rsidR="00090603" w:rsidRPr="003D2676">
        <w:t>ode de l’enfant adopté le 26</w:t>
      </w:r>
      <w:r w:rsidR="00AA4910" w:rsidRPr="003D2676">
        <w:t xml:space="preserve"> </w:t>
      </w:r>
      <w:r w:rsidR="00090603" w:rsidRPr="003D2676">
        <w:t>janvier 2015</w:t>
      </w:r>
      <w:r w:rsidRPr="003D2676">
        <w:rPr>
          <w:lang w:val="fr-FR"/>
        </w:rPr>
        <w:t xml:space="preserve"> et des efforts menés concernant l’enregistrement des naissances. </w:t>
      </w:r>
      <w:r w:rsidRPr="003D2676">
        <w:t xml:space="preserve">Par ailleurs, </w:t>
      </w:r>
      <w:r w:rsidRPr="003D2676">
        <w:rPr>
          <w:lang w:val="fr-FR"/>
        </w:rPr>
        <w:t>il ressort des informations</w:t>
      </w:r>
      <w:r w:rsidRPr="0041493E">
        <w:rPr>
          <w:lang w:val="fr-FR"/>
        </w:rPr>
        <w:t xml:space="preserve"> </w:t>
      </w:r>
      <w:r>
        <w:rPr>
          <w:lang w:val="fr-FR"/>
        </w:rPr>
        <w:t>à la disposition du</w:t>
      </w:r>
      <w:r w:rsidRPr="0041493E">
        <w:rPr>
          <w:lang w:val="fr-FR"/>
        </w:rPr>
        <w:t xml:space="preserve"> Comité</w:t>
      </w:r>
      <w:r>
        <w:rPr>
          <w:lang w:val="fr-FR"/>
        </w:rPr>
        <w:t xml:space="preserve"> que</w:t>
      </w:r>
      <w:r w:rsidRPr="0041493E">
        <w:rPr>
          <w:lang w:val="fr-FR"/>
        </w:rPr>
        <w:t xml:space="preserve"> les filles n’ont pas les mêmes opportunités d’accès à l’éducation que les garçons. </w:t>
      </w:r>
      <w:r>
        <w:rPr>
          <w:lang w:val="fr-FR"/>
        </w:rPr>
        <w:t>P</w:t>
      </w:r>
      <w:r w:rsidRPr="0041493E">
        <w:rPr>
          <w:lang w:val="fr-FR"/>
        </w:rPr>
        <w:t>réciser les mesures prises pour assurer la gratuité de l’enseignement primaire</w:t>
      </w:r>
      <w:r>
        <w:rPr>
          <w:lang w:val="fr-FR"/>
        </w:rPr>
        <w:t xml:space="preserve"> et</w:t>
      </w:r>
      <w:r w:rsidRPr="0041493E">
        <w:rPr>
          <w:lang w:val="fr-FR"/>
        </w:rPr>
        <w:t xml:space="preserve"> pour accroître le taux de scolarisation, </w:t>
      </w:r>
      <w:r>
        <w:rPr>
          <w:lang w:val="fr-FR"/>
        </w:rPr>
        <w:t>en particulier</w:t>
      </w:r>
      <w:r w:rsidRPr="0041493E">
        <w:rPr>
          <w:lang w:val="fr-FR"/>
        </w:rPr>
        <w:t xml:space="preserve"> celui des filles.</w:t>
      </w:r>
    </w:p>
    <w:p w:rsidR="0063349A" w:rsidRPr="00624EF1" w:rsidRDefault="0063349A" w:rsidP="0063349A">
      <w:pPr>
        <w:pStyle w:val="H23G"/>
        <w:rPr>
          <w:lang w:eastAsia="en-GB"/>
        </w:rPr>
      </w:pPr>
      <w:r>
        <w:rPr>
          <w:lang w:eastAsia="en-GB"/>
        </w:rPr>
        <w:tab/>
      </w:r>
      <w:r>
        <w:rPr>
          <w:lang w:eastAsia="en-GB"/>
        </w:rPr>
        <w:tab/>
      </w:r>
      <w:r w:rsidRPr="00624EF1">
        <w:rPr>
          <w:lang w:eastAsia="en-GB"/>
        </w:rPr>
        <w:t>Diffusion d’information</w:t>
      </w:r>
      <w:r>
        <w:rPr>
          <w:lang w:eastAsia="en-GB"/>
        </w:rPr>
        <w:t>s sur</w:t>
      </w:r>
      <w:r w:rsidRPr="00624EF1">
        <w:rPr>
          <w:lang w:eastAsia="en-GB"/>
        </w:rPr>
        <w:t xml:space="preserve"> le Pacte (art. 2)</w:t>
      </w:r>
    </w:p>
    <w:p w:rsidR="00DF3BF1" w:rsidRDefault="0063349A" w:rsidP="006B4506">
      <w:pPr>
        <w:pStyle w:val="SingleTxtG"/>
        <w:rPr>
          <w:lang w:val="fr-FR"/>
        </w:rPr>
      </w:pPr>
      <w:r w:rsidRPr="0063349A">
        <w:rPr>
          <w:rStyle w:val="SingleTxtGChar"/>
        </w:rPr>
        <w:t>21.</w:t>
      </w:r>
      <w:r w:rsidRPr="0063349A">
        <w:rPr>
          <w:rStyle w:val="SingleTxtGChar"/>
        </w:rPr>
        <w:tab/>
        <w:t>Donner des renseignements sur les mesures que l’État partie a prises pour diffuser des informations sur le Pacte et les Protocoles facultatifs</w:t>
      </w:r>
      <w:r w:rsidR="004F558A">
        <w:rPr>
          <w:rStyle w:val="SingleTxtGChar"/>
        </w:rPr>
        <w:t xml:space="preserve"> s’y rapportant</w:t>
      </w:r>
      <w:r w:rsidRPr="0063349A">
        <w:rPr>
          <w:rStyle w:val="SingleTxtGChar"/>
        </w:rPr>
        <w:t xml:space="preserve">, la présentation du </w:t>
      </w:r>
      <w:r w:rsidR="00796A92" w:rsidRPr="006B4506">
        <w:rPr>
          <w:rStyle w:val="SingleTxtGChar"/>
        </w:rPr>
        <w:t xml:space="preserve">deuxième </w:t>
      </w:r>
      <w:r w:rsidRPr="006B4506">
        <w:rPr>
          <w:rStyle w:val="SingleTxtGChar"/>
        </w:rPr>
        <w:t>rapport</w:t>
      </w:r>
      <w:r w:rsidRPr="0063349A">
        <w:rPr>
          <w:rStyle w:val="SingleTxtGChar"/>
        </w:rPr>
        <w:t xml:space="preserve"> </w:t>
      </w:r>
      <w:r w:rsidR="00796A92">
        <w:rPr>
          <w:rStyle w:val="SingleTxtGChar"/>
        </w:rPr>
        <w:t xml:space="preserve">périodique </w:t>
      </w:r>
      <w:r w:rsidRPr="0063349A">
        <w:rPr>
          <w:rStyle w:val="SingleTxtGChar"/>
        </w:rPr>
        <w:t xml:space="preserve">de l’État partie et son examen par le Comité. Donner également des renseignements plus détaillés sur la participation de la société civile </w:t>
      </w:r>
      <w:r w:rsidR="00BD2E25">
        <w:rPr>
          <w:rStyle w:val="SingleTxtGChar"/>
        </w:rPr>
        <w:t xml:space="preserve">et </w:t>
      </w:r>
      <w:r w:rsidRPr="0063349A">
        <w:rPr>
          <w:rStyle w:val="SingleTxtGChar"/>
        </w:rPr>
        <w:t>des organisations non gouvernementales à l’élaboration d</w:t>
      </w:r>
      <w:r w:rsidR="00796A92">
        <w:rPr>
          <w:rStyle w:val="SingleTxtGChar"/>
        </w:rPr>
        <w:t xml:space="preserve">e ce </w:t>
      </w:r>
      <w:r w:rsidRPr="0063349A">
        <w:rPr>
          <w:rStyle w:val="SingleTxtGChar"/>
        </w:rPr>
        <w:t>rapport.</w:t>
      </w:r>
      <w:r w:rsidRPr="004360B7">
        <w:rPr>
          <w:lang w:val="fr-FR"/>
        </w:rPr>
        <w:t xml:space="preserve"> </w:t>
      </w:r>
    </w:p>
    <w:p w:rsidR="0063349A" w:rsidRPr="0063349A" w:rsidRDefault="0063349A" w:rsidP="0063349A">
      <w:pPr>
        <w:spacing w:before="240"/>
        <w:ind w:left="1134" w:right="1134"/>
        <w:jc w:val="center"/>
        <w:rPr>
          <w:u w:val="single"/>
        </w:rPr>
      </w:pPr>
      <w:r>
        <w:rPr>
          <w:u w:val="single"/>
          <w:lang w:val="fr-FR"/>
        </w:rPr>
        <w:tab/>
      </w:r>
      <w:r>
        <w:rPr>
          <w:u w:val="single"/>
          <w:lang w:val="fr-FR"/>
        </w:rPr>
        <w:tab/>
      </w:r>
      <w:r>
        <w:rPr>
          <w:u w:val="single"/>
          <w:lang w:val="fr-FR"/>
        </w:rPr>
        <w:tab/>
      </w:r>
    </w:p>
    <w:sectPr w:rsidR="0063349A" w:rsidRPr="0063349A" w:rsidSect="006A0A5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8ED" w:rsidRDefault="001268ED"/>
  </w:endnote>
  <w:endnote w:type="continuationSeparator" w:id="0">
    <w:p w:rsidR="001268ED" w:rsidRDefault="001268ED"/>
  </w:endnote>
  <w:endnote w:type="continuationNotice" w:id="1">
    <w:p w:rsidR="001268ED" w:rsidRDefault="001268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A51" w:rsidRPr="006A0A51" w:rsidRDefault="006A0A51" w:rsidP="006A0A51">
    <w:pPr>
      <w:pStyle w:val="Pieddepage"/>
      <w:tabs>
        <w:tab w:val="right" w:pos="9638"/>
      </w:tabs>
    </w:pPr>
    <w:r w:rsidRPr="006A0A51">
      <w:rPr>
        <w:b/>
        <w:sz w:val="18"/>
      </w:rPr>
      <w:fldChar w:fldCharType="begin"/>
    </w:r>
    <w:r w:rsidRPr="006A0A51">
      <w:rPr>
        <w:b/>
        <w:sz w:val="18"/>
      </w:rPr>
      <w:instrText xml:space="preserve"> PAGE  \* MERGEFORMAT </w:instrText>
    </w:r>
    <w:r w:rsidRPr="006A0A51">
      <w:rPr>
        <w:b/>
        <w:sz w:val="18"/>
      </w:rPr>
      <w:fldChar w:fldCharType="separate"/>
    </w:r>
    <w:r w:rsidR="00EE132F">
      <w:rPr>
        <w:b/>
        <w:noProof/>
        <w:sz w:val="18"/>
      </w:rPr>
      <w:t>4</w:t>
    </w:r>
    <w:r w:rsidRPr="006A0A5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A51" w:rsidRPr="006A0A51" w:rsidRDefault="006A0A51" w:rsidP="006A0A51">
    <w:pPr>
      <w:pStyle w:val="Pieddepage"/>
      <w:tabs>
        <w:tab w:val="right" w:pos="9638"/>
      </w:tabs>
      <w:rPr>
        <w:b/>
        <w:sz w:val="18"/>
      </w:rPr>
    </w:pPr>
    <w:r>
      <w:tab/>
    </w:r>
    <w:r w:rsidRPr="006A0A51">
      <w:rPr>
        <w:b/>
        <w:sz w:val="18"/>
      </w:rPr>
      <w:fldChar w:fldCharType="begin"/>
    </w:r>
    <w:r w:rsidRPr="006A0A51">
      <w:rPr>
        <w:b/>
        <w:sz w:val="18"/>
      </w:rPr>
      <w:instrText xml:space="preserve"> PAGE  \* MERGEFORMAT </w:instrText>
    </w:r>
    <w:r w:rsidRPr="006A0A51">
      <w:rPr>
        <w:b/>
        <w:sz w:val="18"/>
      </w:rPr>
      <w:fldChar w:fldCharType="separate"/>
    </w:r>
    <w:r w:rsidR="00EE132F">
      <w:rPr>
        <w:b/>
        <w:noProof/>
        <w:sz w:val="18"/>
      </w:rPr>
      <w:t>3</w:t>
    </w:r>
    <w:r w:rsidRPr="006A0A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2E" w:rsidRPr="006A0A51" w:rsidRDefault="00F56858">
    <w:pPr>
      <w:pStyle w:val="Pieddepage"/>
      <w:rPr>
        <w:sz w:val="20"/>
      </w:rPr>
    </w:pPr>
    <w:r>
      <w:rPr>
        <w:noProof/>
        <w:lang w:val="en-US"/>
      </w:rPr>
      <w:drawing>
        <wp:anchor distT="0" distB="0" distL="114300" distR="114300" simplePos="0" relativeHeight="251657728" behindDoc="0" locked="0" layoutInCell="1" allowOverlap="1">
          <wp:simplePos x="0" y="0"/>
          <wp:positionH relativeFrom="margin">
            <wp:posOffset>4320540</wp:posOffset>
          </wp:positionH>
          <wp:positionV relativeFrom="margin">
            <wp:posOffset>8281035</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pic:spPr>
              </pic:pic>
            </a:graphicData>
          </a:graphic>
          <wp14:sizeRelH relativeFrom="page">
            <wp14:pctWidth>0</wp14:pctWidth>
          </wp14:sizeRelH>
          <wp14:sizeRelV relativeFrom="page">
            <wp14:pctHeight>0</wp14:pctHeight>
          </wp14:sizeRelV>
        </wp:anchor>
      </w:drawing>
    </w:r>
    <w:r w:rsidR="006A0A51">
      <w:rPr>
        <w:sz w:val="20"/>
      </w:rPr>
      <w:t>GE.15-</w:t>
    </w:r>
    <w:r w:rsidR="00EA0F3B">
      <w:rPr>
        <w:sz w:val="20"/>
      </w:rPr>
      <w:t>08396</w:t>
    </w:r>
    <w:r w:rsidR="0089604B">
      <w:rPr>
        <w:sz w:val="20"/>
      </w:rPr>
      <w:br/>
    </w:r>
    <w:r w:rsidR="0089604B" w:rsidRPr="0089604B">
      <w:rPr>
        <w:rFonts w:ascii="C39T30Lfz" w:hAnsi="C39T30Lfz"/>
        <w:sz w:val="56"/>
      </w:rPr>
      <w:t></w:t>
    </w:r>
    <w:r w:rsidR="0089604B" w:rsidRPr="0089604B">
      <w:rPr>
        <w:rFonts w:ascii="C39T30Lfz" w:hAnsi="C39T30Lfz"/>
        <w:sz w:val="56"/>
      </w:rPr>
      <w:t></w:t>
    </w:r>
    <w:r w:rsidR="0089604B" w:rsidRPr="0089604B">
      <w:rPr>
        <w:rFonts w:ascii="C39T30Lfz" w:hAnsi="C39T30Lfz"/>
        <w:sz w:val="56"/>
      </w:rPr>
      <w:t></w:t>
    </w:r>
    <w:r w:rsidR="0089604B" w:rsidRPr="0089604B">
      <w:rPr>
        <w:rFonts w:ascii="C39T30Lfz" w:hAnsi="C39T30Lfz"/>
        <w:sz w:val="56"/>
      </w:rPr>
      <w:t></w:t>
    </w:r>
    <w:r w:rsidR="0089604B" w:rsidRPr="0089604B">
      <w:rPr>
        <w:rFonts w:ascii="C39T30Lfz" w:hAnsi="C39T30Lfz"/>
        <w:sz w:val="56"/>
      </w:rPr>
      <w:t></w:t>
    </w:r>
    <w:r w:rsidR="0089604B" w:rsidRPr="0089604B">
      <w:rPr>
        <w:rFonts w:ascii="C39T30Lfz" w:hAnsi="C39T30Lfz"/>
        <w:sz w:val="56"/>
      </w:rPr>
      <w:t></w:t>
    </w:r>
    <w:r w:rsidR="0089604B" w:rsidRPr="0089604B">
      <w:rPr>
        <w:rFonts w:ascii="C39T30Lfz" w:hAnsi="C39T30Lfz"/>
        <w:sz w:val="56"/>
      </w:rPr>
      <w:t></w:t>
    </w:r>
    <w:r w:rsidR="0089604B" w:rsidRPr="0089604B">
      <w:rPr>
        <w:rFonts w:ascii="C39T30Lfz" w:hAnsi="C39T30Lfz"/>
        <w:sz w:val="56"/>
      </w:rPr>
      <w:t></w:t>
    </w:r>
    <w:r w:rsidR="0089604B" w:rsidRPr="0089604B">
      <w:rPr>
        <w:rFonts w:ascii="C39T30Lfz" w:hAnsi="C39T30Lfz"/>
        <w:sz w:val="56"/>
      </w:rPr>
      <w:t></w:t>
    </w:r>
    <w:r>
      <w:rPr>
        <w:noProof/>
        <w:sz w:val="20"/>
        <w:lang w:val="en-US"/>
      </w:rPr>
      <w:drawing>
        <wp:anchor distT="0" distB="0" distL="114300" distR="114300" simplePos="0" relativeHeight="251658752" behindDoc="0" locked="0" layoutInCell="1" allowOverlap="1">
          <wp:simplePos x="0" y="0"/>
          <wp:positionH relativeFrom="margin">
            <wp:posOffset>5490845</wp:posOffset>
          </wp:positionH>
          <wp:positionV relativeFrom="margin">
            <wp:posOffset>8028940</wp:posOffset>
          </wp:positionV>
          <wp:extent cx="638175" cy="638175"/>
          <wp:effectExtent l="0" t="0" r="9525" b="9525"/>
          <wp:wrapNone/>
          <wp:docPr id="2" name="Image 2" descr="http://undocs.org/m2/QRCode.ashx?DS=CCPR/C/BEN/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BEN/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8ED" w:rsidRPr="00D27D5E" w:rsidRDefault="001268ED" w:rsidP="00D27D5E">
      <w:pPr>
        <w:tabs>
          <w:tab w:val="right" w:pos="2155"/>
        </w:tabs>
        <w:spacing w:after="80"/>
        <w:ind w:left="680"/>
        <w:rPr>
          <w:u w:val="single"/>
        </w:rPr>
      </w:pPr>
      <w:r>
        <w:rPr>
          <w:u w:val="single"/>
        </w:rPr>
        <w:tab/>
      </w:r>
    </w:p>
  </w:footnote>
  <w:footnote w:type="continuationSeparator" w:id="0">
    <w:p w:rsidR="001268ED" w:rsidRPr="00091505" w:rsidRDefault="001268ED" w:rsidP="00091505">
      <w:pPr>
        <w:tabs>
          <w:tab w:val="right" w:pos="2155"/>
        </w:tabs>
        <w:spacing w:after="80"/>
        <w:ind w:left="680"/>
        <w:rPr>
          <w:u w:val="single"/>
        </w:rPr>
      </w:pPr>
      <w:r w:rsidRPr="00091505">
        <w:rPr>
          <w:u w:val="single"/>
        </w:rPr>
        <w:tab/>
      </w:r>
    </w:p>
  </w:footnote>
  <w:footnote w:type="continuationNotice" w:id="1">
    <w:p w:rsidR="001268ED" w:rsidRDefault="001268ED"/>
  </w:footnote>
  <w:footnote w:id="2">
    <w:p w:rsidR="00450545" w:rsidRPr="002A203D" w:rsidRDefault="00450545" w:rsidP="00B11322">
      <w:pPr>
        <w:pStyle w:val="Notedebasdepage"/>
        <w:rPr>
          <w:lang w:val="fr-CH"/>
        </w:rPr>
      </w:pPr>
      <w:r>
        <w:tab/>
      </w:r>
      <w:r w:rsidRPr="002A203D">
        <w:rPr>
          <w:rStyle w:val="Appelnotedebasdep"/>
          <w:sz w:val="20"/>
          <w:vertAlign w:val="baseline"/>
          <w:lang w:val="fr-CH"/>
        </w:rPr>
        <w:t>*</w:t>
      </w:r>
      <w:r w:rsidRPr="002A203D">
        <w:rPr>
          <w:sz w:val="20"/>
          <w:lang w:val="fr-CH"/>
        </w:rPr>
        <w:tab/>
      </w:r>
      <w:r w:rsidRPr="002A203D">
        <w:rPr>
          <w:lang w:val="fr-CH"/>
        </w:rPr>
        <w:t xml:space="preserve">Adoptées par le Comité à sa </w:t>
      </w:r>
      <w:r w:rsidRPr="002A203D">
        <w:rPr>
          <w:color w:val="000000"/>
          <w:lang w:val="fr-CH"/>
        </w:rPr>
        <w:t>113</w:t>
      </w:r>
      <w:r w:rsidRPr="002A203D">
        <w:rPr>
          <w:color w:val="000000"/>
          <w:vertAlign w:val="superscript"/>
          <w:lang w:val="fr-CH"/>
        </w:rPr>
        <w:t>e</w:t>
      </w:r>
      <w:r w:rsidRPr="002A203D">
        <w:rPr>
          <w:lang w:val="fr-CH"/>
        </w:rPr>
        <w:t> session (16 mars</w:t>
      </w:r>
      <w:r w:rsidR="00B11322" w:rsidRPr="002A203D">
        <w:rPr>
          <w:lang w:val="fr-CH"/>
        </w:rPr>
        <w:t>-</w:t>
      </w:r>
      <w:r w:rsidRPr="002A203D">
        <w:rPr>
          <w:color w:val="000000"/>
          <w:lang w:val="fr-CH"/>
        </w:rPr>
        <w:t>2</w:t>
      </w:r>
      <w:r w:rsidR="00B759EE" w:rsidRPr="002A203D">
        <w:rPr>
          <w:color w:val="000000"/>
          <w:lang w:val="fr-CH"/>
        </w:rPr>
        <w:t xml:space="preserve"> </w:t>
      </w:r>
      <w:r w:rsidRPr="002A203D">
        <w:rPr>
          <w:color w:val="000000"/>
          <w:lang w:val="fr-CH"/>
        </w:rPr>
        <w:t>avril 2015</w:t>
      </w:r>
      <w:r w:rsidRPr="002A203D">
        <w:rPr>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A51" w:rsidRPr="006A0A51" w:rsidRDefault="006A0A51" w:rsidP="00CB634E">
    <w:pPr>
      <w:pStyle w:val="En-tte"/>
    </w:pPr>
    <w:r>
      <w:t>CCPR/C/BEN/Q/2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A51" w:rsidRPr="006A0A51" w:rsidRDefault="006A0A51" w:rsidP="00BC2436">
    <w:pPr>
      <w:pStyle w:val="En-tte"/>
      <w:jc w:val="right"/>
    </w:pPr>
    <w:r>
      <w:t>CCPR/C/BEN/Q/2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A51"/>
    <w:rsid w:val="00015E9D"/>
    <w:rsid w:val="00016AC5"/>
    <w:rsid w:val="00024B3B"/>
    <w:rsid w:val="00090603"/>
    <w:rsid w:val="00091284"/>
    <w:rsid w:val="00091505"/>
    <w:rsid w:val="00097C51"/>
    <w:rsid w:val="000A147A"/>
    <w:rsid w:val="000F41F2"/>
    <w:rsid w:val="00122DE8"/>
    <w:rsid w:val="001268ED"/>
    <w:rsid w:val="00160540"/>
    <w:rsid w:val="00192EEB"/>
    <w:rsid w:val="001A20FB"/>
    <w:rsid w:val="001A3A6D"/>
    <w:rsid w:val="001B0DC7"/>
    <w:rsid w:val="001B102E"/>
    <w:rsid w:val="001B1B3F"/>
    <w:rsid w:val="001C3080"/>
    <w:rsid w:val="001D7F8A"/>
    <w:rsid w:val="001E3FEB"/>
    <w:rsid w:val="001E4A02"/>
    <w:rsid w:val="001F25C4"/>
    <w:rsid w:val="00223672"/>
    <w:rsid w:val="00225A8C"/>
    <w:rsid w:val="00244556"/>
    <w:rsid w:val="002659F1"/>
    <w:rsid w:val="0027608C"/>
    <w:rsid w:val="00287E79"/>
    <w:rsid w:val="002928F9"/>
    <w:rsid w:val="002A203D"/>
    <w:rsid w:val="002A5D07"/>
    <w:rsid w:val="002D5E72"/>
    <w:rsid w:val="002E0222"/>
    <w:rsid w:val="002E1A7F"/>
    <w:rsid w:val="002E3D7F"/>
    <w:rsid w:val="003016B7"/>
    <w:rsid w:val="00327D06"/>
    <w:rsid w:val="003515AA"/>
    <w:rsid w:val="00366F5B"/>
    <w:rsid w:val="00372C64"/>
    <w:rsid w:val="00374106"/>
    <w:rsid w:val="003976D5"/>
    <w:rsid w:val="003D2676"/>
    <w:rsid w:val="003D6C68"/>
    <w:rsid w:val="00413931"/>
    <w:rsid w:val="004159D0"/>
    <w:rsid w:val="00415FE4"/>
    <w:rsid w:val="004300D8"/>
    <w:rsid w:val="00450545"/>
    <w:rsid w:val="00464EEE"/>
    <w:rsid w:val="0048217C"/>
    <w:rsid w:val="004F558A"/>
    <w:rsid w:val="004F6394"/>
    <w:rsid w:val="00521086"/>
    <w:rsid w:val="005313BC"/>
    <w:rsid w:val="00543D5E"/>
    <w:rsid w:val="00571F41"/>
    <w:rsid w:val="005C02AB"/>
    <w:rsid w:val="005C58C5"/>
    <w:rsid w:val="005E5D1F"/>
    <w:rsid w:val="00611D43"/>
    <w:rsid w:val="00612D48"/>
    <w:rsid w:val="00616B45"/>
    <w:rsid w:val="00623C9C"/>
    <w:rsid w:val="00630D9B"/>
    <w:rsid w:val="00631953"/>
    <w:rsid w:val="0063349A"/>
    <w:rsid w:val="006439EC"/>
    <w:rsid w:val="0064615E"/>
    <w:rsid w:val="00697ACA"/>
    <w:rsid w:val="006A0A51"/>
    <w:rsid w:val="006B35D4"/>
    <w:rsid w:val="006B4506"/>
    <w:rsid w:val="006B4590"/>
    <w:rsid w:val="006C340C"/>
    <w:rsid w:val="006D4FF8"/>
    <w:rsid w:val="0070347C"/>
    <w:rsid w:val="0071451B"/>
    <w:rsid w:val="007176C1"/>
    <w:rsid w:val="00723B6B"/>
    <w:rsid w:val="00724437"/>
    <w:rsid w:val="00725DC9"/>
    <w:rsid w:val="00737DEE"/>
    <w:rsid w:val="007465CB"/>
    <w:rsid w:val="00775D99"/>
    <w:rsid w:val="00796940"/>
    <w:rsid w:val="00796A92"/>
    <w:rsid w:val="007A6D74"/>
    <w:rsid w:val="007C3CAA"/>
    <w:rsid w:val="007C7846"/>
    <w:rsid w:val="007E5C1B"/>
    <w:rsid w:val="007F55CB"/>
    <w:rsid w:val="007F5A19"/>
    <w:rsid w:val="00810AFC"/>
    <w:rsid w:val="008372D6"/>
    <w:rsid w:val="00844750"/>
    <w:rsid w:val="00873B3C"/>
    <w:rsid w:val="00890F49"/>
    <w:rsid w:val="00892241"/>
    <w:rsid w:val="00895EA4"/>
    <w:rsid w:val="0089604B"/>
    <w:rsid w:val="0089756C"/>
    <w:rsid w:val="008A39ED"/>
    <w:rsid w:val="008B44C4"/>
    <w:rsid w:val="008E7FAE"/>
    <w:rsid w:val="008F53ED"/>
    <w:rsid w:val="00903E9E"/>
    <w:rsid w:val="00911BF7"/>
    <w:rsid w:val="00943FFD"/>
    <w:rsid w:val="009554DD"/>
    <w:rsid w:val="00965729"/>
    <w:rsid w:val="00977EC8"/>
    <w:rsid w:val="00993DE6"/>
    <w:rsid w:val="009D2EE4"/>
    <w:rsid w:val="009D3A8C"/>
    <w:rsid w:val="009D6A30"/>
    <w:rsid w:val="009E7956"/>
    <w:rsid w:val="009F5BB4"/>
    <w:rsid w:val="00A064CE"/>
    <w:rsid w:val="00A228B4"/>
    <w:rsid w:val="00A244CE"/>
    <w:rsid w:val="00A2492E"/>
    <w:rsid w:val="00A509F3"/>
    <w:rsid w:val="00A720C2"/>
    <w:rsid w:val="00A929DE"/>
    <w:rsid w:val="00AA0C4B"/>
    <w:rsid w:val="00AA3390"/>
    <w:rsid w:val="00AA4910"/>
    <w:rsid w:val="00AB51C8"/>
    <w:rsid w:val="00AC67A1"/>
    <w:rsid w:val="00AC7977"/>
    <w:rsid w:val="00AE352C"/>
    <w:rsid w:val="00AF1CE8"/>
    <w:rsid w:val="00B11322"/>
    <w:rsid w:val="00B32E2D"/>
    <w:rsid w:val="00B35044"/>
    <w:rsid w:val="00B61990"/>
    <w:rsid w:val="00B759EE"/>
    <w:rsid w:val="00B83180"/>
    <w:rsid w:val="00B93051"/>
    <w:rsid w:val="00BB1728"/>
    <w:rsid w:val="00BC2436"/>
    <w:rsid w:val="00BD2E25"/>
    <w:rsid w:val="00BD58F6"/>
    <w:rsid w:val="00BF0556"/>
    <w:rsid w:val="00C261F8"/>
    <w:rsid w:val="00C33100"/>
    <w:rsid w:val="00C4083C"/>
    <w:rsid w:val="00C5372C"/>
    <w:rsid w:val="00C65AAF"/>
    <w:rsid w:val="00CA6A02"/>
    <w:rsid w:val="00CB3922"/>
    <w:rsid w:val="00CB5A09"/>
    <w:rsid w:val="00CB634E"/>
    <w:rsid w:val="00CC2958"/>
    <w:rsid w:val="00CC5E8F"/>
    <w:rsid w:val="00CD1A71"/>
    <w:rsid w:val="00CD1FBB"/>
    <w:rsid w:val="00CF5128"/>
    <w:rsid w:val="00D016B5"/>
    <w:rsid w:val="00D034F1"/>
    <w:rsid w:val="00D12340"/>
    <w:rsid w:val="00D27D5E"/>
    <w:rsid w:val="00D35B2D"/>
    <w:rsid w:val="00D44A87"/>
    <w:rsid w:val="00D81394"/>
    <w:rsid w:val="00DC1F3D"/>
    <w:rsid w:val="00DC2BFD"/>
    <w:rsid w:val="00DE6D90"/>
    <w:rsid w:val="00DF002F"/>
    <w:rsid w:val="00DF3BF1"/>
    <w:rsid w:val="00E0244D"/>
    <w:rsid w:val="00E144C5"/>
    <w:rsid w:val="00E1526A"/>
    <w:rsid w:val="00E368FF"/>
    <w:rsid w:val="00E81E94"/>
    <w:rsid w:val="00E82607"/>
    <w:rsid w:val="00E9264D"/>
    <w:rsid w:val="00E928CF"/>
    <w:rsid w:val="00EA0F3B"/>
    <w:rsid w:val="00EC74C7"/>
    <w:rsid w:val="00EE132F"/>
    <w:rsid w:val="00F33865"/>
    <w:rsid w:val="00F56858"/>
    <w:rsid w:val="00F74EAF"/>
    <w:rsid w:val="00F86D5C"/>
    <w:rsid w:val="00F971DA"/>
    <w:rsid w:val="00FA5A79"/>
    <w:rsid w:val="00FB0BFE"/>
    <w:rsid w:val="00FB4C51"/>
    <w:rsid w:val="00FD0A08"/>
    <w:rsid w:val="00FF1D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BC2436"/>
    <w:rPr>
      <w:rFonts w:ascii="Times New Roman" w:hAnsi="Times New Roman"/>
      <w:sz w:val="18"/>
      <w:vertAlign w:val="superscript"/>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BC243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rsid w:val="00AA0C4B"/>
    <w:rPr>
      <w:sz w:val="16"/>
      <w:szCs w:val="16"/>
    </w:rPr>
  </w:style>
  <w:style w:type="character" w:customStyle="1" w:styleId="SingleTxtGChar">
    <w:name w:val="_ Single Txt_G Char"/>
    <w:link w:val="SingleTxtG"/>
    <w:rsid w:val="0063349A"/>
    <w:rPr>
      <w:lang w:val="fr-CH" w:eastAsia="en-US"/>
    </w:rPr>
  </w:style>
  <w:style w:type="character" w:customStyle="1" w:styleId="NotedebasdepageCar">
    <w:name w:val="Note de bas de page Car"/>
    <w:aliases w:val="5_G Car"/>
    <w:link w:val="Notedebasdepage"/>
    <w:rsid w:val="0063349A"/>
    <w:rPr>
      <w:rFonts w:eastAsia="SimSun"/>
      <w:sz w:val="18"/>
    </w:rPr>
  </w:style>
  <w:style w:type="paragraph" w:styleId="Textedebulles">
    <w:name w:val="Balloon Text"/>
    <w:basedOn w:val="Normal"/>
    <w:link w:val="TextedebullesCar"/>
    <w:rsid w:val="00F74EAF"/>
    <w:pPr>
      <w:spacing w:line="240" w:lineRule="auto"/>
    </w:pPr>
    <w:rPr>
      <w:rFonts w:ascii="Tahoma" w:hAnsi="Tahoma" w:cs="Tahoma"/>
      <w:sz w:val="16"/>
      <w:szCs w:val="16"/>
    </w:rPr>
  </w:style>
  <w:style w:type="character" w:customStyle="1" w:styleId="TextedebullesCar">
    <w:name w:val="Texte de bulles Car"/>
    <w:link w:val="Textedebulles"/>
    <w:rsid w:val="00F74EAF"/>
    <w:rPr>
      <w:rFonts w:ascii="Tahoma" w:hAnsi="Tahoma" w:cs="Tahoma"/>
      <w:sz w:val="16"/>
      <w:szCs w:val="16"/>
      <w:lang w:val="fr-CH" w:eastAsia="en-US"/>
    </w:rPr>
  </w:style>
  <w:style w:type="paragraph" w:styleId="Commentaire">
    <w:name w:val="annotation text"/>
    <w:basedOn w:val="Normal"/>
    <w:link w:val="CommentaireCar"/>
    <w:rsid w:val="00F74EAF"/>
  </w:style>
  <w:style w:type="character" w:customStyle="1" w:styleId="CommentaireCar">
    <w:name w:val="Commentaire Car"/>
    <w:link w:val="Commentaire"/>
    <w:rsid w:val="00F74EAF"/>
    <w:rPr>
      <w:lang w:val="fr-CH" w:eastAsia="en-US"/>
    </w:rPr>
  </w:style>
  <w:style w:type="paragraph" w:styleId="Objetducommentaire">
    <w:name w:val="annotation subject"/>
    <w:basedOn w:val="Commentaire"/>
    <w:next w:val="Commentaire"/>
    <w:link w:val="ObjetducommentaireCar"/>
    <w:rsid w:val="00AA0C4B"/>
    <w:rPr>
      <w:b/>
      <w:bCs/>
    </w:rPr>
  </w:style>
  <w:style w:type="character" w:customStyle="1" w:styleId="ObjetducommentaireCar">
    <w:name w:val="Objet du commentaire Car"/>
    <w:link w:val="Objetducommentaire"/>
    <w:rsid w:val="00AA0C4B"/>
    <w:rPr>
      <w:b/>
      <w:bCs/>
      <w:lang w:val="fr-CH" w:eastAsia="en-US"/>
    </w:rPr>
  </w:style>
  <w:style w:type="paragraph" w:styleId="Rvision">
    <w:name w:val="Revision"/>
    <w:hidden/>
    <w:uiPriority w:val="99"/>
    <w:semiHidden/>
    <w:rsid w:val="00AA0C4B"/>
    <w:rPr>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BC2436"/>
    <w:rPr>
      <w:rFonts w:ascii="Times New Roman" w:hAnsi="Times New Roman"/>
      <w:sz w:val="18"/>
      <w:vertAlign w:val="superscript"/>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BC243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rsid w:val="00AA0C4B"/>
    <w:rPr>
      <w:sz w:val="16"/>
      <w:szCs w:val="16"/>
    </w:rPr>
  </w:style>
  <w:style w:type="character" w:customStyle="1" w:styleId="SingleTxtGChar">
    <w:name w:val="_ Single Txt_G Char"/>
    <w:link w:val="SingleTxtG"/>
    <w:rsid w:val="0063349A"/>
    <w:rPr>
      <w:lang w:val="fr-CH" w:eastAsia="en-US"/>
    </w:rPr>
  </w:style>
  <w:style w:type="character" w:customStyle="1" w:styleId="NotedebasdepageCar">
    <w:name w:val="Note de bas de page Car"/>
    <w:aliases w:val="5_G Car"/>
    <w:link w:val="Notedebasdepage"/>
    <w:rsid w:val="0063349A"/>
    <w:rPr>
      <w:rFonts w:eastAsia="SimSun"/>
      <w:sz w:val="18"/>
    </w:rPr>
  </w:style>
  <w:style w:type="paragraph" w:styleId="Textedebulles">
    <w:name w:val="Balloon Text"/>
    <w:basedOn w:val="Normal"/>
    <w:link w:val="TextedebullesCar"/>
    <w:rsid w:val="00F74EAF"/>
    <w:pPr>
      <w:spacing w:line="240" w:lineRule="auto"/>
    </w:pPr>
    <w:rPr>
      <w:rFonts w:ascii="Tahoma" w:hAnsi="Tahoma" w:cs="Tahoma"/>
      <w:sz w:val="16"/>
      <w:szCs w:val="16"/>
    </w:rPr>
  </w:style>
  <w:style w:type="character" w:customStyle="1" w:styleId="TextedebullesCar">
    <w:name w:val="Texte de bulles Car"/>
    <w:link w:val="Textedebulles"/>
    <w:rsid w:val="00F74EAF"/>
    <w:rPr>
      <w:rFonts w:ascii="Tahoma" w:hAnsi="Tahoma" w:cs="Tahoma"/>
      <w:sz w:val="16"/>
      <w:szCs w:val="16"/>
      <w:lang w:val="fr-CH" w:eastAsia="en-US"/>
    </w:rPr>
  </w:style>
  <w:style w:type="paragraph" w:styleId="Commentaire">
    <w:name w:val="annotation text"/>
    <w:basedOn w:val="Normal"/>
    <w:link w:val="CommentaireCar"/>
    <w:rsid w:val="00F74EAF"/>
  </w:style>
  <w:style w:type="character" w:customStyle="1" w:styleId="CommentaireCar">
    <w:name w:val="Commentaire Car"/>
    <w:link w:val="Commentaire"/>
    <w:rsid w:val="00F74EAF"/>
    <w:rPr>
      <w:lang w:val="fr-CH" w:eastAsia="en-US"/>
    </w:rPr>
  </w:style>
  <w:style w:type="paragraph" w:styleId="Objetducommentaire">
    <w:name w:val="annotation subject"/>
    <w:basedOn w:val="Commentaire"/>
    <w:next w:val="Commentaire"/>
    <w:link w:val="ObjetducommentaireCar"/>
    <w:rsid w:val="00AA0C4B"/>
    <w:rPr>
      <w:b/>
      <w:bCs/>
    </w:rPr>
  </w:style>
  <w:style w:type="character" w:customStyle="1" w:styleId="ObjetducommentaireCar">
    <w:name w:val="Objet du commentaire Car"/>
    <w:link w:val="Objetducommentaire"/>
    <w:rsid w:val="00AA0C4B"/>
    <w:rPr>
      <w:b/>
      <w:bCs/>
      <w:lang w:val="fr-CH" w:eastAsia="en-US"/>
    </w:rPr>
  </w:style>
  <w:style w:type="paragraph" w:styleId="Rvision">
    <w:name w:val="Revision"/>
    <w:hidden/>
    <w:uiPriority w:val="99"/>
    <w:semiHidden/>
    <w:rsid w:val="00AA0C4B"/>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J:\UN%20Docs%202010\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74789-0BCD-4CF0-AF54-FF0C2FAD1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4</Pages>
  <Words>2036</Words>
  <Characters>11285</Characters>
  <Application>Microsoft Office Word</Application>
  <DocSecurity>0</DocSecurity>
  <Lines>194</Lines>
  <Paragraphs>68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Nations Unies</vt:lpstr>
      <vt:lpstr>Nations Unies</vt:lpstr>
    </vt:vector>
  </TitlesOfParts>
  <Company>CSD</Company>
  <LinksUpToDate>false</LinksUpToDate>
  <CharactersWithSpaces>13253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Thodiyil Sindu</dc:creator>
  <cp:lastModifiedBy>Morin</cp:lastModifiedBy>
  <cp:revision>2</cp:revision>
  <cp:lastPrinted>2015-04-27T06:54:00Z</cp:lastPrinted>
  <dcterms:created xsi:type="dcterms:W3CDTF">2015-04-28T09:42:00Z</dcterms:created>
  <dcterms:modified xsi:type="dcterms:W3CDTF">2015-04-28T09:42:00Z</dcterms:modified>
</cp:coreProperties>
</file>