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679"/>
        <w:gridCol w:w="3686"/>
      </w:tblGrid>
      <w:tr w:rsidR="006B3E27" w:rsidRPr="00102650" w14:paraId="7B9A6E26" w14:textId="77777777" w:rsidTr="00E866BF">
        <w:trPr>
          <w:trHeight w:hRule="exact" w:val="851"/>
        </w:trPr>
        <w:tc>
          <w:tcPr>
            <w:tcW w:w="1274" w:type="dxa"/>
            <w:tcBorders>
              <w:bottom w:val="single" w:sz="4" w:space="0" w:color="auto"/>
            </w:tcBorders>
          </w:tcPr>
          <w:p w14:paraId="1CE5E235" w14:textId="77777777" w:rsidR="006B3E27" w:rsidRPr="00102650" w:rsidRDefault="006B3E27" w:rsidP="0017502A">
            <w:pPr>
              <w:kinsoku w:val="0"/>
              <w:overflowPunct w:val="0"/>
              <w:autoSpaceDE w:val="0"/>
              <w:autoSpaceDN w:val="0"/>
              <w:adjustRightInd w:val="0"/>
              <w:snapToGrid w:val="0"/>
              <w:spacing w:after="80" w:line="480" w:lineRule="exact"/>
              <w:jc w:val="left"/>
              <w:rPr>
                <w:rFonts w:hint="cs"/>
                <w:szCs w:val="40"/>
                <w:rtl/>
              </w:rPr>
            </w:pPr>
          </w:p>
        </w:tc>
        <w:tc>
          <w:tcPr>
            <w:tcW w:w="4679" w:type="dxa"/>
            <w:tcBorders>
              <w:bottom w:val="single" w:sz="4" w:space="0" w:color="auto"/>
            </w:tcBorders>
            <w:vAlign w:val="bottom"/>
          </w:tcPr>
          <w:p w14:paraId="3A23BF1B" w14:textId="77777777" w:rsidR="006B3E27" w:rsidRPr="00102650" w:rsidRDefault="006B3E27" w:rsidP="00E866BF">
            <w:pPr>
              <w:spacing w:after="80" w:line="480" w:lineRule="exact"/>
              <w:ind w:left="57"/>
              <w:jc w:val="left"/>
              <w:rPr>
                <w:sz w:val="30"/>
                <w:szCs w:val="30"/>
                <w:rtl/>
              </w:rPr>
            </w:pPr>
            <w:r w:rsidRPr="00102650">
              <w:rPr>
                <w:rFonts w:hint="cs"/>
                <w:sz w:val="30"/>
                <w:szCs w:val="30"/>
                <w:rtl/>
              </w:rPr>
              <w:t>الأمم المتحدة</w:t>
            </w:r>
          </w:p>
        </w:tc>
        <w:tc>
          <w:tcPr>
            <w:tcW w:w="3686" w:type="dxa"/>
            <w:tcBorders>
              <w:bottom w:val="single" w:sz="4" w:space="0" w:color="auto"/>
            </w:tcBorders>
            <w:vAlign w:val="bottom"/>
          </w:tcPr>
          <w:p w14:paraId="08673CF6" w14:textId="6DCBAE61" w:rsidR="006B3E27" w:rsidRPr="00102650" w:rsidRDefault="00D62556" w:rsidP="00D62556">
            <w:pPr>
              <w:bidi w:val="0"/>
              <w:jc w:val="left"/>
            </w:pPr>
            <w:r w:rsidRPr="00102650">
              <w:rPr>
                <w:sz w:val="40"/>
              </w:rPr>
              <w:t>CED</w:t>
            </w:r>
            <w:r w:rsidRPr="00102650">
              <w:t>/C/28/2</w:t>
            </w:r>
          </w:p>
        </w:tc>
      </w:tr>
      <w:tr w:rsidR="006B3E27" w:rsidRPr="00102650" w14:paraId="5520A30A" w14:textId="77777777" w:rsidTr="00E866BF">
        <w:trPr>
          <w:trHeight w:hRule="exact" w:val="2835"/>
        </w:trPr>
        <w:tc>
          <w:tcPr>
            <w:tcW w:w="1274" w:type="dxa"/>
            <w:tcBorders>
              <w:top w:val="single" w:sz="4" w:space="0" w:color="auto"/>
              <w:bottom w:val="single" w:sz="12" w:space="0" w:color="auto"/>
            </w:tcBorders>
          </w:tcPr>
          <w:p w14:paraId="6E809E44" w14:textId="77777777" w:rsidR="006B3E27" w:rsidRPr="00102650" w:rsidRDefault="0059622A" w:rsidP="008F729B">
            <w:pPr>
              <w:jc w:val="center"/>
              <w:rPr>
                <w:rtl/>
              </w:rPr>
            </w:pPr>
            <w:r w:rsidRPr="00102650">
              <w:rPr>
                <w:noProof/>
                <w:rtl/>
              </w:rPr>
              <w:drawing>
                <wp:inline distT="0" distB="0" distL="0" distR="0" wp14:anchorId="1F342498" wp14:editId="2E6C96A3">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679" w:type="dxa"/>
            <w:tcBorders>
              <w:top w:val="single" w:sz="4" w:space="0" w:color="auto"/>
              <w:bottom w:val="single" w:sz="12" w:space="0" w:color="auto"/>
            </w:tcBorders>
          </w:tcPr>
          <w:p w14:paraId="57447749" w14:textId="77777777" w:rsidR="006B3E27" w:rsidRPr="00102650" w:rsidRDefault="004E1586" w:rsidP="00E866BF">
            <w:pPr>
              <w:spacing w:before="160" w:after="40" w:line="560" w:lineRule="exact"/>
              <w:ind w:left="57"/>
              <w:jc w:val="left"/>
              <w:rPr>
                <w:b/>
                <w:bCs/>
                <w:sz w:val="44"/>
                <w:szCs w:val="44"/>
                <w:rtl/>
              </w:rPr>
            </w:pPr>
            <w:r w:rsidRPr="00102650">
              <w:rPr>
                <w:rFonts w:hint="cs"/>
                <w:b/>
                <w:bCs/>
                <w:sz w:val="44"/>
                <w:szCs w:val="44"/>
                <w:rtl/>
              </w:rPr>
              <w:t>الاتفاقيـة الدوليــة لحمـايـة جمـيـع الأشخاص من الاختفاء القسري</w:t>
            </w:r>
          </w:p>
        </w:tc>
        <w:tc>
          <w:tcPr>
            <w:tcW w:w="3686" w:type="dxa"/>
            <w:tcBorders>
              <w:top w:val="single" w:sz="4" w:space="0" w:color="auto"/>
              <w:bottom w:val="single" w:sz="12" w:space="0" w:color="auto"/>
            </w:tcBorders>
          </w:tcPr>
          <w:p w14:paraId="330211E0" w14:textId="77777777" w:rsidR="006A69CA" w:rsidRPr="00102650" w:rsidRDefault="00D62556" w:rsidP="008F729B">
            <w:pPr>
              <w:bidi w:val="0"/>
              <w:spacing w:before="240"/>
              <w:jc w:val="left"/>
            </w:pPr>
            <w:r w:rsidRPr="00102650">
              <w:t>Distr.: General</w:t>
            </w:r>
          </w:p>
          <w:p w14:paraId="1D5CF18E" w14:textId="3A1699C6" w:rsidR="00D62556" w:rsidRPr="00102650" w:rsidRDefault="00B25282" w:rsidP="00D62556">
            <w:pPr>
              <w:bidi w:val="0"/>
              <w:spacing w:line="240" w:lineRule="exact"/>
              <w:jc w:val="left"/>
            </w:pPr>
            <w:r w:rsidRPr="00102650">
              <w:t xml:space="preserve">20 </w:t>
            </w:r>
            <w:r w:rsidR="00DF5BDE" w:rsidRPr="00102650">
              <w:t>May 2025</w:t>
            </w:r>
          </w:p>
          <w:p w14:paraId="6D1EF4D3" w14:textId="77777777" w:rsidR="00D62556" w:rsidRPr="00102650" w:rsidRDefault="00D62556" w:rsidP="00D62556">
            <w:pPr>
              <w:bidi w:val="0"/>
              <w:spacing w:line="240" w:lineRule="exact"/>
              <w:jc w:val="left"/>
            </w:pPr>
            <w:r w:rsidRPr="00102650">
              <w:t>Arabic</w:t>
            </w:r>
          </w:p>
          <w:p w14:paraId="78A10A9A" w14:textId="315AA1CE" w:rsidR="00D62556" w:rsidRPr="00102650" w:rsidRDefault="00D62556" w:rsidP="00D62556">
            <w:pPr>
              <w:bidi w:val="0"/>
              <w:spacing w:line="240" w:lineRule="exact"/>
              <w:jc w:val="left"/>
            </w:pPr>
            <w:r w:rsidRPr="00102650">
              <w:t xml:space="preserve">Original: </w:t>
            </w:r>
            <w:r w:rsidR="00DF5BDE" w:rsidRPr="00102650">
              <w:t>Spanish</w:t>
            </w:r>
          </w:p>
        </w:tc>
      </w:tr>
    </w:tbl>
    <w:p w14:paraId="04061149" w14:textId="77777777" w:rsidR="00DF5BDE" w:rsidRPr="00102650" w:rsidRDefault="00DF5BDE" w:rsidP="00DF5BDE">
      <w:pPr>
        <w:spacing w:before="120" w:after="120" w:line="360" w:lineRule="exact"/>
        <w:rPr>
          <w:b/>
          <w:bCs/>
          <w:sz w:val="24"/>
          <w:szCs w:val="26"/>
        </w:rPr>
      </w:pPr>
      <w:r w:rsidRPr="00102650">
        <w:rPr>
          <w:b/>
          <w:bCs/>
          <w:sz w:val="24"/>
          <w:szCs w:val="26"/>
          <w:rtl/>
        </w:rPr>
        <w:t>اللجنة المعنية بحالات الاختفاء القسري</w:t>
      </w:r>
    </w:p>
    <w:p w14:paraId="77D1D8B6" w14:textId="774272BC" w:rsidR="00DF5BDE" w:rsidRPr="00102650" w:rsidRDefault="00DF5BDE" w:rsidP="00DF5BDE">
      <w:pPr>
        <w:pStyle w:val="HChGA"/>
        <w:rPr>
          <w:spacing w:val="-4"/>
          <w:lang w:val="en-US"/>
        </w:rPr>
      </w:pPr>
      <w:r w:rsidRPr="00102650">
        <w:rPr>
          <w:spacing w:val="-4"/>
          <w:rtl/>
          <w:lang w:val="en-US"/>
        </w:rPr>
        <w:tab/>
      </w:r>
      <w:r w:rsidRPr="00102650">
        <w:rPr>
          <w:spacing w:val="-4"/>
          <w:rtl/>
          <w:lang w:val="en-US"/>
        </w:rPr>
        <w:tab/>
        <w:t>تقرير عن متابعة الملاحظات الختامية للجنة المعنية بحالات الاختفاء القسري</w:t>
      </w:r>
      <w:r w:rsidRPr="00102650">
        <w:rPr>
          <w:spacing w:val="-4"/>
          <w:sz w:val="22"/>
          <w:szCs w:val="22"/>
          <w:rtl/>
          <w:lang w:val="en-US"/>
        </w:rPr>
        <w:footnoteReference w:customMarkFollows="1" w:id="1"/>
        <w:t>*</w:t>
      </w:r>
    </w:p>
    <w:p w14:paraId="4873AAFD" w14:textId="4111FD71" w:rsidR="00DF5BDE" w:rsidRPr="00102650" w:rsidRDefault="00DF5BDE" w:rsidP="00DF5BDE">
      <w:pPr>
        <w:pStyle w:val="HChGA"/>
        <w:rPr>
          <w:rtl/>
          <w:lang w:val="en-US"/>
        </w:rPr>
      </w:pPr>
      <w:r w:rsidRPr="00102650">
        <w:rPr>
          <w:rtl/>
          <w:lang w:val="en-US"/>
        </w:rPr>
        <w:tab/>
        <w:t>أولا</w:t>
      </w:r>
      <w:r w:rsidRPr="00102650">
        <w:rPr>
          <w:rFonts w:hint="cs"/>
          <w:rtl/>
          <w:lang w:val="en-US"/>
        </w:rPr>
        <w:t>ً</w:t>
      </w:r>
      <w:r w:rsidRPr="00102650">
        <w:rPr>
          <w:rtl/>
          <w:lang w:val="en-US"/>
        </w:rPr>
        <w:t>-</w:t>
      </w:r>
      <w:r w:rsidRPr="00102650">
        <w:rPr>
          <w:rtl/>
          <w:lang w:val="en-US"/>
        </w:rPr>
        <w:tab/>
        <w:t>مقدمة</w:t>
      </w:r>
    </w:p>
    <w:p w14:paraId="187382E8" w14:textId="168C278F" w:rsidR="00DF5BDE" w:rsidRPr="00C2163A" w:rsidRDefault="00DF5BDE" w:rsidP="00DF5BDE">
      <w:pPr>
        <w:pStyle w:val="SingleTxtGA"/>
      </w:pPr>
      <w:r w:rsidRPr="00C2163A">
        <w:rPr>
          <w:rtl/>
        </w:rPr>
        <w:t>1-</w:t>
      </w:r>
      <w:r w:rsidRPr="00C2163A">
        <w:rPr>
          <w:rtl/>
        </w:rPr>
        <w:tab/>
        <w:t>يعرض هذا التقرير المعلومات التي تلقتها اللجنة بين دورتيها الخامسة والعشرين والثامنة والعشرين عن متابعة ملاحظاتها الختامية بشأن بنما، بموجب المادة 29(1) من الاتفاقية</w:t>
      </w:r>
      <w:r w:rsidR="00CE418A" w:rsidRPr="00C2163A">
        <w:rPr>
          <w:rFonts w:hint="cs"/>
          <w:vertAlign w:val="superscript"/>
          <w:rtl/>
        </w:rPr>
        <w:t>(</w:t>
      </w:r>
      <w:r w:rsidRPr="00C2163A">
        <w:rPr>
          <w:vertAlign w:val="superscript"/>
          <w:rtl/>
        </w:rPr>
        <w:footnoteReference w:id="2"/>
      </w:r>
      <w:r w:rsidR="00CE418A" w:rsidRPr="00C2163A">
        <w:rPr>
          <w:rFonts w:hint="cs"/>
          <w:vertAlign w:val="superscript"/>
          <w:rtl/>
        </w:rPr>
        <w:t>)</w:t>
      </w:r>
      <w:r w:rsidRPr="00C2163A">
        <w:rPr>
          <w:rFonts w:hint="cs"/>
          <w:rtl/>
        </w:rPr>
        <w:t>،</w:t>
      </w:r>
      <w:r w:rsidRPr="00C2163A">
        <w:rPr>
          <w:rtl/>
        </w:rPr>
        <w:t xml:space="preserve"> وكذا التقييمات وال</w:t>
      </w:r>
      <w:r w:rsidR="00B25282" w:rsidRPr="00C2163A">
        <w:rPr>
          <w:rtl/>
        </w:rPr>
        <w:t>مقرر</w:t>
      </w:r>
      <w:r w:rsidRPr="00C2163A">
        <w:rPr>
          <w:rtl/>
        </w:rPr>
        <w:t>ات التي اعتُمدت في دورتها الثامنة والعشرين.</w:t>
      </w:r>
    </w:p>
    <w:p w14:paraId="2271AD57" w14:textId="5EFA5D2F" w:rsidR="00DF5BDE" w:rsidRPr="00C2163A" w:rsidRDefault="00DF5BDE" w:rsidP="00DF5BDE">
      <w:pPr>
        <w:pStyle w:val="SingleTxtGA"/>
      </w:pPr>
      <w:r w:rsidRPr="00C2163A">
        <w:rPr>
          <w:rtl/>
        </w:rPr>
        <w:t>2-</w:t>
      </w:r>
      <w:r w:rsidRPr="00C2163A">
        <w:rPr>
          <w:rtl/>
        </w:rPr>
        <w:tab/>
        <w:t xml:space="preserve">والتقييمات الواردة في هذا التقرير تشير فقط إلى التوصيات التي اختيرت لأغراض المتابعة، وطُلب إلى الدولة الطرف أن تقدم بشأنها معلومات في غضون سنة واحدة من اعتماد الملاحظات الختامية. ولا يهدف هذا التقرير إلى تقييم مدى تنفيذ مجموع التوصيات المقدمة إلى الدولة الطرف في الملاحظات الختامية. </w:t>
      </w:r>
    </w:p>
    <w:p w14:paraId="7E1398C6" w14:textId="77777777" w:rsidR="00DF5BDE" w:rsidRPr="00C2163A" w:rsidRDefault="00DF5BDE" w:rsidP="00C2163A">
      <w:pPr>
        <w:pStyle w:val="SingleTxtGA"/>
        <w:spacing w:after="240"/>
        <w:rPr>
          <w:spacing w:val="-2"/>
        </w:rPr>
      </w:pPr>
      <w:r w:rsidRPr="00C2163A">
        <w:rPr>
          <w:spacing w:val="-2"/>
          <w:rtl/>
        </w:rPr>
        <w:t>3-</w:t>
      </w:r>
      <w:r w:rsidRPr="00C2163A">
        <w:rPr>
          <w:spacing w:val="-2"/>
          <w:rtl/>
        </w:rPr>
        <w:tab/>
        <w:t>ولغرض تقييم المعلومات المقدمة من الدولة الطرف المعنية، تستخدم اللجنة المعايير المبيّنة أدناه:</w:t>
      </w:r>
    </w:p>
    <w:tbl>
      <w:tblPr>
        <w:bidiVisual/>
        <w:tblW w:w="7242" w:type="dxa"/>
        <w:tblInd w:w="1191" w:type="dxa"/>
        <w:tblBorders>
          <w:top w:val="single" w:sz="4" w:space="0" w:color="auto"/>
        </w:tblBorders>
        <w:tblLayout w:type="fixed"/>
        <w:tblCellMar>
          <w:left w:w="0" w:type="dxa"/>
          <w:right w:w="113" w:type="dxa"/>
        </w:tblCellMar>
        <w:tblLook w:val="04A0" w:firstRow="1" w:lastRow="0" w:firstColumn="1" w:lastColumn="0" w:noHBand="0" w:noVBand="1"/>
      </w:tblPr>
      <w:tblGrid>
        <w:gridCol w:w="7242"/>
      </w:tblGrid>
      <w:tr w:rsidR="00DF5BDE" w:rsidRPr="00C2163A" w14:paraId="2D94C894" w14:textId="77777777" w:rsidTr="00DF5BDE">
        <w:trPr>
          <w:trHeight w:val="240"/>
          <w:tblHeader/>
        </w:trPr>
        <w:tc>
          <w:tcPr>
            <w:tcW w:w="7242"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50D8F0A5" w14:textId="77777777" w:rsidR="00DF5BDE" w:rsidRPr="00C2163A" w:rsidRDefault="00DF5BDE" w:rsidP="00C2163A">
            <w:pPr>
              <w:spacing w:before="40" w:after="40" w:line="340" w:lineRule="exact"/>
              <w:ind w:left="57" w:right="57"/>
              <w:rPr>
                <w:i/>
                <w:iCs/>
                <w:szCs w:val="20"/>
              </w:rPr>
            </w:pPr>
            <w:r w:rsidRPr="00C2163A">
              <w:rPr>
                <w:i/>
                <w:iCs/>
                <w:szCs w:val="20"/>
                <w:rtl/>
              </w:rPr>
              <w:t>معايير التقييم</w:t>
            </w:r>
          </w:p>
        </w:tc>
      </w:tr>
      <w:tr w:rsidR="00DF5BDE" w:rsidRPr="00C2163A" w14:paraId="7FFF65E7" w14:textId="77777777" w:rsidTr="00DF5BDE">
        <w:trPr>
          <w:trHeight w:hRule="exact" w:val="113"/>
          <w:tblHeader/>
        </w:trPr>
        <w:tc>
          <w:tcPr>
            <w:tcW w:w="7242" w:type="dxa"/>
            <w:tcBorders>
              <w:top w:val="single" w:sz="12" w:space="0" w:color="auto"/>
            </w:tcBorders>
            <w:shd w:val="clear" w:color="auto" w:fill="auto"/>
            <w:tcMar>
              <w:top w:w="0" w:type="dxa"/>
              <w:left w:w="0" w:type="dxa"/>
              <w:bottom w:w="0" w:type="dxa"/>
              <w:right w:w="0" w:type="dxa"/>
            </w:tcMar>
          </w:tcPr>
          <w:p w14:paraId="3FDF990D" w14:textId="77777777" w:rsidR="00DF5BDE" w:rsidRPr="00C2163A" w:rsidRDefault="00DF5BDE" w:rsidP="00C2163A">
            <w:pPr>
              <w:spacing w:before="40" w:after="40" w:line="340" w:lineRule="exact"/>
              <w:ind w:left="57" w:right="57"/>
              <w:rPr>
                <w:szCs w:val="20"/>
              </w:rPr>
            </w:pPr>
          </w:p>
        </w:tc>
      </w:tr>
      <w:tr w:rsidR="00DF5BDE" w:rsidRPr="00C2163A" w14:paraId="76C37497" w14:textId="77777777" w:rsidTr="00DF5BDE">
        <w:trPr>
          <w:trHeight w:val="240"/>
        </w:trPr>
        <w:tc>
          <w:tcPr>
            <w:tcW w:w="7242" w:type="dxa"/>
            <w:shd w:val="clear" w:color="auto" w:fill="auto"/>
            <w:tcMar>
              <w:top w:w="0" w:type="dxa"/>
              <w:left w:w="0" w:type="dxa"/>
              <w:bottom w:w="0" w:type="dxa"/>
              <w:right w:w="0" w:type="dxa"/>
            </w:tcMar>
          </w:tcPr>
          <w:p w14:paraId="03F55B7D" w14:textId="64681548" w:rsidR="00DF5BDE" w:rsidRPr="00C2163A" w:rsidRDefault="00DF5BDE" w:rsidP="00C2163A">
            <w:pPr>
              <w:spacing w:before="40" w:after="40" w:line="340" w:lineRule="exact"/>
              <w:ind w:left="567" w:right="57" w:hanging="510"/>
              <w:rPr>
                <w:szCs w:val="20"/>
              </w:rPr>
            </w:pPr>
            <w:r w:rsidRPr="00C2163A">
              <w:rPr>
                <w:rFonts w:hint="cs"/>
                <w:b/>
                <w:bCs/>
                <w:szCs w:val="20"/>
                <w:rtl/>
              </w:rPr>
              <w:t>ألف</w:t>
            </w:r>
            <w:r w:rsidRPr="00C2163A">
              <w:rPr>
                <w:b/>
                <w:bCs/>
                <w:szCs w:val="20"/>
                <w:rtl/>
              </w:rPr>
              <w:tab/>
              <w:t>رد/إجراء مرضٍ:</w:t>
            </w:r>
            <w:r w:rsidRPr="00C2163A">
              <w:rPr>
                <w:szCs w:val="20"/>
                <w:rtl/>
              </w:rPr>
              <w:t xml:space="preserve"> قدمت الدولة الطرف أدلة على اتخاذ إجراءات كافية لتنفيذ توصية اللجنة.</w:t>
            </w:r>
          </w:p>
        </w:tc>
      </w:tr>
      <w:tr w:rsidR="00DF5BDE" w:rsidRPr="00C2163A" w14:paraId="5A84B0D0" w14:textId="77777777" w:rsidTr="00DF5BDE">
        <w:trPr>
          <w:trHeight w:val="240"/>
        </w:trPr>
        <w:tc>
          <w:tcPr>
            <w:tcW w:w="7242" w:type="dxa"/>
            <w:shd w:val="clear" w:color="auto" w:fill="auto"/>
            <w:tcMar>
              <w:top w:w="0" w:type="dxa"/>
              <w:left w:w="0" w:type="dxa"/>
              <w:bottom w:w="0" w:type="dxa"/>
              <w:right w:w="0" w:type="dxa"/>
            </w:tcMar>
          </w:tcPr>
          <w:p w14:paraId="435CCF2C" w14:textId="77777777" w:rsidR="00DF5BDE" w:rsidRPr="00C2163A" w:rsidRDefault="00DF5BDE" w:rsidP="00C2163A">
            <w:pPr>
              <w:spacing w:before="40" w:after="40" w:line="340" w:lineRule="exact"/>
              <w:ind w:left="567" w:right="57" w:hanging="510"/>
              <w:rPr>
                <w:szCs w:val="20"/>
              </w:rPr>
            </w:pPr>
            <w:r w:rsidRPr="00C2163A">
              <w:rPr>
                <w:b/>
                <w:bCs/>
                <w:szCs w:val="20"/>
                <w:rtl/>
              </w:rPr>
              <w:t>باء</w:t>
            </w:r>
            <w:r w:rsidRPr="00C2163A">
              <w:rPr>
                <w:b/>
                <w:bCs/>
                <w:szCs w:val="20"/>
                <w:rtl/>
              </w:rPr>
              <w:tab/>
              <w:t>ردٌ/إجراءٌ مُرضٍ جزئياً:</w:t>
            </w:r>
            <w:r w:rsidRPr="00C2163A">
              <w:rPr>
                <w:szCs w:val="20"/>
                <w:rtl/>
              </w:rPr>
              <w:t xml:space="preserve"> اتخذت الدولة الطرف خطوات لتنفيذ التوصية، لكن لا يزال يتعيّن عليها تقديم معلومات تكميلية أو اتخاذ مزيد من الإجراءات.</w:t>
            </w:r>
          </w:p>
        </w:tc>
      </w:tr>
      <w:tr w:rsidR="00DF5BDE" w:rsidRPr="00C2163A" w14:paraId="5A18EC0C" w14:textId="77777777" w:rsidTr="00DF5BDE">
        <w:trPr>
          <w:trHeight w:val="240"/>
        </w:trPr>
        <w:tc>
          <w:tcPr>
            <w:tcW w:w="7242" w:type="dxa"/>
            <w:shd w:val="clear" w:color="auto" w:fill="auto"/>
            <w:tcMar>
              <w:top w:w="0" w:type="dxa"/>
              <w:left w:w="0" w:type="dxa"/>
              <w:bottom w:w="0" w:type="dxa"/>
              <w:right w:w="0" w:type="dxa"/>
            </w:tcMar>
          </w:tcPr>
          <w:p w14:paraId="2F7FEFA2" w14:textId="4F7229EC" w:rsidR="00DF5BDE" w:rsidRPr="00C2163A" w:rsidRDefault="00DF5BDE" w:rsidP="00C2163A">
            <w:pPr>
              <w:spacing w:before="40" w:after="40" w:line="340" w:lineRule="exact"/>
              <w:ind w:left="567" w:right="57" w:hanging="510"/>
              <w:rPr>
                <w:szCs w:val="20"/>
              </w:rPr>
            </w:pPr>
            <w:r w:rsidRPr="00C2163A">
              <w:rPr>
                <w:b/>
                <w:bCs/>
                <w:szCs w:val="20"/>
                <w:rtl/>
              </w:rPr>
              <w:t>جيم</w:t>
            </w:r>
            <w:r w:rsidRPr="00C2163A">
              <w:rPr>
                <w:b/>
                <w:bCs/>
                <w:szCs w:val="20"/>
                <w:rtl/>
              </w:rPr>
              <w:tab/>
              <w:t>ردّ/إجراء غير مُرضٍ:</w:t>
            </w:r>
            <w:r w:rsidRPr="00C2163A">
              <w:rPr>
                <w:szCs w:val="20"/>
                <w:rtl/>
              </w:rPr>
              <w:t xml:space="preserve"> أرسلت الدولة الطرف ردّاً، لكن الإجراءات المتخذة أو المعلومات المقدمة ليست ذات صلة أو</w:t>
            </w:r>
            <w:r w:rsidR="00CE418A" w:rsidRPr="00C2163A">
              <w:rPr>
                <w:rFonts w:hint="cs"/>
                <w:szCs w:val="20"/>
                <w:rtl/>
              </w:rPr>
              <w:t> </w:t>
            </w:r>
            <w:r w:rsidRPr="00C2163A">
              <w:rPr>
                <w:szCs w:val="20"/>
                <w:rtl/>
              </w:rPr>
              <w:t>لا</w:t>
            </w:r>
            <w:r w:rsidRPr="00C2163A">
              <w:rPr>
                <w:rFonts w:hint="cs"/>
                <w:szCs w:val="20"/>
                <w:rtl/>
              </w:rPr>
              <w:t> </w:t>
            </w:r>
            <w:r w:rsidRPr="00C2163A">
              <w:rPr>
                <w:szCs w:val="20"/>
                <w:rtl/>
              </w:rPr>
              <w:t>تسمح بتنفيذ التوصية.</w:t>
            </w:r>
          </w:p>
        </w:tc>
      </w:tr>
      <w:tr w:rsidR="00DF5BDE" w:rsidRPr="00C2163A" w14:paraId="55565EFF" w14:textId="77777777" w:rsidTr="00DF5BDE">
        <w:trPr>
          <w:trHeight w:val="240"/>
        </w:trPr>
        <w:tc>
          <w:tcPr>
            <w:tcW w:w="7242" w:type="dxa"/>
            <w:shd w:val="clear" w:color="auto" w:fill="auto"/>
            <w:tcMar>
              <w:top w:w="0" w:type="dxa"/>
              <w:left w:w="0" w:type="dxa"/>
              <w:bottom w:w="0" w:type="dxa"/>
              <w:right w:w="0" w:type="dxa"/>
            </w:tcMar>
          </w:tcPr>
          <w:p w14:paraId="09246C2B" w14:textId="7C5B71B6" w:rsidR="00DF5BDE" w:rsidRPr="00C2163A" w:rsidRDefault="00DF5BDE" w:rsidP="00C2163A">
            <w:pPr>
              <w:spacing w:before="40" w:after="40" w:line="340" w:lineRule="exact"/>
              <w:ind w:left="567" w:right="57" w:hanging="510"/>
              <w:rPr>
                <w:szCs w:val="20"/>
              </w:rPr>
            </w:pPr>
            <w:r w:rsidRPr="00C2163A">
              <w:rPr>
                <w:b/>
                <w:bCs/>
                <w:szCs w:val="20"/>
                <w:rtl/>
              </w:rPr>
              <w:t>دال</w:t>
            </w:r>
            <w:r w:rsidRPr="00C2163A">
              <w:rPr>
                <w:b/>
                <w:bCs/>
                <w:szCs w:val="20"/>
                <w:rtl/>
              </w:rPr>
              <w:tab/>
              <w:t>لم يُقدَّم ردّ بشأن التوصية:</w:t>
            </w:r>
            <w:r w:rsidRPr="00C2163A">
              <w:rPr>
                <w:szCs w:val="20"/>
                <w:rtl/>
              </w:rPr>
              <w:t xml:space="preserve"> لم تقدم الدولة الطرف أي معلومات عن تنفيذ التوصية.</w:t>
            </w:r>
          </w:p>
        </w:tc>
      </w:tr>
      <w:tr w:rsidR="00DF5BDE" w:rsidRPr="00C2163A" w14:paraId="7B49A990" w14:textId="77777777" w:rsidTr="00DF5BDE">
        <w:trPr>
          <w:trHeight w:val="240"/>
        </w:trPr>
        <w:tc>
          <w:tcPr>
            <w:tcW w:w="7242" w:type="dxa"/>
            <w:tcBorders>
              <w:bottom w:val="single" w:sz="12" w:space="0" w:color="auto"/>
            </w:tcBorders>
            <w:shd w:val="clear" w:color="auto" w:fill="auto"/>
            <w:tcMar>
              <w:top w:w="0" w:type="dxa"/>
              <w:left w:w="0" w:type="dxa"/>
              <w:bottom w:w="0" w:type="dxa"/>
              <w:right w:w="0" w:type="dxa"/>
            </w:tcMar>
          </w:tcPr>
          <w:p w14:paraId="6D87515F" w14:textId="77777777" w:rsidR="00DF5BDE" w:rsidRPr="00C2163A" w:rsidRDefault="00DF5BDE" w:rsidP="00C2163A">
            <w:pPr>
              <w:spacing w:before="40" w:after="40" w:line="340" w:lineRule="exact"/>
              <w:ind w:left="567" w:right="57" w:hanging="510"/>
              <w:rPr>
                <w:szCs w:val="20"/>
              </w:rPr>
            </w:pPr>
            <w:r w:rsidRPr="00C2163A">
              <w:rPr>
                <w:b/>
                <w:bCs/>
                <w:szCs w:val="20"/>
                <w:rtl/>
              </w:rPr>
              <w:t>هاء</w:t>
            </w:r>
            <w:r w:rsidRPr="00C2163A">
              <w:rPr>
                <w:b/>
                <w:bCs/>
                <w:szCs w:val="20"/>
                <w:rtl/>
              </w:rPr>
              <w:tab/>
              <w:t>المعلومات المقدمة أو التدابير المتخذة تتعارض مع توصية اللجنة أو تشير إلى رفضها:</w:t>
            </w:r>
            <w:r w:rsidRPr="00C2163A">
              <w:rPr>
                <w:szCs w:val="20"/>
                <w:rtl/>
              </w:rPr>
              <w:t xml:space="preserve"> يبين الردّ أن التدابير المتخذة تتعارض مع توصية اللجنة أو تترتب عليها نتائج أو عواقب تتعارض مع توصيتها أو تشير إلى رفضها.</w:t>
            </w:r>
          </w:p>
        </w:tc>
      </w:tr>
    </w:tbl>
    <w:p w14:paraId="53FAE37C" w14:textId="035A647E" w:rsidR="00DF5BDE" w:rsidRPr="00C2163A" w:rsidRDefault="00DF5BDE" w:rsidP="00DF5BDE">
      <w:pPr>
        <w:pStyle w:val="HChGA"/>
        <w:rPr>
          <w:lang w:val="en-US"/>
        </w:rPr>
      </w:pPr>
      <w:r w:rsidRPr="00C2163A">
        <w:rPr>
          <w:rtl/>
          <w:lang w:val="en-US"/>
        </w:rPr>
        <w:lastRenderedPageBreak/>
        <w:tab/>
        <w:t>ثانيا</w:t>
      </w:r>
      <w:r w:rsidRPr="00C2163A">
        <w:rPr>
          <w:rFonts w:hint="cs"/>
          <w:rtl/>
          <w:lang w:val="en-US"/>
        </w:rPr>
        <w:t>ً</w:t>
      </w:r>
      <w:r w:rsidRPr="00C2163A">
        <w:rPr>
          <w:rtl/>
          <w:lang w:val="en-US"/>
        </w:rPr>
        <w:t>-</w:t>
      </w:r>
      <w:r w:rsidRPr="00C2163A">
        <w:rPr>
          <w:rtl/>
          <w:lang w:val="en-US"/>
        </w:rPr>
        <w:tab/>
        <w:t>تقييم المعلومات المقدمة في إطار المتابعة بموجب المادة 29(1) من</w:t>
      </w:r>
      <w:r w:rsidR="00C2163A">
        <w:rPr>
          <w:rFonts w:hint="cs"/>
          <w:rtl/>
          <w:lang w:val="en-US"/>
        </w:rPr>
        <w:t> </w:t>
      </w:r>
      <w:r w:rsidRPr="00C2163A">
        <w:rPr>
          <w:rtl/>
          <w:lang w:val="en-US"/>
        </w:rPr>
        <w:t>الاتفاقية</w:t>
      </w:r>
    </w:p>
    <w:p w14:paraId="5AF5F4B8" w14:textId="023651B1" w:rsidR="00DF5BDE" w:rsidRPr="00C2163A" w:rsidRDefault="00DF5BDE" w:rsidP="00DF5BDE">
      <w:pPr>
        <w:pStyle w:val="H1GA"/>
        <w:rPr>
          <w:lang w:val="en-US"/>
        </w:rPr>
      </w:pPr>
      <w:r w:rsidRPr="00C2163A">
        <w:rPr>
          <w:rtl/>
          <w:lang w:val="en-US"/>
        </w:rPr>
        <w:tab/>
      </w:r>
      <w:r w:rsidRPr="00C2163A">
        <w:rPr>
          <w:rtl/>
          <w:lang w:val="en-US"/>
        </w:rPr>
        <w:tab/>
        <w:t>بنما</w:t>
      </w:r>
    </w:p>
    <w:tbl>
      <w:tblPr>
        <w:bidiVisual/>
        <w:tblW w:w="7245" w:type="dxa"/>
        <w:tblInd w:w="1191"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86"/>
        <w:gridCol w:w="4959"/>
      </w:tblGrid>
      <w:tr w:rsidR="00DF5BDE" w:rsidRPr="00C2163A" w14:paraId="63B3192E" w14:textId="77777777" w:rsidTr="00C2163A">
        <w:tc>
          <w:tcPr>
            <w:tcW w:w="2286" w:type="dxa"/>
            <w:tcBorders>
              <w:top w:val="single" w:sz="4" w:space="0" w:color="auto"/>
              <w:bottom w:val="nil"/>
            </w:tcBorders>
            <w:shd w:val="clear" w:color="auto" w:fill="auto"/>
            <w:tcMar>
              <w:top w:w="0" w:type="dxa"/>
              <w:left w:w="0" w:type="dxa"/>
              <w:bottom w:w="0" w:type="dxa"/>
              <w:right w:w="0" w:type="dxa"/>
            </w:tcMar>
          </w:tcPr>
          <w:p w14:paraId="28BA2D88" w14:textId="77777777" w:rsidR="00DF5BDE" w:rsidRPr="00C2163A" w:rsidRDefault="00DF5BDE" w:rsidP="00C2163A">
            <w:pPr>
              <w:spacing w:before="40" w:after="40" w:line="340" w:lineRule="exact"/>
              <w:ind w:left="57" w:right="57"/>
              <w:rPr>
                <w:b/>
                <w:bCs/>
                <w:szCs w:val="20"/>
              </w:rPr>
            </w:pPr>
            <w:r w:rsidRPr="00C2163A">
              <w:rPr>
                <w:b/>
                <w:bCs/>
                <w:szCs w:val="20"/>
                <w:rtl/>
              </w:rPr>
              <w:t>الملاحظات الختامية:</w:t>
            </w:r>
          </w:p>
        </w:tc>
        <w:tc>
          <w:tcPr>
            <w:tcW w:w="4959" w:type="dxa"/>
            <w:tcBorders>
              <w:top w:val="single" w:sz="4" w:space="0" w:color="auto"/>
              <w:bottom w:val="nil"/>
            </w:tcBorders>
            <w:shd w:val="clear" w:color="auto" w:fill="auto"/>
            <w:tcMar>
              <w:top w:w="0" w:type="dxa"/>
              <w:left w:w="0" w:type="dxa"/>
              <w:bottom w:w="0" w:type="dxa"/>
              <w:right w:w="0" w:type="dxa"/>
            </w:tcMar>
          </w:tcPr>
          <w:p w14:paraId="09718976" w14:textId="14A61D1D" w:rsidR="00DF5BDE" w:rsidRPr="00C2163A" w:rsidRDefault="00800F20" w:rsidP="00C2163A">
            <w:pPr>
              <w:spacing w:before="40" w:after="40" w:line="340" w:lineRule="exact"/>
              <w:ind w:left="57" w:right="57"/>
              <w:rPr>
                <w:szCs w:val="20"/>
              </w:rPr>
            </w:pPr>
            <w:hyperlink r:id="rId9" w:history="1">
              <w:r w:rsidR="00DF5BDE" w:rsidRPr="00C2163A">
                <w:rPr>
                  <w:rStyle w:val="Hyperlink"/>
                  <w:szCs w:val="20"/>
                </w:rPr>
                <w:t>CED/C/BRA/CO/1</w:t>
              </w:r>
            </w:hyperlink>
            <w:r w:rsidR="00DF5BDE" w:rsidRPr="00C2163A">
              <w:rPr>
                <w:szCs w:val="20"/>
                <w:rtl/>
              </w:rPr>
              <w:t xml:space="preserve">، اعتُمدت في </w:t>
            </w:r>
            <w:proofErr w:type="gramStart"/>
            <w:r w:rsidR="00DF5BDE" w:rsidRPr="00C2163A">
              <w:rPr>
                <w:szCs w:val="20"/>
                <w:rtl/>
              </w:rPr>
              <w:t>24</w:t>
            </w:r>
            <w:proofErr w:type="gramEnd"/>
            <w:r w:rsidR="00DF5BDE" w:rsidRPr="00C2163A">
              <w:rPr>
                <w:szCs w:val="20"/>
                <w:rtl/>
              </w:rPr>
              <w:t xml:space="preserve"> أيلول/سبتمبر 2021 (الدورة الحادية والعشرون)</w:t>
            </w:r>
          </w:p>
        </w:tc>
      </w:tr>
      <w:tr w:rsidR="00DF5BDE" w:rsidRPr="00C2163A" w14:paraId="5D9A89FF" w14:textId="77777777" w:rsidTr="00C2163A">
        <w:trPr>
          <w:trHeight w:val="273"/>
        </w:trPr>
        <w:tc>
          <w:tcPr>
            <w:tcW w:w="2286" w:type="dxa"/>
            <w:tcBorders>
              <w:top w:val="nil"/>
            </w:tcBorders>
            <w:shd w:val="clear" w:color="auto" w:fill="auto"/>
            <w:tcMar>
              <w:top w:w="0" w:type="dxa"/>
              <w:left w:w="0" w:type="dxa"/>
              <w:bottom w:w="0" w:type="dxa"/>
              <w:right w:w="0" w:type="dxa"/>
            </w:tcMar>
          </w:tcPr>
          <w:p w14:paraId="68D9E515" w14:textId="77777777" w:rsidR="00DF5BDE" w:rsidRPr="00C2163A" w:rsidRDefault="00DF5BDE" w:rsidP="00C2163A">
            <w:pPr>
              <w:spacing w:before="40" w:after="40" w:line="340" w:lineRule="exact"/>
              <w:ind w:left="57" w:right="57"/>
              <w:rPr>
                <w:b/>
                <w:bCs/>
                <w:szCs w:val="20"/>
                <w:rtl/>
              </w:rPr>
            </w:pPr>
            <w:r w:rsidRPr="00C2163A">
              <w:rPr>
                <w:b/>
                <w:bCs/>
                <w:szCs w:val="20"/>
                <w:rtl/>
              </w:rPr>
              <w:t>التوصيات التي يجب متابعتها:</w:t>
            </w:r>
          </w:p>
        </w:tc>
        <w:tc>
          <w:tcPr>
            <w:tcW w:w="4959" w:type="dxa"/>
            <w:tcBorders>
              <w:top w:val="nil"/>
            </w:tcBorders>
            <w:shd w:val="clear" w:color="auto" w:fill="auto"/>
            <w:tcMar>
              <w:top w:w="0" w:type="dxa"/>
              <w:left w:w="0" w:type="dxa"/>
              <w:bottom w:w="0" w:type="dxa"/>
              <w:right w:w="0" w:type="dxa"/>
            </w:tcMar>
          </w:tcPr>
          <w:p w14:paraId="0A363BA3" w14:textId="77777777" w:rsidR="00DF5BDE" w:rsidRPr="00C2163A" w:rsidRDefault="00DF5BDE" w:rsidP="00C2163A">
            <w:pPr>
              <w:spacing w:before="40" w:after="40" w:line="340" w:lineRule="exact"/>
              <w:ind w:left="57" w:right="57"/>
              <w:rPr>
                <w:szCs w:val="20"/>
              </w:rPr>
            </w:pPr>
            <w:r w:rsidRPr="00C2163A">
              <w:rPr>
                <w:szCs w:val="20"/>
                <w:rtl/>
              </w:rPr>
              <w:t>الفقرة 11 (تجميع السجل الدائم الوحيد للمختفين)، والفقرة 27 (حق الأشخاص المسلوبة حريتهم في التواصل) والفقرة 37 (البحث عن المختفين وتسليم الرفات)</w:t>
            </w:r>
          </w:p>
        </w:tc>
      </w:tr>
      <w:tr w:rsidR="00DF5BDE" w:rsidRPr="00C2163A" w14:paraId="2AAF82A6" w14:textId="77777777" w:rsidTr="00C2163A">
        <w:tc>
          <w:tcPr>
            <w:tcW w:w="2286" w:type="dxa"/>
            <w:shd w:val="clear" w:color="auto" w:fill="auto"/>
            <w:tcMar>
              <w:top w:w="0" w:type="dxa"/>
              <w:left w:w="0" w:type="dxa"/>
              <w:bottom w:w="0" w:type="dxa"/>
              <w:right w:w="0" w:type="dxa"/>
            </w:tcMar>
          </w:tcPr>
          <w:p w14:paraId="0CACD4CE" w14:textId="77777777" w:rsidR="00DF5BDE" w:rsidRPr="00C2163A" w:rsidRDefault="00DF5BDE" w:rsidP="00C2163A">
            <w:pPr>
              <w:spacing w:before="40" w:after="40" w:line="340" w:lineRule="exact"/>
              <w:ind w:left="57" w:right="57"/>
              <w:rPr>
                <w:b/>
                <w:bCs/>
                <w:szCs w:val="20"/>
              </w:rPr>
            </w:pPr>
            <w:r w:rsidRPr="00C2163A">
              <w:rPr>
                <w:b/>
                <w:bCs/>
                <w:szCs w:val="20"/>
                <w:rtl/>
              </w:rPr>
              <w:t>الردّ:</w:t>
            </w:r>
          </w:p>
        </w:tc>
        <w:tc>
          <w:tcPr>
            <w:tcW w:w="4959" w:type="dxa"/>
            <w:shd w:val="clear" w:color="auto" w:fill="auto"/>
            <w:tcMar>
              <w:top w:w="0" w:type="dxa"/>
              <w:left w:w="0" w:type="dxa"/>
              <w:bottom w:w="0" w:type="dxa"/>
              <w:right w:w="0" w:type="dxa"/>
            </w:tcMar>
          </w:tcPr>
          <w:p w14:paraId="5D6C9C28" w14:textId="58202AFE" w:rsidR="00DF5BDE" w:rsidRPr="00C2163A" w:rsidRDefault="00800F20" w:rsidP="00C2163A">
            <w:pPr>
              <w:spacing w:before="40" w:after="40" w:line="340" w:lineRule="exact"/>
              <w:ind w:left="57" w:right="57"/>
              <w:rPr>
                <w:szCs w:val="20"/>
              </w:rPr>
            </w:pPr>
            <w:hyperlink r:id="rId10" w:history="1">
              <w:r w:rsidR="00DF5BDE" w:rsidRPr="00C2163A">
                <w:rPr>
                  <w:rStyle w:val="Hyperlink"/>
                  <w:szCs w:val="20"/>
                </w:rPr>
                <w:t>CED/C/PAN/FCO/1</w:t>
              </w:r>
            </w:hyperlink>
            <w:r w:rsidR="00DF5BDE" w:rsidRPr="00C2163A">
              <w:rPr>
                <w:szCs w:val="20"/>
                <w:rtl/>
              </w:rPr>
              <w:t xml:space="preserve">، كان </w:t>
            </w:r>
            <w:r w:rsidR="00B25282" w:rsidRPr="00C2163A">
              <w:rPr>
                <w:szCs w:val="20"/>
                <w:rtl/>
              </w:rPr>
              <w:t>مقرر</w:t>
            </w:r>
            <w:r w:rsidR="00DF5BDE" w:rsidRPr="00C2163A">
              <w:rPr>
                <w:szCs w:val="20"/>
                <w:rtl/>
              </w:rPr>
              <w:t>ا</w:t>
            </w:r>
            <w:r w:rsidR="00CE418A" w:rsidRPr="00C2163A">
              <w:rPr>
                <w:rFonts w:hint="cs"/>
                <w:szCs w:val="20"/>
                <w:rtl/>
              </w:rPr>
              <w:t>ً</w:t>
            </w:r>
            <w:r w:rsidR="00DF5BDE" w:rsidRPr="00C2163A">
              <w:rPr>
                <w:szCs w:val="20"/>
                <w:rtl/>
              </w:rPr>
              <w:t xml:space="preserve"> تقديمه في </w:t>
            </w:r>
            <w:proofErr w:type="gramStart"/>
            <w:r w:rsidR="00DF5BDE" w:rsidRPr="00C2163A">
              <w:rPr>
                <w:szCs w:val="20"/>
                <w:rtl/>
              </w:rPr>
              <w:t>27</w:t>
            </w:r>
            <w:proofErr w:type="gramEnd"/>
            <w:r w:rsidR="00DF5BDE" w:rsidRPr="00C2163A">
              <w:rPr>
                <w:szCs w:val="20"/>
                <w:rtl/>
              </w:rPr>
              <w:t xml:space="preserve"> أيلول/سبتمبر 2022، وقُدِّم في 12 حزيران/يونيه 2024</w:t>
            </w:r>
          </w:p>
        </w:tc>
      </w:tr>
    </w:tbl>
    <w:p w14:paraId="2A33E529" w14:textId="77777777" w:rsidR="00DF5BDE" w:rsidRPr="00C2163A" w:rsidRDefault="00DF5BDE" w:rsidP="00DF5BDE">
      <w:pPr>
        <w:pStyle w:val="SingleTxtGA"/>
        <w:spacing w:before="240"/>
        <w:rPr>
          <w:b/>
          <w:bCs/>
        </w:rPr>
      </w:pPr>
      <w:r w:rsidRPr="00C2163A">
        <w:rPr>
          <w:b/>
          <w:bCs/>
          <w:rtl/>
        </w:rPr>
        <w:t xml:space="preserve">الفقرة 11: توصي اللجنة الدولة الطرف بتسريع تجميع السجل الدائم الوحيد للمختفين لكي يعكس العدد الإجمالي للمختفين في الدولة الطرف والأشخاص الذين ربما تعرضوا للاختفاء القسري، بمن فيهم الأشخاص الذين عُثر عليهم أحياء أو موتى، ومن لا يزالون مختفين. وينبغي أن يتضمن السجل، في الحد الأدنى، ما يلي: </w:t>
      </w:r>
    </w:p>
    <w:p w14:paraId="23EB1AFB" w14:textId="243787CE" w:rsidR="00DF5BDE" w:rsidRPr="00C2163A" w:rsidRDefault="00DF5BDE" w:rsidP="00DF5BDE">
      <w:pPr>
        <w:pStyle w:val="SingleTxtGA"/>
        <w:rPr>
          <w:b/>
          <w:bCs/>
        </w:rPr>
      </w:pPr>
      <w:r w:rsidRPr="00C2163A">
        <w:rPr>
          <w:rtl/>
        </w:rPr>
        <w:tab/>
        <w:t>(أ)</w:t>
      </w:r>
      <w:r w:rsidRPr="00C2163A">
        <w:rPr>
          <w:rtl/>
        </w:rPr>
        <w:tab/>
      </w:r>
      <w:r w:rsidRPr="00C2163A">
        <w:rPr>
          <w:b/>
          <w:bCs/>
          <w:rtl/>
        </w:rPr>
        <w:t>العدد الإجمالي لجميع الأشخاص المختفين وهوياتهم، مع تبيان الأشخاص الذين قد يكونون تعرضّوا للاختفاء القسري بالمعنى المقصود في المادة 2 من الاتفاقية؛</w:t>
      </w:r>
    </w:p>
    <w:p w14:paraId="0D76D4CC" w14:textId="6890EF8B" w:rsidR="00DF5BDE" w:rsidRPr="00C2163A" w:rsidRDefault="00DF5BDE" w:rsidP="00DF5BDE">
      <w:pPr>
        <w:pStyle w:val="SingleTxtGA"/>
        <w:rPr>
          <w:b/>
          <w:bCs/>
        </w:rPr>
      </w:pPr>
      <w:r w:rsidRPr="00C2163A">
        <w:rPr>
          <w:rtl/>
        </w:rPr>
        <w:tab/>
        <w:t>(ب)</w:t>
      </w:r>
      <w:r w:rsidRPr="00C2163A">
        <w:rPr>
          <w:rtl/>
        </w:rPr>
        <w:tab/>
      </w:r>
      <w:r w:rsidRPr="00C2163A">
        <w:rPr>
          <w:b/>
          <w:bCs/>
          <w:rtl/>
        </w:rPr>
        <w:t>نوع جنس الشخص المختفي وهويته الجنسانية وميله الجنسي وعمره وجنسيته ومجموعته الإثنية، وكذلك مكان الاختفاء وتاريخه وسياقه وظروفه، بما في ذلك جميع المعلومات ذات الصلة، لمعرفة ما إذا كان الأمر يتعلق باختفاء قسري؛</w:t>
      </w:r>
    </w:p>
    <w:p w14:paraId="22CE3FC6" w14:textId="193033FD" w:rsidR="00DF5BDE" w:rsidRPr="00C2163A" w:rsidRDefault="00DF5BDE" w:rsidP="00DF5BDE">
      <w:pPr>
        <w:pStyle w:val="SingleTxtGA"/>
        <w:rPr>
          <w:b/>
          <w:bCs/>
        </w:rPr>
      </w:pPr>
      <w:r w:rsidRPr="00C2163A">
        <w:rPr>
          <w:rtl/>
        </w:rPr>
        <w:tab/>
        <w:t>(ج)</w:t>
      </w:r>
      <w:r w:rsidRPr="00C2163A">
        <w:rPr>
          <w:rtl/>
        </w:rPr>
        <w:tab/>
      </w:r>
      <w:r w:rsidRPr="00C2163A">
        <w:rPr>
          <w:b/>
          <w:bCs/>
          <w:rtl/>
        </w:rPr>
        <w:t xml:space="preserve">حالة إجراءات البحث والتحقيق ذات الصلة، وكذلك عمليات استخراج الرفات وتحديد هوية أصحابها وتسليمها. </w:t>
      </w:r>
    </w:p>
    <w:p w14:paraId="5D71421B" w14:textId="1B428EE6" w:rsidR="00DF5BDE" w:rsidRPr="00C2163A" w:rsidRDefault="00DF5BDE" w:rsidP="00DF5BDE">
      <w:pPr>
        <w:pStyle w:val="H23GA"/>
        <w:rPr>
          <w:lang w:val="en-US"/>
        </w:rPr>
      </w:pPr>
      <w:r w:rsidRPr="00C2163A">
        <w:rPr>
          <w:rtl/>
          <w:lang w:val="en-US"/>
        </w:rPr>
        <w:tab/>
      </w:r>
      <w:r w:rsidRPr="00C2163A">
        <w:rPr>
          <w:rtl/>
          <w:lang w:val="en-US"/>
        </w:rPr>
        <w:tab/>
        <w:t>ردّ الدولة الطرف</w:t>
      </w:r>
    </w:p>
    <w:p w14:paraId="5D01E1F8" w14:textId="690743C7" w:rsidR="00DF5BDE" w:rsidRPr="00C2163A" w:rsidRDefault="00DF5BDE" w:rsidP="00C2163A">
      <w:pPr>
        <w:pStyle w:val="SingleTxtGA"/>
        <w:spacing w:line="350" w:lineRule="exact"/>
      </w:pPr>
      <w:r w:rsidRPr="00C2163A">
        <w:rPr>
          <w:rtl/>
        </w:rPr>
        <w:t>4-</w:t>
      </w:r>
      <w:r w:rsidRPr="00C2163A">
        <w:rPr>
          <w:rtl/>
        </w:rPr>
        <w:tab/>
        <w:t xml:space="preserve">يرد ردّ الدولة الطرف في الفقرات من 4 إلى 13 من الوثيقة </w:t>
      </w:r>
      <w:hyperlink r:id="rId11" w:history="1">
        <w:r w:rsidRPr="00C2163A">
          <w:rPr>
            <w:rStyle w:val="Hyperlink"/>
          </w:rPr>
          <w:t>CED/C/PAN/FCO/1</w:t>
        </w:r>
      </w:hyperlink>
      <w:r w:rsidRPr="00C2163A">
        <w:rPr>
          <w:rtl/>
        </w:rPr>
        <w:t>. وتحيط اللجنة علماً بالمعلومات التي قدمتها الدولة الطرف بشأن التدابير المتخذة للتحقيق في حالات الاختفاء القسري. وتلاحظ اللجنة أن مكتب المدعي العام يملك سجلا</w:t>
      </w:r>
      <w:r w:rsidR="00CE418A" w:rsidRPr="00C2163A">
        <w:rPr>
          <w:rFonts w:hint="cs"/>
          <w:rtl/>
        </w:rPr>
        <w:t>ً</w:t>
      </w:r>
      <w:r w:rsidRPr="00C2163A">
        <w:rPr>
          <w:rtl/>
        </w:rPr>
        <w:t xml:space="preserve"> بالأشخاص الذين اختفوا خلال فترة الحكم الديكتاتوري العسكري (1968</w:t>
      </w:r>
      <w:r w:rsidR="00EE20BE" w:rsidRPr="00C2163A">
        <w:rPr>
          <w:rFonts w:hint="cs"/>
          <w:rtl/>
        </w:rPr>
        <w:t>-</w:t>
      </w:r>
      <w:r w:rsidR="00EE20BE" w:rsidRPr="00C2163A">
        <w:rPr>
          <w:rtl/>
        </w:rPr>
        <w:t>1989</w:t>
      </w:r>
      <w:r w:rsidRPr="00C2163A">
        <w:rPr>
          <w:rtl/>
        </w:rPr>
        <w:t>) واجتياح 20 كانون الأول/ديسمبر 1989. كما تحيط علما</w:t>
      </w:r>
      <w:r w:rsidR="00CE418A" w:rsidRPr="00C2163A">
        <w:rPr>
          <w:rFonts w:hint="cs"/>
          <w:rtl/>
        </w:rPr>
        <w:t>ً</w:t>
      </w:r>
      <w:r w:rsidRPr="00C2163A">
        <w:rPr>
          <w:rtl/>
        </w:rPr>
        <w:t xml:space="preserve"> بالمعلومات المتعلقة بعمل لجنة الحقيقة التي أُنشئت في عام 2001 للتحقيق في انتهاكات حقوق الإنسان خلال فترة الحكم الديكتاتوري والنتائج التي خلصت إليها في عام 2002، أي التعرّف على 111 ضحية. و13 من هؤلاء الضحايا تشملهم قائمة وُضعت بالاتفاق مع لجنة أقارب القتلى والمختفين خلال فترة النظام الديكتاتوري العسكري في بنما وتضمُّ الأشخاص المؤهلين للحصول على تعويضات. كما فتحت المحكمة </w:t>
      </w:r>
      <w:r w:rsidRPr="00C2163A">
        <w:rPr>
          <w:spacing w:val="-2"/>
          <w:rtl/>
        </w:rPr>
        <w:t>الانتخابية في بنما ملفا</w:t>
      </w:r>
      <w:r w:rsidR="00CE418A" w:rsidRPr="00C2163A">
        <w:rPr>
          <w:rFonts w:hint="cs"/>
          <w:spacing w:val="-2"/>
          <w:rtl/>
        </w:rPr>
        <w:t>ً</w:t>
      </w:r>
      <w:r w:rsidRPr="00C2163A">
        <w:rPr>
          <w:spacing w:val="-2"/>
          <w:rtl/>
        </w:rPr>
        <w:t xml:space="preserve"> لكل شخص مختفٍ قصد جمع المعلومات اللازمة لإجراء تحقيقات مستقبلية. وبالنسبة</w:t>
      </w:r>
      <w:r w:rsidRPr="00C2163A">
        <w:rPr>
          <w:rtl/>
        </w:rPr>
        <w:t xml:space="preserve"> لحالات الاختفاء المسجّلة خلال اجتياح عام 1989، فقد وُضعت، في أعقاب عملية تدقيق، قائمة رسمية تضم 313 شخص</w:t>
      </w:r>
      <w:r w:rsidR="00B25282" w:rsidRPr="00C2163A">
        <w:rPr>
          <w:rtl/>
        </w:rPr>
        <w:t>اً</w:t>
      </w:r>
      <w:r w:rsidRPr="00C2163A">
        <w:rPr>
          <w:rtl/>
        </w:rPr>
        <w:t xml:space="preserve"> مختفيا</w:t>
      </w:r>
      <w:r w:rsidR="00B25282" w:rsidRPr="00C2163A">
        <w:rPr>
          <w:rFonts w:hint="cs"/>
          <w:rtl/>
        </w:rPr>
        <w:t>ً</w:t>
      </w:r>
      <w:r w:rsidRPr="00C2163A">
        <w:rPr>
          <w:rtl/>
        </w:rPr>
        <w:t>. وقد استعاد مكتب المدعي العام 68 ملف</w:t>
      </w:r>
      <w:r w:rsidR="00B25282" w:rsidRPr="00C2163A">
        <w:rPr>
          <w:rtl/>
        </w:rPr>
        <w:t>اً</w:t>
      </w:r>
      <w:r w:rsidRPr="00C2163A">
        <w:rPr>
          <w:rtl/>
        </w:rPr>
        <w:t xml:space="preserve"> قضائي</w:t>
      </w:r>
      <w:r w:rsidR="00B25282" w:rsidRPr="00C2163A">
        <w:rPr>
          <w:rtl/>
        </w:rPr>
        <w:t>اً</w:t>
      </w:r>
      <w:r w:rsidRPr="00C2163A">
        <w:rPr>
          <w:rtl/>
        </w:rPr>
        <w:t xml:space="preserve"> واستطاع، بمساعدة مؤسسة الأنثروبولوجيا الشرعية في غواتيمالا (</w:t>
      </w:r>
      <w:r w:rsidRPr="00C2163A">
        <w:rPr>
          <w:i/>
          <w:iCs/>
        </w:rPr>
        <w:t>Fundación de Antropología Forense de Guatemala</w:t>
      </w:r>
      <w:r w:rsidRPr="00C2163A">
        <w:rPr>
          <w:rtl/>
        </w:rPr>
        <w:t>)، التعرف على هوية ضحية واحدة. وحتى الآن، أُحصي 43 كيس</w:t>
      </w:r>
      <w:r w:rsidR="00B25282" w:rsidRPr="00C2163A">
        <w:rPr>
          <w:rtl/>
        </w:rPr>
        <w:t>اً</w:t>
      </w:r>
      <w:r w:rsidRPr="00C2163A">
        <w:rPr>
          <w:rtl/>
        </w:rPr>
        <w:t xml:space="preserve"> يضم رفات هياكل عظمية بشرية مستخرجة من مقبرتين، وانتُهي من تحليل الطب الشرعي للقبور المفتوحة. وقد سوّى نظام العدالة الجنائية </w:t>
      </w:r>
      <w:r w:rsidRPr="00C2163A">
        <w:rPr>
          <w:rtl/>
        </w:rPr>
        <w:lastRenderedPageBreak/>
        <w:t>في بنما جلّ القضايا المتعلقة بضحايا النظام العسكري، ومازالت تجري حتى الآن محاكمتان اثنتان فقط (عُلّقت جلسات الاستماع بسبب حالة المتهمين الصحية).</w:t>
      </w:r>
    </w:p>
    <w:p w14:paraId="2C46D0F8" w14:textId="77777777" w:rsidR="00DF5BDE" w:rsidRPr="00C2163A" w:rsidRDefault="00DF5BDE" w:rsidP="00DF5BDE">
      <w:pPr>
        <w:pStyle w:val="H23GA"/>
        <w:rPr>
          <w:lang w:val="en-US"/>
        </w:rPr>
      </w:pPr>
      <w:r w:rsidRPr="00C2163A">
        <w:rPr>
          <w:rtl/>
          <w:lang w:val="en-US"/>
        </w:rPr>
        <w:tab/>
      </w:r>
      <w:r w:rsidRPr="00C2163A">
        <w:rPr>
          <w:rtl/>
          <w:lang w:val="en-US"/>
        </w:rPr>
        <w:tab/>
        <w:t>تقييم اللجنة</w:t>
      </w:r>
    </w:p>
    <w:p w14:paraId="33CB86D2" w14:textId="3C4754C6" w:rsidR="00DF5BDE" w:rsidRPr="00C2163A" w:rsidRDefault="00DF5BDE" w:rsidP="00C2163A">
      <w:pPr>
        <w:pStyle w:val="SingleTxtGA"/>
      </w:pPr>
      <w:r w:rsidRPr="00C2163A">
        <w:rPr>
          <w:rtl/>
        </w:rPr>
        <w:t>5-</w:t>
      </w:r>
      <w:r w:rsidR="00263316" w:rsidRPr="00C2163A">
        <w:rPr>
          <w:rtl/>
        </w:rPr>
        <w:tab/>
      </w:r>
      <w:r w:rsidR="00263316" w:rsidRPr="00C2163A">
        <w:rPr>
          <w:rFonts w:hint="cs"/>
          <w:b/>
          <w:bCs/>
          <w:rtl/>
        </w:rPr>
        <w:t>[</w:t>
      </w:r>
      <w:r w:rsidRPr="00C2163A">
        <w:rPr>
          <w:b/>
          <w:bCs/>
          <w:rtl/>
        </w:rPr>
        <w:t>جيم</w:t>
      </w:r>
      <w:r w:rsidR="00263316" w:rsidRPr="00C2163A">
        <w:rPr>
          <w:rFonts w:hint="cs"/>
          <w:b/>
          <w:bCs/>
          <w:rtl/>
        </w:rPr>
        <w:t>]</w:t>
      </w:r>
      <w:r w:rsidRPr="00C2163A">
        <w:rPr>
          <w:b/>
          <w:bCs/>
          <w:rtl/>
        </w:rPr>
        <w:t>:</w:t>
      </w:r>
      <w:r w:rsidRPr="00C2163A">
        <w:rPr>
          <w:rtl/>
        </w:rPr>
        <w:t xml:space="preserve"> تلاحظ اللجنة أن المعلومات التي قدمتها الدولة الطرف تشير من جديد إلى الأرقام المتعلقة بحالات الاختفاء التي حدثت إبّان فترة النظام الديكتاتوري العسكري (1968</w:t>
      </w:r>
      <w:r w:rsidR="00EE20BE" w:rsidRPr="00C2163A">
        <w:rPr>
          <w:rFonts w:hint="cs"/>
          <w:rtl/>
        </w:rPr>
        <w:t>-</w:t>
      </w:r>
      <w:r w:rsidR="00EE20BE" w:rsidRPr="00C2163A">
        <w:rPr>
          <w:rtl/>
        </w:rPr>
        <w:t>1989</w:t>
      </w:r>
      <w:r w:rsidRPr="00C2163A">
        <w:rPr>
          <w:rtl/>
        </w:rPr>
        <w:t>) واجتياح 20 كانون الأول/ديسمبر 1989. ومع ذلك، لا تتضمن هذه المعلومات أي إجراءات جديدة اتّخذت لتجميع السجّل الموحد الدائم للمختفين منذ اعتماد الملاحظات الختامية للجنة في أيلول/سبتمبر 2021. كما</w:t>
      </w:r>
      <w:r w:rsidR="00CE418A" w:rsidRPr="00C2163A">
        <w:rPr>
          <w:rFonts w:hint="cs"/>
          <w:rtl/>
        </w:rPr>
        <w:t> </w:t>
      </w:r>
      <w:r w:rsidRPr="00C2163A">
        <w:rPr>
          <w:rtl/>
        </w:rPr>
        <w:t>لا</w:t>
      </w:r>
      <w:r w:rsidR="00CE418A" w:rsidRPr="00C2163A">
        <w:rPr>
          <w:rFonts w:hint="cs"/>
          <w:rtl/>
        </w:rPr>
        <w:t> </w:t>
      </w:r>
      <w:r w:rsidRPr="00C2163A">
        <w:rPr>
          <w:rtl/>
        </w:rPr>
        <w:t>تسمح بالتأكيد أن السجل الموحد يتضمن البيانات اللازمة لتحديد العدد الإجمالي لكل الأشخاص المختفين وهوياتهم، ونوع جنس الشخص المختفي وهويته الجنسانية وميله الجنسي وسنه وجنسيته ومجموعته الإثنية، وكذلك مكان الاختفاء وتاريخه وسياقه وظروفه، بما في ذلك كل العناصر ذات الصلة لتحديد ما إذا كان الأمر يتعلق بحالة اختفاء قسري؛ ولذلك ترى اللجنة أن التدابير المتخذة والمعلومات المقدمة لا تسمح بتنفيذ التوصية الواردة في الفقرة 11 من ملاحظاتها الختامية. وتطلب اللجنة إلى الدولة الطرف اتخاذ إجراءات ملموسة لتحقيق هذه الغاية، وموافاتها بمعلومات عن ذلك في معلوماتها التكميلية المقدمة بموجب الفقرة 4 من المادة 29 من الاتفاقية.</w:t>
      </w:r>
    </w:p>
    <w:p w14:paraId="22000021" w14:textId="6DAF8B15" w:rsidR="00DF5BDE" w:rsidRPr="00C2163A" w:rsidRDefault="00DF5BDE" w:rsidP="00C2163A">
      <w:pPr>
        <w:pStyle w:val="SingleTxtGA"/>
        <w:rPr>
          <w:b/>
          <w:bCs/>
        </w:rPr>
      </w:pPr>
      <w:r w:rsidRPr="00C2163A">
        <w:rPr>
          <w:b/>
          <w:bCs/>
          <w:rtl/>
        </w:rPr>
        <w:t>الفقرة 27: توصي اللجنة الدولة الطرف باعتماد التدابير اللازمة لضمان أن تتاح لجميع الأشخاص المسلوبة حريتهم وجميع الأشخاص الذين يُنقلون من سجن إلى آخر، من الوهلة الأولى لسلبهم حريتهم، وبغض النظر عن مكان احتجازهم، إمكانية الاتصال بمحامٍ فوراً، وإمكانية الاتصال بأقاربهم أو</w:t>
      </w:r>
      <w:r w:rsidR="00F5381E" w:rsidRPr="00C2163A">
        <w:rPr>
          <w:rFonts w:hint="cs"/>
          <w:b/>
          <w:bCs/>
          <w:rtl/>
        </w:rPr>
        <w:t> </w:t>
      </w:r>
      <w:r w:rsidRPr="00C2163A">
        <w:rPr>
          <w:b/>
          <w:bCs/>
          <w:rtl/>
        </w:rPr>
        <w:t>ذويهم أي شخص آخر يختارونه، والاتصال، في حالة الأجانب، بسلطاتهم القنصلية.</w:t>
      </w:r>
    </w:p>
    <w:p w14:paraId="7511C3A8" w14:textId="77777777" w:rsidR="00DF5BDE" w:rsidRPr="00C2163A" w:rsidRDefault="00DF5BDE" w:rsidP="00263316">
      <w:pPr>
        <w:pStyle w:val="H23GA"/>
        <w:rPr>
          <w:lang w:val="en-US"/>
        </w:rPr>
      </w:pPr>
      <w:r w:rsidRPr="00C2163A">
        <w:rPr>
          <w:rtl/>
          <w:lang w:val="en-US"/>
        </w:rPr>
        <w:tab/>
      </w:r>
      <w:r w:rsidRPr="00C2163A">
        <w:rPr>
          <w:rtl/>
          <w:lang w:val="en-US"/>
        </w:rPr>
        <w:tab/>
        <w:t>ردّ الدولة الطرف</w:t>
      </w:r>
    </w:p>
    <w:p w14:paraId="458C03C9" w14:textId="071E77B1" w:rsidR="00DF5BDE" w:rsidRPr="00C2163A" w:rsidRDefault="00DF5BDE" w:rsidP="00C2163A">
      <w:pPr>
        <w:pStyle w:val="SingleTxtGA"/>
      </w:pPr>
      <w:r w:rsidRPr="00C2163A">
        <w:rPr>
          <w:rtl/>
        </w:rPr>
        <w:t>6-</w:t>
      </w:r>
      <w:r w:rsidRPr="00C2163A">
        <w:rPr>
          <w:rtl/>
        </w:rPr>
        <w:tab/>
        <w:t xml:space="preserve">يرد ردّ الدولة الطرف في الفقرات من 14 إلى 18 من الوثيقة </w:t>
      </w:r>
      <w:hyperlink r:id="rId12" w:history="1">
        <w:r w:rsidRPr="00C2163A">
          <w:rPr>
            <w:rStyle w:val="Hyperlink"/>
          </w:rPr>
          <w:t>CED/C/PAN/FCO/1</w:t>
        </w:r>
      </w:hyperlink>
      <w:r w:rsidRPr="00C2163A">
        <w:rPr>
          <w:rtl/>
        </w:rPr>
        <w:t>. وتلاحظ اللجنة، وفقاً للمعلومات المقدمة، أن المديرية العامة لنظام السجون في بنما، التابعة لوزارة الداخلية، وضعت بروتوكولا</w:t>
      </w:r>
      <w:r w:rsidR="00CE418A" w:rsidRPr="00C2163A">
        <w:rPr>
          <w:rFonts w:hint="cs"/>
          <w:rtl/>
        </w:rPr>
        <w:t>ً</w:t>
      </w:r>
      <w:r w:rsidRPr="00C2163A">
        <w:rPr>
          <w:rtl/>
        </w:rPr>
        <w:t xml:space="preserve"> إلزاميا</w:t>
      </w:r>
      <w:r w:rsidR="00CE418A" w:rsidRPr="00C2163A">
        <w:rPr>
          <w:rFonts w:hint="cs"/>
          <w:rtl/>
        </w:rPr>
        <w:t>ً</w:t>
      </w:r>
      <w:r w:rsidRPr="00C2163A">
        <w:rPr>
          <w:rtl/>
        </w:rPr>
        <w:t xml:space="preserve"> لإيداع الأشخاص المسلوبة حريتهم في السجون. ويسمح هذا البروتوكول للشخص المحتجز بأن يهاتف، في أول مقابلة تجري معه عند دخول السجن، أحد الأقارب أو شخص يختاره، أو أن يهاتف، إذا كان أجنبيا</w:t>
      </w:r>
      <w:r w:rsidR="00CE418A" w:rsidRPr="00C2163A">
        <w:rPr>
          <w:rFonts w:hint="cs"/>
          <w:rtl/>
        </w:rPr>
        <w:t>ً</w:t>
      </w:r>
      <w:r w:rsidRPr="00C2163A">
        <w:rPr>
          <w:rtl/>
        </w:rPr>
        <w:t>، ممثلا</w:t>
      </w:r>
      <w:r w:rsidR="00CE418A" w:rsidRPr="00C2163A">
        <w:rPr>
          <w:rFonts w:hint="cs"/>
          <w:rtl/>
        </w:rPr>
        <w:t>ً</w:t>
      </w:r>
      <w:r w:rsidRPr="00C2163A">
        <w:rPr>
          <w:rtl/>
        </w:rPr>
        <w:t xml:space="preserve"> قنصليا</w:t>
      </w:r>
      <w:r w:rsidR="00CE418A" w:rsidRPr="00C2163A">
        <w:rPr>
          <w:rFonts w:hint="cs"/>
          <w:rtl/>
        </w:rPr>
        <w:t>ً</w:t>
      </w:r>
      <w:r w:rsidRPr="00C2163A">
        <w:rPr>
          <w:rtl/>
        </w:rPr>
        <w:t>. وبالنسبة للأجانب، ينسق مكتب المدعي العام مع القنصليات من أجل ضمان حقوقهم، وفق</w:t>
      </w:r>
      <w:r w:rsidR="00B25282" w:rsidRPr="00C2163A">
        <w:rPr>
          <w:rtl/>
        </w:rPr>
        <w:t>اً</w:t>
      </w:r>
      <w:r w:rsidRPr="00C2163A">
        <w:rPr>
          <w:rtl/>
        </w:rPr>
        <w:t xml:space="preserve"> لاتفاقية فيينا للعلاقات القنصلية. وبالإضافة إلى ذلك، يقدّم تدريب مستمر في مجال حقوق الإنسان لموظفي السجون والشرطة. كما تنظِّم الشرطة الوطنية برامج تدريبية؛ ففي عامي 2022 و2023 قامت بتدريب الآلاف من وحدات الشرطة.</w:t>
      </w:r>
    </w:p>
    <w:p w14:paraId="277A0452" w14:textId="77777777" w:rsidR="00DF5BDE" w:rsidRPr="00C2163A" w:rsidRDefault="00DF5BDE" w:rsidP="00263316">
      <w:pPr>
        <w:pStyle w:val="H23GA"/>
        <w:rPr>
          <w:lang w:val="en-US"/>
        </w:rPr>
      </w:pPr>
      <w:r w:rsidRPr="00C2163A">
        <w:rPr>
          <w:rtl/>
          <w:lang w:val="en-US"/>
        </w:rPr>
        <w:tab/>
      </w:r>
      <w:r w:rsidRPr="00C2163A">
        <w:rPr>
          <w:rtl/>
          <w:lang w:val="en-US"/>
        </w:rPr>
        <w:tab/>
        <w:t>تقييم اللجنة</w:t>
      </w:r>
    </w:p>
    <w:p w14:paraId="0F049083" w14:textId="2875EA2A" w:rsidR="00DF5BDE" w:rsidRPr="00C2163A" w:rsidRDefault="00DF5BDE" w:rsidP="00C2163A">
      <w:pPr>
        <w:pStyle w:val="SingleTxtGA"/>
      </w:pPr>
      <w:r w:rsidRPr="00C2163A">
        <w:rPr>
          <w:rtl/>
        </w:rPr>
        <w:t>7-</w:t>
      </w:r>
      <w:r w:rsidRPr="00C2163A">
        <w:rPr>
          <w:rtl/>
        </w:rPr>
        <w:tab/>
      </w:r>
      <w:r w:rsidR="00263316" w:rsidRPr="00C2163A">
        <w:rPr>
          <w:rFonts w:hint="cs"/>
          <w:b/>
          <w:bCs/>
          <w:rtl/>
        </w:rPr>
        <w:t>[باء]:</w:t>
      </w:r>
      <w:r w:rsidR="00263316" w:rsidRPr="00C2163A">
        <w:rPr>
          <w:rFonts w:hint="cs"/>
          <w:rtl/>
        </w:rPr>
        <w:t xml:space="preserve"> </w:t>
      </w:r>
      <w:r w:rsidRPr="00C2163A">
        <w:rPr>
          <w:rtl/>
        </w:rPr>
        <w:t>تحيط اللجنة علماً بالمعلومات التي قدّمتها الدولة الطرف. غير أن هذه المعلومات لا</w:t>
      </w:r>
      <w:r w:rsidR="00263316" w:rsidRPr="00C2163A">
        <w:rPr>
          <w:rFonts w:hint="cs"/>
          <w:rtl/>
        </w:rPr>
        <w:t> </w:t>
      </w:r>
      <w:r w:rsidRPr="00C2163A">
        <w:rPr>
          <w:rtl/>
        </w:rPr>
        <w:t>توضّح إلى أي مدى تطبق البروتوكولات واللوائح الحالية في الممارسة العملية. كما أنها لا تبدِّد الشواغل التي عبّرت عنها اللجنة في ملاحظاتها الختامية التي تفيد بأنه على الرغم من الإطار المعياري القائم (أ)</w:t>
      </w:r>
      <w:r w:rsidR="00CE418A" w:rsidRPr="00C2163A">
        <w:rPr>
          <w:rFonts w:hint="cs"/>
          <w:rtl/>
        </w:rPr>
        <w:t> </w:t>
      </w:r>
      <w:r w:rsidRPr="00C2163A">
        <w:rPr>
          <w:rtl/>
        </w:rPr>
        <w:t>نُقل أشخاص محتجزين إلى مراكز أخرى لسلب الحرية دون إبلاغ أسرهم أو أقاربهم بذلك، (ب) تعذّر على أشخاص محتجزين من الإبلاغ عن احتجازهم. ولذلك ترى اللجنة أن الدولة الطرف أحرزت تقدّماً في تنفيذ التوصية، لكن لايزال من الضروري تقديم معلومات واتخاذ مزيد من الإجراءات. ولذلك تُكرّر اللجنة توصيتها الواردة في الفقرة 27 من ملاحظاتها الختامية وتطلب إلى الدولة الطرف موافاتها بمعلومات محدّثة في هذا الصدد بموجب المادة 29(4) من الاتفاقية.</w:t>
      </w:r>
    </w:p>
    <w:p w14:paraId="3D28B972" w14:textId="77777777" w:rsidR="00DF5BDE" w:rsidRPr="00C2163A" w:rsidRDefault="00DF5BDE" w:rsidP="00DF5BDE">
      <w:pPr>
        <w:pStyle w:val="SingleTxtGA"/>
        <w:rPr>
          <w:b/>
          <w:bCs/>
        </w:rPr>
      </w:pPr>
      <w:r w:rsidRPr="00C2163A">
        <w:rPr>
          <w:b/>
          <w:bCs/>
          <w:rtl/>
        </w:rPr>
        <w:lastRenderedPageBreak/>
        <w:t>الفقرة 37: توصي اللجنة الدولة الطرف بأن تضاعف جهودها للبحث عن جميع الأشخاص المختفين إبان فترة الحكم الدكتاتوري والفترة المعروفة بـ "اجتياح 20 كانون الأول/ديسمبر 1989" وتحديد أماكنهم وإطلاق سراحهم، وتعيد رفاتهم بطريقة كريمة إذا ما عُثر عليهم أحياء. كما توصي باتخاذ التدابير اللازمة من أجل:</w:t>
      </w:r>
    </w:p>
    <w:p w14:paraId="5E5F2BAB" w14:textId="0326AEFC" w:rsidR="00DF5BDE" w:rsidRPr="00C2163A" w:rsidRDefault="00263316" w:rsidP="00DF5BDE">
      <w:pPr>
        <w:pStyle w:val="SingleTxtGA"/>
        <w:rPr>
          <w:b/>
          <w:bCs/>
        </w:rPr>
      </w:pPr>
      <w:r w:rsidRPr="00C2163A">
        <w:rPr>
          <w:rtl/>
        </w:rPr>
        <w:tab/>
      </w:r>
      <w:r w:rsidR="00DF5BDE" w:rsidRPr="00C2163A">
        <w:rPr>
          <w:rtl/>
        </w:rPr>
        <w:t>(أ)</w:t>
      </w:r>
      <w:r w:rsidR="00DF5BDE" w:rsidRPr="00C2163A">
        <w:rPr>
          <w:rtl/>
        </w:rPr>
        <w:tab/>
      </w:r>
      <w:r w:rsidR="00DF5BDE" w:rsidRPr="00C2163A">
        <w:rPr>
          <w:b/>
          <w:bCs/>
          <w:rtl/>
        </w:rPr>
        <w:t xml:space="preserve">إنشاء قاعدة بيانات جينية تسمح بجمع المعلومات الجينية للرفات التي عُثر عليها لمقارنتها بجينات أقاربهم وتسهيل التعرف على الأشخاص المختفين، وضمان تحديث قاعدة البيانات بشكل دائم؛ </w:t>
      </w:r>
    </w:p>
    <w:p w14:paraId="041B367C" w14:textId="3B4CC236" w:rsidR="00DF5BDE" w:rsidRPr="00C2163A" w:rsidRDefault="00263316" w:rsidP="00DF5BDE">
      <w:pPr>
        <w:pStyle w:val="SingleTxtGA"/>
        <w:rPr>
          <w:b/>
          <w:bCs/>
        </w:rPr>
      </w:pPr>
      <w:r w:rsidRPr="00C2163A">
        <w:rPr>
          <w:rtl/>
        </w:rPr>
        <w:tab/>
      </w:r>
      <w:r w:rsidR="00DF5BDE" w:rsidRPr="00C2163A">
        <w:rPr>
          <w:rtl/>
        </w:rPr>
        <w:t>(ب)</w:t>
      </w:r>
      <w:r w:rsidRPr="00C2163A">
        <w:rPr>
          <w:rtl/>
        </w:rPr>
        <w:tab/>
      </w:r>
      <w:r w:rsidR="00DF5BDE" w:rsidRPr="00C2163A">
        <w:rPr>
          <w:b/>
          <w:bCs/>
          <w:rtl/>
        </w:rPr>
        <w:t xml:space="preserve">ضمان التنسيق والتعاون وتبادل البيانات بشكل فعال بين الجهات المكلفة بالبحث عن الأشخاص المختفين والتعرف على رفاتهم وتسليمها إلى أقاربهم عند العثور عليهم موتى؛ </w:t>
      </w:r>
    </w:p>
    <w:p w14:paraId="2305F416" w14:textId="0AC35AE4" w:rsidR="00DF5BDE" w:rsidRPr="00C2163A" w:rsidRDefault="00263316" w:rsidP="00DF5BDE">
      <w:pPr>
        <w:pStyle w:val="SingleTxtGA"/>
        <w:rPr>
          <w:b/>
          <w:bCs/>
        </w:rPr>
      </w:pPr>
      <w:r w:rsidRPr="00C2163A">
        <w:rPr>
          <w:rtl/>
        </w:rPr>
        <w:tab/>
      </w:r>
      <w:r w:rsidR="00DF5BDE" w:rsidRPr="00C2163A">
        <w:rPr>
          <w:rtl/>
        </w:rPr>
        <w:t>(ج)</w:t>
      </w:r>
      <w:r w:rsidR="00DF5BDE" w:rsidRPr="00C2163A">
        <w:rPr>
          <w:rtl/>
        </w:rPr>
        <w:tab/>
      </w:r>
      <w:r w:rsidR="00DF5BDE" w:rsidRPr="00C2163A">
        <w:rPr>
          <w:b/>
          <w:bCs/>
          <w:rtl/>
        </w:rPr>
        <w:t>ضمان أن تمتلك السلطات المختصة بالتحقيق في حالات الاختفاء القسري والبحث عن الأشخاص الذين تعرضوا للاختفاء القسري ما يكفي من الموارد المالية والتقنية والموظفين المؤهلين للقيام بعملها بسرعة وفعالية؛</w:t>
      </w:r>
    </w:p>
    <w:p w14:paraId="3671BCF2" w14:textId="038299C0" w:rsidR="00DF5BDE" w:rsidRPr="00C2163A" w:rsidRDefault="00263316" w:rsidP="00DF5BDE">
      <w:pPr>
        <w:pStyle w:val="SingleTxtGA"/>
        <w:rPr>
          <w:b/>
          <w:bCs/>
        </w:rPr>
      </w:pPr>
      <w:r w:rsidRPr="00C2163A">
        <w:rPr>
          <w:rtl/>
        </w:rPr>
        <w:tab/>
      </w:r>
      <w:r w:rsidR="00DF5BDE" w:rsidRPr="00C2163A">
        <w:rPr>
          <w:rtl/>
        </w:rPr>
        <w:t>(د)</w:t>
      </w:r>
      <w:r w:rsidR="00DF5BDE" w:rsidRPr="00C2163A">
        <w:rPr>
          <w:rtl/>
        </w:rPr>
        <w:tab/>
      </w:r>
      <w:r w:rsidR="00DF5BDE" w:rsidRPr="00C2163A">
        <w:rPr>
          <w:b/>
          <w:bCs/>
          <w:rtl/>
        </w:rPr>
        <w:t>ضمان أن تتولى البحوث السلطات المختصة، وأن يشارك فيها أقارب الشخص المعني في حال رغبوا في ذلك.</w:t>
      </w:r>
    </w:p>
    <w:p w14:paraId="446A584B" w14:textId="77777777" w:rsidR="00DF5BDE" w:rsidRPr="00C2163A" w:rsidRDefault="00DF5BDE" w:rsidP="00263316">
      <w:pPr>
        <w:pStyle w:val="H23GA"/>
        <w:rPr>
          <w:lang w:val="en-US"/>
        </w:rPr>
      </w:pPr>
      <w:r w:rsidRPr="00C2163A">
        <w:rPr>
          <w:rtl/>
          <w:lang w:val="en-US"/>
        </w:rPr>
        <w:tab/>
      </w:r>
      <w:r w:rsidRPr="00C2163A">
        <w:rPr>
          <w:rtl/>
          <w:lang w:val="en-US"/>
        </w:rPr>
        <w:tab/>
        <w:t>ردّ الدولة الطرف</w:t>
      </w:r>
    </w:p>
    <w:p w14:paraId="3ECA20EB" w14:textId="123BC3D4" w:rsidR="00DF5BDE" w:rsidRPr="00C2163A" w:rsidRDefault="00DF5BDE" w:rsidP="00DF5BDE">
      <w:pPr>
        <w:pStyle w:val="SingleTxtGA"/>
      </w:pPr>
      <w:r w:rsidRPr="00C2163A">
        <w:rPr>
          <w:rtl/>
        </w:rPr>
        <w:t>8-</w:t>
      </w:r>
      <w:r w:rsidR="00263316" w:rsidRPr="00C2163A">
        <w:rPr>
          <w:rtl/>
        </w:rPr>
        <w:tab/>
      </w:r>
      <w:r w:rsidRPr="00C2163A">
        <w:rPr>
          <w:rtl/>
        </w:rPr>
        <w:t xml:space="preserve">يرد ردّ الدولة الطرف في الفقرات من 19 إلى 25 من الوثيقة </w:t>
      </w:r>
      <w:hyperlink r:id="rId13" w:history="1">
        <w:r w:rsidRPr="00C2163A">
          <w:rPr>
            <w:rStyle w:val="Hyperlink"/>
          </w:rPr>
          <w:t>CED/C/PAN/FCO/1</w:t>
        </w:r>
      </w:hyperlink>
      <w:r w:rsidRPr="00C2163A">
        <w:rPr>
          <w:rtl/>
        </w:rPr>
        <w:t>. وفيما</w:t>
      </w:r>
      <w:r w:rsidR="00CE418A" w:rsidRPr="00C2163A">
        <w:rPr>
          <w:rFonts w:hint="cs"/>
          <w:rtl/>
        </w:rPr>
        <w:t> </w:t>
      </w:r>
      <w:r w:rsidRPr="00C2163A">
        <w:rPr>
          <w:rtl/>
        </w:rPr>
        <w:t>يتعلق بالفقرة الفرعية (أ)، تؤكّد الدولة الطرف أنها تملك، رغم المشاكل المتعلقة بالميزانية، قاعدة بيانات للحمض النووي يديرها معهد الطب الشرعي وعلوم الطب الشرعي، وفقاً للقانون رقم 80 لعام</w:t>
      </w:r>
      <w:r w:rsidR="00CE418A" w:rsidRPr="00C2163A">
        <w:rPr>
          <w:rFonts w:hint="cs"/>
          <w:rtl/>
        </w:rPr>
        <w:t> </w:t>
      </w:r>
      <w:r w:rsidRPr="00C2163A">
        <w:rPr>
          <w:rtl/>
        </w:rPr>
        <w:t>1998. ويعمل مختبر التحليل الجزيئي الحيوي على أن يحدد ملامح جينية وعينات بيولوجية ويقارن بينها في سياق قضايا ذات طابع إنساني أو مدني أو جنائي. وتُخزّن الملامح الجينية للرفات البشرية المحتملة وكذا الملامح الجينية لأقارب ضحايا الديكتاتورية واجتياح الولايات المتحدة الأمريكية لبنما. وأعيد فتح 17 قضية في أعقاب عمليات استخراج جثث من قبورها. وبالنسبة لهذه القضايا، يُتّبع بروتوكول يتألف من خمس مراحل للبحث عن الأشخاص المختفين وتحديد هويتهم، وقد بلغ حالي</w:t>
      </w:r>
      <w:r w:rsidR="00B25282" w:rsidRPr="00C2163A">
        <w:rPr>
          <w:rtl/>
        </w:rPr>
        <w:t>اً</w:t>
      </w:r>
      <w:r w:rsidRPr="00C2163A">
        <w:rPr>
          <w:rtl/>
        </w:rPr>
        <w:t xml:space="preserve"> مرحلة الفحص متعدد التخصصات وتحديد الهوية.</w:t>
      </w:r>
    </w:p>
    <w:p w14:paraId="6B5DB1E2" w14:textId="0302AF0B" w:rsidR="00DF5BDE" w:rsidRPr="00C2163A" w:rsidRDefault="00DF5BDE" w:rsidP="00DF5BDE">
      <w:pPr>
        <w:pStyle w:val="SingleTxtGA"/>
      </w:pPr>
      <w:r w:rsidRPr="00C2163A">
        <w:rPr>
          <w:rtl/>
        </w:rPr>
        <w:t>9-</w:t>
      </w:r>
      <w:r w:rsidRPr="00C2163A">
        <w:rPr>
          <w:rtl/>
        </w:rPr>
        <w:tab/>
        <w:t>وفيما يتعلق بالفقرة الفرعية (ب)، تشير الدولة الطرف إلى أن معهد الطب الشرعي وعلوم الطب الشرعي يتعاون مع لجنة 20 كانون الأول/ديسمبر فيما يتعلق بضحايا الاجتياح الأمريكي لبنما. ومن مجموع المقابر، اختار المعهد رفات ست عشرة ضحية، من أقل الرفات تدهورا</w:t>
      </w:r>
      <w:r w:rsidR="00CE418A" w:rsidRPr="00C2163A">
        <w:rPr>
          <w:rFonts w:hint="cs"/>
          <w:rtl/>
        </w:rPr>
        <w:t>ً</w:t>
      </w:r>
      <w:r w:rsidRPr="00C2163A">
        <w:rPr>
          <w:rtl/>
        </w:rPr>
        <w:t>، لتحليلها في مختبر التحليل الجزيئي الحيوي. وسمحت التحاليل بالحصول على ملامح جينية يمكن مقارنتها مع ملامح جينية مأخوذة من عشرة قبور. ويجري حالي</w:t>
      </w:r>
      <w:r w:rsidR="00B25282" w:rsidRPr="00C2163A">
        <w:rPr>
          <w:rtl/>
        </w:rPr>
        <w:t>اً</w:t>
      </w:r>
      <w:r w:rsidRPr="00C2163A">
        <w:rPr>
          <w:rtl/>
        </w:rPr>
        <w:t xml:space="preserve"> مقارنتها مع الملامح الجينية للضحايا. وحتى الآن، سمحت الملامح الجينية المحددة انطلاقا</w:t>
      </w:r>
      <w:r w:rsidR="00CE418A" w:rsidRPr="00C2163A">
        <w:rPr>
          <w:rFonts w:hint="cs"/>
          <w:rtl/>
        </w:rPr>
        <w:t>ً</w:t>
      </w:r>
      <w:r w:rsidRPr="00C2163A">
        <w:rPr>
          <w:rtl/>
        </w:rPr>
        <w:t xml:space="preserve"> من رفات مستخرجة من هذه القبور العشرة بالتعرف على ثلاث ضحايا. وبالإضافة إلى ذلك، سُجّلت 70 عيّنة لأقارب ضحايا الاجتياح في قاعدة بيانات المختبر.</w:t>
      </w:r>
    </w:p>
    <w:p w14:paraId="047E1521" w14:textId="77777777" w:rsidR="00DF5BDE" w:rsidRPr="00C2163A" w:rsidRDefault="00DF5BDE" w:rsidP="00DF5BDE">
      <w:pPr>
        <w:pStyle w:val="SingleTxtGA"/>
      </w:pPr>
      <w:r w:rsidRPr="00C2163A">
        <w:rPr>
          <w:rtl/>
        </w:rPr>
        <w:t>10-</w:t>
      </w:r>
      <w:r w:rsidRPr="00C2163A">
        <w:rPr>
          <w:rtl/>
        </w:rPr>
        <w:tab/>
        <w:t>وفيما يتعلق بالفقرة الفرعية (ج)، تفيد الدولة الطرف بأن معهد الطب الشرعي وعلوم الطب الشرعي أحرز تقدماً في مجال تحديد الهوية الجينية، بدعم من وكالات التعاون الدولي، مما أتاح الحصول على العناصر الأساسية لتحليل الحمض النووي، وكذلك لإعداد الدليل العام لبنك وقاعدة بيانات الحمض النووي، الذي يحدد المبادئ التوجيهية العامة لتحسين أداء المهام الأساسية الموكلة إلى خبراء وحدة قاعدة بيانات الحمض النووي.</w:t>
      </w:r>
    </w:p>
    <w:p w14:paraId="73FD475C" w14:textId="77777777" w:rsidR="00DF5BDE" w:rsidRPr="00C2163A" w:rsidRDefault="00DF5BDE" w:rsidP="00263316">
      <w:pPr>
        <w:pStyle w:val="H23GA"/>
        <w:rPr>
          <w:lang w:val="en-US"/>
        </w:rPr>
      </w:pPr>
      <w:r w:rsidRPr="00C2163A">
        <w:rPr>
          <w:rtl/>
          <w:lang w:val="en-US"/>
        </w:rPr>
        <w:lastRenderedPageBreak/>
        <w:tab/>
      </w:r>
      <w:r w:rsidRPr="00C2163A">
        <w:rPr>
          <w:rtl/>
          <w:lang w:val="en-US"/>
        </w:rPr>
        <w:tab/>
        <w:t>تقييم اللجنة</w:t>
      </w:r>
    </w:p>
    <w:p w14:paraId="56A79359" w14:textId="0474E255" w:rsidR="00DF5BDE" w:rsidRPr="00C2163A" w:rsidRDefault="00DF5BDE" w:rsidP="00DF5BDE">
      <w:pPr>
        <w:pStyle w:val="SingleTxtGA"/>
      </w:pPr>
      <w:r w:rsidRPr="00C2163A">
        <w:rPr>
          <w:rtl/>
        </w:rPr>
        <w:t>11-</w:t>
      </w:r>
      <w:r w:rsidR="00263316" w:rsidRPr="00C2163A">
        <w:rPr>
          <w:rtl/>
        </w:rPr>
        <w:tab/>
      </w:r>
      <w:r w:rsidR="00263316" w:rsidRPr="00C2163A">
        <w:rPr>
          <w:rFonts w:hint="cs"/>
          <w:b/>
          <w:bCs/>
          <w:rtl/>
        </w:rPr>
        <w:t>[</w:t>
      </w:r>
      <w:r w:rsidRPr="00C2163A">
        <w:rPr>
          <w:b/>
          <w:bCs/>
          <w:rtl/>
        </w:rPr>
        <w:t>باء</w:t>
      </w:r>
      <w:r w:rsidR="00263316" w:rsidRPr="00C2163A">
        <w:rPr>
          <w:rFonts w:hint="cs"/>
          <w:b/>
          <w:bCs/>
          <w:rtl/>
        </w:rPr>
        <w:t>]:</w:t>
      </w:r>
      <w:r w:rsidRPr="00C2163A">
        <w:rPr>
          <w:rtl/>
        </w:rPr>
        <w:t xml:space="preserve"> تحيط اللجنة علماً بالتقدم المحرز في جمع المعلومات الجينية من رفات الضحايا التي عُثر عليها لمقارنتها بالحمض النووي لأقاربهم وتسهيل التعرف على هوية الأشخاص المختفين. ومع ذلك، تلاحظ اللجنة أن الدولة الطرف لا تقدم معلومات عن النتائج التي تحققت في أعقاب التدابير التي اتخذت والتي اتُّخذ معظمها قبل اعتماد ملاحظاتها الختامية. وتلاحظ اللجنة أيضاً أن الدولة الطرف لا تقدّم أي</w:t>
      </w:r>
      <w:r w:rsidR="00263316" w:rsidRPr="00C2163A">
        <w:rPr>
          <w:rFonts w:hint="cs"/>
          <w:rtl/>
        </w:rPr>
        <w:t> </w:t>
      </w:r>
      <w:r w:rsidRPr="00C2163A">
        <w:rPr>
          <w:rtl/>
        </w:rPr>
        <w:t xml:space="preserve">معلومات عن التدابير المتخذة لتحديث قاعدة البيانات الجينية، ولا عن الآليات المستخدمة لضمان إجراء البحوث من قبل السلطات المختصة بمشاركة أقارب الشخص المختفي، إذا رغبوا في ذلك (الفقرة الفرعية (د)). وفي ضوء ما تقدم، تكرر اللجنة توصيتها الواردة في الفقرة 37 من ملاحظاتها الختامية وتطلب إلى الدولة الطرف موافاتها بمعلومات محدثة في هذا الصدد بموجب المادة 29(4) من الاتفاقية. </w:t>
      </w:r>
    </w:p>
    <w:p w14:paraId="75CCB224" w14:textId="77777777" w:rsidR="00DF5BDE" w:rsidRPr="00C2163A" w:rsidRDefault="00DF5BDE" w:rsidP="00263316">
      <w:pPr>
        <w:pStyle w:val="H23GA"/>
        <w:rPr>
          <w:lang w:val="en-US"/>
        </w:rPr>
      </w:pPr>
      <w:r w:rsidRPr="00C2163A">
        <w:rPr>
          <w:rtl/>
          <w:lang w:val="en-US"/>
        </w:rPr>
        <w:tab/>
      </w:r>
      <w:r w:rsidRPr="00C2163A">
        <w:rPr>
          <w:rtl/>
          <w:lang w:val="en-US"/>
        </w:rPr>
        <w:tab/>
        <w:t>قرار اللجنة</w:t>
      </w:r>
    </w:p>
    <w:p w14:paraId="48DB1619" w14:textId="77777777" w:rsidR="00DF5BDE" w:rsidRPr="00C2163A" w:rsidRDefault="00DF5BDE" w:rsidP="00DF5BDE">
      <w:pPr>
        <w:pStyle w:val="SingleTxtGA"/>
      </w:pPr>
      <w:r w:rsidRPr="00C2163A">
        <w:rPr>
          <w:rtl/>
        </w:rPr>
        <w:t>12-</w:t>
      </w:r>
      <w:r w:rsidRPr="00C2163A">
        <w:rPr>
          <w:rtl/>
        </w:rPr>
        <w:tab/>
        <w:t>ستوجه اللجنة رسالة إلى الدولة الطرف لكي تبلغها بتقييمها. وستؤكد الرسالة على أنه ينبغي للدولة الطرف، عند تنفيذ توصيات اللجنة وتقديم معلومات تكميلية بموجب المادة 29(4) من الاتفاقية، أن تراعي التوجيهات المحددة وطلبات المعلومات الواردة في هذا التقرير.</w:t>
      </w:r>
    </w:p>
    <w:p w14:paraId="17EBA336" w14:textId="77777777" w:rsidR="00DF5BDE" w:rsidRPr="00C2163A" w:rsidRDefault="00DF5BDE" w:rsidP="00DF5BDE">
      <w:pPr>
        <w:pStyle w:val="SingleTxtGA"/>
      </w:pPr>
      <w:r w:rsidRPr="00C2163A">
        <w:rPr>
          <w:rtl/>
        </w:rPr>
        <w:t>13-</w:t>
      </w:r>
      <w:r w:rsidRPr="00C2163A">
        <w:rPr>
          <w:rtl/>
        </w:rPr>
        <w:tab/>
        <w:t>وحُدِّد الموعد النهائي لتقديم الدولة الطرف معلومات تكميلية بموجب المادة 29(4) من الاتفاقية في 27 أيلول/سبتمبر 2027.</w:t>
      </w:r>
      <w:bookmarkStart w:id="0" w:name="_Hlk75950090"/>
      <w:bookmarkStart w:id="1" w:name="_Hlk75948647"/>
      <w:bookmarkStart w:id="2" w:name="_Hlk26365471"/>
      <w:bookmarkEnd w:id="0"/>
      <w:bookmarkEnd w:id="1"/>
      <w:bookmarkEnd w:id="2"/>
    </w:p>
    <w:p w14:paraId="18C6627B" w14:textId="4B704312" w:rsidR="00B54045" w:rsidRPr="00102650" w:rsidRDefault="00263316" w:rsidP="00263316">
      <w:pPr>
        <w:pStyle w:val="SingleTxtGA"/>
        <w:jc w:val="center"/>
        <w:rPr>
          <w:u w:val="single"/>
          <w:rtl/>
        </w:rPr>
      </w:pPr>
      <w:r w:rsidRPr="00102650">
        <w:rPr>
          <w:u w:val="single"/>
          <w:rtl/>
        </w:rPr>
        <w:tab/>
      </w:r>
      <w:r w:rsidRPr="00102650">
        <w:rPr>
          <w:u w:val="single"/>
          <w:rtl/>
        </w:rPr>
        <w:tab/>
      </w:r>
      <w:r w:rsidRPr="00102650">
        <w:rPr>
          <w:u w:val="single"/>
          <w:rtl/>
        </w:rPr>
        <w:tab/>
      </w:r>
    </w:p>
    <w:sectPr w:rsidR="00B54045" w:rsidRPr="00102650" w:rsidSect="00D62556">
      <w:headerReference w:type="even" r:id="rId14"/>
      <w:headerReference w:type="default" r:id="rId15"/>
      <w:footerReference w:type="even" r:id="rId16"/>
      <w:footerReference w:type="default" r:id="rId17"/>
      <w:headerReference w:type="first" r:id="rId18"/>
      <w:footerReference w:type="first" r:id="rId19"/>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6F2800" w14:textId="77777777" w:rsidR="00523212" w:rsidRPr="002901D9" w:rsidRDefault="00523212" w:rsidP="00DF5E71">
      <w:pPr>
        <w:spacing w:after="60" w:line="240" w:lineRule="auto"/>
        <w:ind w:left="57"/>
        <w:rPr>
          <w:i/>
          <w:iCs/>
        </w:rPr>
      </w:pPr>
      <w:r>
        <w:rPr>
          <w:rFonts w:hint="cs"/>
          <w:i/>
          <w:iCs/>
          <w:rtl/>
        </w:rPr>
        <w:t>الحواشي</w:t>
      </w:r>
    </w:p>
  </w:endnote>
  <w:endnote w:type="continuationSeparator" w:id="0">
    <w:p w14:paraId="790FD8F0" w14:textId="77777777" w:rsidR="00523212" w:rsidRDefault="00523212"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BFEE71" w14:textId="410CA6DE" w:rsidR="0017502A" w:rsidRPr="00263316" w:rsidRDefault="0017502A" w:rsidP="0017502A">
    <w:pPr>
      <w:pStyle w:val="Footer"/>
      <w:tabs>
        <w:tab w:val="right" w:pos="9638"/>
      </w:tabs>
      <w:rPr>
        <w:b/>
        <w:sz w:val="18"/>
        <w:lang w:val="en-US"/>
      </w:rPr>
    </w:pPr>
    <w:r w:rsidRPr="00263316">
      <w:rPr>
        <w:lang w:val="en-US"/>
      </w:rPr>
      <w:t>GE.25-05256</w:t>
    </w:r>
    <w:r w:rsidRPr="00263316">
      <w:rPr>
        <w:rtl/>
        <w:lang w:val="en-US"/>
      </w:rPr>
      <w:tab/>
    </w:r>
    <w:r w:rsidRPr="00263316">
      <w:rPr>
        <w:b/>
        <w:sz w:val="18"/>
        <w:lang w:val="en-US"/>
      </w:rPr>
      <w:fldChar w:fldCharType="begin"/>
    </w:r>
    <w:r w:rsidRPr="00263316">
      <w:rPr>
        <w:b/>
        <w:sz w:val="18"/>
        <w:rtl/>
        <w:lang w:val="en-US"/>
      </w:rPr>
      <w:instrText xml:space="preserve"> </w:instrText>
    </w:r>
    <w:r w:rsidRPr="00263316">
      <w:rPr>
        <w:b/>
        <w:sz w:val="18"/>
        <w:lang w:val="en-US"/>
      </w:rPr>
      <w:instrText xml:space="preserve">PAGE  \* MERGEFORMAT </w:instrText>
    </w:r>
    <w:r w:rsidRPr="00263316">
      <w:rPr>
        <w:b/>
        <w:sz w:val="18"/>
        <w:lang w:val="en-US"/>
      </w:rPr>
      <w:fldChar w:fldCharType="separate"/>
    </w:r>
    <w:r w:rsidRPr="00263316">
      <w:rPr>
        <w:b/>
        <w:noProof/>
        <w:sz w:val="18"/>
        <w:lang w:val="en-US"/>
      </w:rPr>
      <w:t>2</w:t>
    </w:r>
    <w:r w:rsidRPr="00263316">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8FA27F" w14:textId="33990B5B" w:rsidR="006959B0" w:rsidRPr="00263316" w:rsidRDefault="0017502A" w:rsidP="0017502A">
    <w:pPr>
      <w:pStyle w:val="Footer"/>
      <w:tabs>
        <w:tab w:val="right" w:pos="9638"/>
      </w:tabs>
      <w:rPr>
        <w:lang w:val="en-US"/>
      </w:rPr>
    </w:pPr>
    <w:r w:rsidRPr="00263316">
      <w:rPr>
        <w:b/>
        <w:sz w:val="18"/>
        <w:lang w:val="en-US"/>
      </w:rPr>
      <w:fldChar w:fldCharType="begin"/>
    </w:r>
    <w:r w:rsidRPr="00263316">
      <w:rPr>
        <w:b/>
        <w:sz w:val="18"/>
        <w:rtl/>
        <w:lang w:val="en-US"/>
      </w:rPr>
      <w:instrText xml:space="preserve"> </w:instrText>
    </w:r>
    <w:r w:rsidRPr="00263316">
      <w:rPr>
        <w:b/>
        <w:sz w:val="18"/>
        <w:lang w:val="en-US"/>
      </w:rPr>
      <w:instrText xml:space="preserve">PAGE  \* MERGEFORMAT </w:instrText>
    </w:r>
    <w:r w:rsidRPr="00263316">
      <w:rPr>
        <w:b/>
        <w:sz w:val="18"/>
        <w:lang w:val="en-US"/>
      </w:rPr>
      <w:fldChar w:fldCharType="separate"/>
    </w:r>
    <w:r w:rsidRPr="00263316">
      <w:rPr>
        <w:b/>
        <w:noProof/>
        <w:sz w:val="18"/>
        <w:lang w:val="en-US"/>
      </w:rPr>
      <w:t>3</w:t>
    </w:r>
    <w:r w:rsidRPr="00263316">
      <w:rPr>
        <w:b/>
        <w:sz w:val="18"/>
        <w:lang w:val="en-US"/>
      </w:rPr>
      <w:fldChar w:fldCharType="end"/>
    </w:r>
    <w:r w:rsidRPr="00263316">
      <w:rPr>
        <w:b/>
        <w:sz w:val="18"/>
        <w:rtl/>
        <w:lang w:val="en-US"/>
      </w:rPr>
      <w:tab/>
    </w:r>
    <w:r w:rsidRPr="00263316">
      <w:rPr>
        <w:lang w:val="en-US"/>
      </w:rPr>
      <w:t>GE.25-05256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943E9" w14:textId="385020F0" w:rsidR="00AB4F93" w:rsidRPr="00263316" w:rsidRDefault="0017502A" w:rsidP="0017502A">
    <w:pPr>
      <w:pStyle w:val="Footer"/>
      <w:spacing w:before="600"/>
      <w:ind w:left="567"/>
      <w:jc w:val="right"/>
      <w:rPr>
        <w:sz w:val="20"/>
        <w:lang w:val="en-US"/>
      </w:rPr>
    </w:pPr>
    <w:r w:rsidRPr="00263316">
      <w:rPr>
        <w:sz w:val="20"/>
        <w:lang w:val="en-US"/>
      </w:rPr>
      <w:t>GE.</w:t>
    </w:r>
    <w:r w:rsidR="007F55ED" w:rsidRPr="00263316">
      <w:rPr>
        <w:noProof/>
      </w:rPr>
      <w:drawing>
        <wp:anchor distT="0" distB="0" distL="114300" distR="114300" simplePos="0" relativeHeight="251659264" behindDoc="1" locked="1" layoutInCell="0" allowOverlap="1" wp14:anchorId="26279861" wp14:editId="5B1E802A">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sidRPr="00263316">
      <w:rPr>
        <w:sz w:val="20"/>
        <w:lang w:val="en-US"/>
      </w:rPr>
      <w:t xml:space="preserve">25-05256 </w:t>
    </w:r>
    <w:r w:rsidR="00A06D1C">
      <w:rPr>
        <w:sz w:val="20"/>
        <w:lang w:val="en-US"/>
      </w:rPr>
      <w:t>(A)    050625    050625</w:t>
    </w:r>
    <w:r w:rsidRPr="00263316">
      <w:rPr>
        <w:noProof/>
        <w:sz w:val="20"/>
        <w:rtl/>
        <w:lang w:val="en-US"/>
      </w:rPr>
      <w:drawing>
        <wp:anchor distT="0" distB="0" distL="114300" distR="114300" simplePos="0" relativeHeight="251660288" behindDoc="0" locked="0" layoutInCell="1" allowOverlap="1" wp14:anchorId="1895A292" wp14:editId="7A5B73C4">
          <wp:simplePos x="0" y="0"/>
          <wp:positionH relativeFrom="margin">
            <wp:posOffset>0</wp:posOffset>
          </wp:positionH>
          <wp:positionV relativeFrom="margin">
            <wp:posOffset>8891905</wp:posOffset>
          </wp:positionV>
          <wp:extent cx="628650" cy="628650"/>
          <wp:effectExtent l="0" t="0" r="0" b="0"/>
          <wp:wrapNone/>
          <wp:docPr id="454541958"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541958"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5FD90C" w14:textId="77777777" w:rsidR="00523212" w:rsidRPr="002804D6" w:rsidRDefault="00523212" w:rsidP="002804D6">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52379922" w14:textId="77777777" w:rsidR="00523212" w:rsidRDefault="00523212" w:rsidP="00656392">
      <w:pPr>
        <w:spacing w:line="240" w:lineRule="auto"/>
      </w:pPr>
      <w:r>
        <w:continuationSeparator/>
      </w:r>
    </w:p>
  </w:footnote>
  <w:footnote w:id="1">
    <w:p w14:paraId="4B3895C0" w14:textId="5C669FF5" w:rsidR="00DF5BDE" w:rsidRPr="00102650" w:rsidRDefault="00DF5BDE" w:rsidP="00DF5BDE">
      <w:pPr>
        <w:pStyle w:val="FootnoteText1"/>
      </w:pPr>
      <w:r w:rsidRPr="00102650">
        <w:rPr>
          <w:rtl/>
        </w:rPr>
        <w:t>*</w:t>
      </w:r>
      <w:r w:rsidRPr="00102650">
        <w:rPr>
          <w:rtl/>
        </w:rPr>
        <w:tab/>
        <w:t xml:space="preserve">اعتمدته اللجنة في دورتها </w:t>
      </w:r>
      <w:r w:rsidR="00C2163A" w:rsidRPr="00C2163A">
        <w:rPr>
          <w:rtl/>
        </w:rPr>
        <w:t>الثامنة والعشرين</w:t>
      </w:r>
      <w:r w:rsidR="00C2163A" w:rsidRPr="00102650">
        <w:rPr>
          <w:rtl/>
        </w:rPr>
        <w:t xml:space="preserve"> </w:t>
      </w:r>
      <w:r w:rsidRPr="00102650">
        <w:rPr>
          <w:rtl/>
        </w:rPr>
        <w:t>(17 آذار/مارس - 4 نيسان/أبريل 2025).</w:t>
      </w:r>
    </w:p>
  </w:footnote>
  <w:footnote w:id="2">
    <w:p w14:paraId="6D16EF76" w14:textId="5CC28779" w:rsidR="00DF5BDE" w:rsidRPr="00102650" w:rsidRDefault="00CE418A" w:rsidP="00CE418A">
      <w:pPr>
        <w:pStyle w:val="FootnoteText1"/>
      </w:pPr>
      <w:r w:rsidRPr="00102650">
        <w:rPr>
          <w:rFonts w:hint="cs"/>
          <w:rtl/>
        </w:rPr>
        <w:t>(</w:t>
      </w:r>
      <w:r w:rsidRPr="00CE418A">
        <w:rPr>
          <w:rtl/>
        </w:rPr>
        <w:footnoteRef/>
      </w:r>
      <w:r w:rsidRPr="00102650">
        <w:rPr>
          <w:rFonts w:hint="cs"/>
          <w:rtl/>
        </w:rPr>
        <w:t>)</w:t>
      </w:r>
      <w:r w:rsidR="00DF5BDE" w:rsidRPr="00102650">
        <w:rPr>
          <w:rtl/>
        </w:rPr>
        <w:tab/>
      </w:r>
      <w:hyperlink r:id="rId1" w:history="1">
        <w:r w:rsidR="00DF5BDE" w:rsidRPr="00102650">
          <w:rPr>
            <w:rStyle w:val="Hyperlink"/>
          </w:rPr>
          <w:t>CED/C/PAN/FCO/1</w:t>
        </w:r>
      </w:hyperlink>
      <w:r w:rsidR="00DF5BDE" w:rsidRPr="00102650">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0C1180" w14:textId="23F50092" w:rsidR="0017502A" w:rsidRPr="00263316" w:rsidRDefault="00800F20" w:rsidP="0017502A">
    <w:pPr>
      <w:pStyle w:val="Header"/>
      <w:jc w:val="left"/>
    </w:pPr>
    <w:r>
      <w:fldChar w:fldCharType="begin"/>
    </w:r>
    <w:r>
      <w:instrText xml:space="preserve"> TITLE  \* MERGEFORMAT </w:instrText>
    </w:r>
    <w:r>
      <w:fldChar w:fldCharType="separate"/>
    </w:r>
    <w:r>
      <w:t>CED/C/28/2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6B787B" w14:textId="3A01A434" w:rsidR="0017502A" w:rsidRPr="00263316" w:rsidRDefault="00800F20" w:rsidP="0017502A">
    <w:pPr>
      <w:pStyle w:val="Header"/>
      <w:bidi w:val="0"/>
    </w:pPr>
    <w:r>
      <w:fldChar w:fldCharType="begin"/>
    </w:r>
    <w:r>
      <w:instrText xml:space="preserve"> TITLE  \* MERGEFORMAT </w:instrText>
    </w:r>
    <w:r>
      <w:fldChar w:fldCharType="separate"/>
    </w:r>
    <w:r>
      <w:t>CED/C/28/2</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C0F2C1" w14:textId="77777777" w:rsidR="00A06D1C" w:rsidRDefault="00A06D1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1"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6"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7"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9"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1"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3"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5"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7"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002860072">
    <w:abstractNumId w:val="16"/>
  </w:num>
  <w:num w:numId="2" w16cid:durableId="1061634466">
    <w:abstractNumId w:val="13"/>
  </w:num>
  <w:num w:numId="3" w16cid:durableId="91515560">
    <w:abstractNumId w:val="3"/>
  </w:num>
  <w:num w:numId="4" w16cid:durableId="1036353436">
    <w:abstractNumId w:val="12"/>
  </w:num>
  <w:num w:numId="5" w16cid:durableId="935015415">
    <w:abstractNumId w:val="9"/>
  </w:num>
  <w:num w:numId="6" w16cid:durableId="1264459392">
    <w:abstractNumId w:val="6"/>
  </w:num>
  <w:num w:numId="7" w16cid:durableId="150756312">
    <w:abstractNumId w:val="18"/>
  </w:num>
  <w:num w:numId="8" w16cid:durableId="458111443">
    <w:abstractNumId w:val="3"/>
  </w:num>
  <w:num w:numId="9" w16cid:durableId="617682057">
    <w:abstractNumId w:val="12"/>
  </w:num>
  <w:num w:numId="10" w16cid:durableId="815684285">
    <w:abstractNumId w:val="6"/>
  </w:num>
  <w:num w:numId="11" w16cid:durableId="2101757283">
    <w:abstractNumId w:val="18"/>
  </w:num>
  <w:num w:numId="12" w16cid:durableId="1913616901">
    <w:abstractNumId w:val="5"/>
  </w:num>
  <w:num w:numId="13" w16cid:durableId="431367194">
    <w:abstractNumId w:val="4"/>
  </w:num>
  <w:num w:numId="14" w16cid:durableId="235627484">
    <w:abstractNumId w:val="17"/>
  </w:num>
  <w:num w:numId="15" w16cid:durableId="1345018306">
    <w:abstractNumId w:val="14"/>
  </w:num>
  <w:num w:numId="16" w16cid:durableId="1328284539">
    <w:abstractNumId w:val="2"/>
  </w:num>
  <w:num w:numId="17" w16cid:durableId="1455444008">
    <w:abstractNumId w:val="15"/>
  </w:num>
  <w:num w:numId="18" w16cid:durableId="775755736">
    <w:abstractNumId w:val="1"/>
  </w:num>
  <w:num w:numId="19" w16cid:durableId="14573653">
    <w:abstractNumId w:val="10"/>
  </w:num>
  <w:num w:numId="20" w16cid:durableId="1129669976">
    <w:abstractNumId w:val="15"/>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7055155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264150876">
    <w:abstractNumId w:val="1"/>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1676376051">
    <w:abstractNumId w:val="1"/>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459225220">
    <w:abstractNumId w:val="1"/>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1384914361">
    <w:abstractNumId w:val="8"/>
  </w:num>
  <w:num w:numId="26" w16cid:durableId="1375735797">
    <w:abstractNumId w:val="7"/>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856115198">
    <w:abstractNumId w:val="7"/>
  </w:num>
  <w:num w:numId="28" w16cid:durableId="4168757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proofState w:spelling="clean" w:grammar="clean"/>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3212"/>
    <w:rsid w:val="0000043D"/>
    <w:rsid w:val="00001E1B"/>
    <w:rsid w:val="000076D5"/>
    <w:rsid w:val="000279F7"/>
    <w:rsid w:val="00027F2D"/>
    <w:rsid w:val="00043663"/>
    <w:rsid w:val="000505CF"/>
    <w:rsid w:val="00061B66"/>
    <w:rsid w:val="000A1B1A"/>
    <w:rsid w:val="000D701C"/>
    <w:rsid w:val="000E2A71"/>
    <w:rsid w:val="000F4E15"/>
    <w:rsid w:val="00102650"/>
    <w:rsid w:val="0010772C"/>
    <w:rsid w:val="00160263"/>
    <w:rsid w:val="0017502A"/>
    <w:rsid w:val="00176DB4"/>
    <w:rsid w:val="00181F96"/>
    <w:rsid w:val="001A1371"/>
    <w:rsid w:val="001A5338"/>
    <w:rsid w:val="001B346A"/>
    <w:rsid w:val="001E1CAD"/>
    <w:rsid w:val="001E290D"/>
    <w:rsid w:val="002144FA"/>
    <w:rsid w:val="0021768C"/>
    <w:rsid w:val="0023469A"/>
    <w:rsid w:val="00243C8A"/>
    <w:rsid w:val="002456E8"/>
    <w:rsid w:val="00263316"/>
    <w:rsid w:val="00267A0E"/>
    <w:rsid w:val="00271730"/>
    <w:rsid w:val="002804D6"/>
    <w:rsid w:val="002901D9"/>
    <w:rsid w:val="002976C2"/>
    <w:rsid w:val="002C11AF"/>
    <w:rsid w:val="002F4A9F"/>
    <w:rsid w:val="00317B22"/>
    <w:rsid w:val="00322F15"/>
    <w:rsid w:val="003260FF"/>
    <w:rsid w:val="00343D95"/>
    <w:rsid w:val="00347336"/>
    <w:rsid w:val="00374341"/>
    <w:rsid w:val="003D1062"/>
    <w:rsid w:val="00420D7B"/>
    <w:rsid w:val="00450B21"/>
    <w:rsid w:val="00453B63"/>
    <w:rsid w:val="00455780"/>
    <w:rsid w:val="004A52AC"/>
    <w:rsid w:val="004B0A1C"/>
    <w:rsid w:val="004D298E"/>
    <w:rsid w:val="004E1586"/>
    <w:rsid w:val="00523212"/>
    <w:rsid w:val="00534020"/>
    <w:rsid w:val="0054472E"/>
    <w:rsid w:val="005662A9"/>
    <w:rsid w:val="005827D4"/>
    <w:rsid w:val="0059622A"/>
    <w:rsid w:val="005C5878"/>
    <w:rsid w:val="005C7CEA"/>
    <w:rsid w:val="005D3C0B"/>
    <w:rsid w:val="005E5217"/>
    <w:rsid w:val="005E67F5"/>
    <w:rsid w:val="005F0FA4"/>
    <w:rsid w:val="005F2681"/>
    <w:rsid w:val="005F30EE"/>
    <w:rsid w:val="0060473A"/>
    <w:rsid w:val="00622130"/>
    <w:rsid w:val="00656392"/>
    <w:rsid w:val="0068781D"/>
    <w:rsid w:val="006959B0"/>
    <w:rsid w:val="006A69CA"/>
    <w:rsid w:val="006B2F13"/>
    <w:rsid w:val="006B3E27"/>
    <w:rsid w:val="006B6507"/>
    <w:rsid w:val="006C104C"/>
    <w:rsid w:val="006D39EA"/>
    <w:rsid w:val="006D698E"/>
    <w:rsid w:val="00733704"/>
    <w:rsid w:val="00774AF4"/>
    <w:rsid w:val="0078071A"/>
    <w:rsid w:val="007B718D"/>
    <w:rsid w:val="007F55ED"/>
    <w:rsid w:val="00800F20"/>
    <w:rsid w:val="00807312"/>
    <w:rsid w:val="008313E3"/>
    <w:rsid w:val="00852A9A"/>
    <w:rsid w:val="00884F27"/>
    <w:rsid w:val="008A38DC"/>
    <w:rsid w:val="008C2197"/>
    <w:rsid w:val="008C2897"/>
    <w:rsid w:val="008C6E7E"/>
    <w:rsid w:val="008D6989"/>
    <w:rsid w:val="008F49E1"/>
    <w:rsid w:val="008F729B"/>
    <w:rsid w:val="0090370F"/>
    <w:rsid w:val="009269D2"/>
    <w:rsid w:val="009305F0"/>
    <w:rsid w:val="00942135"/>
    <w:rsid w:val="009521B0"/>
    <w:rsid w:val="00980103"/>
    <w:rsid w:val="00987935"/>
    <w:rsid w:val="00994130"/>
    <w:rsid w:val="009A7E9F"/>
    <w:rsid w:val="009E5018"/>
    <w:rsid w:val="009F515B"/>
    <w:rsid w:val="00A06D1C"/>
    <w:rsid w:val="00A12B37"/>
    <w:rsid w:val="00A20FF4"/>
    <w:rsid w:val="00A4027E"/>
    <w:rsid w:val="00A40EAF"/>
    <w:rsid w:val="00AB4F93"/>
    <w:rsid w:val="00AB6758"/>
    <w:rsid w:val="00B01B73"/>
    <w:rsid w:val="00B13614"/>
    <w:rsid w:val="00B13763"/>
    <w:rsid w:val="00B25282"/>
    <w:rsid w:val="00B27391"/>
    <w:rsid w:val="00B33568"/>
    <w:rsid w:val="00B40C02"/>
    <w:rsid w:val="00B477A4"/>
    <w:rsid w:val="00B53261"/>
    <w:rsid w:val="00B54045"/>
    <w:rsid w:val="00B62784"/>
    <w:rsid w:val="00B63F77"/>
    <w:rsid w:val="00B65387"/>
    <w:rsid w:val="00BA5EC1"/>
    <w:rsid w:val="00BB449E"/>
    <w:rsid w:val="00BD2E35"/>
    <w:rsid w:val="00C05EA5"/>
    <w:rsid w:val="00C2163A"/>
    <w:rsid w:val="00C438D7"/>
    <w:rsid w:val="00C81B50"/>
    <w:rsid w:val="00C92253"/>
    <w:rsid w:val="00CB28F9"/>
    <w:rsid w:val="00CC276B"/>
    <w:rsid w:val="00CD1801"/>
    <w:rsid w:val="00CE418A"/>
    <w:rsid w:val="00CF7E4E"/>
    <w:rsid w:val="00D10EF1"/>
    <w:rsid w:val="00D42810"/>
    <w:rsid w:val="00D62556"/>
    <w:rsid w:val="00D914A7"/>
    <w:rsid w:val="00DD13C3"/>
    <w:rsid w:val="00DD596E"/>
    <w:rsid w:val="00DD621E"/>
    <w:rsid w:val="00DF0575"/>
    <w:rsid w:val="00DF5BDE"/>
    <w:rsid w:val="00DF5E71"/>
    <w:rsid w:val="00E70E04"/>
    <w:rsid w:val="00E76499"/>
    <w:rsid w:val="00E866BF"/>
    <w:rsid w:val="00EB6F59"/>
    <w:rsid w:val="00EC05A7"/>
    <w:rsid w:val="00EC4B6B"/>
    <w:rsid w:val="00EE20BE"/>
    <w:rsid w:val="00EE2A27"/>
    <w:rsid w:val="00EF1EE5"/>
    <w:rsid w:val="00F156CA"/>
    <w:rsid w:val="00F34028"/>
    <w:rsid w:val="00F52C23"/>
    <w:rsid w:val="00F5381E"/>
    <w:rsid w:val="00F6781A"/>
    <w:rsid w:val="00F763B4"/>
    <w:rsid w:val="00F900C3"/>
    <w:rsid w:val="00FD3946"/>
    <w:rsid w:val="00FF2AB2"/>
    <w:rsid w:val="00FF4EA6"/>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D6DE64B"/>
  <w15:docId w15:val="{CCCBFDF3-EAB8-4F29-B95D-62FD3212D8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3"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38DC"/>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8A38DC"/>
    <w:pPr>
      <w:bidi w:val="0"/>
      <w:outlineLvl w:val="0"/>
    </w:pPr>
  </w:style>
  <w:style w:type="paragraph" w:styleId="Heading2">
    <w:name w:val="heading 2"/>
    <w:basedOn w:val="Normal"/>
    <w:next w:val="Normal"/>
    <w:link w:val="Heading2Char"/>
    <w:uiPriority w:val="9"/>
    <w:unhideWhenUsed/>
    <w:rsid w:val="008A38DC"/>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8A38DC"/>
    <w:pPr>
      <w:keepNext/>
      <w:keepLines/>
      <w:spacing w:before="200"/>
      <w:outlineLvl w:val="2"/>
    </w:pPr>
    <w:rPr>
      <w:b/>
      <w:bCs/>
      <w:color w:val="4F81BD"/>
    </w:rPr>
  </w:style>
  <w:style w:type="paragraph" w:styleId="Heading4">
    <w:name w:val="heading 4"/>
    <w:basedOn w:val="Normal"/>
    <w:next w:val="Normal"/>
    <w:link w:val="Heading4Char"/>
    <w:uiPriority w:val="9"/>
    <w:unhideWhenUsed/>
    <w:rsid w:val="008A38DC"/>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8A38DC"/>
    <w:pPr>
      <w:keepNext/>
      <w:keepLines/>
      <w:spacing w:before="200"/>
      <w:outlineLvl w:val="4"/>
    </w:pPr>
    <w:rPr>
      <w:color w:val="243F60"/>
    </w:rPr>
  </w:style>
  <w:style w:type="paragraph" w:styleId="Heading6">
    <w:name w:val="heading 6"/>
    <w:basedOn w:val="Normal"/>
    <w:next w:val="Normal"/>
    <w:link w:val="Heading6Char"/>
    <w:uiPriority w:val="9"/>
    <w:unhideWhenUsed/>
    <w:rsid w:val="008A38DC"/>
    <w:pPr>
      <w:keepNext/>
      <w:keepLines/>
      <w:spacing w:before="200"/>
      <w:outlineLvl w:val="5"/>
    </w:pPr>
    <w:rPr>
      <w:i/>
      <w:iCs/>
      <w:color w:val="243F60"/>
    </w:rPr>
  </w:style>
  <w:style w:type="paragraph" w:styleId="Heading7">
    <w:name w:val="heading 7"/>
    <w:basedOn w:val="Normal"/>
    <w:next w:val="Normal"/>
    <w:link w:val="Heading7Char"/>
    <w:uiPriority w:val="9"/>
    <w:unhideWhenUsed/>
    <w:rsid w:val="008A38DC"/>
    <w:pPr>
      <w:keepNext/>
      <w:keepLines/>
      <w:spacing w:before="200"/>
      <w:outlineLvl w:val="6"/>
    </w:pPr>
    <w:rPr>
      <w:i/>
      <w:iCs/>
      <w:color w:val="404040"/>
    </w:rPr>
  </w:style>
  <w:style w:type="paragraph" w:styleId="Heading8">
    <w:name w:val="heading 8"/>
    <w:basedOn w:val="Normal"/>
    <w:next w:val="Normal"/>
    <w:link w:val="Heading8Char"/>
    <w:uiPriority w:val="9"/>
    <w:unhideWhenUsed/>
    <w:rsid w:val="008A38DC"/>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8A38DC"/>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8A38DC"/>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8A38DC"/>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8A38DC"/>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8A38DC"/>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8A38DC"/>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8A38DC"/>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8A38DC"/>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paragraph" w:customStyle="1" w:styleId="SLGA">
    <w:name w:val="__S_L_GA"/>
    <w:basedOn w:val="Normal"/>
    <w:next w:val="SingleTxtGA"/>
    <w:qFormat/>
    <w:rsid w:val="008A38DC"/>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8A38DC"/>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8A38DC"/>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8A38DC"/>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8A38DC"/>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8A38DC"/>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8A38DC"/>
    <w:pPr>
      <w:numPr>
        <w:numId w:val="5"/>
      </w:numPr>
      <w:bidi w:val="0"/>
    </w:pPr>
  </w:style>
  <w:style w:type="paragraph" w:customStyle="1" w:styleId="Roman1GA">
    <w:name w:val="_Roman 1_GA"/>
    <w:basedOn w:val="Bullet1GA"/>
    <w:qFormat/>
    <w:rsid w:val="008A38DC"/>
    <w:pPr>
      <w:numPr>
        <w:numId w:val="6"/>
      </w:numPr>
      <w:tabs>
        <w:tab w:val="clear" w:pos="2310"/>
        <w:tab w:val="left" w:pos="2486"/>
      </w:tabs>
      <w:ind w:left="2486" w:hanging="378"/>
    </w:pPr>
  </w:style>
  <w:style w:type="paragraph" w:customStyle="1" w:styleId="Roman2GA">
    <w:name w:val="_Roman 2_GA"/>
    <w:basedOn w:val="Bullet2GA"/>
    <w:qFormat/>
    <w:rsid w:val="008A38DC"/>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8A38DC"/>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8A38DC"/>
    <w:rPr>
      <w:rFonts w:ascii="Times New Roman" w:eastAsia="PMingLiU" w:hAnsi="Times New Roman" w:cs="Simplified Arabic"/>
      <w:sz w:val="18"/>
      <w:szCs w:val="20"/>
      <w:lang w:val="en-GB"/>
    </w:rPr>
  </w:style>
  <w:style w:type="character" w:customStyle="1" w:styleId="EndtnoteReference">
    <w:name w:val="Endtnote Reference"/>
    <w:aliases w:val="1_GA"/>
    <w:qFormat/>
    <w:rsid w:val="008A38DC"/>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8A38DC"/>
    <w:pPr>
      <w:suppressAutoHyphens/>
      <w:bidi w:val="0"/>
      <w:spacing w:line="240" w:lineRule="auto"/>
    </w:pPr>
    <w:rPr>
      <w:sz w:val="16"/>
      <w:lang w:val="en-GB"/>
    </w:rPr>
  </w:style>
  <w:style w:type="character" w:customStyle="1" w:styleId="FooterChar">
    <w:name w:val="Footer Char"/>
    <w:aliases w:val="3_GA Char,3_G Char"/>
    <w:link w:val="Footer"/>
    <w:rsid w:val="008A38DC"/>
    <w:rPr>
      <w:rFonts w:ascii="Times New Roman" w:eastAsia="PMingLiU" w:hAnsi="Times New Roman" w:cs="Simplified Arabic"/>
      <w:sz w:val="16"/>
      <w:lang w:val="en-GB"/>
    </w:rPr>
  </w:style>
  <w:style w:type="paragraph" w:customStyle="1" w:styleId="FootnoteText1">
    <w:name w:val="Footnote Text1"/>
    <w:aliases w:val="5_GA"/>
    <w:basedOn w:val="Normal"/>
    <w:qFormat/>
    <w:rsid w:val="008A38DC"/>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8A38DC"/>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8A38DC"/>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8A38DC"/>
    <w:rPr>
      <w:rFonts w:ascii="Times New Roman" w:eastAsia="PMingLiU" w:hAnsi="Times New Roman" w:cs="Simplified Arabic"/>
    </w:rPr>
  </w:style>
  <w:style w:type="character" w:styleId="PageNumber">
    <w:name w:val="page number"/>
    <w:aliases w:val="7_GA,7_G"/>
    <w:qFormat/>
    <w:rsid w:val="008A38DC"/>
    <w:rPr>
      <w:rFonts w:ascii="Times New Roman Bold" w:hAnsi="Times New Roman Bold"/>
      <w:b/>
      <w:i w:val="0"/>
      <w:sz w:val="18"/>
      <w:szCs w:val="18"/>
    </w:rPr>
  </w:style>
  <w:style w:type="paragraph" w:customStyle="1" w:styleId="XXLargeGA">
    <w:name w:val="XXLarge_GA"/>
    <w:basedOn w:val="Normal"/>
    <w:next w:val="SingleTxtGA"/>
    <w:qFormat/>
    <w:rsid w:val="008A38DC"/>
    <w:pPr>
      <w:suppressAutoHyphens/>
      <w:spacing w:line="820" w:lineRule="exact"/>
    </w:pPr>
    <w:rPr>
      <w:spacing w:val="-8"/>
      <w:w w:val="96"/>
      <w:sz w:val="57"/>
      <w:szCs w:val="86"/>
      <w:lang w:val="en-GB"/>
    </w:rPr>
  </w:style>
  <w:style w:type="character" w:customStyle="1" w:styleId="Heading2Char">
    <w:name w:val="Heading 2 Char"/>
    <w:link w:val="Heading2"/>
    <w:uiPriority w:val="9"/>
    <w:rsid w:val="008A38DC"/>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8A38DC"/>
    <w:rPr>
      <w:rFonts w:ascii="Times New Roman" w:eastAsia="PMingLiU" w:hAnsi="Times New Roman" w:cs="Simplified Arabic"/>
      <w:b/>
      <w:bCs/>
      <w:color w:val="4F81BD"/>
      <w:sz w:val="20"/>
    </w:rPr>
  </w:style>
  <w:style w:type="character" w:customStyle="1" w:styleId="Heading4Char">
    <w:name w:val="Heading 4 Char"/>
    <w:link w:val="Heading4"/>
    <w:uiPriority w:val="9"/>
    <w:rsid w:val="008A38DC"/>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8A38DC"/>
    <w:rPr>
      <w:rFonts w:ascii="Times New Roman" w:eastAsia="PMingLiU" w:hAnsi="Times New Roman" w:cs="Simplified Arabic"/>
      <w:color w:val="243F60"/>
      <w:sz w:val="20"/>
    </w:rPr>
  </w:style>
  <w:style w:type="character" w:customStyle="1" w:styleId="Heading6Char">
    <w:name w:val="Heading 6 Char"/>
    <w:link w:val="Heading6"/>
    <w:uiPriority w:val="9"/>
    <w:rsid w:val="008A38DC"/>
    <w:rPr>
      <w:rFonts w:ascii="Times New Roman" w:eastAsia="PMingLiU" w:hAnsi="Times New Roman" w:cs="Simplified Arabic"/>
      <w:i/>
      <w:iCs/>
      <w:color w:val="243F60"/>
      <w:sz w:val="20"/>
    </w:rPr>
  </w:style>
  <w:style w:type="character" w:customStyle="1" w:styleId="Heading7Char">
    <w:name w:val="Heading 7 Char"/>
    <w:link w:val="Heading7"/>
    <w:uiPriority w:val="9"/>
    <w:rsid w:val="008A38DC"/>
    <w:rPr>
      <w:rFonts w:ascii="Times New Roman" w:eastAsia="PMingLiU" w:hAnsi="Times New Roman" w:cs="Simplified Arabic"/>
      <w:i/>
      <w:iCs/>
      <w:color w:val="404040"/>
      <w:sz w:val="20"/>
    </w:rPr>
  </w:style>
  <w:style w:type="character" w:customStyle="1" w:styleId="Heading8Char">
    <w:name w:val="Heading 8 Char"/>
    <w:link w:val="Heading8"/>
    <w:uiPriority w:val="9"/>
    <w:rsid w:val="008A38DC"/>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8A38DC"/>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8A38DC"/>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8A38DC"/>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8A38DC"/>
    <w:pPr>
      <w:numPr>
        <w:ilvl w:val="1"/>
      </w:numPr>
    </w:pPr>
    <w:rPr>
      <w:i/>
      <w:iCs/>
      <w:color w:val="4F81BD"/>
      <w:spacing w:val="15"/>
      <w:sz w:val="24"/>
      <w:szCs w:val="24"/>
    </w:rPr>
  </w:style>
  <w:style w:type="character" w:customStyle="1" w:styleId="SubtitleChar">
    <w:name w:val="Subtitle Char"/>
    <w:link w:val="Subtitle"/>
    <w:uiPriority w:val="11"/>
    <w:rsid w:val="008A38DC"/>
    <w:rPr>
      <w:rFonts w:ascii="Times New Roman" w:eastAsia="PMingLiU" w:hAnsi="Times New Roman" w:cs="Simplified Arabic"/>
      <w:i/>
      <w:iCs/>
      <w:color w:val="4F81BD"/>
      <w:spacing w:val="15"/>
      <w:sz w:val="24"/>
      <w:szCs w:val="24"/>
    </w:rPr>
  </w:style>
  <w:style w:type="character" w:styleId="Strong">
    <w:name w:val="Strong"/>
    <w:uiPriority w:val="22"/>
    <w:rsid w:val="008A38DC"/>
    <w:rPr>
      <w:b/>
      <w:bCs/>
    </w:rPr>
  </w:style>
  <w:style w:type="table" w:styleId="TableGrid">
    <w:name w:val="Table Grid"/>
    <w:basedOn w:val="TableNormal"/>
    <w:rsid w:val="008A38DC"/>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8A38DC"/>
    <w:rPr>
      <w:color w:val="0000FF"/>
      <w:u w:val="none"/>
    </w:rPr>
  </w:style>
  <w:style w:type="paragraph" w:styleId="TOC1">
    <w:name w:val="toc 1"/>
    <w:basedOn w:val="Normal"/>
    <w:link w:val="TOC1Char"/>
    <w:autoRedefine/>
    <w:uiPriority w:val="39"/>
    <w:unhideWhenUsed/>
    <w:rsid w:val="008A38DC"/>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8A38DC"/>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8A38DC"/>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8A38DC"/>
    <w:rPr>
      <w:rFonts w:eastAsia="DengXian"/>
      <w:color w:val="auto"/>
      <w:sz w:val="20"/>
      <w:szCs w:val="20"/>
      <w:u w:val="none"/>
      <w:lang w:eastAsia="zh-CN" w:bidi="ar-EG"/>
    </w:rPr>
  </w:style>
  <w:style w:type="paragraph" w:styleId="TOC4">
    <w:name w:val="toc 4"/>
    <w:basedOn w:val="Normal"/>
    <w:link w:val="TOC4Char"/>
    <w:autoRedefine/>
    <w:uiPriority w:val="39"/>
    <w:unhideWhenUsed/>
    <w:rsid w:val="008A38DC"/>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8A38DC"/>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8A38DC"/>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8A38DC"/>
    <w:pPr>
      <w:bidi/>
      <w:spacing w:before="40" w:after="40" w:line="300" w:lineRule="exact"/>
      <w:ind w:left="113" w:right="113"/>
      <w:jc w:val="lowKashida"/>
    </w:pPr>
    <w:rPr>
      <w:rFonts w:ascii="Times New Roman" w:eastAsiaTheme="minorEastAsia" w:hAnsi="Times New Roman" w:cs="Simplified Arabic"/>
      <w:sz w:val="20"/>
      <w:szCs w:val="20"/>
      <w:lang w:eastAsia="zh-CN"/>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8A38DC"/>
    <w:rPr>
      <w:rFonts w:ascii="Times New Roman" w:eastAsia="PMingLiU" w:hAnsi="Times New Roman" w:cs="Simplified Arabic"/>
    </w:rPr>
  </w:style>
  <w:style w:type="character" w:customStyle="1" w:styleId="TOC1Char">
    <w:name w:val="TOC 1 Char"/>
    <w:basedOn w:val="DefaultParagraphFont"/>
    <w:link w:val="TOC1"/>
    <w:uiPriority w:val="39"/>
    <w:rsid w:val="008A38DC"/>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8A38DC"/>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8A38DC"/>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8A38DC"/>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8A38DC"/>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8A38DC"/>
    <w:rPr>
      <w:rFonts w:ascii="Times New Roman" w:eastAsia="PMingLiU" w:hAnsi="Times New Roman" w:cs="Simplified Arabic"/>
      <w:sz w:val="20"/>
      <w:szCs w:val="20"/>
      <w:lang w:val="en-GB"/>
    </w:rPr>
  </w:style>
  <w:style w:type="paragraph" w:customStyle="1" w:styleId="NormalA">
    <w:name w:val="Normal_A"/>
    <w:basedOn w:val="Normal"/>
    <w:qFormat/>
    <w:rsid w:val="008A38DC"/>
  </w:style>
  <w:style w:type="paragraph" w:customStyle="1" w:styleId="FootnoteGA">
    <w:name w:val="_Footnote_GA"/>
    <w:basedOn w:val="Normal"/>
    <w:qFormat/>
    <w:rsid w:val="008A38DC"/>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8A38DC"/>
    <w:rPr>
      <w:sz w:val="44"/>
      <w:szCs w:val="44"/>
      <w:lang w:val="en-US" w:bidi="ar-DZ"/>
    </w:rPr>
  </w:style>
  <w:style w:type="paragraph" w:customStyle="1" w:styleId="FootnoteGA0">
    <w:name w:val="Footnote_GA"/>
    <w:basedOn w:val="Normal"/>
    <w:qFormat/>
    <w:rsid w:val="008A38DC"/>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8A38DC"/>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8A38DC"/>
    <w:pPr>
      <w:spacing w:line="240" w:lineRule="exact"/>
    </w:pPr>
    <w:rPr>
      <w:spacing w:val="6"/>
      <w:w w:val="106"/>
      <w:sz w:val="14"/>
      <w:szCs w:val="21"/>
    </w:rPr>
  </w:style>
  <w:style w:type="paragraph" w:customStyle="1" w:styleId="Original">
    <w:name w:val="Original"/>
    <w:basedOn w:val="Normal"/>
    <w:next w:val="Normal"/>
    <w:qFormat/>
    <w:rsid w:val="008A38DC"/>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8A38DC"/>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8A38DC"/>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7B718D"/>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7B718D"/>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7B718D"/>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8A38DC"/>
    <w:rPr>
      <w:lang w:val="en-US" w:eastAsia="zh-TW"/>
    </w:rPr>
  </w:style>
  <w:style w:type="paragraph" w:customStyle="1" w:styleId="STitleMGA">
    <w:name w:val="S_Title_M_GA"/>
    <w:basedOn w:val="SMGA"/>
    <w:qFormat/>
    <w:rsid w:val="008A38DC"/>
    <w:rPr>
      <w:lang w:eastAsia="zh-TW"/>
    </w:rPr>
  </w:style>
  <w:style w:type="paragraph" w:customStyle="1" w:styleId="STitleSGA">
    <w:name w:val="S_Title_S_GA"/>
    <w:basedOn w:val="SSGA"/>
    <w:qFormat/>
    <w:rsid w:val="008A38DC"/>
    <w:rPr>
      <w:lang w:eastAsia="zh-TW"/>
    </w:rPr>
  </w:style>
  <w:style w:type="character" w:styleId="FootnoteReference">
    <w:name w:val="footnote reference"/>
    <w:aliases w:val="4_G"/>
    <w:uiPriority w:val="3"/>
    <w:qFormat/>
    <w:rsid w:val="00DF5BDE"/>
    <w:rPr>
      <w:rFonts w:ascii="Times New Roman" w:hAnsi="Times New Roman"/>
      <w:sz w:val="18"/>
      <w:vertAlign w:val="superscript"/>
    </w:rPr>
  </w:style>
  <w:style w:type="paragraph" w:customStyle="1" w:styleId="HChG">
    <w:name w:val="_ H _Ch_G"/>
    <w:basedOn w:val="Normal"/>
    <w:next w:val="Normal"/>
    <w:qFormat/>
    <w:rsid w:val="00DF5BDE"/>
    <w:pPr>
      <w:keepNext/>
      <w:keepLines/>
      <w:tabs>
        <w:tab w:val="right" w:pos="851"/>
      </w:tabs>
      <w:suppressAutoHyphens/>
      <w:bidi w:val="0"/>
      <w:spacing w:before="360" w:after="240" w:line="300" w:lineRule="exact"/>
      <w:ind w:left="1134" w:right="1134" w:hanging="1134"/>
      <w:jc w:val="left"/>
      <w:outlineLvl w:val="1"/>
    </w:pPr>
    <w:rPr>
      <w:rFonts w:eastAsia="Times New Roman" w:hint="cs"/>
      <w:b/>
      <w:sz w:val="28"/>
      <w:szCs w:val="30"/>
      <w:lang w:eastAsia="zh-CN"/>
    </w:rPr>
  </w:style>
  <w:style w:type="paragraph" w:customStyle="1" w:styleId="H1G">
    <w:name w:val="_ H_1_G"/>
    <w:basedOn w:val="Normal"/>
    <w:next w:val="Normal"/>
    <w:qFormat/>
    <w:rsid w:val="00DF5BDE"/>
    <w:pPr>
      <w:keepNext/>
      <w:keepLines/>
      <w:tabs>
        <w:tab w:val="right" w:pos="851"/>
      </w:tabs>
      <w:suppressAutoHyphens/>
      <w:bidi w:val="0"/>
      <w:spacing w:before="360" w:after="240" w:line="270" w:lineRule="exact"/>
      <w:ind w:left="1134" w:right="1134" w:hanging="1134"/>
      <w:jc w:val="left"/>
      <w:outlineLvl w:val="2"/>
    </w:pPr>
    <w:rPr>
      <w:rFonts w:eastAsia="Times New Roman" w:hint="cs"/>
      <w:b/>
      <w:sz w:val="24"/>
      <w:szCs w:val="30"/>
      <w:lang w:eastAsia="zh-CN"/>
    </w:rPr>
  </w:style>
  <w:style w:type="paragraph" w:customStyle="1" w:styleId="H23G">
    <w:name w:val="_ H_2/3_G"/>
    <w:basedOn w:val="Normal"/>
    <w:next w:val="Normal"/>
    <w:qFormat/>
    <w:rsid w:val="00DF5BDE"/>
    <w:pPr>
      <w:keepNext/>
      <w:keepLines/>
      <w:tabs>
        <w:tab w:val="right" w:pos="851"/>
      </w:tabs>
      <w:suppressAutoHyphens/>
      <w:bidi w:val="0"/>
      <w:spacing w:before="240" w:after="120" w:line="240" w:lineRule="exact"/>
      <w:ind w:left="1134" w:right="1134" w:hanging="1134"/>
      <w:jc w:val="left"/>
      <w:outlineLvl w:val="3"/>
    </w:pPr>
    <w:rPr>
      <w:rFonts w:eastAsia="Times New Roman" w:hint="cs"/>
      <w:b/>
      <w:szCs w:val="30"/>
      <w:lang w:eastAsia="zh-CN"/>
    </w:rPr>
  </w:style>
  <w:style w:type="paragraph" w:customStyle="1" w:styleId="SingleTxtG">
    <w:name w:val="_ Single Txt_G"/>
    <w:basedOn w:val="Normal"/>
    <w:link w:val="SingleTxtGChar"/>
    <w:uiPriority w:val="1"/>
    <w:qFormat/>
    <w:rsid w:val="00DF5BDE"/>
    <w:pPr>
      <w:tabs>
        <w:tab w:val="left" w:pos="1701"/>
        <w:tab w:val="left" w:pos="2268"/>
        <w:tab w:val="left" w:pos="2835"/>
      </w:tabs>
      <w:bidi w:val="0"/>
      <w:spacing w:after="120"/>
      <w:ind w:left="1134" w:right="1134"/>
      <w:jc w:val="both"/>
    </w:pPr>
    <w:rPr>
      <w:rFonts w:eastAsia="Times New Roman"/>
      <w:szCs w:val="30"/>
      <w:lang w:eastAsia="zh-CN"/>
    </w:rPr>
  </w:style>
  <w:style w:type="paragraph" w:styleId="FootnoteText">
    <w:name w:val="footnote text"/>
    <w:aliases w:val="5_G"/>
    <w:basedOn w:val="Normal"/>
    <w:link w:val="FootnoteTextChar"/>
    <w:uiPriority w:val="3"/>
    <w:qFormat/>
    <w:rsid w:val="00DF5BDE"/>
    <w:pPr>
      <w:tabs>
        <w:tab w:val="right" w:pos="1021"/>
      </w:tabs>
      <w:bidi w:val="0"/>
      <w:spacing w:line="220" w:lineRule="exact"/>
      <w:ind w:left="1134" w:right="1134" w:hanging="1134"/>
      <w:jc w:val="left"/>
    </w:pPr>
    <w:rPr>
      <w:rFonts w:eastAsia="Times New Roman" w:hint="cs"/>
      <w:sz w:val="18"/>
      <w:szCs w:val="30"/>
      <w:lang w:eastAsia="zh-CN"/>
    </w:rPr>
  </w:style>
  <w:style w:type="character" w:customStyle="1" w:styleId="FootnoteTextChar">
    <w:name w:val="Footnote Text Char"/>
    <w:aliases w:val="5_G Char"/>
    <w:basedOn w:val="DefaultParagraphFont"/>
    <w:link w:val="FootnoteText"/>
    <w:uiPriority w:val="3"/>
    <w:rsid w:val="00DF5BDE"/>
    <w:rPr>
      <w:rFonts w:ascii="Times New Roman" w:hAnsi="Times New Roman" w:cs="Simplified Arabic"/>
      <w:sz w:val="18"/>
      <w:szCs w:val="30"/>
      <w:lang w:eastAsia="zh-CN"/>
    </w:rPr>
  </w:style>
  <w:style w:type="paragraph" w:styleId="ListNumber">
    <w:name w:val="List Number"/>
    <w:basedOn w:val="Normal"/>
    <w:semiHidden/>
    <w:rsid w:val="00DF5BDE"/>
    <w:pPr>
      <w:numPr>
        <w:numId w:val="28"/>
      </w:numPr>
      <w:bidi w:val="0"/>
      <w:jc w:val="left"/>
    </w:pPr>
    <w:rPr>
      <w:rFonts w:eastAsia="Times New Roman" w:hint="cs"/>
      <w:szCs w:val="30"/>
      <w:lang w:eastAsia="zh-CN"/>
    </w:rPr>
  </w:style>
  <w:style w:type="character" w:customStyle="1" w:styleId="SingleTxtGChar">
    <w:name w:val="_ Single Txt_G Char"/>
    <w:link w:val="SingleTxtG"/>
    <w:uiPriority w:val="1"/>
    <w:rsid w:val="00DF5BDE"/>
    <w:rPr>
      <w:rFonts w:ascii="Times New Roman" w:hAnsi="Times New Roman" w:cs="Simplified Arabic"/>
      <w:sz w:val="20"/>
      <w:szCs w:val="30"/>
      <w:lang w:eastAsia="zh-CN"/>
    </w:rPr>
  </w:style>
  <w:style w:type="character" w:styleId="UnresolvedMention">
    <w:name w:val="Unresolved Mention"/>
    <w:basedOn w:val="DefaultParagraphFont"/>
    <w:uiPriority w:val="99"/>
    <w:semiHidden/>
    <w:unhideWhenUsed/>
    <w:rsid w:val="00B2528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cs.un.org/ar/CED/C/PAN/FCO/1"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docs.un.org/ar/CED/C/PAN/FCO/1"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un.org/ar/CED/C/PAN/FCO/1"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docs.un.org/ar/CED/C/PAN/FCO/1"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docs.un.org/ar/CED/C/BRA/CO/1"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docs.un.org/ar/CED/C/PAN/FCO/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5CF3B9-0B75-4878-BFDE-A936202DC1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1723</Words>
  <Characters>9425</Characters>
  <Application>Microsoft Office Word</Application>
  <DocSecurity>0</DocSecurity>
  <Lines>162</Lines>
  <Paragraphs>47</Paragraphs>
  <ScaleCrop>false</ScaleCrop>
  <HeadingPairs>
    <vt:vector size="2" baseType="variant">
      <vt:variant>
        <vt:lpstr>Title</vt:lpstr>
      </vt:variant>
      <vt:variant>
        <vt:i4>1</vt:i4>
      </vt:variant>
    </vt:vector>
  </HeadingPairs>
  <TitlesOfParts>
    <vt:vector size="1" baseType="lpstr">
      <vt:lpstr>CED/C/28/2</vt:lpstr>
    </vt:vector>
  </TitlesOfParts>
  <Company>DCM</Company>
  <LinksUpToDate>false</LinksUpToDate>
  <CharactersWithSpaces>11101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CED/C/28/2</dc:title>
  <dc:subject>GE.2505256(A)</dc:subject>
  <dc:creator>Mohamed EL-BAHNASSAWY - </dc:creator>
  <cp:keywords>GE.(A)</cp:keywords>
  <dc:description>General_x000d_
_x000d_
Arabic_x000d_
English</dc:description>
  <cp:lastModifiedBy>Jamila Chedad</cp:lastModifiedBy>
  <cp:revision>3</cp:revision>
  <cp:lastPrinted>2025-06-05T15:38:00Z</cp:lastPrinted>
  <dcterms:created xsi:type="dcterms:W3CDTF">2025-06-05T15:38:00Z</dcterms:created>
  <dcterms:modified xsi:type="dcterms:W3CDTF">2025-06-05T15:38:00Z</dcterms:modified>
</cp:coreProperties>
</file>