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1010" w:rsidRDefault="00E11010" w:rsidP="00E11010">
      <w:pPr>
        <w:spacing w:line="60" w:lineRule="exact"/>
        <w:rPr>
          <w:sz w:val="6"/>
        </w:rPr>
        <w:sectPr w:rsidR="00E11010" w:rsidSect="00E1101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E11010" w:rsidRDefault="00E11010" w:rsidP="00E11010">
      <w:pPr>
        <w:spacing w:line="60" w:lineRule="exact"/>
        <w:rPr>
          <w:sz w:val="6"/>
        </w:rPr>
      </w:pPr>
    </w:p>
    <w:p w:rsidR="00ED6E9E" w:rsidRDefault="00ED6E9E" w:rsidP="00ED6E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ED6E9E" w:rsidRPr="00ED6E9E" w:rsidRDefault="00ED6E9E" w:rsidP="00ED6E9E">
      <w:pPr>
        <w:pStyle w:val="SingleTxt"/>
        <w:spacing w:after="60"/>
        <w:ind w:left="0"/>
        <w:rPr>
          <w:rFonts w:ascii="SimHei" w:eastAsia="SimHei" w:hint="eastAsia"/>
          <w:color w:val="FF0000"/>
        </w:rPr>
      </w:pPr>
      <w:r w:rsidRPr="00ED6E9E">
        <w:rPr>
          <w:rFonts w:ascii="SimHei" w:eastAsia="SimHei" w:hint="eastAsia"/>
          <w:color w:val="FF0000"/>
        </w:rPr>
        <w:t>会前工作组</w:t>
      </w:r>
    </w:p>
    <w:p w:rsidR="00ED6E9E" w:rsidRPr="00ED6E9E" w:rsidRDefault="00ED6E9E" w:rsidP="00ED6E9E">
      <w:pPr>
        <w:pStyle w:val="SingleTxt"/>
        <w:spacing w:after="60"/>
        <w:ind w:left="0"/>
        <w:rPr>
          <w:rFonts w:ascii="SimHei" w:eastAsia="SimHei" w:hint="eastAsia"/>
          <w:color w:val="FF0000"/>
        </w:rPr>
      </w:pPr>
      <w:r w:rsidRPr="00ED6E9E">
        <w:rPr>
          <w:rFonts w:ascii="SimHei" w:eastAsia="SimHei" w:hint="eastAsia"/>
          <w:color w:val="FF0000"/>
        </w:rPr>
        <w:t>第三十七届会议</w:t>
      </w:r>
    </w:p>
    <w:p w:rsidR="00ED6E9E" w:rsidRDefault="00ED6E9E" w:rsidP="00ED6E9E">
      <w:pPr>
        <w:pStyle w:val="SingleTxt"/>
        <w:spacing w:after="240"/>
        <w:ind w:left="0"/>
        <w:rPr>
          <w:rFonts w:hint="eastAsia"/>
        </w:rPr>
      </w:pPr>
      <w:r>
        <w:rPr>
          <w:rFonts w:hint="eastAsia"/>
        </w:rPr>
        <w:t>2007年1月15日至2月2日</w:t>
      </w:r>
    </w:p>
    <w:p w:rsidR="00ED6E9E" w:rsidRPr="000F26E3" w:rsidRDefault="00ED6E9E" w:rsidP="00F07CE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4" w:right="1259" w:hanging="1264"/>
        <w:rPr>
          <w:rFonts w:ascii="Times New Roman" w:hint="eastAsia"/>
        </w:rPr>
      </w:pPr>
      <w:r>
        <w:rPr>
          <w:rFonts w:ascii="Times New Roman"/>
        </w:rPr>
        <w:tab/>
      </w:r>
      <w:r>
        <w:rPr>
          <w:rFonts w:ascii="Times New Roman"/>
        </w:rPr>
        <w:tab/>
      </w:r>
      <w:r w:rsidR="000F26E3">
        <w:rPr>
          <w:rFonts w:hint="eastAsia"/>
        </w:rPr>
        <w:t>关于审议定期报告的题目和问题</w:t>
      </w:r>
      <w:r w:rsidR="000F26E3">
        <w:rPr>
          <w:rFonts w:ascii="Times New Roman" w:hint="eastAsia"/>
        </w:rPr>
        <w:t>清单</w:t>
      </w:r>
    </w:p>
    <w:p w:rsidR="00ED6E9E" w:rsidRDefault="00ED6E9E" w:rsidP="00ED6E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印度</w:t>
      </w:r>
    </w:p>
    <w:p w:rsidR="00ED6E9E" w:rsidRPr="00ED6E9E" w:rsidRDefault="00ED6E9E" w:rsidP="00ED6E9E">
      <w:pPr>
        <w:pStyle w:val="SingleTxt"/>
        <w:spacing w:after="0" w:line="120" w:lineRule="exact"/>
        <w:rPr>
          <w:rFonts w:hint="eastAsia"/>
          <w:sz w:val="10"/>
        </w:rPr>
      </w:pPr>
    </w:p>
    <w:p w:rsidR="00ED6E9E" w:rsidRPr="00ED6E9E" w:rsidRDefault="00ED6E9E" w:rsidP="00ED6E9E">
      <w:pPr>
        <w:pStyle w:val="SingleTxt"/>
        <w:spacing w:after="0" w:line="120" w:lineRule="exact"/>
        <w:rPr>
          <w:rFonts w:hint="eastAsia"/>
          <w:sz w:val="10"/>
        </w:rPr>
      </w:pPr>
    </w:p>
    <w:p w:rsidR="00ED6E9E" w:rsidRDefault="00ED6E9E" w:rsidP="00ED6E9E">
      <w:pPr>
        <w:pStyle w:val="SingleTxt"/>
        <w:rPr>
          <w:rFonts w:hint="eastAsia"/>
        </w:rPr>
      </w:pPr>
      <w:r>
        <w:tab/>
      </w:r>
      <w:r>
        <w:rPr>
          <w:rFonts w:hint="eastAsia"/>
        </w:rPr>
        <w:t>会前工作组审议了印度合并的第二和第三次定期报告</w:t>
      </w:r>
      <w:r w:rsidR="00F07CE6">
        <w:rPr>
          <w:rFonts w:hint="eastAsia"/>
        </w:rPr>
        <w:t>(CEDAW/C/INDL/2-3)。</w:t>
      </w:r>
    </w:p>
    <w:p w:rsidR="00ED6E9E" w:rsidRPr="00ED6E9E" w:rsidRDefault="00ED6E9E" w:rsidP="00ED6E9E">
      <w:pPr>
        <w:pStyle w:val="SingleTxt"/>
        <w:rPr>
          <w:rFonts w:ascii="SimHei" w:eastAsia="SimHei" w:hint="eastAsia"/>
          <w:color w:val="FF0000"/>
        </w:rPr>
      </w:pPr>
      <w:r w:rsidRPr="00ED6E9E">
        <w:rPr>
          <w:rFonts w:ascii="SimHei" w:eastAsia="SimHei" w:hint="eastAsia"/>
          <w:color w:val="FF0000"/>
        </w:rPr>
        <w:t>概论</w:t>
      </w:r>
    </w:p>
    <w:p w:rsidR="00ED6E9E" w:rsidRDefault="00ED6E9E" w:rsidP="00ED6E9E">
      <w:pPr>
        <w:pStyle w:val="SingleTxt"/>
        <w:rPr>
          <w:rFonts w:hint="eastAsia"/>
        </w:rPr>
      </w:pPr>
      <w:r>
        <w:rPr>
          <w:rFonts w:hint="eastAsia"/>
        </w:rPr>
        <w:t>1.</w:t>
      </w:r>
      <w:r>
        <w:rPr>
          <w:rFonts w:hint="eastAsia"/>
        </w:rPr>
        <w:tab/>
      </w:r>
      <w:r w:rsidRPr="00ED6E9E">
        <w:rPr>
          <w:rFonts w:hint="eastAsia"/>
          <w:spacing w:val="2"/>
        </w:rPr>
        <w:t>委员会在第二十九届会议上首次请印度指出它预计提交其合并的第二次和第三次定期报告的日期，其中应载有关于古吉拉特的事件及其对妇女的影响的资料（见A/58/38,第二部分，第459段和A/59/38,第一部分，第425段及第二部分，第442段）。第二次和第三次定期报告没有提供所要求关于古吉拉特的事件及其对妇女的影响的资料。暴力侵害妇女问题特别报告员指出2002年在古吉拉特发生广泛暴力侵害妇女的事件，并在古吉拉特暴乱后出现犯罪未受惩罚的现象，性暴力事件层出不穷和遭受暴力的妇女未能伸张正义(E/CN.4/2003/75/</w:t>
      </w:r>
      <w:r w:rsidRPr="00ED6E9E">
        <w:rPr>
          <w:spacing w:val="2"/>
        </w:rPr>
        <w:br/>
      </w:r>
      <w:r>
        <w:rPr>
          <w:rFonts w:hint="eastAsia"/>
        </w:rPr>
        <w:t>Add.1,第988段)。请提供关于古吉拉特的事件及其对妇女的影响的资料。应特别说明政府为保证古吉拉特的事件中遭受暴力的妇女能诉诸法律，伸张正义和获得康复服务所采取的步骤。还应说明采取何种步骤，调查和起诉在这些事件中暴力侵害妇女的肇事者；对被告的指控的规定；逮捕的情况；审判和定罪的情况及实行的惩罚。请说明在审判期间，为保护受害人所实行的措施，以及向受害人提供的法律协助和支助。在将肇事者绳之以法方面有什么障碍，采取何种措施予以克服和有什么成果？此外，请详细说明中央政府和邦政府所制订针对不同性别群体的康复计划和从这些计划获益的妇女人数。还请说明政府采取何种措施，使社区的经济能够复苏和重建在动乱中被破坏的基础设施。还请说明采取何种建立信任措施，使受害人能够重返社会。</w:t>
      </w:r>
    </w:p>
    <w:p w:rsidR="00ED6E9E" w:rsidRDefault="00ED6E9E" w:rsidP="00ED6E9E">
      <w:pPr>
        <w:pStyle w:val="SingleTxt"/>
        <w:rPr>
          <w:rFonts w:hint="eastAsia"/>
        </w:rPr>
      </w:pPr>
      <w:r>
        <w:rPr>
          <w:rFonts w:hint="eastAsia"/>
        </w:rPr>
        <w:t>2.</w:t>
      </w:r>
      <w:r>
        <w:rPr>
          <w:rFonts w:hint="eastAsia"/>
        </w:rPr>
        <w:tab/>
        <w:t>请告诉委员会印度如何执行安全理事会第1325（2000）号决议和如何把性别观点纳入在“动乱”和冲突地区的军事行动的主流。请进一步说明报告第18段所述向冲突地区执行任务的武装部队进行的性别意识训练（规模、受训人数等）。委员会在其结论意见中建议与全国人权委员会、全国妇女委员会和民间社会协商，审查防止恐怖主义立法和《武装部队特别权力法》。请说明是否进行这种审查，若然，采取何种行动执行审查的建议。请详述报告第17段所述依据《军队法》起诉军事人员的情况。</w:t>
      </w:r>
    </w:p>
    <w:p w:rsidR="00ED6E9E" w:rsidRDefault="00ED6E9E" w:rsidP="00ED6E9E">
      <w:pPr>
        <w:pStyle w:val="SingleTxt"/>
        <w:rPr>
          <w:rFonts w:hint="eastAsia"/>
        </w:rPr>
      </w:pPr>
      <w:r>
        <w:rPr>
          <w:rFonts w:hint="eastAsia"/>
        </w:rPr>
        <w:t>3.</w:t>
      </w:r>
      <w:r>
        <w:rPr>
          <w:rFonts w:hint="eastAsia"/>
        </w:rPr>
        <w:tab/>
        <w:t>鉴于最近的天灾，例如在印度发生的海啸，请说明印度政府是否评价向受害者提供考虑到性别观点的人道主义援助的效力和政府是否建立框架，提供有性别意识的人道主义援助。</w:t>
      </w:r>
    </w:p>
    <w:p w:rsidR="00ED6E9E" w:rsidRPr="00ED6E9E" w:rsidRDefault="00ED6E9E" w:rsidP="00ED6E9E">
      <w:pPr>
        <w:pStyle w:val="SingleTxt"/>
        <w:rPr>
          <w:rFonts w:ascii="SimHei" w:eastAsia="SimHei" w:hint="eastAsia"/>
          <w:color w:val="FF0000"/>
        </w:rPr>
      </w:pPr>
      <w:r w:rsidRPr="00ED6E9E">
        <w:rPr>
          <w:rFonts w:ascii="SimHei" w:eastAsia="SimHei" w:hint="eastAsia"/>
          <w:color w:val="FF0000"/>
        </w:rPr>
        <w:t>宪法、立法、提高妇女地位的国家机制</w:t>
      </w:r>
    </w:p>
    <w:p w:rsidR="00ED6E9E" w:rsidRDefault="00ED6E9E" w:rsidP="00ED6E9E">
      <w:pPr>
        <w:pStyle w:val="SingleTxt"/>
        <w:rPr>
          <w:rFonts w:hint="eastAsia"/>
        </w:rPr>
      </w:pPr>
      <w:r>
        <w:rPr>
          <w:rFonts w:hint="eastAsia"/>
        </w:rPr>
        <w:t>4.</w:t>
      </w:r>
      <w:r>
        <w:rPr>
          <w:rFonts w:hint="eastAsia"/>
        </w:rPr>
        <w:tab/>
        <w:t>请说明编写合并的第二和第三次定期报告的进程。这项资料应指出参加的政府部门、性质和程度，是否与非政府组织进行协商和是否向议会提交报告。</w:t>
      </w:r>
    </w:p>
    <w:p w:rsidR="00ED6E9E" w:rsidRDefault="00ED6E9E" w:rsidP="00ED6E9E">
      <w:pPr>
        <w:pStyle w:val="SingleTxt"/>
        <w:rPr>
          <w:rFonts w:hint="eastAsia"/>
        </w:rPr>
      </w:pPr>
      <w:r>
        <w:rPr>
          <w:rFonts w:hint="eastAsia"/>
        </w:rPr>
        <w:t>5.</w:t>
      </w:r>
      <w:r>
        <w:rPr>
          <w:rFonts w:hint="eastAsia"/>
        </w:rPr>
        <w:tab/>
        <w:t>报告第36段指出全国妇女委员会审查32项法律中的歧视性条款和建议予以修改，以及其他机构也修改其他法律中的歧视性条款，并且成立一个部际委员会“审查现行法律，以解决歧视问题和确保妇女享有平等”。请指出采取何种有关废除歧视妇女的所有法律的具体战略、计划和时间表。请说明就此问题与有关社区，包括妇女进行协商的现行措施。</w:t>
      </w:r>
    </w:p>
    <w:p w:rsidR="00ED6E9E" w:rsidRDefault="00ED6E9E" w:rsidP="00ED6E9E">
      <w:pPr>
        <w:pStyle w:val="SingleTxt"/>
        <w:rPr>
          <w:rFonts w:hint="eastAsia"/>
        </w:rPr>
      </w:pPr>
      <w:r>
        <w:rPr>
          <w:rFonts w:hint="eastAsia"/>
        </w:rPr>
        <w:t>6.</w:t>
      </w:r>
      <w:r>
        <w:rPr>
          <w:rFonts w:hint="eastAsia"/>
        </w:rPr>
        <w:tab/>
        <w:t>在以前的结论意见中，委员会对平等和不歧视的宪法保障在私人领域不适用表示关切。对此，报告第14段指出“在家庭和私人领域，《消除对妇女一切形式歧视公约》标准的执行仍然是一项需要应对的挑战”。请说明现正考虑采取何种步骤和战略，在家庭和私人领域全面消除歧视，包括是否根据委员会的建议现正考虑颁布《性别歧视法》。</w:t>
      </w:r>
    </w:p>
    <w:p w:rsidR="00ED6E9E" w:rsidRDefault="00ED6E9E" w:rsidP="00ED6E9E">
      <w:pPr>
        <w:pStyle w:val="SingleTxt"/>
        <w:rPr>
          <w:rFonts w:hint="eastAsia"/>
        </w:rPr>
      </w:pPr>
      <w:r>
        <w:rPr>
          <w:rFonts w:hint="eastAsia"/>
        </w:rPr>
        <w:t>7.</w:t>
      </w:r>
      <w:r>
        <w:rPr>
          <w:rFonts w:hint="eastAsia"/>
        </w:rPr>
        <w:tab/>
        <w:t>报告第29段指出，赋予妇女权力议会委员会以及消除对妇女歧视委员会在结论意见提出有关增加权力的建议，“印度政府都在积极的考虑当中”。请详述议会委员会对此的建议和指出具体计划及时间表，保证关于增加权力的所有建议，包括关于全国妇女委员会的申诉机制及资源的建议的全面执行，并与邦妇女委员会建立联系。还请指出建议是否包括非政府组织参加委员会的规定。</w:t>
      </w:r>
    </w:p>
    <w:p w:rsidR="00ED6E9E" w:rsidRPr="00ED6E9E" w:rsidRDefault="00ED6E9E" w:rsidP="00ED6E9E">
      <w:pPr>
        <w:pStyle w:val="SingleTxt"/>
        <w:rPr>
          <w:rFonts w:ascii="SimHei" w:eastAsia="SimHei" w:hint="eastAsia"/>
          <w:color w:val="FF0000"/>
        </w:rPr>
      </w:pPr>
      <w:r w:rsidRPr="00ED6E9E">
        <w:rPr>
          <w:rFonts w:ascii="SimHei" w:eastAsia="SimHei" w:hint="eastAsia"/>
          <w:color w:val="FF0000"/>
        </w:rPr>
        <w:t>对妇女的暴力行为和贩卖妇女</w:t>
      </w:r>
    </w:p>
    <w:p w:rsidR="00ED6E9E" w:rsidRDefault="00ED6E9E" w:rsidP="000F26E3">
      <w:pPr>
        <w:pStyle w:val="SingleTxt"/>
        <w:spacing w:after="120"/>
        <w:rPr>
          <w:rFonts w:hint="eastAsia"/>
        </w:rPr>
      </w:pPr>
      <w:r>
        <w:rPr>
          <w:rFonts w:hint="eastAsia"/>
        </w:rPr>
        <w:t>8.</w:t>
      </w:r>
      <w:r>
        <w:rPr>
          <w:rFonts w:hint="eastAsia"/>
        </w:rPr>
        <w:tab/>
        <w:t>委员会在以前的结论意见建议制订有关国家行动计划，根据一般建议19和24，综合处理性别暴力问题。不过，自那时起，对妇女的暴力行为有增无减(见报告第15及第83段)。请说明关于这种发展的原因，并如委员会在前结论意见中所要求的，提供按阶级、种族和宗教信仰开列关于对妇女的暴力行为的数字和资料，包括风俗惯例，例如嫁妆不足受屈死亡及因嫁妆引起的骚扰、殉葬妇女及寺院舞女。还请充分说明为全面、协调一致方式解决对妇女的暴力行为的问题采取或计划采取的措施，包括报告第83段所述在这方面政府第10个计划所载的《行动方案》和处理家庭暴力的立法提议的内容。</w:t>
      </w:r>
    </w:p>
    <w:p w:rsidR="00ED6E9E" w:rsidRDefault="00ED6E9E" w:rsidP="000F26E3">
      <w:pPr>
        <w:pStyle w:val="SingleTxt"/>
        <w:spacing w:after="120"/>
        <w:rPr>
          <w:rFonts w:hint="eastAsia"/>
        </w:rPr>
      </w:pPr>
      <w:r>
        <w:rPr>
          <w:rFonts w:hint="eastAsia"/>
        </w:rPr>
        <w:t>9.</w:t>
      </w:r>
      <w:r>
        <w:rPr>
          <w:rFonts w:hint="eastAsia"/>
        </w:rPr>
        <w:tab/>
        <w:t>在前结论意见中，委员会呼吁政府审查关于强迫卖淫和贩卖的现有立法。报第142段指出已建议修改1956年的《（防止）不道德贩卖法》。请详述对该法的拟议修正案，包括贩卖的定义，以及关于处理妇女的解救、康复和重新融入社会生活问题的规定，并指出拟议修正案如何响应委员会关于强迫卖淫和贩卖的女受害者面临的艾滋病毒及其他危害健康的风险。请说明贩卖率、依法移送法院的案件和谁被起诉。是否有规定时限打击贩卖的全面国家计划？这个计划是否包括被贩卖妇女和儿童的康复方案，预算是否足够？</w:t>
      </w:r>
    </w:p>
    <w:p w:rsidR="00ED6E9E" w:rsidRPr="00ED6E9E" w:rsidRDefault="00ED6E9E" w:rsidP="00ED6E9E">
      <w:pPr>
        <w:pStyle w:val="SingleTxt"/>
        <w:rPr>
          <w:rFonts w:ascii="SimHei" w:eastAsia="SimHei" w:hint="eastAsia"/>
          <w:color w:val="FF0000"/>
        </w:rPr>
      </w:pPr>
      <w:r w:rsidRPr="00ED6E9E">
        <w:rPr>
          <w:rFonts w:ascii="SimHei" w:eastAsia="SimHei" w:hint="eastAsia"/>
          <w:color w:val="FF0000"/>
        </w:rPr>
        <w:t xml:space="preserve">陈规定型和歧视性文化惯例 </w:t>
      </w:r>
    </w:p>
    <w:p w:rsidR="00ED6E9E" w:rsidRDefault="00ED6E9E" w:rsidP="000F26E3">
      <w:pPr>
        <w:pStyle w:val="SingleTxt"/>
        <w:spacing w:after="120"/>
        <w:rPr>
          <w:rFonts w:hint="eastAsia"/>
        </w:rPr>
      </w:pPr>
      <w:r>
        <w:rPr>
          <w:rFonts w:hint="eastAsia"/>
        </w:rPr>
        <w:t>10.</w:t>
      </w:r>
      <w:r>
        <w:rPr>
          <w:rFonts w:hint="eastAsia"/>
        </w:rPr>
        <w:tab/>
        <w:t>在整个报告引述了陈规定型态度和一些文化及传统惯例和习俗是妇女实现平等的主要障碍 (见第86、第122和第182段)。报告第122段还指出旨在消除妇女的习俗惯例的法律改革还“没有带来期望的印度妇女角色和地位的改变”。请提供以下资料：是否执行全面战略，包括实施所有法律禁止歧视妇女的习俗惯例、建立有利于妇女的社会文化气氛，包括教育和提高公众意识，是否就此与非政府组织合作、采取或预期采取措施，以消除歧视性习俗惯例和在所有部门及领域的有害陈规定型态度。还说明已采取的步骤，通过正规教育制度，停止歧视性习俗惯例，包括全国教育政策在这方面的细节。</w:t>
      </w:r>
    </w:p>
    <w:p w:rsidR="00ED6E9E" w:rsidRPr="000F26E3" w:rsidRDefault="00ED6E9E" w:rsidP="000F26E3">
      <w:pPr>
        <w:pStyle w:val="SingleTxt"/>
        <w:spacing w:after="120"/>
        <w:rPr>
          <w:rFonts w:hint="eastAsia"/>
        </w:rPr>
      </w:pPr>
      <w:r w:rsidRPr="000F26E3">
        <w:rPr>
          <w:rFonts w:hint="eastAsia"/>
        </w:rPr>
        <w:t>11.</w:t>
      </w:r>
      <w:r w:rsidRPr="000F26E3">
        <w:rPr>
          <w:rFonts w:hint="eastAsia"/>
        </w:rPr>
        <w:tab/>
        <w:t>报告第129段指出政府“已为男子提供父亲产假”，以便鼓励他们参与抚养子女。请说明这种积极行动，包括其适用范围和采取何种措施鼓励男子请父亲产假。</w:t>
      </w:r>
    </w:p>
    <w:p w:rsidR="00ED6E9E" w:rsidRPr="00ED6E9E" w:rsidRDefault="00ED6E9E" w:rsidP="00ED6E9E">
      <w:pPr>
        <w:pStyle w:val="SingleTxt"/>
        <w:rPr>
          <w:rFonts w:ascii="SimHei" w:eastAsia="SimHei" w:hint="eastAsia"/>
          <w:color w:val="FF0000"/>
        </w:rPr>
      </w:pPr>
      <w:r w:rsidRPr="00ED6E9E">
        <w:rPr>
          <w:rFonts w:ascii="SimHei" w:eastAsia="SimHei" w:hint="eastAsia"/>
          <w:color w:val="FF0000"/>
        </w:rPr>
        <w:t>参与政治和公共生活</w:t>
      </w:r>
    </w:p>
    <w:p w:rsidR="00ED6E9E" w:rsidRDefault="00ED6E9E" w:rsidP="000F26E3">
      <w:pPr>
        <w:pStyle w:val="SingleTxt"/>
        <w:spacing w:after="120"/>
        <w:rPr>
          <w:rFonts w:hint="eastAsia"/>
        </w:rPr>
      </w:pPr>
      <w:r>
        <w:rPr>
          <w:rFonts w:hint="eastAsia"/>
        </w:rPr>
        <w:t>12.</w:t>
      </w:r>
      <w:r>
        <w:rPr>
          <w:rFonts w:hint="eastAsia"/>
        </w:rPr>
        <w:tab/>
        <w:t>如报告第161段所述，妇女参与国民议会的名额不超过9％，并在邦立法院，妇女的任职人数非常低 (第163段)。她们在其他决策机构，特别是在司法机关和议会的参与率仍不高(第181段)。报告第183段指出第十个计划将“采取必要措施，以保证妇女平等进入并完全参与决策机构”。请说明计划所预定的措施，包括根据公约第4条第1款和一般建议25的措施，增加妇女，包括下层、世袭阶级、部族、农村及少数民族的妇女参与所有公共和决策机构的人数。</w:t>
      </w:r>
    </w:p>
    <w:p w:rsidR="00ED6E9E" w:rsidRDefault="00ED6E9E" w:rsidP="000F26E3">
      <w:pPr>
        <w:pStyle w:val="SingleTxt"/>
        <w:spacing w:after="120"/>
        <w:rPr>
          <w:rFonts w:hint="eastAsia"/>
        </w:rPr>
      </w:pPr>
      <w:r>
        <w:rPr>
          <w:rFonts w:hint="eastAsia"/>
        </w:rPr>
        <w:t>13.</w:t>
      </w:r>
      <w:r>
        <w:rPr>
          <w:rFonts w:hint="eastAsia"/>
        </w:rPr>
        <w:tab/>
        <w:t>请说明是否如报告第183段所述，订有战略和时限来规定在议会和邦立法院至少为妇女保留三分之一的席位。</w:t>
      </w:r>
    </w:p>
    <w:p w:rsidR="00ED6E9E" w:rsidRDefault="00ED6E9E" w:rsidP="00ED6E9E">
      <w:pPr>
        <w:pStyle w:val="SingleTxt"/>
        <w:rPr>
          <w:rFonts w:hint="eastAsia"/>
        </w:rPr>
      </w:pPr>
      <w:r>
        <w:rPr>
          <w:rFonts w:hint="eastAsia"/>
        </w:rPr>
        <w:t>14.</w:t>
      </w:r>
      <w:r>
        <w:rPr>
          <w:rFonts w:hint="eastAsia"/>
        </w:rPr>
        <w:tab/>
        <w:t>报告指出当选代表通过反对妇女担任地方政府主席的“不信任动议”。报告认为这归于“反对妇女担任领导的社会文化障碍”(第171段)。请说明政府为克服对妇女，包括妇女领袖有效参与政治和公共生活的障碍已采取的措施，并指出是否为各级的当选代表执行提高意识和教育方案。</w:t>
      </w:r>
    </w:p>
    <w:p w:rsidR="00ED6E9E" w:rsidRPr="00ED6E9E" w:rsidRDefault="00ED6E9E" w:rsidP="00ED6E9E">
      <w:pPr>
        <w:pStyle w:val="SingleTxt"/>
        <w:rPr>
          <w:rFonts w:ascii="SimHei" w:eastAsia="SimHei" w:hint="eastAsia"/>
          <w:color w:val="FF0000"/>
        </w:rPr>
      </w:pPr>
      <w:r w:rsidRPr="00ED6E9E">
        <w:rPr>
          <w:rFonts w:ascii="SimHei" w:eastAsia="SimHei" w:hint="eastAsia"/>
          <w:color w:val="FF0000"/>
        </w:rPr>
        <w:t>教育</w:t>
      </w:r>
    </w:p>
    <w:p w:rsidR="00ED6E9E" w:rsidRDefault="00ED6E9E" w:rsidP="00CF4BD1">
      <w:pPr>
        <w:pStyle w:val="SingleTxt"/>
        <w:rPr>
          <w:rFonts w:hint="eastAsia"/>
        </w:rPr>
      </w:pPr>
      <w:r>
        <w:rPr>
          <w:rFonts w:hint="eastAsia"/>
        </w:rPr>
        <w:t>15.</w:t>
      </w:r>
      <w:r>
        <w:rPr>
          <w:rFonts w:hint="eastAsia"/>
        </w:rPr>
        <w:tab/>
        <w:t>报告指出有几个障碍不让女童接受教育，包括“重男轻女文化”和不让女童接受教育的父权制价值观(第218段)。请说明正在或打算采取克服这些障碍的措施，包括正在如何处理女学生所面临的重男轻女文化及障碍，并尤其是在入学率低和失学率高的农村地区及邦，鼓励她们入学和留在学校。此外，请说明采取何种战略及措施，执行修正宪法的第86号法第21</w:t>
      </w:r>
      <w:r>
        <w:t xml:space="preserve"> </w:t>
      </w:r>
      <w:r>
        <w:rPr>
          <w:rFonts w:hint="eastAsia"/>
        </w:rPr>
        <w:t>A条(2002年)，其中规定免费提供强制初等教育，并说明其对女童入学和留在学校，包括农村地区的影响。有何种现有战略，保证来自边际化社区，例如Dalits、部族、穆斯林教等的女童入学？请指出政府从预算中拨供用于2004</w:t>
      </w:r>
      <w:r>
        <w:t>-</w:t>
      </w:r>
      <w:r>
        <w:rPr>
          <w:rFonts w:hint="eastAsia"/>
        </w:rPr>
        <w:t>2005年期间教育的国内总产值百分率。</w:t>
      </w:r>
    </w:p>
    <w:p w:rsidR="00ED6E9E" w:rsidRDefault="00ED6E9E" w:rsidP="00CF4BD1">
      <w:pPr>
        <w:pStyle w:val="SingleTxt"/>
        <w:rPr>
          <w:rFonts w:hint="eastAsia"/>
        </w:rPr>
      </w:pPr>
      <w:r>
        <w:rPr>
          <w:rFonts w:hint="eastAsia"/>
        </w:rPr>
        <w:t>16.</w:t>
      </w:r>
      <w:r>
        <w:rPr>
          <w:rFonts w:hint="eastAsia"/>
        </w:rPr>
        <w:tab/>
        <w:t>在全国识字计划和邦制识字计划中为有系统追踪妇女的识字率所采取的措施，和为恢复进修教育方案制订的实质性计划（提供资源）。</w:t>
      </w:r>
    </w:p>
    <w:p w:rsidR="00ED6E9E" w:rsidRPr="00ED6E9E" w:rsidRDefault="00ED6E9E" w:rsidP="00CF4BD1">
      <w:pPr>
        <w:pStyle w:val="SingleTxt"/>
        <w:rPr>
          <w:rFonts w:ascii="SimHei" w:eastAsia="SimHei" w:hint="eastAsia"/>
          <w:color w:val="FF0000"/>
        </w:rPr>
      </w:pPr>
      <w:r w:rsidRPr="00ED6E9E">
        <w:rPr>
          <w:rFonts w:ascii="SimHei" w:eastAsia="SimHei" w:hint="eastAsia"/>
          <w:color w:val="FF0000"/>
        </w:rPr>
        <w:t>就业</w:t>
      </w:r>
    </w:p>
    <w:p w:rsidR="00ED6E9E" w:rsidRDefault="00ED6E9E" w:rsidP="00CF4BD1">
      <w:pPr>
        <w:pStyle w:val="SingleTxt"/>
        <w:rPr>
          <w:rFonts w:hint="eastAsia"/>
        </w:rPr>
      </w:pPr>
      <w:r>
        <w:rPr>
          <w:rFonts w:hint="eastAsia"/>
        </w:rPr>
        <w:t>17.</w:t>
      </w:r>
      <w:r>
        <w:rPr>
          <w:rFonts w:hint="eastAsia"/>
        </w:rPr>
        <w:tab/>
        <w:t>报告第238段指出93％的女职工在非正式部门（包括农业）就业，而且大多从事低收入工作。报告第244段又指出，政府有计划保证“非正规部门的妇女在改善她们的工作条件方面得到特殊照顾”。报告第14段说，印度中央政府正提议采用一部《无工会部门工人法案》，以期使这些工人的雇用和工作条件正规化。请说明通过该法案的时限，和在草拟法案时是否写入工会及妇女团体的意见。</w:t>
      </w:r>
    </w:p>
    <w:p w:rsidR="00ED6E9E" w:rsidRDefault="00ED6E9E" w:rsidP="000F26E3">
      <w:pPr>
        <w:pStyle w:val="SingleTxt"/>
        <w:spacing w:after="120"/>
        <w:rPr>
          <w:rFonts w:hint="eastAsia"/>
        </w:rPr>
      </w:pPr>
      <w:r>
        <w:rPr>
          <w:rFonts w:hint="eastAsia"/>
        </w:rPr>
        <w:t>18.</w:t>
      </w:r>
      <w:r>
        <w:rPr>
          <w:rFonts w:hint="eastAsia"/>
        </w:rPr>
        <w:tab/>
        <w:t>报告第236段指出男女在工作参与率方面存在很大差异。报告第238段还指出妇女在参加工会部门和公营部门的比例相当少（分别为17.2％和14.5％）。在报告第244段中，政府计划“采取肯定行动以确保在公营部门的服务性工作中至少为妇女保留30％的名额”。请说明实现此目标的现行计划，包括战略和其执行时间表，并指出该计划是否为下层、世袭阶级、部族及农村的妇女采取临时特别措施。</w:t>
      </w:r>
    </w:p>
    <w:p w:rsidR="00ED6E9E" w:rsidRDefault="00ED6E9E" w:rsidP="000F26E3">
      <w:pPr>
        <w:pStyle w:val="SingleTxt"/>
        <w:spacing w:after="120"/>
        <w:rPr>
          <w:rFonts w:hint="eastAsia"/>
        </w:rPr>
      </w:pPr>
      <w:r>
        <w:rPr>
          <w:rFonts w:hint="eastAsia"/>
        </w:rPr>
        <w:t>19.</w:t>
      </w:r>
      <w:r>
        <w:rPr>
          <w:rFonts w:hint="eastAsia"/>
        </w:rPr>
        <w:tab/>
        <w:t>报告第238段提到男女工人之间的工资差距仍然存在，请说明目前所采取的纠正措施。</w:t>
      </w:r>
    </w:p>
    <w:p w:rsidR="00ED6E9E" w:rsidRDefault="00ED6E9E" w:rsidP="000F26E3">
      <w:pPr>
        <w:pStyle w:val="SingleTxt"/>
        <w:spacing w:after="120"/>
        <w:rPr>
          <w:rFonts w:hint="eastAsia"/>
        </w:rPr>
      </w:pPr>
      <w:r>
        <w:rPr>
          <w:rFonts w:hint="eastAsia"/>
        </w:rPr>
        <w:t>20.</w:t>
      </w:r>
      <w:r>
        <w:rPr>
          <w:rFonts w:hint="eastAsia"/>
        </w:rPr>
        <w:tab/>
        <w:t>在过去的结论意见中，委员会对债役和拒绝给予继承土地权的做法表示关切，这导致严重剥削妇女的劳动力和其贫穷。请说明自提交上个报告以来，为处理这些问题所采取的措施的最新情况和其成果。</w:t>
      </w:r>
    </w:p>
    <w:p w:rsidR="00ED6E9E" w:rsidRPr="00ED6E9E" w:rsidRDefault="00ED6E9E" w:rsidP="00ED6E9E">
      <w:pPr>
        <w:pStyle w:val="SingleTxt"/>
        <w:rPr>
          <w:rFonts w:ascii="SimHei" w:eastAsia="SimHei" w:hint="eastAsia"/>
          <w:color w:val="FF0000"/>
        </w:rPr>
      </w:pPr>
      <w:r w:rsidRPr="00ED6E9E">
        <w:rPr>
          <w:rFonts w:ascii="SimHei" w:eastAsia="SimHei" w:hint="eastAsia"/>
          <w:color w:val="FF0000"/>
        </w:rPr>
        <w:t>保健</w:t>
      </w:r>
    </w:p>
    <w:p w:rsidR="00ED6E9E" w:rsidRDefault="00ED6E9E" w:rsidP="00ED6E9E">
      <w:pPr>
        <w:pStyle w:val="SingleTxt"/>
        <w:rPr>
          <w:rFonts w:hint="eastAsia"/>
        </w:rPr>
      </w:pPr>
      <w:r>
        <w:rPr>
          <w:rFonts w:hint="eastAsia"/>
        </w:rPr>
        <w:t>21.</w:t>
      </w:r>
      <w:r>
        <w:rPr>
          <w:rFonts w:hint="eastAsia"/>
        </w:rPr>
        <w:tab/>
        <w:t>请说明除报告第22段所述进行监督外，政府采取何种实际措施，保证增强1994年《受孕前和产前诊断技术（禁止性别选择）法》的效力和其执行，特别是在男女人口比例差别大的邦。</w:t>
      </w:r>
    </w:p>
    <w:p w:rsidR="00ED6E9E" w:rsidRDefault="00ED6E9E" w:rsidP="000F26E3">
      <w:pPr>
        <w:pStyle w:val="SingleTxt"/>
        <w:spacing w:after="120"/>
        <w:rPr>
          <w:rFonts w:hint="eastAsia"/>
        </w:rPr>
      </w:pPr>
      <w:r>
        <w:rPr>
          <w:rFonts w:hint="eastAsia"/>
        </w:rPr>
        <w:t>22.</w:t>
      </w:r>
      <w:r>
        <w:rPr>
          <w:rFonts w:hint="eastAsia"/>
        </w:rPr>
        <w:tab/>
        <w:t>请提供按性别、城乡地区、阶级、种族开列关于艾滋病毒/艾滋病发生率的统计数据，并指出防治妇女感染艾滋病毒/艾滋病，包括提高意识和预防措施的国家方案。</w:t>
      </w:r>
    </w:p>
    <w:p w:rsidR="00ED6E9E" w:rsidRDefault="00ED6E9E" w:rsidP="000F26E3">
      <w:pPr>
        <w:pStyle w:val="SingleTxt"/>
        <w:spacing w:after="120"/>
        <w:rPr>
          <w:rFonts w:hint="eastAsia"/>
        </w:rPr>
      </w:pPr>
      <w:r>
        <w:rPr>
          <w:rFonts w:hint="eastAsia"/>
        </w:rPr>
        <w:t>23.</w:t>
      </w:r>
      <w:r>
        <w:rPr>
          <w:rFonts w:hint="eastAsia"/>
        </w:rPr>
        <w:tab/>
        <w:t>因怀孕期间和分娩时的并发症导致的产妇死亡仍是该国妇女死亡的主要原因之一。报告第267段指出在多达12个邦，安全分娩比率不到25％。请说明正在采取或打算采取什么措施降低产妇，特别是农村地区妇女的死亡率。</w:t>
      </w:r>
    </w:p>
    <w:p w:rsidR="00ED6E9E" w:rsidRDefault="00ED6E9E" w:rsidP="000F26E3">
      <w:pPr>
        <w:pStyle w:val="SingleTxt"/>
        <w:spacing w:after="120"/>
        <w:rPr>
          <w:rFonts w:hint="eastAsia"/>
        </w:rPr>
      </w:pPr>
      <w:r>
        <w:rPr>
          <w:rFonts w:hint="eastAsia"/>
        </w:rPr>
        <w:t>24.</w:t>
      </w:r>
      <w:r>
        <w:rPr>
          <w:rFonts w:hint="eastAsia"/>
        </w:rPr>
        <w:tab/>
        <w:t>请说明如何使妇女，特别是在农村地区容易获得保健服务，并在初级保健方案中纳入计划生育服务。</w:t>
      </w:r>
    </w:p>
    <w:p w:rsidR="00ED6E9E" w:rsidRPr="00ED6E9E" w:rsidRDefault="00ED6E9E" w:rsidP="00ED6E9E">
      <w:pPr>
        <w:pStyle w:val="SingleTxt"/>
        <w:rPr>
          <w:rFonts w:ascii="SimHei" w:eastAsia="SimHei" w:hint="eastAsia"/>
          <w:color w:val="FF0000"/>
        </w:rPr>
      </w:pPr>
      <w:r w:rsidRPr="00ED6E9E">
        <w:rPr>
          <w:rFonts w:ascii="SimHei" w:eastAsia="SimHei" w:hint="eastAsia"/>
          <w:color w:val="FF0000"/>
        </w:rPr>
        <w:t>农村妇女</w:t>
      </w:r>
    </w:p>
    <w:p w:rsidR="00ED6E9E" w:rsidRDefault="00ED6E9E" w:rsidP="000F26E3">
      <w:pPr>
        <w:pStyle w:val="SingleTxt"/>
        <w:spacing w:after="120"/>
        <w:rPr>
          <w:rFonts w:hint="eastAsia"/>
        </w:rPr>
      </w:pPr>
      <w:r>
        <w:rPr>
          <w:rFonts w:hint="eastAsia"/>
        </w:rPr>
        <w:t>25.</w:t>
      </w:r>
      <w:r>
        <w:rPr>
          <w:rFonts w:hint="eastAsia"/>
        </w:rPr>
        <w:tab/>
        <w:t>由于农村妇女占女性人口近70％，请说明政府的《全国农业政策》对农村妇女和女童在健康、教育、就业、经济发展、获得信贷和决策参与领域的影响。</w:t>
      </w:r>
    </w:p>
    <w:p w:rsidR="00ED6E9E" w:rsidRDefault="00ED6E9E" w:rsidP="000F26E3">
      <w:pPr>
        <w:pStyle w:val="SingleTxt"/>
        <w:spacing w:after="120"/>
        <w:rPr>
          <w:rFonts w:hint="eastAsia"/>
        </w:rPr>
      </w:pPr>
      <w:r>
        <w:rPr>
          <w:rFonts w:hint="eastAsia"/>
        </w:rPr>
        <w:t>26.</w:t>
      </w:r>
      <w:r>
        <w:rPr>
          <w:rFonts w:hint="eastAsia"/>
        </w:rPr>
        <w:tab/>
        <w:t>报告第319段指出89.5％的女性劳动力集中在农业部门，可她们却没有土地。请说明政府如何有效执行土地改革法律和使妇女获得土地。</w:t>
      </w:r>
    </w:p>
    <w:p w:rsidR="00ED6E9E" w:rsidRDefault="00ED6E9E" w:rsidP="000F26E3">
      <w:pPr>
        <w:pStyle w:val="SingleTxt"/>
        <w:spacing w:after="120"/>
        <w:rPr>
          <w:rFonts w:hint="eastAsia"/>
        </w:rPr>
      </w:pPr>
      <w:r>
        <w:rPr>
          <w:rFonts w:hint="eastAsia"/>
        </w:rPr>
        <w:t>27.</w:t>
      </w:r>
      <w:r>
        <w:rPr>
          <w:rFonts w:hint="eastAsia"/>
        </w:rPr>
        <w:tab/>
        <w:t>政府采取什么措施，停止Adivasi人民，特别是因发展项目流离失所，致使Adivasi妇女失去对公共资源的控制？采取了什么具体措施，以制订提高Adivasi人民的地位的政策？Adivasi妇女在该政策处于何种地位？</w:t>
      </w:r>
    </w:p>
    <w:p w:rsidR="00ED6E9E" w:rsidRDefault="00ED6E9E" w:rsidP="000F26E3">
      <w:pPr>
        <w:pStyle w:val="SingleTxt"/>
        <w:spacing w:after="120"/>
        <w:rPr>
          <w:rFonts w:hint="eastAsia"/>
        </w:rPr>
      </w:pPr>
      <w:r>
        <w:rPr>
          <w:rFonts w:hint="eastAsia"/>
        </w:rPr>
        <w:t>28.</w:t>
      </w:r>
      <w:r>
        <w:rPr>
          <w:rFonts w:hint="eastAsia"/>
        </w:rPr>
        <w:tab/>
        <w:t>请说明Dalit妇女与其他妇女相比和与Dalit男子相比，肯定行动政策对她们在教育、就业、参政和决策领域的影响。请提供按性别开列的数据。</w:t>
      </w:r>
    </w:p>
    <w:p w:rsidR="00ED6E9E" w:rsidRPr="00ED6E9E" w:rsidRDefault="00ED6E9E" w:rsidP="00ED6E9E">
      <w:pPr>
        <w:pStyle w:val="SingleTxt"/>
        <w:rPr>
          <w:rFonts w:ascii="SimHei" w:eastAsia="SimHei" w:hint="eastAsia"/>
          <w:color w:val="FF0000"/>
        </w:rPr>
      </w:pPr>
      <w:r w:rsidRPr="00ED6E9E">
        <w:rPr>
          <w:rFonts w:ascii="SimHei" w:eastAsia="SimHei" w:hint="eastAsia"/>
          <w:color w:val="FF0000"/>
        </w:rPr>
        <w:t>婚姻平等和民法</w:t>
      </w:r>
    </w:p>
    <w:p w:rsidR="00ED6E9E" w:rsidRDefault="00ED6E9E" w:rsidP="00ED6E9E">
      <w:pPr>
        <w:pStyle w:val="SingleTxt"/>
        <w:rPr>
          <w:rFonts w:hint="eastAsia"/>
        </w:rPr>
      </w:pPr>
      <w:r>
        <w:rPr>
          <w:rFonts w:hint="eastAsia"/>
        </w:rPr>
        <w:t>29.</w:t>
      </w:r>
      <w:r>
        <w:rPr>
          <w:rFonts w:hint="eastAsia"/>
        </w:rPr>
        <w:tab/>
        <w:t>委员会注意到如报告第4段所述，根据《赋予妇女权力的国家政策》，正在采取措施，使每项属人法对性别问题敏感，消除对妇女歧视的规定，并让所有利益有关者，包括社区和宗教领袖参与其中。请说明这些修正案完成的时限。请说明拟议的修正案是否符合公约的原则。请说明政府采取了什么主动积极措施，在各社区增进对妇女婚姻平等权利的认识。还通知委员会是否与社区就独立修改属人法已开始进行协商，和妇女团体是否参加这些协商。</w:t>
      </w:r>
    </w:p>
    <w:p w:rsidR="00ED6E9E" w:rsidRPr="00ED6E9E" w:rsidRDefault="00ED6E9E" w:rsidP="00ED6E9E">
      <w:pPr>
        <w:pStyle w:val="SingleTxt"/>
        <w:rPr>
          <w:rFonts w:ascii="SimHei" w:eastAsia="SimHei" w:hint="eastAsia"/>
          <w:color w:val="FF0000"/>
        </w:rPr>
      </w:pPr>
      <w:r w:rsidRPr="00ED6E9E">
        <w:rPr>
          <w:rFonts w:ascii="SimHei" w:eastAsia="SimHei" w:hint="eastAsia"/>
          <w:color w:val="FF0000"/>
        </w:rPr>
        <w:t>批准《任择议定书》</w:t>
      </w:r>
    </w:p>
    <w:p w:rsidR="00EA31C3" w:rsidRDefault="00ED6E9E" w:rsidP="00ED6E9E">
      <w:pPr>
        <w:pStyle w:val="SingleTxt"/>
        <w:rPr>
          <w:rFonts w:hint="eastAsia"/>
        </w:rPr>
      </w:pPr>
      <w:r>
        <w:rPr>
          <w:rFonts w:hint="eastAsia"/>
        </w:rPr>
        <w:t>30.</w:t>
      </w:r>
      <w:r>
        <w:rPr>
          <w:rFonts w:hint="eastAsia"/>
        </w:rPr>
        <w:tab/>
        <w:t>印度尚未批准《任择议定书》。请说明正在采取或考虑采取何种措施，致使印度加入《任择议定书》。</w:t>
      </w:r>
    </w:p>
    <w:p w:rsidR="00ED6E9E" w:rsidRPr="00F07CE6" w:rsidRDefault="00F07CE6" w:rsidP="00F07CE6">
      <w:pPr>
        <w:pStyle w:val="SingleTxt"/>
        <w:spacing w:after="0" w:line="240" w:lineRule="auto"/>
        <w:rPr>
          <w:rFonts w:hint="eastAsia"/>
          <w:sz w:val="20"/>
        </w:rPr>
      </w:pPr>
      <w:r>
        <w:rPr>
          <w:rFonts w:hint="eastAsia"/>
          <w:noProof/>
          <w:sz w:val="20"/>
        </w:rPr>
        <w:pict>
          <v:line id="_x0000_s1028" style="position:absolute;left:0;text-align:left;z-index:1;mso-position-horizontal:center" from="0,30pt" to="1in,30pt" strokeweight=".25pt"/>
        </w:pict>
      </w:r>
    </w:p>
    <w:p w:rsidR="00ED6E9E" w:rsidRPr="00ED6E9E" w:rsidRDefault="00ED6E9E" w:rsidP="00ED6E9E">
      <w:pPr>
        <w:pStyle w:val="SingleTxt"/>
        <w:spacing w:after="0" w:line="240" w:lineRule="auto"/>
        <w:rPr>
          <w:sz w:val="20"/>
        </w:rPr>
      </w:pPr>
    </w:p>
    <w:sectPr w:rsidR="00ED6E9E" w:rsidRPr="00ED6E9E" w:rsidSect="00E11010">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2T21:31:00Z" w:initials="Start">
    <w:p w:rsidR="0054623F" w:rsidRDefault="0054623F">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NO&gt;&gt;N0646789C&lt;&lt;ODS JOB NO&gt;&gt;</w:t>
      </w:r>
    </w:p>
    <w:p w:rsidR="0054623F" w:rsidRDefault="0054623F">
      <w:pPr>
        <w:pStyle w:val="CommentText"/>
      </w:pPr>
      <w:r>
        <w:t>&lt;&lt;ODS DOC SYMBOL1&gt;&gt;CEDAW/C/IND/Q/3&lt;&lt;ODS DOC SYMBOL1&gt;&gt;</w:t>
      </w:r>
    </w:p>
    <w:p w:rsidR="0054623F" w:rsidRDefault="0054623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0EC8" w:rsidRDefault="00830EC8" w:rsidP="00E11010">
      <w:pPr>
        <w:pStyle w:val="Header"/>
      </w:pPr>
      <w:r>
        <w:separator/>
      </w:r>
    </w:p>
  </w:endnote>
  <w:endnote w:type="continuationSeparator" w:id="0">
    <w:p w:rsidR="00830EC8" w:rsidRDefault="00830EC8" w:rsidP="00E1101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4623F" w:rsidTr="00E11010">
      <w:tblPrEx>
        <w:tblCellMar>
          <w:top w:w="0" w:type="dxa"/>
          <w:bottom w:w="0" w:type="dxa"/>
        </w:tblCellMar>
      </w:tblPrEx>
      <w:tc>
        <w:tcPr>
          <w:tcW w:w="5033" w:type="dxa"/>
          <w:shd w:val="clear" w:color="auto" w:fill="auto"/>
          <w:vAlign w:val="bottom"/>
        </w:tcPr>
        <w:p w:rsidR="0054623F" w:rsidRPr="00E11010" w:rsidRDefault="0054623F" w:rsidP="00E11010">
          <w:pPr>
            <w:pStyle w:val="Footer"/>
            <w:jc w:val="left"/>
          </w:pPr>
          <w:r>
            <w:fldChar w:fldCharType="begin"/>
          </w:r>
          <w:r>
            <w:instrText xml:space="preserve"> PAGE  \* MERGEFORMAT </w:instrText>
          </w:r>
          <w:r>
            <w:fldChar w:fldCharType="separate"/>
          </w:r>
          <w:r w:rsidR="0055764D">
            <w:t>4</w:t>
          </w:r>
          <w:r>
            <w:fldChar w:fldCharType="end"/>
          </w:r>
        </w:p>
      </w:tc>
      <w:tc>
        <w:tcPr>
          <w:tcW w:w="5033" w:type="dxa"/>
          <w:shd w:val="clear" w:color="auto" w:fill="auto"/>
          <w:vAlign w:val="bottom"/>
        </w:tcPr>
        <w:p w:rsidR="0054623F" w:rsidRPr="00E11010" w:rsidRDefault="0054623F" w:rsidP="00E11010">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06-46789</w:t>
          </w:r>
          <w:r>
            <w:rPr>
              <w:b w:val="0"/>
              <w:sz w:val="14"/>
            </w:rPr>
            <w:fldChar w:fldCharType="end"/>
          </w:r>
        </w:p>
      </w:tc>
    </w:tr>
  </w:tbl>
  <w:p w:rsidR="0054623F" w:rsidRPr="00E11010" w:rsidRDefault="0054623F" w:rsidP="00E1101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4623F" w:rsidTr="00E11010">
      <w:tblPrEx>
        <w:tblCellMar>
          <w:top w:w="0" w:type="dxa"/>
          <w:bottom w:w="0" w:type="dxa"/>
        </w:tblCellMar>
      </w:tblPrEx>
      <w:tc>
        <w:tcPr>
          <w:tcW w:w="5033" w:type="dxa"/>
          <w:shd w:val="clear" w:color="auto" w:fill="auto"/>
          <w:vAlign w:val="bottom"/>
        </w:tcPr>
        <w:p w:rsidR="0054623F" w:rsidRPr="00E11010" w:rsidRDefault="0054623F" w:rsidP="00E11010">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06-46789</w:t>
          </w:r>
          <w:r>
            <w:rPr>
              <w:b w:val="0"/>
              <w:sz w:val="14"/>
            </w:rPr>
            <w:fldChar w:fldCharType="end"/>
          </w:r>
        </w:p>
      </w:tc>
      <w:tc>
        <w:tcPr>
          <w:tcW w:w="5033" w:type="dxa"/>
          <w:shd w:val="clear" w:color="auto" w:fill="auto"/>
          <w:vAlign w:val="bottom"/>
        </w:tcPr>
        <w:p w:rsidR="0054623F" w:rsidRPr="00E11010" w:rsidRDefault="0054623F" w:rsidP="00E11010">
          <w:pPr>
            <w:pStyle w:val="Footer"/>
            <w:jc w:val="right"/>
          </w:pPr>
          <w:r>
            <w:fldChar w:fldCharType="begin"/>
          </w:r>
          <w:r>
            <w:instrText xml:space="preserve"> PAGE  \* MERGEFORMAT </w:instrText>
          </w:r>
          <w:r>
            <w:fldChar w:fldCharType="separate"/>
          </w:r>
          <w:r w:rsidR="0055764D">
            <w:t>5</w:t>
          </w:r>
          <w:r>
            <w:fldChar w:fldCharType="end"/>
          </w:r>
        </w:p>
      </w:tc>
    </w:tr>
  </w:tbl>
  <w:p w:rsidR="0054623F" w:rsidRPr="00E11010" w:rsidRDefault="0054623F" w:rsidP="00E1101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23F" w:rsidRDefault="0054623F" w:rsidP="00E11010">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06-46789 (C)</w:t>
    </w:r>
    <w:r>
      <w:rPr>
        <w:b w:val="0"/>
        <w:sz w:val="21"/>
      </w:rPr>
      <w:fldChar w:fldCharType="end"/>
    </w:r>
    <w:r>
      <w:rPr>
        <w:b w:val="0"/>
        <w:sz w:val="21"/>
      </w:rPr>
      <w:t xml:space="preserve">    120906    120906</w:t>
    </w:r>
  </w:p>
  <w:p w:rsidR="0054623F" w:rsidRPr="00E11010" w:rsidRDefault="0054623F" w:rsidP="00E11010">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*0646789*</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0EC8" w:rsidRDefault="00830EC8" w:rsidP="00E11010">
      <w:pPr>
        <w:pStyle w:val="Header"/>
      </w:pPr>
      <w:r>
        <w:separator/>
      </w:r>
    </w:p>
  </w:footnote>
  <w:footnote w:type="continuationSeparator" w:id="0">
    <w:p w:rsidR="00830EC8" w:rsidRDefault="00830EC8" w:rsidP="00E11010">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4623F" w:rsidTr="00E11010">
      <w:tblPrEx>
        <w:tblCellMar>
          <w:top w:w="0" w:type="dxa"/>
          <w:bottom w:w="0" w:type="dxa"/>
        </w:tblCellMar>
      </w:tblPrEx>
      <w:trPr>
        <w:trHeight w:hRule="exact" w:val="864"/>
      </w:trPr>
      <w:tc>
        <w:tcPr>
          <w:tcW w:w="4838" w:type="dxa"/>
          <w:shd w:val="clear" w:color="auto" w:fill="auto"/>
          <w:vAlign w:val="bottom"/>
        </w:tcPr>
        <w:p w:rsidR="0054623F" w:rsidRPr="00E11010" w:rsidRDefault="0054623F" w:rsidP="00E11010">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CEDAW/C/IND/Q/3</w:t>
          </w:r>
          <w:r>
            <w:rPr>
              <w:b/>
              <w:sz w:val="17"/>
            </w:rPr>
            <w:fldChar w:fldCharType="end"/>
          </w:r>
        </w:p>
      </w:tc>
      <w:tc>
        <w:tcPr>
          <w:tcW w:w="5033" w:type="dxa"/>
          <w:shd w:val="clear" w:color="auto" w:fill="auto"/>
          <w:vAlign w:val="bottom"/>
        </w:tcPr>
        <w:p w:rsidR="0054623F" w:rsidRDefault="0054623F" w:rsidP="00E11010">
          <w:pPr>
            <w:pStyle w:val="Header"/>
          </w:pPr>
        </w:p>
      </w:tc>
    </w:tr>
  </w:tbl>
  <w:p w:rsidR="0054623F" w:rsidRPr="00E11010" w:rsidRDefault="0054623F" w:rsidP="00E1101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4623F" w:rsidTr="00E11010">
      <w:tblPrEx>
        <w:tblCellMar>
          <w:top w:w="0" w:type="dxa"/>
          <w:bottom w:w="0" w:type="dxa"/>
        </w:tblCellMar>
      </w:tblPrEx>
      <w:trPr>
        <w:trHeight w:hRule="exact" w:val="864"/>
      </w:trPr>
      <w:tc>
        <w:tcPr>
          <w:tcW w:w="4838" w:type="dxa"/>
          <w:shd w:val="clear" w:color="auto" w:fill="auto"/>
          <w:vAlign w:val="bottom"/>
        </w:tcPr>
        <w:p w:rsidR="0054623F" w:rsidRDefault="0054623F" w:rsidP="00E11010">
          <w:pPr>
            <w:pStyle w:val="Header"/>
          </w:pPr>
        </w:p>
      </w:tc>
      <w:tc>
        <w:tcPr>
          <w:tcW w:w="5033" w:type="dxa"/>
          <w:shd w:val="clear" w:color="auto" w:fill="auto"/>
          <w:vAlign w:val="bottom"/>
        </w:tcPr>
        <w:p w:rsidR="0054623F" w:rsidRPr="00E11010" w:rsidRDefault="0054623F" w:rsidP="00E11010">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CEDAW/C/IND/Q/3</w:t>
          </w:r>
          <w:r>
            <w:rPr>
              <w:b/>
              <w:sz w:val="17"/>
            </w:rPr>
            <w:fldChar w:fldCharType="end"/>
          </w:r>
        </w:p>
      </w:tc>
    </w:tr>
  </w:tbl>
  <w:p w:rsidR="0054623F" w:rsidRPr="00E11010" w:rsidRDefault="0054623F" w:rsidP="00E1101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4623F" w:rsidTr="00E1101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4623F" w:rsidRDefault="0054623F" w:rsidP="00E11010">
          <w:pPr>
            <w:pStyle w:val="Header"/>
            <w:spacing w:after="120"/>
          </w:pPr>
        </w:p>
      </w:tc>
      <w:tc>
        <w:tcPr>
          <w:tcW w:w="1872" w:type="dxa"/>
          <w:tcBorders>
            <w:bottom w:val="single" w:sz="4" w:space="0" w:color="auto"/>
          </w:tcBorders>
          <w:shd w:val="clear" w:color="auto" w:fill="auto"/>
          <w:vAlign w:val="bottom"/>
        </w:tcPr>
        <w:p w:rsidR="0054623F" w:rsidRPr="00E11010" w:rsidRDefault="0054623F" w:rsidP="00E1101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4623F" w:rsidRDefault="0054623F" w:rsidP="00E11010">
          <w:pPr>
            <w:pStyle w:val="Header"/>
            <w:spacing w:after="120"/>
          </w:pPr>
        </w:p>
      </w:tc>
      <w:tc>
        <w:tcPr>
          <w:tcW w:w="6523" w:type="dxa"/>
          <w:gridSpan w:val="3"/>
          <w:tcBorders>
            <w:bottom w:val="single" w:sz="4" w:space="0" w:color="auto"/>
          </w:tcBorders>
          <w:shd w:val="clear" w:color="auto" w:fill="auto"/>
          <w:vAlign w:val="bottom"/>
        </w:tcPr>
        <w:p w:rsidR="0054623F" w:rsidRPr="00E11010" w:rsidRDefault="0054623F" w:rsidP="00E1101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/C/IND/Q/3</w:t>
          </w:r>
        </w:p>
      </w:tc>
    </w:tr>
    <w:tr w:rsidR="0054623F" w:rsidRPr="00E11010" w:rsidTr="00E1101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4623F" w:rsidRDefault="0054623F" w:rsidP="00E1101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4623F" w:rsidRPr="00E11010" w:rsidRDefault="0054623F" w:rsidP="00E11010">
          <w:pPr>
            <w:pStyle w:val="Header"/>
            <w:spacing w:before="109"/>
            <w:ind w:left="-72"/>
          </w:pPr>
        </w:p>
      </w:tc>
      <w:tc>
        <w:tcPr>
          <w:tcW w:w="5227" w:type="dxa"/>
          <w:gridSpan w:val="3"/>
          <w:tcBorders>
            <w:top w:val="single" w:sz="4" w:space="0" w:color="auto"/>
            <w:bottom w:val="single" w:sz="12" w:space="0" w:color="auto"/>
          </w:tcBorders>
          <w:shd w:val="clear" w:color="auto" w:fill="auto"/>
        </w:tcPr>
        <w:p w:rsidR="0054623F" w:rsidRPr="00E11010" w:rsidRDefault="0054623F" w:rsidP="00E1101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4623F" w:rsidRPr="00E11010" w:rsidRDefault="0054623F" w:rsidP="00E11010">
          <w:pPr>
            <w:pStyle w:val="Header"/>
            <w:spacing w:before="109"/>
          </w:pPr>
        </w:p>
      </w:tc>
      <w:tc>
        <w:tcPr>
          <w:tcW w:w="3180" w:type="dxa"/>
          <w:gridSpan w:val="2"/>
          <w:tcBorders>
            <w:top w:val="single" w:sz="4" w:space="0" w:color="auto"/>
            <w:bottom w:val="single" w:sz="12" w:space="0" w:color="auto"/>
          </w:tcBorders>
          <w:shd w:val="clear" w:color="auto" w:fill="auto"/>
        </w:tcPr>
        <w:p w:rsidR="0054623F" w:rsidRDefault="0054623F" w:rsidP="00E11010">
          <w:pPr>
            <w:spacing w:before="240" w:line="240" w:lineRule="exact"/>
            <w:rPr>
              <w:rFonts w:ascii="Times New Roman"/>
            </w:rPr>
          </w:pPr>
          <w:r>
            <w:rPr>
              <w:rFonts w:ascii="Times New Roman"/>
            </w:rPr>
            <w:t>Distr.: General</w:t>
          </w:r>
        </w:p>
        <w:p w:rsidR="0054623F" w:rsidRDefault="0054623F" w:rsidP="00E11010">
          <w:pPr>
            <w:spacing w:line="240" w:lineRule="exact"/>
            <w:rPr>
              <w:rFonts w:ascii="Times New Roman"/>
            </w:rPr>
          </w:pPr>
          <w:r>
            <w:rPr>
              <w:rFonts w:ascii="Times New Roman"/>
            </w:rPr>
            <w:t>8 August 2006</w:t>
          </w:r>
        </w:p>
        <w:p w:rsidR="0054623F" w:rsidRDefault="0054623F" w:rsidP="00E11010">
          <w:pPr>
            <w:spacing w:line="240" w:lineRule="exact"/>
            <w:rPr>
              <w:rFonts w:ascii="Times New Roman"/>
            </w:rPr>
          </w:pPr>
          <w:r>
            <w:rPr>
              <w:rFonts w:ascii="Times New Roman"/>
            </w:rPr>
            <w:t>Chinese</w:t>
          </w:r>
        </w:p>
        <w:p w:rsidR="0054623F" w:rsidRPr="00E11010" w:rsidRDefault="0054623F" w:rsidP="00E11010">
          <w:pPr>
            <w:spacing w:line="240" w:lineRule="exact"/>
            <w:rPr>
              <w:rFonts w:ascii="Times New Roman"/>
            </w:rPr>
          </w:pPr>
          <w:r>
            <w:rPr>
              <w:rFonts w:ascii="Times New Roman"/>
            </w:rPr>
            <w:t>Original: English</w:t>
          </w:r>
        </w:p>
      </w:tc>
    </w:tr>
  </w:tbl>
  <w:p w:rsidR="0054623F" w:rsidRPr="00E11010" w:rsidRDefault="0054623F" w:rsidP="00E1101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89*"/>
    <w:docVar w:name="CreationDt" w:val="12/09/2006 18:20:27"/>
    <w:docVar w:name="DocCategory" w:val="Doc"/>
    <w:docVar w:name="DocType" w:val="Final"/>
    <w:docVar w:name="FooterJN" w:val="06-46789"/>
    <w:docVar w:name="jobn" w:val="06-46789 (C)"/>
    <w:docVar w:name="jobnDT" w:val="06-46789 (C)   120906"/>
    <w:docVar w:name="jobnDTDT" w:val="06-46789 (C)   120906   120906"/>
    <w:docVar w:name="JobNo" w:val="0646789C"/>
    <w:docVar w:name="OandT" w:val="YANGHUA"/>
    <w:docVar w:name="sss1" w:val="CEDAW/C/IND/Q/3"/>
    <w:docVar w:name="sss2" w:val="-"/>
    <w:docVar w:name="Symbol1" w:val="CEDAW/C/IND/Q/3"/>
    <w:docVar w:name="Symbol2" w:val="-"/>
  </w:docVars>
  <w:rsids>
    <w:rsidRoot w:val="00052B22"/>
    <w:rsid w:val="00037B39"/>
    <w:rsid w:val="00044CA4"/>
    <w:rsid w:val="00052B22"/>
    <w:rsid w:val="00071210"/>
    <w:rsid w:val="000A31F9"/>
    <w:rsid w:val="000C1786"/>
    <w:rsid w:val="000F1058"/>
    <w:rsid w:val="000F26E3"/>
    <w:rsid w:val="00141322"/>
    <w:rsid w:val="0017506F"/>
    <w:rsid w:val="001E5A51"/>
    <w:rsid w:val="00252E35"/>
    <w:rsid w:val="00282D17"/>
    <w:rsid w:val="002B305F"/>
    <w:rsid w:val="00371BC6"/>
    <w:rsid w:val="004F0177"/>
    <w:rsid w:val="00521275"/>
    <w:rsid w:val="0052216F"/>
    <w:rsid w:val="0054623F"/>
    <w:rsid w:val="005541E4"/>
    <w:rsid w:val="0055764D"/>
    <w:rsid w:val="0058302A"/>
    <w:rsid w:val="005F3273"/>
    <w:rsid w:val="007F2278"/>
    <w:rsid w:val="007F5484"/>
    <w:rsid w:val="00824C19"/>
    <w:rsid w:val="00830EC8"/>
    <w:rsid w:val="008378D1"/>
    <w:rsid w:val="00847BC5"/>
    <w:rsid w:val="008C036B"/>
    <w:rsid w:val="008F5472"/>
    <w:rsid w:val="0096193C"/>
    <w:rsid w:val="009A2F76"/>
    <w:rsid w:val="00AD60A5"/>
    <w:rsid w:val="00AF2514"/>
    <w:rsid w:val="00CF4BD1"/>
    <w:rsid w:val="00CF7718"/>
    <w:rsid w:val="00DC2506"/>
    <w:rsid w:val="00DE6A5A"/>
    <w:rsid w:val="00E11010"/>
    <w:rsid w:val="00E95594"/>
    <w:rsid w:val="00EA31C3"/>
    <w:rsid w:val="00EB2BD2"/>
    <w:rsid w:val="00ED6E9E"/>
    <w:rsid w:val="00F07CE6"/>
    <w:rsid w:val="00F67F90"/>
    <w:rsid w:val="00F77B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Pages>
  <Words>700</Words>
  <Characters>3994</Characters>
  <Application>Microsoft Office Word</Application>
  <DocSecurity>4</DocSecurity>
  <Lines>33</Lines>
  <Paragraphs>9</Paragraphs>
  <ScaleCrop>false</ScaleCrop>
  <Company>United Nations</Company>
  <LinksUpToDate>false</LinksUpToDate>
  <CharactersWithSpaces>4685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 yang</dc:creator>
  <cp:keywords/>
  <dc:description/>
  <cp:lastModifiedBy>jiping zhang</cp:lastModifiedBy>
  <cp:revision>16</cp:revision>
  <cp:lastPrinted>2006-09-12T20:31:00Z</cp:lastPrinted>
  <dcterms:created xsi:type="dcterms:W3CDTF">2006-09-12T17:19:00Z</dcterms:created>
  <dcterms:modified xsi:type="dcterms:W3CDTF">2006-09-12T20:35:00Z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0646789</vt:lpwstr>
  </property>
  <property fmtid="{D5CDD505-2E9C-101B-9397-08002B2CF9AE}" pid="3" name="Symbol1">
    <vt:lpwstr>CEDAW/C/IND/Q/3</vt:lpwstr>
  </property>
  <property fmtid="{D5CDD505-2E9C-101B-9397-08002B2CF9AE}" pid="4" name="Symbol2">
    <vt:lpwstr/>
  </property>
  <property fmtid="{D5CDD505-2E9C-101B-9397-08002B2CF9AE}" pid="5" name="Translator">
    <vt:lpwstr/>
  </property>
  <property fmtid="{D5CDD505-2E9C-101B-9397-08002B2CF9AE}" pid="6" name="Operator">
    <vt:lpwstr>YANGHUA</vt:lpwstr>
  </property>
  <property fmtid="{D5CDD505-2E9C-101B-9397-08002B2CF9AE}" pid="7" name="DraftPages">
    <vt:lpwstr> </vt:lpwstr>
  </property>
  <property fmtid="{D5CDD505-2E9C-101B-9397-08002B2CF9AE}" pid="8" name="Comment">
    <vt:lpwstr/>
  </property>
</Properties>
</file>