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21° período de sesiones</w:t>
      </w:r>
    </w:p>
    <w:p w:rsidR="00000000" w:rsidRDefault="00000000">
      <w:pPr>
        <w:spacing w:line="240" w:lineRule="auto"/>
        <w:rPr>
          <w:sz w:val="12"/>
        </w:rPr>
      </w:pPr>
    </w:p>
    <w:p w:rsidR="00000000" w:rsidRDefault="00000000">
      <w:pPr>
        <w:pStyle w:val="H23"/>
      </w:pPr>
      <w:r>
        <w:t>Acta resumida de la 431ª sesión</w:t>
      </w:r>
    </w:p>
    <w:p w:rsidR="00000000" w:rsidRDefault="00000000">
      <w:r>
        <w:t>Celebrada en la Sede, Nueva York, el viernes, 11 de junio de 1999,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Presidente:</w:t>
      </w:r>
      <w:r>
        <w:tab/>
        <w:t>Sra. Ouedraogo (Vicepresidenta)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pPr>
      <w:r>
        <w:t>Examen de los informes presentados por los Estados p</w:t>
      </w:r>
      <w:bookmarkStart w:id="1" w:name="TmpSave"/>
      <w:bookmarkEnd w:id="1"/>
      <w:r>
        <w:t>artes en virtud del artículo 18 de la Convención (</w:t>
      </w:r>
      <w:r>
        <w:rPr>
          <w:i/>
        </w:rPr>
        <w:t>continuación</w:t>
      </w:r>
      <w:r>
        <w:t xml:space="preserve">) </w:t>
      </w:r>
    </w:p>
    <w:p w:rsidR="00000000" w:rsidRDefault="00000000">
      <w:pPr>
        <w:pStyle w:val="SingleTxt"/>
        <w:suppressAutoHyphens/>
      </w:pPr>
      <w:r>
        <w:tab/>
      </w:r>
      <w:r>
        <w:rPr>
          <w:i/>
        </w:rPr>
        <w:t>Informe inicial de Georgia</w:t>
      </w:r>
      <w:r>
        <w:t xml:space="preserve"> (</w:t>
      </w:r>
      <w:r>
        <w:rPr>
          <w:i/>
        </w:rPr>
        <w:t>continuación</w:t>
      </w:r>
      <w:r>
        <w:t xml:space="preserve">) </w:t>
      </w:r>
    </w:p>
    <w:p w:rsidR="00000000" w:rsidRDefault="00000000">
      <w:pPr>
        <w:pStyle w:val="SingleTxt"/>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475"/>
        <w:rPr>
          <w:sz w:val="2"/>
        </w:rPr>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15.10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 xml:space="preserve">Examen de los informes presentados por los Estados partes en virtud del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 inicial de Georgia </w:t>
      </w:r>
      <w:r>
        <w:rPr>
          <w:i w:val="0"/>
        </w:rPr>
        <w:t>(CEDAW/C/GEO/1 y Add.1)</w:t>
      </w:r>
      <w:r>
        <w:t xml:space="preserve"> (continuación)</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spacing w:val="2"/>
        </w:rPr>
      </w:pPr>
      <w:r>
        <w:rPr>
          <w:i/>
          <w:spacing w:val="2"/>
        </w:rPr>
        <w:t>Por invitación de la Presidenta, la Sra. Beridze (Georgia) vuelve a tomar asiento a la Mesa del Com</w:t>
      </w:r>
      <w:r>
        <w:rPr>
          <w:i/>
          <w:spacing w:val="2"/>
        </w:rPr>
        <w:t>i</w:t>
      </w:r>
      <w:r>
        <w:rPr>
          <w:i/>
          <w:spacing w:val="2"/>
        </w:rPr>
        <w:t>té.</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Beridze</w:t>
      </w:r>
      <w:r>
        <w:t xml:space="preserve"> (Georgia), en respuesta a la p</w:t>
      </w:r>
      <w:r>
        <w:t>e</w:t>
      </w:r>
      <w:r>
        <w:t>tición del Comité, da más información sobre el plan de acción de su país para mejorar la situación de la mujer en el período 1998-2000 (CEDAW/C/GEO/1/Add.1, párr. 6), que se basa en la Plataforma de Acción de Beijing. Al enumerar las siete prioridades del plan, dice que la primera, que consiste en establecer mecanismos institucionales para tener en cuenta los intereses de la mujer, incluiría la creación de un departamento de asuntos de la mujer y de las correspondientes depe</w:t>
      </w:r>
      <w:r>
        <w:t>n</w:t>
      </w:r>
      <w:r>
        <w:t>dencias en los ministerios de salud, educación, finanzas y asuntos sociales, que divulgarían información sobre la igualdad entre géneros, examinarían la legislación teniendo en cuenta la perspectiva de género y recopil</w:t>
      </w:r>
      <w:r>
        <w:t>a</w:t>
      </w:r>
      <w:r>
        <w:t xml:space="preserve">rían indicadores sociales respecto de uno y otro sexo. </w:t>
      </w:r>
      <w:r>
        <w:rPr>
          <w:spacing w:val="5"/>
          <w:w w:val="104"/>
        </w:rPr>
        <w:t>La segunda prioridad consiste en aumentar la partic</w:t>
      </w:r>
      <w:r>
        <w:rPr>
          <w:spacing w:val="5"/>
          <w:w w:val="104"/>
        </w:rPr>
        <w:t>i</w:t>
      </w:r>
      <w:r>
        <w:rPr>
          <w:spacing w:val="5"/>
          <w:w w:val="104"/>
        </w:rPr>
        <w:t>pación de la mujer en la adopción de decisiones pr</w:t>
      </w:r>
      <w:r>
        <w:rPr>
          <w:spacing w:val="5"/>
          <w:w w:val="104"/>
        </w:rPr>
        <w:t>o</w:t>
      </w:r>
      <w:r>
        <w:rPr>
          <w:spacing w:val="5"/>
          <w:w w:val="104"/>
        </w:rPr>
        <w:t>moviendo su representación a todos los niveles y p</w:t>
      </w:r>
      <w:r>
        <w:rPr>
          <w:spacing w:val="5"/>
          <w:w w:val="104"/>
        </w:rPr>
        <w:t>u</w:t>
      </w:r>
      <w:r>
        <w:rPr>
          <w:spacing w:val="5"/>
          <w:w w:val="104"/>
        </w:rPr>
        <w:t xml:space="preserve">blicando los resultados de las investigaciones que se efectúen al respecto, capacitar a la mujer para que </w:t>
      </w:r>
      <w:r>
        <w:rPr>
          <w:spacing w:val="5"/>
          <w:w w:val="104"/>
        </w:rPr>
        <w:br/>
        <w:t>desempeñe funciones políticas directivas, establecer una reserva nacional de mujeres cualificadas para ocupar cargos directivos y fomentar la representación de la mujer en el servicio diplomático y en las organ</w:t>
      </w:r>
      <w:r>
        <w:rPr>
          <w:spacing w:val="5"/>
          <w:w w:val="104"/>
        </w:rPr>
        <w:t>i</w:t>
      </w:r>
      <w:r>
        <w:rPr>
          <w:spacing w:val="5"/>
          <w:w w:val="104"/>
        </w:rPr>
        <w:t>zaciones intern</w:t>
      </w:r>
      <w:r>
        <w:rPr>
          <w:spacing w:val="5"/>
          <w:w w:val="104"/>
        </w:rPr>
        <w:t>a</w:t>
      </w:r>
      <w:r>
        <w:rPr>
          <w:spacing w:val="5"/>
          <w:w w:val="104"/>
        </w:rPr>
        <w:t>cionales</w:t>
      </w:r>
      <w:r>
        <w:t>.</w:t>
      </w:r>
    </w:p>
    <w:p w:rsidR="00000000" w:rsidRDefault="00000000">
      <w:pPr>
        <w:pStyle w:val="DualTxt"/>
        <w:numPr>
          <w:ilvl w:val="0"/>
          <w:numId w:val="2"/>
        </w:numPr>
        <w:tabs>
          <w:tab w:val="clear" w:pos="960"/>
          <w:tab w:val="left" w:pos="965"/>
          <w:tab w:val="left" w:pos="1440"/>
          <w:tab w:val="left" w:pos="1915"/>
          <w:tab w:val="left" w:pos="2405"/>
          <w:tab w:val="left" w:pos="2880"/>
          <w:tab w:val="left" w:pos="3355"/>
        </w:tabs>
      </w:pPr>
      <w:r>
        <w:t>La tercera prioridad es promover la independe</w:t>
      </w:r>
      <w:r>
        <w:t>n</w:t>
      </w:r>
      <w:r>
        <w:t>cia económica de la mujer, en particular, con progr</w:t>
      </w:r>
      <w:r>
        <w:t>a</w:t>
      </w:r>
      <w:r>
        <w:t>mas en los sectores privado y agrícola, y mediante la reunión de indicadores económicos sobre los aspectos de género. La cuarta prioridad, referente a la mujer y la pobreza, supone estudiar los efectos de las políticas macroeconómicas, de inversión y fiscales en la pobreza de las mujeres, la ejecución de programas orientados a erradicar la pobreza en las zonas rurales, el estudio de las ramificaciones económicas de la migración de m</w:t>
      </w:r>
      <w:r>
        <w:t>u</w:t>
      </w:r>
      <w:r>
        <w:t xml:space="preserve">jeres, la prestación de asistencia a madres solteras, </w:t>
      </w:r>
      <w:r>
        <w:rPr>
          <w:w w:val="102"/>
        </w:rPr>
        <w:t xml:space="preserve">pensionistas y mujeres discapacitadas, y el ofrecimiento de incentivos a los profesionales de la salud, la cultura y la educación para que trabajen en zonas </w:t>
      </w:r>
      <w:r>
        <w:t>montañosas. La quinta prioridad consiste en ampliar la participación de la mujer en la solución de conflictos, lograr la reun</w:t>
      </w:r>
      <w:r>
        <w:t>i</w:t>
      </w:r>
      <w:r>
        <w:t>ficación de las familias separadas a causa de un co</w:t>
      </w:r>
      <w:r>
        <w:t>n</w:t>
      </w:r>
      <w:r>
        <w:t>flicto, devolver a los refugiados y desplazados los bi</w:t>
      </w:r>
      <w:r>
        <w:t>e</w:t>
      </w:r>
      <w:r>
        <w:t>nes que les pertenecen y establecer programas de reh</w:t>
      </w:r>
      <w:r>
        <w:t>a</w:t>
      </w:r>
      <w:r>
        <w:t>bilitación para las víctimas de los conflictos armados. De la sexta prioridad, relativa a la salud de la mujer, se ocupará más adelante. La séptima prioridad son los d</w:t>
      </w:r>
      <w:r>
        <w:t>e</w:t>
      </w:r>
      <w:r>
        <w:t>rechos de la mujer, y consistirá en realizar programas de capacitación en el marco de las estructuras del Est</w:t>
      </w:r>
      <w:r>
        <w:t>a</w:t>
      </w:r>
      <w:r>
        <w:t>do, en publicar los instrumentos internacionales pert</w:t>
      </w:r>
      <w:r>
        <w:t>i</w:t>
      </w:r>
      <w:r>
        <w:t>nentes, incluir la enseñanza de los derechos de la mujer en los planes de estudio de las escuelas e instituciones de enseñanza superior, y organizar seminarios sobre el sexismo dirigidos a los medios de difusión. Se han l</w:t>
      </w:r>
      <w:r>
        <w:t>o</w:t>
      </w:r>
      <w:r>
        <w:t>grado ya progresos en varias esferas; en otras se nec</w:t>
      </w:r>
      <w:r>
        <w:t>e</w:t>
      </w:r>
      <w:r>
        <w:t>sita financiación o que se promulgue la legislación n</w:t>
      </w:r>
      <w:r>
        <w:t>e</w:t>
      </w:r>
      <w:r>
        <w:t>cesaria en un futuro cercano.</w:t>
      </w:r>
    </w:p>
    <w:p w:rsidR="00000000" w:rsidRDefault="00000000">
      <w:pPr>
        <w:pStyle w:val="DualTxt"/>
        <w:numPr>
          <w:ilvl w:val="0"/>
          <w:numId w:val="2"/>
        </w:numPr>
        <w:tabs>
          <w:tab w:val="clear" w:pos="960"/>
          <w:tab w:val="left" w:pos="965"/>
          <w:tab w:val="left" w:pos="1440"/>
          <w:tab w:val="left" w:pos="1915"/>
          <w:tab w:val="left" w:pos="2405"/>
          <w:tab w:val="left" w:pos="2880"/>
          <w:tab w:val="left" w:pos="3355"/>
        </w:tabs>
      </w:pPr>
      <w:r>
        <w:t>Refiriéndose a los párrafos 7, 8 y 20 del informe, dice que la Constitución salvaguarda plenamente los derechos humanos y las libertades de los ciudadanos de Georgia y ofrece garantías contra la discriminación, entre otras cosas, por razones de sexo. Dado que los instrumentos internacionales de derechos humanos de los que Georgia es parte se aplican directamente, a condición de que no contravengan la Constitución, los artículos 1 y 2 de la Convención tienen fuerza de ley en el país. En el nuevo Código Penal, que será promulg</w:t>
      </w:r>
      <w:r>
        <w:t>a</w:t>
      </w:r>
      <w:r>
        <w:t xml:space="preserve">do como ley, dentro de poco, se tipifican como delito los </w:t>
      </w:r>
      <w:r>
        <w:rPr>
          <w:spacing w:val="2"/>
        </w:rPr>
        <w:t>actos que violan el derecho de los ciudadanos, a ser iguales ante la ley entre otras cosas, por razones de s</w:t>
      </w:r>
      <w:r>
        <w:rPr>
          <w:spacing w:val="2"/>
        </w:rPr>
        <w:t>e</w:t>
      </w:r>
      <w:r>
        <w:rPr>
          <w:spacing w:val="2"/>
        </w:rPr>
        <w:t>xo</w:t>
      </w:r>
      <w:r>
        <w:t>.</w:t>
      </w:r>
    </w:p>
    <w:p w:rsidR="00000000" w:rsidRDefault="00000000">
      <w:pPr>
        <w:pStyle w:val="DualTxt"/>
        <w:numPr>
          <w:ilvl w:val="0"/>
          <w:numId w:val="2"/>
        </w:numPr>
        <w:tabs>
          <w:tab w:val="clear" w:pos="960"/>
          <w:tab w:val="left" w:pos="965"/>
          <w:tab w:val="left" w:pos="1440"/>
          <w:tab w:val="left" w:pos="1915"/>
          <w:tab w:val="left" w:pos="2405"/>
          <w:tab w:val="left" w:pos="2880"/>
          <w:tab w:val="left" w:pos="3355"/>
        </w:tabs>
      </w:pPr>
      <w:r>
        <w:t xml:space="preserve">La Comisión encargada de formular la política del Estado en relación con el adelanto de la mujer alienta a las organizaciones no gubernamentales a que participen activamente en sus reuniones y tiene plenamente en cuenta sus recomendaciones. </w:t>
      </w:r>
      <w:r>
        <w:rPr>
          <w:spacing w:val="2"/>
        </w:rPr>
        <w:t>Las organizaciones no g</w:t>
      </w:r>
      <w:r>
        <w:rPr>
          <w:spacing w:val="2"/>
        </w:rPr>
        <w:t>u</w:t>
      </w:r>
      <w:r>
        <w:rPr>
          <w:spacing w:val="2"/>
        </w:rPr>
        <w:t>bernamentales desempeñan una importante función i</w:t>
      </w:r>
      <w:r>
        <w:rPr>
          <w:spacing w:val="2"/>
        </w:rPr>
        <w:t>n</w:t>
      </w:r>
      <w:r>
        <w:rPr>
          <w:spacing w:val="2"/>
        </w:rPr>
        <w:t>formando a las mujeres de todo el país de sus der</w:t>
      </w:r>
      <w:r>
        <w:rPr>
          <w:spacing w:val="2"/>
        </w:rPr>
        <w:t>e</w:t>
      </w:r>
      <w:r>
        <w:rPr>
          <w:spacing w:val="2"/>
        </w:rPr>
        <w:t>chos.</w:t>
      </w:r>
    </w:p>
    <w:p w:rsidR="00000000" w:rsidRDefault="00000000">
      <w:pPr>
        <w:pStyle w:val="DualTxt"/>
        <w:numPr>
          <w:ilvl w:val="0"/>
          <w:numId w:val="2"/>
        </w:numPr>
        <w:tabs>
          <w:tab w:val="clear" w:pos="960"/>
          <w:tab w:val="left" w:pos="965"/>
          <w:tab w:val="left" w:pos="1440"/>
          <w:tab w:val="left" w:pos="1915"/>
          <w:tab w:val="left" w:pos="2405"/>
          <w:tab w:val="left" w:pos="2880"/>
          <w:tab w:val="left" w:pos="3355"/>
        </w:tabs>
      </w:pPr>
      <w:r>
        <w:t>En cuanto a las preguntas planteadas en relación con el artículo 5, señala que la decisión de celebrar el “Día de la Madre”, en vez del “Día Internacional de la Madre”, se tomó para responder a la reacción del p</w:t>
      </w:r>
      <w:r>
        <w:t>ú</w:t>
      </w:r>
      <w:r>
        <w:t>blico contra los días feriados oficiales que se observ</w:t>
      </w:r>
      <w:r>
        <w:t>a</w:t>
      </w:r>
      <w:r>
        <w:t>ban en la época soviética. No obstante, es probable que se pida al Parlamento que cambie el nombre de ese día festivo o incluso que lo elimine, porque no se ha pr</w:t>
      </w:r>
      <w:r>
        <w:t>e</w:t>
      </w:r>
      <w:r>
        <w:t xml:space="preserve">visto un día parecido para los hombres. También, en relación con el tema de los estereotipos, en Georgia las mujeres desempeñan un papel importante en la vida </w:t>
      </w:r>
      <w:r>
        <w:br/>
        <w:t xml:space="preserve">social </w:t>
      </w:r>
      <w:r>
        <w:rPr>
          <w:spacing w:val="5"/>
          <w:w w:val="104"/>
        </w:rPr>
        <w:t>y política, incluso en las aldeas más remotas. Las mujeres suelen ser cabeza de familia y realizan la mayor parte de las tareas del hogar, además de otros trabajos. Actualmente, los medios de difusión están analizando las ventajas de que las labores domésticas se consideren un empleo y la posibilidad de que en el futuro</w:t>
      </w:r>
      <w:r>
        <w:t xml:space="preserve"> se rem</w:t>
      </w:r>
      <w:r>
        <w:t>u</w:t>
      </w:r>
      <w:r>
        <w:t>nere.</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Ahora está en condiciones de dar datos compl</w:t>
      </w:r>
      <w:r>
        <w:t>e</w:t>
      </w:r>
      <w:r>
        <w:t>mentarios respecto de la representación de la mujer en los órganos ejecutivos (artículo 7). Noventa y cinco de los 300 departamentos gubernamentales de Georgia están dirigidos por mujeres, y 62 mujeres ocupan puestos directivos en cargos de adjuntos. De un total de 250 altos cargos ministeriales, 105 están ocupados por mujeres y 140 mujeres ocupan puestos directivos en cargos de adjuntos. Las mujeres están representadas en casi todos los departamentos públicos y ocupan la m</w:t>
      </w:r>
      <w:r>
        <w:t>a</w:t>
      </w:r>
      <w:r>
        <w:t>yor parte de los cargos directivos en los Ministerios de Sanidad, Trabajo y de la Seguridad Social. El nuevo Ministro de Defensa, nombrado recientemente, también es una mujer. La legislación prohíbe la discriminación por razones de sexo contra las personas que son cand</w:t>
      </w:r>
      <w:r>
        <w:t>i</w:t>
      </w:r>
      <w:r>
        <w:t>datas a puestos de la administración pública; y en la práctica no hay di</w:t>
      </w:r>
      <w:r>
        <w:t>s</w:t>
      </w:r>
      <w:r>
        <w:t>criminación.</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En relación con el artículo 11, las restricciones a la utilización de mano de obra femenina en las cond</w:t>
      </w:r>
      <w:r>
        <w:t>i</w:t>
      </w:r>
      <w:r>
        <w:t>ciones a que se hace referencia en el párrafo 75 del i</w:t>
      </w:r>
      <w:r>
        <w:t>n</w:t>
      </w:r>
      <w:r>
        <w:t>forme no pretenden ser en modo alguno discriminat</w:t>
      </w:r>
      <w:r>
        <w:t>o</w:t>
      </w:r>
      <w:r>
        <w:t>rias, sino que tienen por finalidad salvaguardar la salud de las mujeres, incluida la salud reproductiva. No se impide a las mujeres que realicen viajes por motivos de trabajo (párrafo 74), sino que, se les ofrece la posibil</w:t>
      </w:r>
      <w:r>
        <w:t>i</w:t>
      </w:r>
      <w:r>
        <w:t>dad de negarse a realizarlos si eso tiene repercusiones negativas para su familia. No obstante, por desgracia, el Código Laboral no siempre se aplica fielmente. La cifra del 81,3% que figura en el párrafo 85 del informe se refiere a las mujeres que trabajan por cuenta propia en el sector agrícola.</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El Código Laboral prohíbe la discriminación por razones de sexo. La legislación promulgada recient</w:t>
      </w:r>
      <w:r>
        <w:t>e</w:t>
      </w:r>
      <w:r>
        <w:t>mente (en relación con el salario mínimo, los conv</w:t>
      </w:r>
      <w:r>
        <w:t>e</w:t>
      </w:r>
      <w:r>
        <w:t>nios colectivos y la solución de conflictos laborales) también protege el principio de igual remuneración por igual trabajo. Los sueldos de las mujeres siguen siendo inferiores a los de los hombres, no por motivos de di</w:t>
      </w:r>
      <w:r>
        <w:t>s</w:t>
      </w:r>
      <w:r>
        <w:t>criminación, sino porque la crisis financiera ha oblig</w:t>
      </w:r>
      <w:r>
        <w:t>a</w:t>
      </w:r>
      <w:r>
        <w:t>do a una proporción importante de mujeres a aceptar trabajos mal remunerados. A medida que mejore la econ</w:t>
      </w:r>
      <w:r>
        <w:t>o</w:t>
      </w:r>
      <w:r>
        <w:t>mía, también lo hará el salario mínimo.</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Las modalidades de empleo han cambiado cons</w:t>
      </w:r>
      <w:r>
        <w:t>i</w:t>
      </w:r>
      <w:r>
        <w:t>derablemente en los últimos años, y a las mujeres les resulta particularmente difícil adaptarse a las nuevas condiciones económicas. En el sector de los trabajad</w:t>
      </w:r>
      <w:r>
        <w:t>o</w:t>
      </w:r>
      <w:r>
        <w:t>res por cuenta propia, las mujeres son ahora mayoría. A fin de encarar las cuestiones del empleo, con ayuda de Suecia se han establecido varias instituciones de fo</w:t>
      </w:r>
      <w:r>
        <w:t>r</w:t>
      </w:r>
      <w:r>
        <w:t>mación profesional para hombres y mujeres. De co</w:t>
      </w:r>
      <w:r>
        <w:t>n</w:t>
      </w:r>
      <w:r>
        <w:t xml:space="preserve">formidad con la legislación promulgada recientemente se ofrecen prestaciones por desempleo durante seis </w:t>
      </w:r>
      <w:r>
        <w:br/>
        <w:t>m</w:t>
      </w:r>
      <w:r>
        <w:t>e</w:t>
      </w:r>
      <w:r>
        <w:t>ses.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En respuesta a las preguntas planteadas en rel</w:t>
      </w:r>
      <w:r>
        <w:t>a</w:t>
      </w:r>
      <w:r>
        <w:t>ción con el artículo 12, dice que hay 14.500 médicos que son mujeres y casi 30.000 enfermeras en Georgia, que tiene una población femenina de 1.300.000 muj</w:t>
      </w:r>
      <w:r>
        <w:t>e</w:t>
      </w:r>
      <w:r>
        <w:t>res en edad fértil (14 a 49 años) y 680.000 niñas men</w:t>
      </w:r>
      <w:r>
        <w:t>o</w:t>
      </w:r>
      <w:r>
        <w:t>res de 18 años. Hay 287 hospitales y más de 1.100 di</w:t>
      </w:r>
      <w:r>
        <w:t>s</w:t>
      </w:r>
      <w:r>
        <w:t>pensarios. La esperanza de vida media de la mujer es de 76 años. Hasta la fecha, la privatización sólo ha afectado a las farmacias y clínicas dentales, aunque actualmente se está considerando la posibilidad de pr</w:t>
      </w:r>
      <w:r>
        <w:t>i</w:t>
      </w:r>
      <w:r>
        <w:t>vatizar centros médicos más grandes a fin de aumentar el número de camas de hospital, que se sitúa en torno a las 24.500. En 1997, el Parlamento de Georgia aprobó la Ley del seguro médico. La sociedad estatal de</w:t>
      </w:r>
      <w:r>
        <w:rPr>
          <w:spacing w:val="5"/>
          <w:w w:val="104"/>
        </w:rPr>
        <w:t xml:space="preserve"> seg</w:t>
      </w:r>
      <w:r>
        <w:rPr>
          <w:spacing w:val="5"/>
          <w:w w:val="104"/>
        </w:rPr>
        <w:t>u</w:t>
      </w:r>
      <w:r>
        <w:rPr>
          <w:spacing w:val="5"/>
          <w:w w:val="104"/>
        </w:rPr>
        <w:t>ros está organizada de conformidad con el principio de solidaridad y tanto los trabajadores como sus e</w:t>
      </w:r>
      <w:r>
        <w:rPr>
          <w:spacing w:val="5"/>
          <w:w w:val="104"/>
        </w:rPr>
        <w:t>m</w:t>
      </w:r>
      <w:r>
        <w:rPr>
          <w:spacing w:val="5"/>
          <w:w w:val="104"/>
        </w:rPr>
        <w:t>ple</w:t>
      </w:r>
      <w:r>
        <w:rPr>
          <w:spacing w:val="5"/>
          <w:w w:val="104"/>
        </w:rPr>
        <w:t>a</w:t>
      </w:r>
      <w:r>
        <w:rPr>
          <w:spacing w:val="5"/>
          <w:w w:val="104"/>
        </w:rPr>
        <w:t xml:space="preserve">dores </w:t>
      </w:r>
      <w:r>
        <w:t>contribuyen.</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Su Gobierno está aplicando 11 iniciativas estat</w:t>
      </w:r>
      <w:r>
        <w:t>a</w:t>
      </w:r>
      <w:r>
        <w:t>les para mejorar la atención de salud, incluido un pr</w:t>
      </w:r>
      <w:r>
        <w:t>o</w:t>
      </w:r>
      <w:r>
        <w:t>grama de maternidad sin riesgo en virtud del cual las mujeres embarazadas tienen derecho a siete consultas gratuitas y a dar a luz en los hospitales sin costo alg</w:t>
      </w:r>
      <w:r>
        <w:t>u</w:t>
      </w:r>
      <w:r>
        <w:t>no. A toda futura madre se le concede una póliza de seguro en su primera consulta prenatal. Lamentabl</w:t>
      </w:r>
      <w:r>
        <w:t>e</w:t>
      </w:r>
      <w:r>
        <w:t>mente, uno de los principales métodos de planificación familiar es el aborto. El Ministerio de Salud colabora con la Organización Mundial de la Salud para establ</w:t>
      </w:r>
      <w:r>
        <w:t>e</w:t>
      </w:r>
      <w:r>
        <w:t>cer una política nacional sobre la salud reproductiva, que abordaría cuestiones como planificación de la f</w:t>
      </w:r>
      <w:r>
        <w:t>a</w:t>
      </w:r>
      <w:r>
        <w:t>milia, atención prenatal y perinatal, educación sexual, actividades de sensibilización, capacitación del pers</w:t>
      </w:r>
      <w:r>
        <w:t>o</w:t>
      </w:r>
      <w:r>
        <w:t>nal médico, y prevención de las enfermedades de transmisión sexual y del síndrome de inmunodeficie</w:t>
      </w:r>
      <w:r>
        <w:t>n</w:t>
      </w:r>
      <w:r>
        <w:t>cia adquirida (SIDA). Se han establecido ya centros de salud reproductiva en cinco importantes localidades. Según el Código Penal de Georgia, el aborto está tipif</w:t>
      </w:r>
      <w:r>
        <w:t>i</w:t>
      </w:r>
      <w:r>
        <w:t>cado como delito penal si se realiza en condiciones i</w:t>
      </w:r>
      <w:r>
        <w:t>n</w:t>
      </w:r>
      <w:r>
        <w:t>salubres, fuera de un hospital o maternidad, o por una persona sin los conocimientos médicos adecuados. Se está elaborando un proyecto de ley s</w:t>
      </w:r>
      <w:r>
        <w:t>o</w:t>
      </w:r>
      <w:r>
        <w:t>bre el aborto.</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En cuanto a la situación de las mujeres que viven en las zonas rurales (artículo 14), dice que su Gobie</w:t>
      </w:r>
      <w:r>
        <w:t>r</w:t>
      </w:r>
      <w:r>
        <w:t>no, en asociación con el Banco Mundial y el Fondo Internacional de Desarrollo Agrícola (FIDA), está ej</w:t>
      </w:r>
      <w:r>
        <w:t>e</w:t>
      </w:r>
      <w:r>
        <w:t>cutando un proyecto de desarrollo agrícola y que, en 1997, firmó un acuerdo de crédito con esas organiz</w:t>
      </w:r>
      <w:r>
        <w:t>a</w:t>
      </w:r>
      <w:r>
        <w:t>ciones. De conformidad con el acuerdo, están creando cooperativas de crédito y se está haciendo todo lo pos</w:t>
      </w:r>
      <w:r>
        <w:t>i</w:t>
      </w:r>
      <w:r>
        <w:t>ble para asegurar la máxima participación posible de las mujeres en esas cooperativas. En la actualidad, hay cooperativas de crédito con más de 10.000 miembros, de los que el 60% son mujeres; 16 cooperativas de cr</w:t>
      </w:r>
      <w:r>
        <w:t>é</w:t>
      </w:r>
      <w:r>
        <w:t>dito están dirigidas por mujeres; y más de 1.000 muj</w:t>
      </w:r>
      <w:r>
        <w:t>e</w:t>
      </w:r>
      <w:r>
        <w:t>res han rec</w:t>
      </w:r>
      <w:r>
        <w:t>i</w:t>
      </w:r>
      <w:r>
        <w:t>bido créditos.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Su Gobierno se propone elaborar un amplio pr</w:t>
      </w:r>
      <w:r>
        <w:t>o</w:t>
      </w:r>
      <w:r>
        <w:t>grama a largo plazo de desarrollo de las regiones mo</w:t>
      </w:r>
      <w:r>
        <w:t>n</w:t>
      </w:r>
      <w:r>
        <w:t>tañosas, que se centraría en proporcionar asistencia a las mujeres. Entre las prioridades del programa cabe mencionar la mejora de las condiciones de vida, la creación de oportunidades de empleo, la participación de la mujer en la adopción de decisiones, y la creación de organizaciones de muj</w:t>
      </w:r>
      <w:r>
        <w:t>e</w:t>
      </w:r>
      <w:r>
        <w:t>res.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En la legislación relativa a la reforma agraria no se hacen distinciones entre géneros y tanto los hombres como las mujeres han podido adquirir tierras. Los h</w:t>
      </w:r>
      <w:r>
        <w:t>a</w:t>
      </w:r>
      <w:r>
        <w:t>bitantes de las zonas rurales tienen las misas posibil</w:t>
      </w:r>
      <w:r>
        <w:t>i</w:t>
      </w:r>
      <w:r>
        <w:t>dades de acceso a la educación que los de las zonas u</w:t>
      </w:r>
      <w:r>
        <w:t>r</w:t>
      </w:r>
      <w:r>
        <w:t>banas, aunque las escuelas de las zonas rurales no di</w:t>
      </w:r>
      <w:r>
        <w:t>s</w:t>
      </w:r>
      <w:r>
        <w:t>ponen del mismo nivel de infraestructura. En cambio, los profesores están tan cualificados como los de las zonas urbanas. De conformidad con la Constitución, la enseñanza primaria es obligatoria. Actualmente, hay nueve años de enseñanza gratuita, y el Gobierno está considerando la posibilidad de ampliar la cobertura del Estado a la enseñanza secundaria. El analfabetismo no existe en Geo</w:t>
      </w:r>
      <w:r>
        <w:t>r</w:t>
      </w:r>
      <w:r>
        <w:t>gia.</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En respuesta a las preguntas planteadas en rel</w:t>
      </w:r>
      <w:r>
        <w:t>a</w:t>
      </w:r>
      <w:r>
        <w:t>ción con el artículo 16, señala que la separación entre la Iglesia y el Estado está consagrada en la Constit</w:t>
      </w:r>
      <w:r>
        <w:t>u</w:t>
      </w:r>
      <w:r>
        <w:t>ción. De conformidad con el Código Civil, el Estado sólo reconoce los matrimonios legalmente registrados, por lo que los matrimonios contraídos en ceremonias religiosas no tienen valor jurídico. El Código estipula que los bienes adquiridos por los cónyuges durante el matrimonio son bienes comunes y que, en caso de d</w:t>
      </w:r>
      <w:r>
        <w:t>i</w:t>
      </w:r>
      <w:r>
        <w:t xml:space="preserve">vorcio, esos bienes deben dividirse a partes iguales </w:t>
      </w:r>
      <w:r>
        <w:br/>
        <w:t>entre los cónyuges. La custodia de los hijos la determ</w:t>
      </w:r>
      <w:r>
        <w:t>i</w:t>
      </w:r>
      <w:r>
        <w:t>nan los tribunales, que tienen en cuenta el interés sup</w:t>
      </w:r>
      <w:r>
        <w:t>e</w:t>
      </w:r>
      <w:r>
        <w:t>rior del niño. En el caso de los niños de más de 10 años, la decisión del juez está supeditada al consent</w:t>
      </w:r>
      <w:r>
        <w:t>i</w:t>
      </w:r>
      <w:r>
        <w:t>miento del niño.</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La familia es la unidad fundamental de la soci</w:t>
      </w:r>
      <w:r>
        <w:t>e</w:t>
      </w:r>
      <w:r>
        <w:t>dad. De conformidad con la Constitución, el Estado tiene el deber de promover el bienestar de la familia. El derecho de familia se aplica sin ninguna distinción a uno y otro sexo. Cuando se acude a los jueces para que resuelvan conflictos familiares, por lo general procuran dar prioridad a los intereses de los niños y las mujeres. Los conceptos de derechos patrimoniales y derechos no patrimoniales de las personas son términos jurídicos. Los derechos patrimoniales incluyen el derecho a p</w:t>
      </w:r>
      <w:r>
        <w:t>o</w:t>
      </w:r>
      <w:r>
        <w:t>seer y vender bienes, y los derechos no patrimoniales se definen en el i</w:t>
      </w:r>
      <w:r>
        <w:t>n</w:t>
      </w:r>
      <w:r>
        <w:t>forme.</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Su delegación se compromete a garantizar que las observaciones y deseos del Comité se tendrán en cuenta al aplicar la Convención en Georgia. Las pr</w:t>
      </w:r>
      <w:r>
        <w:t>e</w:t>
      </w:r>
      <w:r>
        <w:t>guntas a las que no ha podido responder se tratarán en el próximo informe de Georgia, que espera, contendrá más información sobre los progresos palpables en lo que respecta a la situación de la m</w:t>
      </w:r>
      <w:r>
        <w:t>u</w:t>
      </w:r>
      <w:r>
        <w:t>jer.</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La Sra. Schöpp-Schilling</w:t>
      </w:r>
      <w:r>
        <w:t xml:space="preserve"> da las gracias al G</w:t>
      </w:r>
      <w:r>
        <w:t>o</w:t>
      </w:r>
      <w:r>
        <w:t>bierno de Georgia por sus esfuerzos por aplicar la Co</w:t>
      </w:r>
      <w:r>
        <w:t>n</w:t>
      </w:r>
      <w:r>
        <w:t>vención pese a que el país vive un momento difícil. Expresa la esperanza de que la paz y la prosperidad r</w:t>
      </w:r>
      <w:r>
        <w:t>e</w:t>
      </w:r>
      <w:r>
        <w:t>gresen al país.</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Le preocupa que iniciativas tales como el establ</w:t>
      </w:r>
      <w:r>
        <w:t>e</w:t>
      </w:r>
      <w:r>
        <w:t>cimiento de cuotas y objetivos, que se ha demostrado que benefician a las mujeres, se están eliminando como consecuencia de las prisas por borrar el pasado soviét</w:t>
      </w:r>
      <w:r>
        <w:t>i</w:t>
      </w:r>
      <w:r>
        <w:t>co. Aunque en general el sistema socialista está des</w:t>
      </w:r>
      <w:r>
        <w:t>a</w:t>
      </w:r>
      <w:r>
        <w:t>creditado, no debería concluirse que todo aspecto de ese sistema era malo de por sí. A título de ejemplo, se refiere a la baja incidencia de la violencia en el hogar en la antigua República Democrática Alemana, donde debido a su elevado nivel económico, las mujeres d</w:t>
      </w:r>
      <w:r>
        <w:t>e</w:t>
      </w:r>
      <w:r>
        <w:t>penden menos de los hombres, por lo que es más pr</w:t>
      </w:r>
      <w:r>
        <w:t>o</w:t>
      </w:r>
      <w:r>
        <w:t>bable que no toleren una relación violenta.</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t>Hay varias lagunas en el informe del Estado Pa</w:t>
      </w:r>
      <w:r>
        <w:t>r</w:t>
      </w:r>
      <w:r>
        <w:t xml:space="preserve">te, </w:t>
      </w:r>
      <w:r>
        <w:rPr>
          <w:spacing w:val="5"/>
          <w:w w:val="104"/>
        </w:rPr>
        <w:t>especialmente en lo que respecta al tema de la violencia contra la mujer en el hogar y durante la d</w:t>
      </w:r>
      <w:r>
        <w:rPr>
          <w:spacing w:val="5"/>
          <w:w w:val="104"/>
        </w:rPr>
        <w:t>e</w:t>
      </w:r>
      <w:r>
        <w:rPr>
          <w:spacing w:val="5"/>
          <w:w w:val="104"/>
        </w:rPr>
        <w:t>tención. Expresa la esperanza de que en el próximo informe se den más detalles sobre ese tipo de viole</w:t>
      </w:r>
      <w:r>
        <w:rPr>
          <w:spacing w:val="5"/>
          <w:w w:val="104"/>
        </w:rPr>
        <w:t>n</w:t>
      </w:r>
      <w:r>
        <w:rPr>
          <w:spacing w:val="5"/>
          <w:w w:val="104"/>
        </w:rPr>
        <w:t xml:space="preserve">cia y de que para entonces el Estado Parte haya </w:t>
      </w:r>
      <w:r>
        <w:rPr>
          <w:spacing w:val="5"/>
          <w:w w:val="104"/>
        </w:rPr>
        <w:br/>
        <w:t>aprobado</w:t>
      </w:r>
      <w:r>
        <w:t xml:space="preserve"> un marco legislativo apropiado para afrontar ese problema. Insta al Estado Parte a que recurra a los conocimientos especializados de la Unión Europea y del Consejo de Europa para elaborar ese marco legisl</w:t>
      </w:r>
      <w:r>
        <w:t>a</w:t>
      </w:r>
      <w:r>
        <w:t>tivo. También es preciso capacitar a las fuerzas del o</w:t>
      </w:r>
      <w:r>
        <w:t>r</w:t>
      </w:r>
      <w:r>
        <w:t>den y a los jueces y alentar a las víctimas a que denu</w:t>
      </w:r>
      <w:r>
        <w:t>n</w:t>
      </w:r>
      <w:r>
        <w:t>cien esos casos. Sabe por experiencia que los gestos simbólicos por parte de mujeres conocidas pueden contribuir a que se conozca mejor el problema. El E</w:t>
      </w:r>
      <w:r>
        <w:t>s</w:t>
      </w:r>
      <w:r>
        <w:t>tado Parte también debe dar más información sobre la trata de mujeres. Tal vez podría ponerse en contacto con Estados de tránsito y de destino a fin de abordar el problema de forma más eficaz.</w:t>
      </w:r>
    </w:p>
    <w:p w:rsidR="00000000" w:rsidRDefault="00000000">
      <w:pPr>
        <w:pStyle w:val="DualTxt"/>
        <w:numPr>
          <w:ilvl w:val="0"/>
          <w:numId w:val="10"/>
        </w:numPr>
        <w:tabs>
          <w:tab w:val="clear" w:pos="960"/>
          <w:tab w:val="left" w:pos="475"/>
          <w:tab w:val="left" w:pos="965"/>
        </w:tabs>
      </w:pPr>
      <w:r>
        <w:t>Celebra que el Gobierno esté resuelto a establecer un Ministerio de la Mujer, así como dependencias de asuntos de la mujer en los demás ministerios. Aunque las nuevas entidades supondrán un aumento de gastos considerable, es igualmente importante capacitar a los funcionarios para que sean conscientes de las cuesti</w:t>
      </w:r>
      <w:r>
        <w:t>o</w:t>
      </w:r>
      <w:r>
        <w:t>nes de género y costaría muy poco.</w:t>
      </w:r>
    </w:p>
    <w:p w:rsidR="00000000" w:rsidRDefault="00000000">
      <w:pPr>
        <w:pStyle w:val="DualTxt"/>
        <w:numPr>
          <w:ilvl w:val="0"/>
          <w:numId w:val="10"/>
        </w:numPr>
        <w:tabs>
          <w:tab w:val="clear" w:pos="960"/>
          <w:tab w:val="left" w:pos="475"/>
          <w:tab w:val="left" w:pos="965"/>
        </w:tabs>
      </w:pPr>
      <w:r>
        <w:t>Aunque las restricciones impuestas a las cond</w:t>
      </w:r>
      <w:r>
        <w:t>i</w:t>
      </w:r>
      <w:r>
        <w:t>ciones de empleo de las mujeres tienen por objeto pr</w:t>
      </w:r>
      <w:r>
        <w:t>o</w:t>
      </w:r>
      <w:r>
        <w:t>teger su salud y su sistema reproductivo, en la práctica limitan las oportunidades de empleo de las mujeres y disuaden a los empleadores de contratarlas. Sería más justo que las restricciones se impusieran también a los hombres o se abolieran. El Gobierno debe también h</w:t>
      </w:r>
      <w:r>
        <w:t>a</w:t>
      </w:r>
      <w:r>
        <w:t>cer frente al problema de las diferencias de sueldo. Las bajas tasas de remuneración de las profesiones ejerc</w:t>
      </w:r>
      <w:r>
        <w:t>i</w:t>
      </w:r>
      <w:r>
        <w:t>das mayoritariamente por mujeres, incluidas la ens</w:t>
      </w:r>
      <w:r>
        <w:t>e</w:t>
      </w:r>
      <w:r>
        <w:t>ñanza y la medicina, parecen guardar relación con la idea de que el trabajo de la mujer en esos ámbitos no es más que una prolongación de su capacidad natural. Cuando fije la remuneración aplicable a los trabajad</w:t>
      </w:r>
      <w:r>
        <w:t>o</w:t>
      </w:r>
      <w:r>
        <w:t>res del sector público, el Gobierno tendrá ocasión de tratar de cambiar esa visión trad</w:t>
      </w:r>
      <w:r>
        <w:t>i</w:t>
      </w:r>
      <w:r>
        <w:t>cional.</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rPr>
          <w:b/>
        </w:rPr>
        <w:t xml:space="preserve">La Sra. Shalev </w:t>
      </w:r>
      <w:r>
        <w:t>dice que a ella también le so</w:t>
      </w:r>
      <w:r>
        <w:t>r</w:t>
      </w:r>
      <w:r>
        <w:t>prendieron las bajas tasas de remuneración de las muj</w:t>
      </w:r>
      <w:r>
        <w:t>e</w:t>
      </w:r>
      <w:r>
        <w:t>res. Según la delegación, ese fenómeno no se debe a la discriminación, sino a que las mujeres tienden a estar empleadas en profesiones mal remuneradas. Esa obse</w:t>
      </w:r>
      <w:r>
        <w:t>r</w:t>
      </w:r>
      <w:r>
        <w:t>vación demuestra una falta de comprensión del co</w:t>
      </w:r>
      <w:r>
        <w:t>n</w:t>
      </w:r>
      <w:r>
        <w:t>cepto de discriminación indirecta. El Gobierno debería examinar qué factores sociales, económicos y cultur</w:t>
      </w:r>
      <w:r>
        <w:t>a</w:t>
      </w:r>
      <w:r>
        <w:t>les son los causantes de que se infravalore el trabajo de la mujer.</w:t>
      </w:r>
    </w:p>
    <w:p w:rsidR="00000000" w:rsidRDefault="00000000">
      <w:pPr>
        <w:pStyle w:val="DualTxt"/>
        <w:numPr>
          <w:ilvl w:val="0"/>
          <w:numId w:val="10"/>
        </w:numPr>
        <w:tabs>
          <w:tab w:val="clear" w:pos="960"/>
          <w:tab w:val="left" w:pos="475"/>
          <w:tab w:val="left" w:pos="965"/>
        </w:tabs>
      </w:pPr>
      <w:r>
        <w:t>Sigue sin entender a qué obedecen las elevadas tasas de mortalidad infantil y materna ya que la ate</w:t>
      </w:r>
      <w:r>
        <w:t>n</w:t>
      </w:r>
      <w:r>
        <w:t>ción médica es gratuita para los lactantes de menos de 12 meses y las mujeres pueden dar a luz en los hosp</w:t>
      </w:r>
      <w:r>
        <w:t>i</w:t>
      </w:r>
      <w:r>
        <w:t>tales sin costo alguno. Expresa la esperanza de que en la próxima legislación sobre el aborto no se restrinjan las opciones de la mujer en el ámbito reproductivo. En su próximo informe el Gobierno debería informar al Comité de la naturaleza de las disposiciones que se adopten.</w:t>
      </w:r>
    </w:p>
    <w:p w:rsidR="00000000" w:rsidRDefault="00000000">
      <w:pPr>
        <w:pStyle w:val="DualTxt"/>
        <w:numPr>
          <w:ilvl w:val="0"/>
          <w:numId w:val="10"/>
        </w:numPr>
        <w:tabs>
          <w:tab w:val="clear" w:pos="960"/>
          <w:tab w:val="left" w:pos="475"/>
          <w:tab w:val="left" w:pos="965"/>
        </w:tabs>
      </w:pPr>
      <w:r>
        <w:rPr>
          <w:b/>
        </w:rPr>
        <w:t xml:space="preserve">La Sra. Manalo </w:t>
      </w:r>
      <w:r>
        <w:t>dice que en la historia de Geo</w:t>
      </w:r>
      <w:r>
        <w:t>r</w:t>
      </w:r>
      <w:r>
        <w:t>gia ha habido períodos en que la mujer ha desempeñ</w:t>
      </w:r>
      <w:r>
        <w:t>a</w:t>
      </w:r>
      <w:r>
        <w:t>do un papel destacado en la sociedad; podría ser co</w:t>
      </w:r>
      <w:r>
        <w:t>n</w:t>
      </w:r>
      <w:r>
        <w:t>veniente realizar un estudio cultural o antropológico de esas épocas para determinar si esas mujeres podrían servir de modelo a las mujeres de hoy. También debe analizarse por qué a las mujeres que trabajan en la p</w:t>
      </w:r>
      <w:r>
        <w:t>u</w:t>
      </w:r>
      <w:r>
        <w:t>blicidad, los medios de difusión y el sistema judicial se les reconoce una condición social y una autoridad m</w:t>
      </w:r>
      <w:r>
        <w:t>a</w:t>
      </w:r>
      <w:r>
        <w:t xml:space="preserve">yores que a las que trabajan en otras profesiones. El Gobierno debería considerar la posibilidad de lograr que los medios de difusión participen en la campaña contra la discriminación por motivos de género, habida </w:t>
      </w:r>
      <w:r>
        <w:rPr>
          <w:spacing w:val="2"/>
        </w:rPr>
        <w:t xml:space="preserve">cuenta de que en ese sector hay mujeres que ocupan puestos directivos. Espera que en el próximo informe del </w:t>
      </w:r>
      <w:r>
        <w:rPr>
          <w:spacing w:val="0"/>
        </w:rPr>
        <w:t>Estado Parte se faciliten los resultados de esas iniciat</w:t>
      </w:r>
      <w:r>
        <w:rPr>
          <w:spacing w:val="0"/>
        </w:rPr>
        <w:t>i</w:t>
      </w:r>
      <w:r>
        <w:rPr>
          <w:spacing w:val="0"/>
        </w:rPr>
        <w:t>vas</w:t>
      </w:r>
      <w:r>
        <w:t>.</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rPr>
          <w:b/>
        </w:rPr>
        <w:t xml:space="preserve">La Sra. Corti </w:t>
      </w:r>
      <w:r>
        <w:t>elogia al Gobierno de Georgia por sus iniciativas para promover la democratización y el adelanto de la mujer. No obstante, sigue seriamente preocupada por el problema de la prostitución, que p</w:t>
      </w:r>
      <w:r>
        <w:t>a</w:t>
      </w:r>
      <w:r>
        <w:t>rece estar muy difundido en muchos Estados de la ant</w:t>
      </w:r>
      <w:r>
        <w:t>i</w:t>
      </w:r>
      <w:r>
        <w:t>gua Unión Soviética. Es particularmente preocupante que haya una gran cantidad de menores involucrados. El Gobierno debe hacer todo lo posible para combatir la prostitución, que no sólo perjudica a las mujeres, s</w:t>
      </w:r>
      <w:r>
        <w:t>i</w:t>
      </w:r>
      <w:r>
        <w:t>no que va en detrimento del desarrollo de toda la s</w:t>
      </w:r>
      <w:r>
        <w:t>o</w:t>
      </w:r>
      <w:r>
        <w:t>ciedad. La experiencia del Comité ha demostrado que en esa esfera una estrecha cooperación con las organ</w:t>
      </w:r>
      <w:r>
        <w:t>i</w:t>
      </w:r>
      <w:r>
        <w:t>zaciones no gubernamentales es sumamente valiosa.</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rPr>
          <w:b/>
        </w:rPr>
        <w:t xml:space="preserve">La Sra. Goonesekere </w:t>
      </w:r>
      <w:r>
        <w:t>dice que es importante r</w:t>
      </w:r>
      <w:r>
        <w:t>e</w:t>
      </w:r>
      <w:r>
        <w:t>conocer la relación entre los fenómenos de la prostit</w:t>
      </w:r>
      <w:r>
        <w:t>u</w:t>
      </w:r>
      <w:r>
        <w:t>ción y la trata de mujeres y los problemas de los est</w:t>
      </w:r>
      <w:r>
        <w:t>e</w:t>
      </w:r>
      <w:r>
        <w:t xml:space="preserve">reotipos de género y la discriminación por razones de género, ya que la falta de acceso a la educación y la baja remuneración están entre los factores que obligan a las mujeres a prostituirse. </w:t>
      </w:r>
      <w:r>
        <w:rPr>
          <w:spacing w:val="2"/>
        </w:rPr>
        <w:t>El Gobierno debería adoptar medidas enérgicas para prevenir la prostitución de m</w:t>
      </w:r>
      <w:r>
        <w:rPr>
          <w:spacing w:val="2"/>
        </w:rPr>
        <w:t>e</w:t>
      </w:r>
      <w:r>
        <w:rPr>
          <w:spacing w:val="2"/>
        </w:rPr>
        <w:t>nores. Si se tipificaran como delitos las relaciones s</w:t>
      </w:r>
      <w:r>
        <w:rPr>
          <w:spacing w:val="2"/>
        </w:rPr>
        <w:t>e</w:t>
      </w:r>
      <w:r>
        <w:rPr>
          <w:spacing w:val="2"/>
        </w:rPr>
        <w:t>xuales con menores se enviaría a la sociedad un mensaje contundente de que no se tolera ese comportamie</w:t>
      </w:r>
      <w:r>
        <w:rPr>
          <w:spacing w:val="2"/>
        </w:rPr>
        <w:t>n</w:t>
      </w:r>
      <w:r>
        <w:rPr>
          <w:spacing w:val="2"/>
        </w:rPr>
        <w:t>to.</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rPr>
          <w:b/>
        </w:rPr>
        <w:t xml:space="preserve">El Presidente </w:t>
      </w:r>
      <w:r>
        <w:t>insta a la delegación de Georgia a que tome nota de las esferas fundamentales de preoc</w:t>
      </w:r>
      <w:r>
        <w:t>u</w:t>
      </w:r>
      <w:r>
        <w:t>pación señaladas por el Comité y de las esferas que n</w:t>
      </w:r>
      <w:r>
        <w:t>e</w:t>
      </w:r>
      <w:r>
        <w:t>cesitan mejorarse, en particular las relativas a la igua</w:t>
      </w:r>
      <w:r>
        <w:t>l</w:t>
      </w:r>
      <w:r>
        <w:t>dad de oportunidades, el empleo, la atención de la s</w:t>
      </w:r>
      <w:r>
        <w:t>a</w:t>
      </w:r>
      <w:r>
        <w:t>lud y la prevención de la trata de mujeres. De esta m</w:t>
      </w:r>
      <w:r>
        <w:t>a</w:t>
      </w:r>
      <w:r>
        <w:t>nera el Comité ha concluido el examen del informe in</w:t>
      </w:r>
      <w:r>
        <w:t>i</w:t>
      </w:r>
      <w:r>
        <w:t>cial de Georgia</w:t>
      </w:r>
    </w:p>
    <w:p w:rsidR="00000000" w:rsidRDefault="00000000">
      <w:pPr>
        <w:pStyle w:val="DualTxt"/>
        <w:rPr>
          <w:i/>
        </w:rPr>
      </w:pPr>
      <w:r>
        <w:rPr>
          <w:i/>
        </w:rPr>
        <w:t>Se levanta la sesión a las 16.15 horas.</w:t>
      </w:r>
    </w:p>
    <w:p w:rsidR="00000000" w:rsidRDefault="00000000">
      <w:pPr>
        <w:pStyle w:val="DualTxt"/>
      </w:pPr>
    </w:p>
    <w:p w:rsidR="00000000" w:rsidRDefault="00000000">
      <w:pPr>
        <w:pStyle w:val="DualTxt"/>
      </w:pPr>
    </w:p>
    <w:p w:rsidR="00000000" w:rsidRDefault="00000000">
      <w:pPr>
        <w:sectPr w:rsidR="00000000">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sectPr>
      </w:pPr>
    </w:p>
    <w:p w:rsidR="00000000" w:rsidRDefault="00000000"/>
    <w:sectPr w:rsidR="00000000">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NO&gt;&gt;N0157427S&lt;&lt;ODS JOB NO&gt;&gt;</w:t>
      </w:r>
    </w:p>
    <w:p w:rsidR="00000000" w:rsidRDefault="00000000">
      <w:pPr>
        <w:pStyle w:val="CommentText"/>
      </w:pPr>
      <w:r>
        <w:t>&lt;&lt;ODS DOC SYMBOL1&gt;&gt;CEDAW/C/SR.431&lt;&lt;ODS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0157427s.doc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0157427s.doc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01-57427 (S)</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*0157427*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CEDAW/C/SR.431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CEDAW/C/SR.431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/C/SR.431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19 de noviembre de 2003</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D7846"/>
    <w:multiLevelType w:val="singleLevel"/>
    <w:tmpl w:val="BE484546"/>
    <w:lvl w:ilvl="0">
      <w:start w:val="33"/>
      <w:numFmt w:val="decimal"/>
      <w:lvlRestart w:val="0"/>
      <w:lvlText w:val="%1."/>
      <w:lvlJc w:val="left"/>
      <w:pPr>
        <w:tabs>
          <w:tab w:val="num" w:pos="1742"/>
        </w:tabs>
        <w:ind w:left="1267" w:firstLine="0"/>
      </w:pPr>
      <w:rPr>
        <w:spacing w:val="0"/>
        <w:w w:val="100"/>
      </w:rPr>
    </w:lvl>
  </w:abstractNum>
  <w:abstractNum w:abstractNumId="1">
    <w:nsid w:val="249F2DFB"/>
    <w:multiLevelType w:val="singleLevel"/>
    <w:tmpl w:val="E376DD16"/>
    <w:lvl w:ilvl="0">
      <w:start w:val="21"/>
      <w:numFmt w:val="decimal"/>
      <w:lvlRestart w:val="0"/>
      <w:lvlText w:val="%1."/>
      <w:lvlJc w:val="left"/>
      <w:pPr>
        <w:tabs>
          <w:tab w:val="num" w:pos="1742"/>
        </w:tabs>
        <w:ind w:left="1267" w:firstLine="0"/>
      </w:pPr>
      <w:rPr>
        <w:spacing w:val="0"/>
        <w:w w:val="100"/>
      </w:rPr>
    </w:lvl>
  </w:abstractNum>
  <w:abstractNum w:abstractNumId="2">
    <w:nsid w:val="3B1E2FB7"/>
    <w:multiLevelType w:val="singleLevel"/>
    <w:tmpl w:val="8E6EBE20"/>
    <w:lvl w:ilvl="0">
      <w:start w:val="21"/>
      <w:numFmt w:val="decimal"/>
      <w:lvlRestart w:val="0"/>
      <w:lvlText w:val="%1."/>
      <w:lvlJc w:val="left"/>
      <w:pPr>
        <w:tabs>
          <w:tab w:val="num" w:pos="475"/>
        </w:tabs>
        <w:ind w:left="0" w:firstLine="0"/>
      </w:pPr>
      <w:rPr>
        <w:spacing w:val="0"/>
        <w:w w:val="100"/>
      </w:rPr>
    </w:lvl>
  </w:abstractNum>
  <w:abstractNum w:abstractNumId="3">
    <w:nsid w:val="3DA06992"/>
    <w:multiLevelType w:val="singleLevel"/>
    <w:tmpl w:val="8E6EBE20"/>
    <w:lvl w:ilvl="0">
      <w:start w:val="21"/>
      <w:numFmt w:val="decimal"/>
      <w:lvlRestart w:val="0"/>
      <w:lvlText w:val="%1."/>
      <w:lvlJc w:val="left"/>
      <w:pPr>
        <w:tabs>
          <w:tab w:val="num" w:pos="475"/>
        </w:tabs>
        <w:ind w:left="0" w:firstLine="0"/>
      </w:pPr>
      <w:rPr>
        <w:spacing w:val="0"/>
        <w:w w:val="100"/>
      </w:rPr>
    </w:lvl>
  </w:abstractNum>
  <w:abstractNum w:abstractNumId="4">
    <w:nsid w:val="46D402BE"/>
    <w:multiLevelType w:val="singleLevel"/>
    <w:tmpl w:val="A754BB28"/>
    <w:lvl w:ilvl="0">
      <w:start w:val="7"/>
      <w:numFmt w:val="decimal"/>
      <w:lvlRestart w:val="0"/>
      <w:lvlText w:val="%1."/>
      <w:lvlJc w:val="left"/>
      <w:pPr>
        <w:tabs>
          <w:tab w:val="num" w:pos="475"/>
        </w:tabs>
        <w:ind w:left="0" w:firstLine="0"/>
      </w:pPr>
      <w:rPr>
        <w:spacing w:val="0"/>
        <w:w w:val="100"/>
      </w:rPr>
    </w:lvl>
  </w:abstractNum>
  <w:abstractNum w:abstractNumId="5">
    <w:nsid w:val="4CB45EC8"/>
    <w:multiLevelType w:val="singleLevel"/>
    <w:tmpl w:val="1D84DAD2"/>
    <w:lvl w:ilvl="0">
      <w:start w:val="1"/>
      <w:numFmt w:val="decimal"/>
      <w:lvlRestart w:val="0"/>
      <w:lvlText w:val="%1."/>
      <w:lvlJc w:val="left"/>
      <w:pPr>
        <w:tabs>
          <w:tab w:val="num" w:pos="475"/>
        </w:tabs>
        <w:ind w:left="0" w:firstLine="0"/>
      </w:pPr>
      <w:rPr>
        <w:spacing w:val="0"/>
        <w:w w:val="100"/>
      </w:rPr>
    </w:lvl>
  </w:abstractNum>
  <w:abstractNum w:abstractNumId="6">
    <w:nsid w:val="4E6D6B04"/>
    <w:multiLevelType w:val="singleLevel"/>
    <w:tmpl w:val="BD1ECACC"/>
    <w:lvl w:ilvl="0">
      <w:start w:val="12"/>
      <w:numFmt w:val="decimal"/>
      <w:lvlRestart w:val="0"/>
      <w:lvlText w:val="%1."/>
      <w:lvlJc w:val="left"/>
      <w:pPr>
        <w:tabs>
          <w:tab w:val="num" w:pos="475"/>
        </w:tabs>
        <w:ind w:left="0" w:firstLine="0"/>
      </w:pPr>
      <w:rPr>
        <w:spacing w:val="0"/>
        <w:w w:val="100"/>
      </w:rPr>
    </w:lvl>
  </w:abstractNum>
  <w:abstractNum w:abstractNumId="7">
    <w:nsid w:val="5FBE3F20"/>
    <w:multiLevelType w:val="singleLevel"/>
    <w:tmpl w:val="1D84DAD2"/>
    <w:lvl w:ilvl="0">
      <w:start w:val="1"/>
      <w:numFmt w:val="decimal"/>
      <w:lvlRestart w:val="0"/>
      <w:lvlText w:val="%1."/>
      <w:lvlJc w:val="left"/>
      <w:pPr>
        <w:tabs>
          <w:tab w:val="num" w:pos="475"/>
        </w:tabs>
        <w:ind w:left="0" w:firstLine="0"/>
      </w:pPr>
      <w:rPr>
        <w:spacing w:val="0"/>
        <w:w w:val="100"/>
      </w:rPr>
    </w:lvl>
  </w:abstractNum>
  <w:abstractNum w:abstractNumId="8">
    <w:nsid w:val="68E4346A"/>
    <w:multiLevelType w:val="singleLevel"/>
    <w:tmpl w:val="150CB308"/>
    <w:lvl w:ilvl="0">
      <w:start w:val="12"/>
      <w:numFmt w:val="decimal"/>
      <w:lvlRestart w:val="0"/>
      <w:lvlText w:val="%1."/>
      <w:lvlJc w:val="left"/>
      <w:pPr>
        <w:tabs>
          <w:tab w:val="num" w:pos="475"/>
        </w:tabs>
        <w:ind w:left="0" w:firstLine="0"/>
      </w:pPr>
      <w:rPr>
        <w:b w:val="0"/>
        <w:i w:val="0"/>
        <w:spacing w:val="0"/>
        <w:w w:val="100"/>
      </w:rPr>
    </w:lvl>
  </w:abstractNum>
  <w:num w:numId="1">
    <w:abstractNumId w:val="7"/>
  </w:num>
  <w:num w:numId="2">
    <w:abstractNumId w:val="7"/>
  </w:num>
  <w:num w:numId="3">
    <w:abstractNumId w:val="8"/>
  </w:num>
  <w:num w:numId="4">
    <w:abstractNumId w:val="7"/>
    <w:lvlOverride w:ilvl="0">
      <w:lvl w:ilvl="0">
        <w:start w:val="1"/>
        <w:numFmt w:val="decimal"/>
        <w:lvlRestart w:val="0"/>
        <w:lvlText w:val="%1."/>
        <w:lvlJc w:val="left"/>
        <w:pPr>
          <w:tabs>
            <w:tab w:val="num" w:pos="475"/>
          </w:tabs>
          <w:ind w:left="0" w:firstLine="0"/>
        </w:pPr>
        <w:rPr>
          <w:spacing w:val="0"/>
          <w:w w:val="100"/>
        </w:rPr>
      </w:lvl>
    </w:lvlOverride>
  </w:num>
  <w:num w:numId="5">
    <w:abstractNumId w:val="7"/>
    <w:lvlOverride w:ilvl="0">
      <w:lvl w:ilvl="0">
        <w:start w:val="1"/>
        <w:numFmt w:val="decimal"/>
        <w:lvlRestart w:val="0"/>
        <w:lvlText w:val="%1."/>
        <w:lvlJc w:val="left"/>
        <w:pPr>
          <w:tabs>
            <w:tab w:val="num" w:pos="475"/>
          </w:tabs>
          <w:ind w:left="0" w:firstLine="0"/>
        </w:pPr>
        <w:rPr>
          <w:spacing w:val="0"/>
          <w:w w:val="100"/>
        </w:rPr>
      </w:lvl>
    </w:lvlOverride>
  </w:num>
  <w:num w:numId="6">
    <w:abstractNumId w:val="6"/>
  </w:num>
  <w:num w:numId="7">
    <w:abstractNumId w:val="1"/>
  </w:num>
  <w:num w:numId="8">
    <w:abstractNumId w:val="0"/>
  </w:num>
  <w:num w:numId="9">
    <w:abstractNumId w:val="0"/>
    <w:lvlOverride w:ilvl="0">
      <w:lvl w:ilvl="0">
        <w:start w:val="33"/>
        <w:numFmt w:val="decimal"/>
        <w:lvlRestart w:val="0"/>
        <w:lvlText w:val="%1."/>
        <w:lvlJc w:val="left"/>
        <w:pPr>
          <w:tabs>
            <w:tab w:val="num" w:pos="1742"/>
          </w:tabs>
          <w:ind w:left="1267" w:firstLine="0"/>
        </w:pPr>
        <w:rPr>
          <w:spacing w:val="0"/>
          <w:w w:val="100"/>
        </w:rPr>
      </w:lvl>
    </w:lvlOverride>
  </w:num>
  <w:num w:numId="10">
    <w:abstractNumId w:val="2"/>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11/2003 17:34:17"/>
    <w:docVar w:name="DocCategory" w:val="SROthers"/>
    <w:docVar w:name="DocType" w:val="Final"/>
    <w:docVar w:name="JobNo" w:val="0157427S"/>
    <w:docVar w:name="OandT" w:val="geo"/>
    <w:docVar w:name="Symbol1" w:val="CEDAW/C/SR.43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124</TotalTime>
  <Pages>6</Pages>
  <Words>3376</Words>
  <Characters>17471</Characters>
  <Application>Microsoft Office Word</Application>
  <DocSecurity>4</DocSecurity>
  <Lines>422</Lines>
  <Paragraphs>41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20808</CharactersWithSpaces>
  <SharedDoc>false</SharedDoc>
  <HLinks>
    <vt:vector size="6" baseType="variant">
      <vt:variant>
        <vt:i4>4522087</vt:i4>
      </vt:variant>
      <vt:variant>
        <vt:i4>21926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BAEZ, Georgina</dc:creator>
  <cp:keywords/>
  <dc:description/>
  <cp:lastModifiedBy>BRAVO, Bertha</cp:lastModifiedBy>
  <cp:revision>139</cp:revision>
  <cp:lastPrinted>2003-11-18T16:50:00Z</cp:lastPrinted>
  <dcterms:created xsi:type="dcterms:W3CDTF">2003-11-17T15:34:00Z</dcterms:created>
  <dcterms:modified xsi:type="dcterms:W3CDTF">2003-11-18T16:50:00Z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0157427</vt:lpwstr>
  </property>
  <property fmtid="{D5CDD505-2E9C-101B-9397-08002B2CF9AE}" pid="3" name="Symbol1">
    <vt:lpwstr>CEDAW/C/SR.431</vt:lpwstr>
  </property>
  <property fmtid="{D5CDD505-2E9C-101B-9397-08002B2CF9AE}" pid="4" name="Symbol2">
    <vt:lpwstr/>
  </property>
  <property fmtid="{D5CDD505-2E9C-101B-9397-08002B2CF9AE}" pid="5" name="Translator">
    <vt:lpwstr/>
  </property>
  <property fmtid="{D5CDD505-2E9C-101B-9397-08002B2CF9AE}" pid="6" name="Comment">
    <vt:lpwstr>Muy corregido</vt:lpwstr>
  </property>
  <property fmtid="{D5CDD505-2E9C-101B-9397-08002B2CF9AE}" pid="7" name="DraftPages">
    <vt:lpwstr> </vt:lpwstr>
  </property>
  <property fmtid="{D5CDD505-2E9C-101B-9397-08002B2CF9AE}" pid="8" name="Operator">
    <vt:lpwstr>geo/bbravo</vt:lpwstr>
  </property>
</Properties>
</file>