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0178F">
        <w:trPr>
          <w:trHeight w:val="851"/>
        </w:trPr>
        <w:tc>
          <w:tcPr>
            <w:tcW w:w="1276" w:type="dxa"/>
            <w:tcBorders>
              <w:top w:val="nil"/>
              <w:left w:val="nil"/>
              <w:bottom w:val="single" w:sz="4" w:space="0" w:color="auto"/>
              <w:right w:val="nil"/>
            </w:tcBorders>
          </w:tcPr>
          <w:p w:rsidR="00A0178F" w:rsidRDefault="00A0178F">
            <w:pPr>
              <w:spacing w:after="80" w:line="340" w:lineRule="exact"/>
            </w:pPr>
          </w:p>
        </w:tc>
        <w:tc>
          <w:tcPr>
            <w:tcW w:w="2268" w:type="dxa"/>
            <w:tcBorders>
              <w:top w:val="nil"/>
              <w:left w:val="nil"/>
              <w:bottom w:val="single" w:sz="4" w:space="0" w:color="auto"/>
              <w:right w:val="nil"/>
            </w:tcBorders>
            <w:vAlign w:val="bottom"/>
          </w:tcPr>
          <w:p w:rsidR="00A0178F" w:rsidRDefault="00A0178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0178F" w:rsidRDefault="008A2398" w:rsidP="008A2398">
            <w:pPr>
              <w:suppressAutoHyphens w:val="0"/>
              <w:spacing w:after="20"/>
              <w:jc w:val="right"/>
            </w:pPr>
            <w:r w:rsidRPr="008A2398">
              <w:rPr>
                <w:sz w:val="40"/>
              </w:rPr>
              <w:t>CRC</w:t>
            </w:r>
            <w:r>
              <w:t>/C/SR.1640</w:t>
            </w:r>
          </w:p>
        </w:tc>
      </w:tr>
      <w:tr w:rsidR="00A0178F">
        <w:trPr>
          <w:trHeight w:val="2835"/>
        </w:trPr>
        <w:tc>
          <w:tcPr>
            <w:tcW w:w="1276" w:type="dxa"/>
            <w:tcBorders>
              <w:top w:val="single" w:sz="4" w:space="0" w:color="auto"/>
              <w:left w:val="nil"/>
              <w:bottom w:val="single" w:sz="12" w:space="0" w:color="auto"/>
              <w:right w:val="nil"/>
            </w:tcBorders>
          </w:tcPr>
          <w:p w:rsidR="00A0178F" w:rsidRDefault="00A0178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0178F" w:rsidRDefault="00A0178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8A2398" w:rsidRDefault="008A2398" w:rsidP="008A2398">
            <w:pPr>
              <w:suppressAutoHyphens w:val="0"/>
              <w:spacing w:before="240" w:line="240" w:lineRule="exact"/>
            </w:pPr>
            <w:r>
              <w:t>Distr.: General</w:t>
            </w:r>
          </w:p>
          <w:p w:rsidR="008A2398" w:rsidRDefault="008A2398" w:rsidP="008A2398">
            <w:pPr>
              <w:suppressAutoHyphens w:val="0"/>
            </w:pPr>
            <w:r>
              <w:t>22 September 2011</w:t>
            </w:r>
          </w:p>
          <w:p w:rsidR="008A2398" w:rsidRDefault="008A2398" w:rsidP="008A2398">
            <w:pPr>
              <w:suppressAutoHyphens w:val="0"/>
            </w:pPr>
          </w:p>
          <w:p w:rsidR="00A0178F" w:rsidRDefault="008A2398" w:rsidP="008A2398">
            <w:pPr>
              <w:suppressAutoHyphens w:val="0"/>
            </w:pPr>
            <w:r>
              <w:t>Original: English</w:t>
            </w:r>
          </w:p>
        </w:tc>
      </w:tr>
    </w:tbl>
    <w:p w:rsidR="008A2398" w:rsidRDefault="008A2398" w:rsidP="008A2398">
      <w:pPr>
        <w:spacing w:before="120"/>
        <w:rPr>
          <w:b/>
          <w:sz w:val="24"/>
        </w:rPr>
      </w:pPr>
      <w:r>
        <w:rPr>
          <w:b/>
          <w:sz w:val="24"/>
        </w:rPr>
        <w:t>Committee on the Rights of the Child</w:t>
      </w:r>
    </w:p>
    <w:p w:rsidR="008A2398" w:rsidRDefault="008A2398" w:rsidP="008A2398">
      <w:pPr>
        <w:spacing w:after="120"/>
        <w:rPr>
          <w:b/>
        </w:rPr>
      </w:pPr>
      <w:r>
        <w:rPr>
          <w:b/>
        </w:rPr>
        <w:t>Fifty-eighth session</w:t>
      </w:r>
    </w:p>
    <w:p w:rsidR="008A2398" w:rsidRDefault="008A2398" w:rsidP="008A2398">
      <w:pPr>
        <w:rPr>
          <w:b/>
        </w:rPr>
      </w:pPr>
      <w:r>
        <w:rPr>
          <w:b/>
        </w:rPr>
        <w:t>Summary record (partial)</w:t>
      </w:r>
      <w:r>
        <w:t xml:space="preserve">* </w:t>
      </w:r>
      <w:r>
        <w:rPr>
          <w:b/>
        </w:rPr>
        <w:t>of the 1640th meeting</w:t>
      </w:r>
    </w:p>
    <w:p w:rsidR="008A2398" w:rsidRDefault="008A2398" w:rsidP="008A2398">
      <w:pPr>
        <w:spacing w:after="120"/>
      </w:pPr>
      <w:r>
        <w:t>Held at the Palais Wilson, Geneva, on Monday, 19 September 2011, at 10 a.m.</w:t>
      </w:r>
    </w:p>
    <w:p w:rsidR="008A2398" w:rsidRDefault="008A2398" w:rsidP="008A2398">
      <w:pPr>
        <w:tabs>
          <w:tab w:val="right" w:pos="992"/>
          <w:tab w:val="left" w:pos="1276"/>
          <w:tab w:val="right" w:leader="dot" w:pos="8504"/>
        </w:tabs>
        <w:spacing w:after="120"/>
      </w:pPr>
      <w:r>
        <w:rPr>
          <w:i/>
        </w:rPr>
        <w:tab/>
        <w:t>Chairperson</w:t>
      </w:r>
      <w:r>
        <w:t>:</w:t>
      </w:r>
      <w:r>
        <w:tab/>
        <w:t>Mr. Zermatten</w:t>
      </w:r>
    </w:p>
    <w:p w:rsidR="008A2398" w:rsidRDefault="008A2398" w:rsidP="008A2398">
      <w:pPr>
        <w:tabs>
          <w:tab w:val="right" w:pos="992"/>
          <w:tab w:val="left" w:pos="1276"/>
          <w:tab w:val="right" w:leader="dot" w:pos="8504"/>
        </w:tabs>
        <w:spacing w:before="360" w:after="240"/>
        <w:rPr>
          <w:sz w:val="28"/>
        </w:rPr>
      </w:pPr>
      <w:r>
        <w:rPr>
          <w:sz w:val="28"/>
        </w:rPr>
        <w:t>Contents</w:t>
      </w:r>
    </w:p>
    <w:p w:rsidR="008A2398" w:rsidRDefault="008A2398" w:rsidP="008A2398">
      <w:pPr>
        <w:pStyle w:val="SingleTxtG"/>
      </w:pPr>
      <w:r>
        <w:t>Opening of the session</w:t>
      </w:r>
    </w:p>
    <w:p w:rsidR="008A2398" w:rsidRDefault="008A2398" w:rsidP="008A2398">
      <w:pPr>
        <w:pStyle w:val="SingleTxtG"/>
      </w:pPr>
      <w:r>
        <w:t xml:space="preserve">Statement </w:t>
      </w:r>
      <w:r w:rsidR="009A7B35">
        <w:t>by</w:t>
      </w:r>
      <w:r>
        <w:t xml:space="preserve"> the Representative of the Secretary-General</w:t>
      </w:r>
    </w:p>
    <w:p w:rsidR="008A2398" w:rsidRPr="008A2398" w:rsidRDefault="008A2398" w:rsidP="008A2398">
      <w:pPr>
        <w:pStyle w:val="SingleTxtG"/>
      </w:pPr>
      <w:r>
        <w:t>Adoption of the Agenda</w:t>
      </w:r>
    </w:p>
    <w:p w:rsidR="00032E36" w:rsidRPr="00032E36" w:rsidRDefault="00032E36" w:rsidP="00032E36">
      <w:pPr>
        <w:pStyle w:val="ParaNoG"/>
        <w:numPr>
          <w:ilvl w:val="0"/>
          <w:numId w:val="0"/>
        </w:numPr>
        <w:ind w:left="1134"/>
        <w:rPr>
          <w:i/>
        </w:rPr>
      </w:pPr>
      <w:r>
        <w:br w:type="page"/>
      </w:r>
      <w:r w:rsidRPr="00032E36">
        <w:rPr>
          <w:i/>
        </w:rPr>
        <w:t>The meeting was called to order at 10.10 a.m.</w:t>
      </w:r>
    </w:p>
    <w:p w:rsidR="00032E36" w:rsidRDefault="00032E36" w:rsidP="00032E36">
      <w:pPr>
        <w:pStyle w:val="H23G"/>
      </w:pPr>
      <w:r>
        <w:tab/>
      </w:r>
      <w:r>
        <w:tab/>
        <w:t>Opening of the session</w:t>
      </w:r>
    </w:p>
    <w:p w:rsidR="00032E36" w:rsidRPr="00684B6F" w:rsidRDefault="00032E36" w:rsidP="00032E36">
      <w:pPr>
        <w:pStyle w:val="ParaNoG"/>
      </w:pPr>
      <w:r w:rsidRPr="00032E36">
        <w:rPr>
          <w:b/>
        </w:rPr>
        <w:t>The Chairperson</w:t>
      </w:r>
      <w:r>
        <w:t xml:space="preserve"> </w:t>
      </w:r>
      <w:r w:rsidRPr="00684B6F">
        <w:t>declared open the fifty-eighth session of the Committee on the Rights of the Child.</w:t>
      </w:r>
    </w:p>
    <w:p w:rsidR="00032E36" w:rsidRDefault="00032E36" w:rsidP="00032E36">
      <w:pPr>
        <w:pStyle w:val="H23G"/>
      </w:pPr>
      <w:r>
        <w:tab/>
      </w:r>
      <w:r>
        <w:tab/>
        <w:t>Statement by the Representative of the Secretary-General</w:t>
      </w:r>
    </w:p>
    <w:p w:rsidR="00032E36" w:rsidRDefault="00032E36" w:rsidP="00032E36">
      <w:pPr>
        <w:pStyle w:val="ParaNoG"/>
      </w:pPr>
      <w:r w:rsidRPr="00032E36">
        <w:rPr>
          <w:b/>
        </w:rPr>
        <w:t>Ms. Edelenbos</w:t>
      </w:r>
      <w:r w:rsidR="000573E3">
        <w:t xml:space="preserve"> </w:t>
      </w:r>
      <w:r>
        <w:t>(Office of the United Nations High Commissioner for Human Rights</w:t>
      </w:r>
      <w:r w:rsidR="000573E3">
        <w:t xml:space="preserve"> (OHCHR))</w:t>
      </w:r>
      <w:r>
        <w:t xml:space="preserve"> said that, following the adoption by the Human Rights Council, during its seventeenth session, of </w:t>
      </w:r>
      <w:r w:rsidR="000573E3">
        <w:t>a resolution concerning the proposed</w:t>
      </w:r>
      <w:r>
        <w:t xml:space="preserve"> </w:t>
      </w:r>
      <w:r w:rsidR="00BA0A2E">
        <w:t xml:space="preserve">optional protocol </w:t>
      </w:r>
      <w:r>
        <w:t xml:space="preserve">to the Convention on the Rights of the Child </w:t>
      </w:r>
      <w:r w:rsidR="007D5596">
        <w:t>on</w:t>
      </w:r>
      <w:r>
        <w:t xml:space="preserve"> a communications procedure, the </w:t>
      </w:r>
      <w:r w:rsidR="006D7E73">
        <w:t>proposed text of the</w:t>
      </w:r>
      <w:r>
        <w:t xml:space="preserve"> </w:t>
      </w:r>
      <w:r w:rsidR="00BA0A2E">
        <w:t xml:space="preserve">optional protocol </w:t>
      </w:r>
      <w:r>
        <w:t xml:space="preserve">would be put before the General Assembly for </w:t>
      </w:r>
      <w:r w:rsidR="00D40A3B">
        <w:t>adoption at</w:t>
      </w:r>
      <w:r>
        <w:t xml:space="preserve"> its sixty-sixth session. The </w:t>
      </w:r>
      <w:r w:rsidR="00BA0A2E">
        <w:t xml:space="preserve">protocol </w:t>
      </w:r>
      <w:r>
        <w:t>would bring children into th</w:t>
      </w:r>
      <w:r w:rsidR="008A6BED">
        <w:t>e ranks of fully fledged rights-</w:t>
      </w:r>
      <w:r>
        <w:t>holders and would e</w:t>
      </w:r>
      <w:r w:rsidR="00465368">
        <w:t>nable</w:t>
      </w:r>
      <w:r>
        <w:t xml:space="preserve"> them to bring complaints about violations of their rights to an international body.</w:t>
      </w:r>
    </w:p>
    <w:p w:rsidR="00032E36" w:rsidRDefault="00465368" w:rsidP="006D2ABE">
      <w:pPr>
        <w:pStyle w:val="ParaNoG"/>
      </w:pPr>
      <w:r>
        <w:t>T</w:t>
      </w:r>
      <w:r w:rsidR="00032E36">
        <w:t xml:space="preserve">he fifty-eighth session </w:t>
      </w:r>
      <w:r>
        <w:t xml:space="preserve">of the Committee </w:t>
      </w:r>
      <w:r w:rsidR="00032E36">
        <w:t>would be the last one before the High Commissioner for Human Rights</w:t>
      </w:r>
      <w:r>
        <w:t xml:space="preserve"> presented her proposals for treaty-</w:t>
      </w:r>
      <w:r w:rsidR="00032E36">
        <w:t xml:space="preserve">body strengthening </w:t>
      </w:r>
      <w:r>
        <w:t xml:space="preserve">in early 2012 </w:t>
      </w:r>
      <w:r w:rsidR="00032E36">
        <w:t xml:space="preserve">and </w:t>
      </w:r>
      <w:r w:rsidR="00BA0A2E">
        <w:t xml:space="preserve">was </w:t>
      </w:r>
      <w:r w:rsidR="00032E36">
        <w:t xml:space="preserve">therefore the last opportunity to discuss further contributions to that process. </w:t>
      </w:r>
      <w:r>
        <w:t>Ongoing</w:t>
      </w:r>
      <w:r w:rsidR="00032E36">
        <w:t xml:space="preserve"> consultations </w:t>
      </w:r>
      <w:r>
        <w:t xml:space="preserve">with </w:t>
      </w:r>
      <w:r w:rsidR="00032E36">
        <w:t xml:space="preserve">civil society organizations </w:t>
      </w:r>
      <w:r>
        <w:t>had made it clear that o</w:t>
      </w:r>
      <w:r w:rsidR="00032E36">
        <w:t xml:space="preserve">ne key demand was that all treaty bodies should align their engagement procedures; the same request had been made by national human rights institutions. </w:t>
      </w:r>
      <w:r>
        <w:t>On the other hand, t</w:t>
      </w:r>
      <w:r w:rsidR="00032E36">
        <w:t>he key message from States parties was one of austerity and self-discipline</w:t>
      </w:r>
      <w:r>
        <w:t xml:space="preserve">, </w:t>
      </w:r>
      <w:r w:rsidR="00032E36">
        <w:t xml:space="preserve">particularly in respect of </w:t>
      </w:r>
      <w:r>
        <w:t xml:space="preserve">the </w:t>
      </w:r>
      <w:r w:rsidR="00032E36">
        <w:t>non-mandated activities</w:t>
      </w:r>
      <w:r>
        <w:t xml:space="preserve"> </w:t>
      </w:r>
      <w:r w:rsidR="00032E36">
        <w:t xml:space="preserve">undertaken by nearly all treaty bodies, such as follow-up procedures and the </w:t>
      </w:r>
      <w:r>
        <w:t>formulation</w:t>
      </w:r>
      <w:r w:rsidR="00032E36">
        <w:t xml:space="preserve"> of general comments.</w:t>
      </w:r>
      <w:r w:rsidR="006D2ABE">
        <w:t xml:space="preserve"> </w:t>
      </w:r>
      <w:r w:rsidR="00032E36">
        <w:t xml:space="preserve">States parties found themselves continuously confronted with ad hoc requests for additional resources from individual treaty bodies, among them the request of the Committee for a double-chamber session each year on a permanent basis, and </w:t>
      </w:r>
      <w:r w:rsidR="006D2ABE">
        <w:t>they were becoming</w:t>
      </w:r>
      <w:r w:rsidR="00032E36">
        <w:t xml:space="preserve"> increasingly aware that, in the absence of a comprehensive solution for the treaty body system, such requests would become a pe</w:t>
      </w:r>
      <w:r w:rsidR="006D2ABE">
        <w:t>rennial</w:t>
      </w:r>
      <w:r w:rsidR="00032E36">
        <w:t xml:space="preserve"> feature of </w:t>
      </w:r>
      <w:r w:rsidR="006D2ABE">
        <w:t>that</w:t>
      </w:r>
      <w:r w:rsidR="00032E36">
        <w:t xml:space="preserve"> system.</w:t>
      </w:r>
    </w:p>
    <w:p w:rsidR="00032E36" w:rsidRDefault="00032E36" w:rsidP="00032E36">
      <w:pPr>
        <w:pStyle w:val="ParaNoG"/>
      </w:pPr>
      <w:r>
        <w:t xml:space="preserve">Regarding activities relating to children, </w:t>
      </w:r>
      <w:r w:rsidR="006722D1">
        <w:t>OHCHR</w:t>
      </w:r>
      <w:r>
        <w:t>, the Office of the Special Representative of the Secretary</w:t>
      </w:r>
      <w:r w:rsidR="006722D1">
        <w:t>-</w:t>
      </w:r>
      <w:r>
        <w:t xml:space="preserve">General on </w:t>
      </w:r>
      <w:r w:rsidR="006722D1">
        <w:t>v</w:t>
      </w:r>
      <w:r>
        <w:t xml:space="preserve">iolence against </w:t>
      </w:r>
      <w:r w:rsidR="006722D1">
        <w:t>c</w:t>
      </w:r>
      <w:r>
        <w:t xml:space="preserve">hildren, the Inter-Parliamentary Union and the International NGO Advisory Council for </w:t>
      </w:r>
      <w:r w:rsidR="00BA0A2E">
        <w:t>Follow</w:t>
      </w:r>
      <w:r>
        <w:t>-up to the Secretary-General</w:t>
      </w:r>
      <w:r w:rsidR="006722D1">
        <w:t>’</w:t>
      </w:r>
      <w:r>
        <w:t>s Study on Violence Against Children</w:t>
      </w:r>
      <w:r w:rsidR="006722D1">
        <w:t xml:space="preserve"> </w:t>
      </w:r>
      <w:r>
        <w:t xml:space="preserve">had organized an expert meeting on the legal framework required to prohibit, prevent and respond to all forms of violence against children. The expert meeting, which had benefited from the participation of Mr. Kotrane of the Committee, had led to the formulation of a number of practical recommendations </w:t>
      </w:r>
      <w:r w:rsidR="006722D1">
        <w:t>for accelerating</w:t>
      </w:r>
      <w:r>
        <w:t xml:space="preserve"> the adoption of effective legislation to protect all children from violence. Th</w:t>
      </w:r>
      <w:r w:rsidR="006722D1">
        <w:t>os</w:t>
      </w:r>
      <w:r>
        <w:t xml:space="preserve">e recommendations </w:t>
      </w:r>
      <w:r w:rsidR="006722D1">
        <w:t>had subsequently been</w:t>
      </w:r>
      <w:r>
        <w:t xml:space="preserve"> presented to the General Assembly.</w:t>
      </w:r>
    </w:p>
    <w:p w:rsidR="00032E36" w:rsidRDefault="00032E36" w:rsidP="00032E36">
      <w:pPr>
        <w:pStyle w:val="ParaNoG"/>
      </w:pPr>
      <w:r>
        <w:t>Additionally, OHCHR, with the support of AVIVA, the Consortium for Street Children and the United Nations Children</w:t>
      </w:r>
      <w:r w:rsidR="006722D1">
        <w:t>’</w:t>
      </w:r>
      <w:r>
        <w:t>s Fund</w:t>
      </w:r>
      <w:r w:rsidR="00B95607">
        <w:t xml:space="preserve"> (UNICEF)</w:t>
      </w:r>
      <w:r>
        <w:t xml:space="preserve">, was organizing a meeting on </w:t>
      </w:r>
      <w:r w:rsidR="00B95607">
        <w:t>the promotion</w:t>
      </w:r>
      <w:r>
        <w:t xml:space="preserve"> and protect</w:t>
      </w:r>
      <w:r w:rsidR="00B95607">
        <w:t xml:space="preserve">ion of </w:t>
      </w:r>
      <w:r>
        <w:t xml:space="preserve">the rights of children living and/or working on the street. The meeting </w:t>
      </w:r>
      <w:r w:rsidR="007A4F86">
        <w:t>would provide</w:t>
      </w:r>
      <w:r>
        <w:t xml:space="preserve"> input for the report that the High Commissioner for Human Rights would present on the subject to the Human Rights Council</w:t>
      </w:r>
      <w:r w:rsidR="00DA2621">
        <w:t xml:space="preserve"> at its nineteenth session</w:t>
      </w:r>
      <w:r>
        <w:t>.</w:t>
      </w:r>
    </w:p>
    <w:p w:rsidR="00032E36" w:rsidRDefault="00032E36" w:rsidP="00032E36">
      <w:pPr>
        <w:pStyle w:val="ParaNoG"/>
      </w:pPr>
      <w:r>
        <w:t xml:space="preserve">An expert meeting on violence in the juvenile justice system would </w:t>
      </w:r>
      <w:r w:rsidR="005D4DF4">
        <w:t>be held</w:t>
      </w:r>
      <w:r>
        <w:t xml:space="preserve"> in 2012</w:t>
      </w:r>
      <w:r w:rsidR="005D4DF4">
        <w:t xml:space="preserve"> </w:t>
      </w:r>
      <w:r>
        <w:t>in Vienna</w:t>
      </w:r>
      <w:r w:rsidR="005D4DF4">
        <w:t xml:space="preserve"> </w:t>
      </w:r>
      <w:r>
        <w:t xml:space="preserve">by the United Nations Office on Drugs and Crime, OHCHR and the Special Representative of the Secretary-General on </w:t>
      </w:r>
      <w:r w:rsidR="005D4DF4">
        <w:t>v</w:t>
      </w:r>
      <w:r>
        <w:t xml:space="preserve">iolence against </w:t>
      </w:r>
      <w:r w:rsidR="005D4DF4">
        <w:t>c</w:t>
      </w:r>
      <w:r>
        <w:t xml:space="preserve">hildren. The Special Representative had sent a survey to </w:t>
      </w:r>
      <w:r w:rsidR="00681D4E">
        <w:t xml:space="preserve">Member </w:t>
      </w:r>
      <w:r>
        <w:t xml:space="preserve">States to assess progress in the follow-up to the recommendations </w:t>
      </w:r>
      <w:r w:rsidR="005D4DF4">
        <w:t>made in</w:t>
      </w:r>
      <w:r>
        <w:t xml:space="preserve"> the </w:t>
      </w:r>
      <w:r w:rsidR="005D4DF4">
        <w:t xml:space="preserve">report of the independent expert for the </w:t>
      </w:r>
      <w:r>
        <w:t xml:space="preserve">United Nations </w:t>
      </w:r>
      <w:r w:rsidR="005D4DF4">
        <w:t>s</w:t>
      </w:r>
      <w:r>
        <w:t xml:space="preserve">tudy on </w:t>
      </w:r>
      <w:r w:rsidR="005D4DF4">
        <w:t>v</w:t>
      </w:r>
      <w:r>
        <w:t xml:space="preserve">iolence against </w:t>
      </w:r>
      <w:r w:rsidR="005D4DF4">
        <w:t>c</w:t>
      </w:r>
      <w:r>
        <w:t>hildren</w:t>
      </w:r>
      <w:r w:rsidR="00EE4D46">
        <w:t xml:space="preserve"> (A/61/299)</w:t>
      </w:r>
      <w:r>
        <w:t>. The findings from the survey would inform a report to the General Assembly in 2012, during which the mandate of the Special Representative of the Secretary</w:t>
      </w:r>
      <w:r w:rsidR="00EE4D46">
        <w:t>-</w:t>
      </w:r>
      <w:r>
        <w:t>General would be reviewed.</w:t>
      </w:r>
    </w:p>
    <w:p w:rsidR="00032E36" w:rsidRDefault="00EE4D46" w:rsidP="00032E36">
      <w:pPr>
        <w:pStyle w:val="ParaNoG"/>
      </w:pPr>
      <w:r>
        <w:t>D</w:t>
      </w:r>
      <w:r w:rsidR="00032E36">
        <w:t xml:space="preserve">uring its annual </w:t>
      </w:r>
      <w:r w:rsidR="00447FF4">
        <w:t>open debate on children and armed conflict</w:t>
      </w:r>
      <w:r>
        <w:t xml:space="preserve">, the Security Council had adopted </w:t>
      </w:r>
      <w:r w:rsidR="00032E36">
        <w:t xml:space="preserve">resolution </w:t>
      </w:r>
      <w:r>
        <w:t>1998 (2011), which dealt with</w:t>
      </w:r>
      <w:r w:rsidR="00032E36">
        <w:t xml:space="preserve"> criteria for listing parties </w:t>
      </w:r>
      <w:r w:rsidR="00447FF4">
        <w:t>to armed conflict</w:t>
      </w:r>
      <w:r w:rsidR="00032E36">
        <w:t xml:space="preserve"> </w:t>
      </w:r>
      <w:r w:rsidR="007D279D">
        <w:t>in the annexes of the Secretary-General’s annual report on children and armed conflict. Under that resolution, the criteria had been expanded to include parties that attacked schools and hospitals</w:t>
      </w:r>
      <w:r w:rsidR="00032E36">
        <w:t>.</w:t>
      </w:r>
    </w:p>
    <w:p w:rsidR="00032E36" w:rsidRDefault="00032E36" w:rsidP="00032E36">
      <w:pPr>
        <w:pStyle w:val="ParaNoG"/>
      </w:pPr>
      <w:r>
        <w:t>A more dramatic reduction than had been anticipated was foreseen in the budget of the Secretariat</w:t>
      </w:r>
      <w:r w:rsidR="007A18F1">
        <w:t>,</w:t>
      </w:r>
      <w:r>
        <w:t xml:space="preserve"> and the Committee had </w:t>
      </w:r>
      <w:r w:rsidR="007A18F1">
        <w:t xml:space="preserve">already begun to feel </w:t>
      </w:r>
      <w:r>
        <w:t xml:space="preserve">the negative impact </w:t>
      </w:r>
      <w:r w:rsidR="00447FF4">
        <w:t xml:space="preserve">of that situation </w:t>
      </w:r>
      <w:r w:rsidR="007A18F1">
        <w:t>in terms of</w:t>
      </w:r>
      <w:r>
        <w:t xml:space="preserve"> the timely availability of translations of essential documents, especially replies to list</w:t>
      </w:r>
      <w:r w:rsidR="007A18F1">
        <w:t>s</w:t>
      </w:r>
      <w:r>
        <w:t xml:space="preserve"> of issues. </w:t>
      </w:r>
      <w:r w:rsidR="007A18F1">
        <w:t>She was grateful</w:t>
      </w:r>
      <w:r>
        <w:t xml:space="preserve"> to colleagues at </w:t>
      </w:r>
      <w:r w:rsidR="007A18F1">
        <w:t xml:space="preserve">UNICEF </w:t>
      </w:r>
      <w:r>
        <w:t xml:space="preserve">who had once again helped with the informal translation of documents for the session, </w:t>
      </w:r>
      <w:r w:rsidR="007A18F1">
        <w:t>but</w:t>
      </w:r>
      <w:r>
        <w:t xml:space="preserve"> the Committee was </w:t>
      </w:r>
      <w:r w:rsidR="007A18F1">
        <w:t xml:space="preserve">clearly </w:t>
      </w:r>
      <w:r>
        <w:t>facing a serious problem that should be brought to the attention of all States and counterparts. As had been highlighted during the consultation</w:t>
      </w:r>
      <w:r w:rsidR="007A18F1">
        <w:t>s on treaty-</w:t>
      </w:r>
      <w:r>
        <w:t xml:space="preserve">body strengthening, an effective treaty body system </w:t>
      </w:r>
      <w:r w:rsidR="007A18F1">
        <w:t xml:space="preserve">required </w:t>
      </w:r>
      <w:r>
        <w:t>sufficient resources to allow it to function properly.</w:t>
      </w:r>
    </w:p>
    <w:p w:rsidR="00032E36" w:rsidRDefault="00032E36" w:rsidP="00032E36">
      <w:pPr>
        <w:pStyle w:val="ParaNoG"/>
      </w:pPr>
      <w:r w:rsidRPr="007A18F1">
        <w:rPr>
          <w:b/>
        </w:rPr>
        <w:t>The Chairperson</w:t>
      </w:r>
      <w:r>
        <w:t xml:space="preserve"> joined </w:t>
      </w:r>
      <w:r w:rsidRPr="007A18F1">
        <w:rPr>
          <w:b/>
        </w:rPr>
        <w:t>Ms</w:t>
      </w:r>
      <w:r w:rsidR="007A18F1" w:rsidRPr="007A18F1">
        <w:rPr>
          <w:b/>
        </w:rPr>
        <w:t>.</w:t>
      </w:r>
      <w:r w:rsidRPr="007A18F1">
        <w:rPr>
          <w:b/>
        </w:rPr>
        <w:t xml:space="preserve"> Edelenbos</w:t>
      </w:r>
      <w:r>
        <w:t xml:space="preserve"> in thanking those at </w:t>
      </w:r>
      <w:r w:rsidR="007A18F1">
        <w:t>UNICEF</w:t>
      </w:r>
      <w:r>
        <w:t xml:space="preserve"> </w:t>
      </w:r>
      <w:r w:rsidR="007A18F1">
        <w:t>for their</w:t>
      </w:r>
      <w:r>
        <w:t xml:space="preserve"> assist</w:t>
      </w:r>
      <w:r w:rsidR="007A18F1">
        <w:t>ance</w:t>
      </w:r>
      <w:r>
        <w:t xml:space="preserve"> and noted that translation was a fundamental, long-term issue for the Committee.</w:t>
      </w:r>
    </w:p>
    <w:p w:rsidR="00032E36" w:rsidRDefault="007A18F1" w:rsidP="007A18F1">
      <w:pPr>
        <w:pStyle w:val="H23G"/>
      </w:pPr>
      <w:r>
        <w:tab/>
      </w:r>
      <w:r>
        <w:tab/>
      </w:r>
      <w:r w:rsidR="00032E36">
        <w:t xml:space="preserve">Adoption of the agenda </w:t>
      </w:r>
      <w:r w:rsidR="00032E36" w:rsidRPr="00415055">
        <w:rPr>
          <w:b w:val="0"/>
        </w:rPr>
        <w:t>(CRC/C/58/1)</w:t>
      </w:r>
      <w:r w:rsidR="00415055">
        <w:t xml:space="preserve"> </w:t>
      </w:r>
    </w:p>
    <w:p w:rsidR="00032E36" w:rsidRPr="007A18F1" w:rsidRDefault="00032E36" w:rsidP="00032E36">
      <w:pPr>
        <w:pStyle w:val="ParaNoG"/>
        <w:rPr>
          <w:i/>
        </w:rPr>
      </w:pPr>
      <w:r w:rsidRPr="007A18F1">
        <w:rPr>
          <w:i/>
        </w:rPr>
        <w:t>The agenda was adopted.</w:t>
      </w:r>
    </w:p>
    <w:p w:rsidR="00032E36" w:rsidRPr="007A18F1" w:rsidRDefault="00032E36" w:rsidP="007A18F1">
      <w:pPr>
        <w:pStyle w:val="ParaNoG"/>
        <w:numPr>
          <w:ilvl w:val="0"/>
          <w:numId w:val="0"/>
        </w:numPr>
        <w:ind w:left="1134"/>
        <w:rPr>
          <w:i/>
        </w:rPr>
      </w:pPr>
      <w:r w:rsidRPr="007A18F1">
        <w:rPr>
          <w:i/>
        </w:rPr>
        <w:t>The discussion covered in the summary record ended at 10.40 a.m.</w:t>
      </w:r>
    </w:p>
    <w:sectPr w:rsidR="00032E36" w:rsidRPr="007A18F1" w:rsidSect="008A23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5A6" w:rsidRDefault="00CC15A6"/>
  </w:endnote>
  <w:endnote w:type="continuationSeparator" w:id="0">
    <w:p w:rsidR="00CC15A6" w:rsidRDefault="00CC15A6"/>
  </w:endnote>
  <w:endnote w:type="continuationNotice" w:id="1">
    <w:p w:rsidR="00CC15A6" w:rsidRDefault="00CC15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5A6" w:rsidRPr="008A2398" w:rsidRDefault="00CC15A6" w:rsidP="008A2398">
    <w:pPr>
      <w:pStyle w:val="Footer"/>
      <w:tabs>
        <w:tab w:val="right" w:pos="9598"/>
      </w:tabs>
    </w:pPr>
    <w:r w:rsidRPr="008A2398">
      <w:rPr>
        <w:b/>
        <w:sz w:val="18"/>
      </w:rPr>
      <w:fldChar w:fldCharType="begin"/>
    </w:r>
    <w:r w:rsidRPr="008A2398">
      <w:rPr>
        <w:b/>
        <w:sz w:val="18"/>
      </w:rPr>
      <w:instrText xml:space="preserve"> PAGE  \* MERGEFORMAT </w:instrText>
    </w:r>
    <w:r w:rsidRPr="008A2398">
      <w:rPr>
        <w:b/>
        <w:sz w:val="18"/>
      </w:rPr>
      <w:fldChar w:fldCharType="separate"/>
    </w:r>
    <w:r w:rsidR="00F511E6">
      <w:rPr>
        <w:b/>
        <w:noProof/>
        <w:sz w:val="18"/>
      </w:rPr>
      <w:t>2</w:t>
    </w:r>
    <w:r w:rsidRPr="008A2398">
      <w:rPr>
        <w:b/>
        <w:sz w:val="18"/>
      </w:rPr>
      <w:fldChar w:fldCharType="end"/>
    </w:r>
    <w:r>
      <w:rPr>
        <w:sz w:val="18"/>
      </w:rPr>
      <w:tab/>
    </w:r>
    <w:r>
      <w:t>GE.11-45623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5A6" w:rsidRPr="008A2398" w:rsidRDefault="00CC15A6" w:rsidP="008A2398">
    <w:pPr>
      <w:pStyle w:val="Footer"/>
      <w:tabs>
        <w:tab w:val="right" w:pos="9598"/>
      </w:tabs>
      <w:rPr>
        <w:b/>
        <w:sz w:val="18"/>
      </w:rPr>
    </w:pPr>
    <w:r>
      <w:t>GE.11-45623</w:t>
    </w:r>
    <w:r>
      <w:tab/>
    </w:r>
    <w:r w:rsidRPr="008A2398">
      <w:rPr>
        <w:b/>
        <w:sz w:val="18"/>
      </w:rPr>
      <w:fldChar w:fldCharType="begin"/>
    </w:r>
    <w:r w:rsidRPr="008A2398">
      <w:rPr>
        <w:b/>
        <w:sz w:val="18"/>
      </w:rPr>
      <w:instrText xml:space="preserve"> PAGE  \* MERGEFORMAT </w:instrText>
    </w:r>
    <w:r w:rsidRPr="008A2398">
      <w:rPr>
        <w:b/>
        <w:sz w:val="18"/>
      </w:rPr>
      <w:fldChar w:fldCharType="separate"/>
    </w:r>
    <w:r w:rsidR="00F511E6">
      <w:rPr>
        <w:b/>
        <w:noProof/>
        <w:sz w:val="18"/>
      </w:rPr>
      <w:t>3</w:t>
    </w:r>
    <w:r w:rsidRPr="008A23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5A6" w:rsidRDefault="00CC15A6" w:rsidP="008A2398">
    <w:pPr>
      <w:pStyle w:val="FootnoteText"/>
      <w:tabs>
        <w:tab w:val="clear" w:pos="1021"/>
        <w:tab w:val="right" w:pos="2154"/>
      </w:tabs>
      <w:spacing w:after="80"/>
      <w:ind w:left="680" w:firstLine="0"/>
      <w:rPr>
        <w:u w:val="single"/>
      </w:rPr>
    </w:pPr>
    <w:r>
      <w:rPr>
        <w:u w:val="single"/>
      </w:rPr>
      <w:tab/>
    </w:r>
  </w:p>
  <w:p w:rsidR="00CC15A6" w:rsidRDefault="00CC15A6" w:rsidP="008A2398">
    <w:pPr>
      <w:pStyle w:val="FootnoteText"/>
      <w:tabs>
        <w:tab w:val="clear" w:pos="1021"/>
        <w:tab w:val="right" w:pos="1020"/>
      </w:tabs>
    </w:pPr>
    <w:r>
      <w:tab/>
      <w:t>*</w:t>
    </w:r>
    <w:r>
      <w:tab/>
      <w:t>No summary record was prepared for the rest of the meeting.</w:t>
    </w:r>
  </w:p>
  <w:p w:rsidR="00CC15A6" w:rsidRDefault="00CC15A6" w:rsidP="008A2398">
    <w:pPr>
      <w:pStyle w:val="FootnoteText"/>
      <w:pBdr>
        <w:bottom w:val="single" w:sz="4" w:space="1" w:color="auto"/>
      </w:pBdr>
      <w:tabs>
        <w:tab w:val="clear" w:pos="1021"/>
        <w:tab w:val="right" w:pos="1020"/>
      </w:tabs>
      <w:ind w:left="0" w:right="0" w:firstLine="0"/>
    </w:pPr>
  </w:p>
  <w:p w:rsidR="00CC15A6" w:rsidRDefault="00CC15A6" w:rsidP="008A2398">
    <w:pPr>
      <w:pStyle w:val="FootnoteText"/>
      <w:tabs>
        <w:tab w:val="clear" w:pos="1021"/>
      </w:tabs>
      <w:spacing w:after="120"/>
      <w:ind w:firstLine="0"/>
    </w:pPr>
    <w:r>
      <w:t>This record is subject to correction.</w:t>
    </w:r>
  </w:p>
  <w:p w:rsidR="00CC15A6" w:rsidRDefault="00CC15A6" w:rsidP="008A239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C15A6" w:rsidRPr="008A2398" w:rsidRDefault="00CC15A6" w:rsidP="008A239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C15A6" w:rsidRDefault="00CC15A6">
    <w:pPr>
      <w:pStyle w:val="Footer"/>
      <w:rPr>
        <w:sz w:val="20"/>
      </w:rPr>
    </w:pPr>
    <w:r>
      <w:rPr>
        <w:sz w:val="20"/>
      </w:rPr>
      <w:t>GE.11-45623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210911    220911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5A6" w:rsidRDefault="00CC15A6">
      <w:pPr>
        <w:tabs>
          <w:tab w:val="right" w:pos="2155"/>
        </w:tabs>
        <w:spacing w:after="80"/>
        <w:ind w:left="680"/>
        <w:rPr>
          <w:u w:val="single"/>
        </w:rPr>
      </w:pPr>
      <w:r>
        <w:rPr>
          <w:u w:val="single"/>
        </w:rPr>
        <w:tab/>
      </w:r>
    </w:p>
  </w:footnote>
  <w:footnote w:type="continuationSeparator" w:id="0">
    <w:p w:rsidR="00CC15A6" w:rsidRDefault="00CC15A6">
      <w:pPr>
        <w:tabs>
          <w:tab w:val="left" w:pos="2155"/>
        </w:tabs>
        <w:spacing w:after="80"/>
        <w:ind w:left="680"/>
        <w:rPr>
          <w:u w:val="single"/>
        </w:rPr>
      </w:pPr>
      <w:r>
        <w:rPr>
          <w:u w:val="single"/>
        </w:rPr>
        <w:tab/>
      </w:r>
    </w:p>
  </w:footnote>
  <w:footnote w:type="continuationNotice" w:id="1">
    <w:p w:rsidR="00CC15A6" w:rsidRDefault="00CC15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5A6" w:rsidRPr="008A2398" w:rsidRDefault="00CC15A6" w:rsidP="008A2398">
    <w:pPr>
      <w:pStyle w:val="Header"/>
    </w:pPr>
    <w:r w:rsidRPr="008A2398">
      <w:t>CRC/C/SR.1640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5A6" w:rsidRPr="008A2398" w:rsidRDefault="00CC15A6" w:rsidP="008A2398">
    <w:pPr>
      <w:pStyle w:val="Header"/>
      <w:jc w:val="right"/>
    </w:pPr>
    <w:r w:rsidRPr="008A2398">
      <w:t>CRC/C/SR.1640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78F"/>
    <w:rsid w:val="00032E36"/>
    <w:rsid w:val="000573E3"/>
    <w:rsid w:val="002939DD"/>
    <w:rsid w:val="002A38AA"/>
    <w:rsid w:val="002B7B21"/>
    <w:rsid w:val="00415055"/>
    <w:rsid w:val="00435B81"/>
    <w:rsid w:val="00447FF4"/>
    <w:rsid w:val="00465368"/>
    <w:rsid w:val="005D4DF4"/>
    <w:rsid w:val="006722D1"/>
    <w:rsid w:val="00673EA4"/>
    <w:rsid w:val="00681D4E"/>
    <w:rsid w:val="00684B6F"/>
    <w:rsid w:val="006D2ABE"/>
    <w:rsid w:val="006D7E73"/>
    <w:rsid w:val="00703F5C"/>
    <w:rsid w:val="007A18F1"/>
    <w:rsid w:val="007A4F86"/>
    <w:rsid w:val="007D279D"/>
    <w:rsid w:val="007D5596"/>
    <w:rsid w:val="008205FA"/>
    <w:rsid w:val="008A2398"/>
    <w:rsid w:val="008A6BED"/>
    <w:rsid w:val="009A3429"/>
    <w:rsid w:val="009A7B35"/>
    <w:rsid w:val="00A0178F"/>
    <w:rsid w:val="00A33C31"/>
    <w:rsid w:val="00A44A08"/>
    <w:rsid w:val="00A54A16"/>
    <w:rsid w:val="00AB5B02"/>
    <w:rsid w:val="00B95607"/>
    <w:rsid w:val="00BA0A2E"/>
    <w:rsid w:val="00CC15A6"/>
    <w:rsid w:val="00D40A3B"/>
    <w:rsid w:val="00DA2621"/>
    <w:rsid w:val="00DA49BC"/>
    <w:rsid w:val="00EE4D46"/>
    <w:rsid w:val="00EF3E6C"/>
    <w:rsid w:val="00F511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3</Pages>
  <Words>881</Words>
  <Characters>4867</Characters>
  <Application>Microsoft Office Word</Application>
  <DocSecurity>4</DocSecurity>
  <Lines>89</Lines>
  <Paragraphs>30</Paragraphs>
  <ScaleCrop>false</ScaleCrop>
  <HeadingPairs>
    <vt:vector size="2" baseType="variant">
      <vt:variant>
        <vt:lpstr>Title</vt:lpstr>
      </vt:variant>
      <vt:variant>
        <vt:i4>1</vt:i4>
      </vt:variant>
    </vt:vector>
  </HeadingPairs>
  <TitlesOfParts>
    <vt:vector size="1" baseType="lpstr">
      <vt:lpstr>1145623</vt:lpstr>
    </vt:vector>
  </TitlesOfParts>
  <Company>CSD</Company>
  <LinksUpToDate>false</LinksUpToDate>
  <CharactersWithSpaces>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1145623</dc:title>
  <dc:subject/>
  <dc:creator>Brigoli</dc:creator>
  <cp:keywords>CRC/C/SR.1640</cp:keywords>
  <dc:description>Final</dc:description>
  <cp:lastModifiedBy>Test</cp:lastModifiedBy>
  <cp:revision>2</cp:revision>
  <cp:lastPrinted>2011-09-22T12:38:00Z</cp:lastPrinted>
  <dcterms:created xsi:type="dcterms:W3CDTF">2011-09-22T12:48:00Z</dcterms:created>
  <dcterms:modified xsi:type="dcterms:W3CDTF">2011-09-22T12:48:00Z</dcterms:modified>
</cp:coreProperties>
</file>