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02.8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42520</w:t>
                  </w:r>
                  <w:r>
                    <w:rPr>
                      <w:lang w:val="en-US"/>
                    </w:rPr>
                    <w:fldChar w:fldCharType="end"/>
                  </w:r>
                  <w:r>
                    <w:rPr>
                      <w:lang w:val="en-US"/>
                    </w:rPr>
                    <w:t xml:space="preserve">   (R)    301104    021204</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4011"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r>
              <w:rPr>
                <w:lang w:val="en-US"/>
              </w:rPr>
              <w:t>Distr</w:t>
            </w:r>
            <w:r>
              <w:t>.</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w:t>
            </w:r>
            <w:proofErr w:type="spellStart"/>
            <w:r>
              <w:rPr>
                <w:lang w:val="en-US"/>
              </w:rPr>
              <w:t>Add.14</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6 July 2004</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 w:rsidR="00000000" w:rsidRDefault="00000000">
      <w:r>
        <w:t>Основная сессия 2004 года</w:t>
      </w:r>
    </w:p>
    <w:p w:rsidR="00000000" w:rsidRDefault="00000000">
      <w:pPr>
        <w:spacing w:line="240" w:lineRule="auto"/>
      </w:pPr>
    </w:p>
    <w:p w:rsidR="00000000" w:rsidRDefault="00000000">
      <w:pPr>
        <w:spacing w:line="240" w:lineRule="auto"/>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Четвертые периодические доклады, представленные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lang w:val="en-US"/>
        </w:rPr>
      </w:pPr>
      <w:r>
        <w:rPr>
          <w:b/>
          <w:bCs/>
        </w:rPr>
        <w:t>НОРВЕГИЯ* **</w:t>
      </w:r>
      <w:r>
        <w:rPr>
          <w:b/>
          <w:bCs/>
          <w:lang w:val="en-US"/>
        </w:rPr>
        <w:t xml:space="preserve"> ***</w:t>
      </w:r>
    </w:p>
    <w:p w:rsidR="00000000" w:rsidRDefault="00000000">
      <w:pPr>
        <w:jc w:val="center"/>
        <w:rPr>
          <w:lang w:val="en-US"/>
        </w:rPr>
      </w:pPr>
    </w:p>
    <w:p w:rsidR="00000000" w:rsidRDefault="00000000">
      <w:pPr>
        <w:jc w:val="center"/>
        <w:rPr>
          <w:lang w:val="en-US"/>
        </w:rPr>
      </w:pPr>
    </w:p>
    <w:p w:rsidR="00000000" w:rsidRDefault="00000000">
      <w:pPr>
        <w:jc w:val="center"/>
        <w:rPr>
          <w:lang w:val="en-US"/>
        </w:rPr>
      </w:pPr>
    </w:p>
    <w:p w:rsidR="00000000" w:rsidRDefault="00000000">
      <w:pPr>
        <w:jc w:val="right"/>
      </w:pPr>
      <w:r>
        <w:t>[26 февраля 2004 года]</w:t>
      </w:r>
    </w:p>
    <w:p w:rsidR="00000000" w:rsidRDefault="00000000">
      <w:pPr>
        <w:jc w:val="right"/>
      </w:pPr>
    </w:p>
    <w:p w:rsidR="00000000" w:rsidRDefault="00000000">
      <w:r>
        <w:t>_________________</w:t>
      </w:r>
    </w:p>
    <w:p w:rsidR="00000000" w:rsidRDefault="00000000">
      <w:pPr>
        <w:spacing w:line="240" w:lineRule="auto"/>
      </w:pPr>
      <w:r>
        <w:t>*</w:t>
      </w:r>
      <w:r>
        <w:tab/>
        <w:t>Третий периодический доклад, касающийся прав, охватываемых статьями 6-9 (</w:t>
      </w:r>
      <w:proofErr w:type="spellStart"/>
      <w:r>
        <w:t>Е</w:t>
      </w:r>
      <w:proofErr w:type="spellEnd"/>
      <w:r>
        <w:t>/1994/104/</w:t>
      </w:r>
      <w:r>
        <w:rPr>
          <w:lang w:val="en-US"/>
        </w:rPr>
        <w:t>Add</w:t>
      </w:r>
      <w:r>
        <w:t>.3), был рассмотрен Комитетом по экономическим, социальным и культурным правам в 1995 году (см. Е/С.12/1995/</w:t>
      </w:r>
      <w:r>
        <w:rPr>
          <w:lang w:val="en-US"/>
        </w:rPr>
        <w:t>SR</w:t>
      </w:r>
      <w:r>
        <w:t>.34 и 36-37;  Е/С.12/1995/13).</w:t>
      </w:r>
    </w:p>
    <w:p w:rsidR="00000000" w:rsidRDefault="00000000">
      <w:pPr>
        <w:spacing w:line="240" w:lineRule="auto"/>
      </w:pPr>
    </w:p>
    <w:p w:rsidR="00000000" w:rsidRDefault="00000000">
      <w:pPr>
        <w:spacing w:line="240" w:lineRule="auto"/>
      </w:pPr>
      <w:r>
        <w:t>**</w:t>
      </w:r>
      <w:r>
        <w:tab/>
        <w:t>Информация, представленная Норвегией в соответствии с руководящими принципами, касающимися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.6).</w:t>
      </w:r>
    </w:p>
    <w:p w:rsidR="00000000" w:rsidRDefault="00000000">
      <w:pPr>
        <w:spacing w:line="240" w:lineRule="auto"/>
        <w:rPr>
          <w:sz w:val="20"/>
        </w:rPr>
      </w:pPr>
    </w:p>
    <w:p w:rsidR="00000000" w:rsidRDefault="00000000">
      <w:pPr>
        <w:spacing w:line="240" w:lineRule="auto"/>
      </w:pPr>
      <w:r>
        <w:t>***</w:t>
      </w:r>
      <w:r>
        <w:tab/>
        <w:t>Настоящий документ не подвергался официальному редактированию до направления в переводческие службы Организации Объединенных Наций и распространяется в том виде, в каком он был получен.</w:t>
      </w:r>
    </w:p>
    <w:p w:rsidR="00000000" w:rsidRDefault="00000000">
      <w:pPr>
        <w:tabs>
          <w:tab w:val="clear" w:pos="567"/>
          <w:tab w:val="clear" w:pos="1134"/>
          <w:tab w:val="clear" w:pos="1701"/>
          <w:tab w:val="clear" w:pos="2268"/>
          <w:tab w:val="clear" w:pos="6237"/>
          <w:tab w:val="left" w:pos="7683"/>
          <w:tab w:val="left" w:pos="8413"/>
          <w:tab w:val="left" w:pos="9410"/>
        </w:tabs>
        <w:spacing w:line="240" w:lineRule="auto"/>
        <w:jc w:val="center"/>
        <w:rPr>
          <w:b/>
          <w:bCs/>
        </w:rPr>
      </w:pPr>
      <w:r>
        <w:rPr>
          <w:b/>
          <w:bCs/>
        </w:rPr>
        <w:t>СОДЕРЖАНИЕ</w:t>
      </w:r>
    </w:p>
    <w:p w:rsidR="00000000" w:rsidRDefault="00000000">
      <w:pPr>
        <w:tabs>
          <w:tab w:val="clear" w:pos="567"/>
          <w:tab w:val="clear" w:pos="1134"/>
          <w:tab w:val="clear" w:pos="1701"/>
          <w:tab w:val="clear" w:pos="2268"/>
          <w:tab w:val="clear" w:pos="6237"/>
          <w:tab w:val="left" w:pos="7683"/>
          <w:tab w:val="left" w:pos="8413"/>
          <w:tab w:val="left" w:pos="9410"/>
        </w:tabs>
        <w:spacing w:line="240" w:lineRule="auto"/>
        <w:jc w:val="center"/>
        <w:rPr>
          <w:b/>
          <w:bCs/>
        </w:rPr>
      </w:pPr>
    </w:p>
    <w:p w:rsidR="00000000" w:rsidRDefault="00000000">
      <w:pPr>
        <w:tabs>
          <w:tab w:val="clear" w:pos="6237"/>
          <w:tab w:val="center" w:pos="8039"/>
          <w:tab w:val="center" w:pos="9122"/>
        </w:tabs>
        <w:spacing w:line="240" w:lineRule="auto"/>
      </w:pPr>
      <w:r>
        <w:rPr>
          <w:b/>
          <w:bCs/>
        </w:rPr>
        <w:tab/>
      </w:r>
      <w:r>
        <w:rPr>
          <w:b/>
          <w:bCs/>
        </w:rPr>
        <w:tab/>
      </w:r>
      <w:r>
        <w:rPr>
          <w:b/>
          <w:bCs/>
        </w:rPr>
        <w:tab/>
      </w:r>
      <w:r>
        <w:rPr>
          <w:b/>
          <w:bCs/>
        </w:rPr>
        <w:tab/>
      </w:r>
      <w:r>
        <w:rPr>
          <w:b/>
          <w:bCs/>
        </w:rPr>
        <w:tab/>
      </w:r>
      <w:r>
        <w:rPr>
          <w:u w:val="single"/>
        </w:rPr>
        <w:t>Пункты</w:t>
      </w:r>
      <w:r>
        <w:tab/>
      </w:r>
      <w:r>
        <w:rPr>
          <w:u w:val="single"/>
        </w:rPr>
        <w:t>Стр</w:t>
      </w:r>
      <w:r>
        <w:t>.</w:t>
      </w:r>
    </w:p>
    <w:p w:rsidR="00000000" w:rsidRDefault="00000000">
      <w:pPr>
        <w:tabs>
          <w:tab w:val="clear" w:pos="6237"/>
          <w:tab w:val="decimal" w:pos="567"/>
          <w:tab w:val="right" w:leader="dot" w:pos="7172"/>
          <w:tab w:val="center" w:pos="8039"/>
          <w:tab w:val="center" w:pos="9122"/>
        </w:tabs>
        <w:spacing w:line="240" w:lineRule="auto"/>
        <w:rPr>
          <w:b/>
          <w:bCs/>
        </w:rPr>
      </w:pPr>
    </w:p>
    <w:p w:rsidR="00000000" w:rsidRDefault="00000000">
      <w:pPr>
        <w:tabs>
          <w:tab w:val="clear" w:pos="6237"/>
          <w:tab w:val="decimal" w:pos="567"/>
          <w:tab w:val="right" w:leader="dot" w:pos="7172"/>
          <w:tab w:val="center" w:pos="8039"/>
          <w:tab w:val="center" w:pos="9122"/>
        </w:tabs>
        <w:spacing w:line="240" w:lineRule="auto"/>
        <w:rPr>
          <w:lang w:val="en-US"/>
        </w:rPr>
      </w:pPr>
      <w:r>
        <w:rPr>
          <w:lang w:val="en-US"/>
        </w:rPr>
        <w:tab/>
      </w:r>
      <w:r>
        <w:t>А.</w:t>
      </w:r>
      <w:r>
        <w:tab/>
        <w:t>РАЗДЕЛ ДОКЛАДА, КАСАЮЩИЙСЯ ОБЩИХ</w:t>
      </w:r>
    </w:p>
    <w:p w:rsidR="00000000" w:rsidRDefault="00000000">
      <w:pPr>
        <w:tabs>
          <w:tab w:val="clear" w:pos="6237"/>
          <w:tab w:val="decimal" w:pos="567"/>
          <w:tab w:val="right" w:leader="dot" w:pos="7172"/>
          <w:tab w:val="center" w:pos="8039"/>
          <w:tab w:val="center" w:pos="9122"/>
        </w:tabs>
        <w:spacing w:line="240" w:lineRule="auto"/>
      </w:pPr>
      <w:r>
        <w:rPr>
          <w:lang w:val="en-US"/>
        </w:rPr>
        <w:tab/>
      </w:r>
      <w:r>
        <w:rPr>
          <w:lang w:val="en-US"/>
        </w:rPr>
        <w:tab/>
      </w:r>
      <w:r>
        <w:t>ПОЛОЖЕНИЙ</w:t>
      </w:r>
      <w:r>
        <w:tab/>
        <w:t xml:space="preserve">  </w:t>
      </w:r>
      <w:r>
        <w:tab/>
        <w:t>1</w:t>
      </w:r>
      <w:r>
        <w:rPr>
          <w:lang w:val="en-US"/>
        </w:rPr>
        <w:t xml:space="preserve"> </w:t>
      </w:r>
      <w:r>
        <w:t>-</w:t>
      </w:r>
      <w:r>
        <w:rPr>
          <w:lang w:val="en-US"/>
        </w:rPr>
        <w:t xml:space="preserve"> </w:t>
      </w:r>
      <w:r>
        <w:t>19</w:t>
      </w:r>
      <w:r>
        <w:tab/>
        <w:t>3</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rPr>
          <w:lang w:val="en-US"/>
        </w:rPr>
        <w:tab/>
      </w:r>
      <w:r>
        <w:rPr>
          <w:lang w:val="en-US"/>
        </w:rPr>
        <w:tab/>
      </w:r>
      <w:r>
        <w:t>Введение</w:t>
      </w:r>
      <w:r>
        <w:tab/>
      </w:r>
      <w:r>
        <w:tab/>
      </w:r>
      <w:r>
        <w:tab/>
        <w:t>1</w:t>
      </w:r>
      <w:r>
        <w:rPr>
          <w:lang w:val="en-US"/>
        </w:rPr>
        <w:t xml:space="preserve"> </w:t>
      </w:r>
      <w:r>
        <w:t>-</w:t>
      </w:r>
      <w:r>
        <w:rPr>
          <w:lang w:val="en-US"/>
        </w:rPr>
        <w:t xml:space="preserve"> </w:t>
      </w:r>
      <w:r>
        <w:t>3</w:t>
      </w:r>
      <w:r>
        <w:tab/>
        <w:t>3</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rPr>
          <w:lang w:val="en-US"/>
        </w:rPr>
        <w:tab/>
      </w:r>
      <w:r>
        <w:rPr>
          <w:lang w:val="en-US"/>
        </w:rPr>
        <w:tab/>
      </w:r>
      <w:r>
        <w:t>Статья 1.  Право на самоопределение</w:t>
      </w:r>
      <w:r>
        <w:tab/>
      </w:r>
      <w:r>
        <w:tab/>
        <w:t>4</w:t>
      </w:r>
      <w:r>
        <w:tab/>
        <w:t>3</w:t>
      </w:r>
    </w:p>
    <w:p w:rsidR="00000000" w:rsidRDefault="00000000">
      <w:pPr>
        <w:tabs>
          <w:tab w:val="clear" w:pos="567"/>
          <w:tab w:val="clear" w:pos="1134"/>
          <w:tab w:val="clear" w:pos="1701"/>
          <w:tab w:val="clear" w:pos="2268"/>
          <w:tab w:val="clear" w:pos="6237"/>
          <w:tab w:val="left" w:pos="7683"/>
          <w:tab w:val="left" w:pos="8413"/>
          <w:tab w:val="left" w:pos="9410"/>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2.  Осуществление Пакта</w:t>
      </w:r>
      <w:r>
        <w:tab/>
      </w:r>
      <w:r>
        <w:tab/>
        <w:t>5 - 19</w:t>
      </w:r>
      <w:r>
        <w:tab/>
        <w:t>3</w:t>
      </w:r>
    </w:p>
    <w:p w:rsidR="00000000" w:rsidRDefault="00000000">
      <w:pPr>
        <w:tabs>
          <w:tab w:val="clear" w:pos="6237"/>
          <w:tab w:val="decimal" w:pos="567"/>
          <w:tab w:val="right" w:leader="dot" w:pos="7172"/>
          <w:tab w:val="center" w:pos="8039"/>
          <w:tab w:val="center" w:pos="9122"/>
        </w:tabs>
        <w:spacing w:line="240" w:lineRule="auto"/>
      </w:pPr>
      <w:r>
        <w:rPr>
          <w:lang w:val="en-US"/>
        </w:rPr>
        <w:tab/>
      </w:r>
      <w:r>
        <w:tab/>
      </w:r>
      <w:r>
        <w:tab/>
      </w:r>
    </w:p>
    <w:p w:rsidR="00000000" w:rsidRDefault="00000000">
      <w:pPr>
        <w:tabs>
          <w:tab w:val="clear" w:pos="6237"/>
          <w:tab w:val="decimal" w:pos="567"/>
          <w:tab w:val="right" w:leader="dot" w:pos="7172"/>
          <w:tab w:val="center" w:pos="8039"/>
          <w:tab w:val="center" w:pos="9122"/>
        </w:tabs>
        <w:spacing w:line="240" w:lineRule="auto"/>
        <w:rPr>
          <w:lang w:val="en-US"/>
        </w:rPr>
      </w:pPr>
      <w:r>
        <w:rPr>
          <w:lang w:val="en-US"/>
        </w:rPr>
        <w:tab/>
      </w:r>
      <w:r>
        <w:t>В.</w:t>
      </w:r>
      <w:r>
        <w:tab/>
        <w:t>РАЗДЕЛ ДОКЛАДА, КАСАЮЩИЙСЯ КОНКРЕТНЫХ</w:t>
      </w:r>
    </w:p>
    <w:p w:rsidR="00000000" w:rsidRDefault="00000000">
      <w:pPr>
        <w:tabs>
          <w:tab w:val="clear" w:pos="2268"/>
          <w:tab w:val="clear" w:pos="6237"/>
          <w:tab w:val="decimal" w:pos="567"/>
          <w:tab w:val="right" w:leader="dot" w:pos="7172"/>
          <w:tab w:val="center" w:pos="8039"/>
          <w:tab w:val="center" w:pos="9122"/>
        </w:tabs>
        <w:spacing w:line="240" w:lineRule="auto"/>
      </w:pPr>
      <w:r>
        <w:rPr>
          <w:lang w:val="en-US"/>
        </w:rPr>
        <w:tab/>
      </w:r>
      <w:r>
        <w:rPr>
          <w:lang w:val="en-US"/>
        </w:rPr>
        <w:tab/>
      </w:r>
      <w:r>
        <w:t>ПРАВ</w:t>
      </w:r>
      <w:r>
        <w:tab/>
      </w:r>
      <w:r>
        <w:tab/>
        <w:t>20 - 509</w:t>
      </w:r>
      <w:r>
        <w:tab/>
        <w:t>7</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rPr>
          <w:lang w:val="en-US"/>
        </w:rPr>
        <w:tab/>
      </w:r>
      <w:r>
        <w:rPr>
          <w:lang w:val="en-US"/>
        </w:rPr>
        <w:tab/>
      </w:r>
      <w:r>
        <w:t>Статья 6.  Право на труд</w:t>
      </w:r>
      <w:r>
        <w:tab/>
      </w:r>
      <w:r>
        <w:tab/>
        <w:t>20 - 45</w:t>
      </w:r>
      <w:r>
        <w:tab/>
        <w:t>7</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7.  Справедливые и благоприятные условия труда</w:t>
      </w:r>
      <w:r>
        <w:tab/>
      </w:r>
      <w:r>
        <w:tab/>
        <w:t>46 - 68</w:t>
      </w:r>
      <w:r>
        <w:tab/>
        <w:t>13</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8.  Профсоюзы</w:t>
      </w:r>
      <w:r>
        <w:tab/>
      </w:r>
      <w:r>
        <w:tab/>
        <w:t>69 - 95</w:t>
      </w:r>
      <w:r>
        <w:tab/>
        <w:t>19</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9.  Социальное обеспечение</w:t>
      </w:r>
      <w:r>
        <w:tab/>
      </w:r>
      <w:r>
        <w:tab/>
        <w:t>96 - 116</w:t>
      </w:r>
      <w:r>
        <w:tab/>
        <w:t>25</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10.  Семья, мать и ребенок</w:t>
      </w:r>
      <w:r>
        <w:tab/>
      </w:r>
      <w:r>
        <w:tab/>
        <w:t>117 - 170</w:t>
      </w:r>
      <w:r>
        <w:tab/>
        <w:t>30</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11.  Право на достаточный жизненный уровень</w:t>
      </w:r>
      <w:r>
        <w:tab/>
      </w:r>
      <w:r>
        <w:tab/>
        <w:t>171 - 290</w:t>
      </w:r>
      <w:r>
        <w:tab/>
        <w:t>41</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12.  Наивысший достижимый уровень здоровья</w:t>
      </w:r>
      <w:r>
        <w:tab/>
      </w:r>
      <w:r>
        <w:tab/>
        <w:t>291 - 369</w:t>
      </w:r>
      <w:r>
        <w:tab/>
        <w:t>70</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13.  Право на образование</w:t>
      </w:r>
      <w:r>
        <w:tab/>
      </w:r>
      <w:r>
        <w:tab/>
        <w:t>370 - 454</w:t>
      </w:r>
      <w:r>
        <w:tab/>
        <w:t>92</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14.  Бесплатное обязательное образование</w:t>
      </w:r>
      <w:r>
        <w:tab/>
      </w:r>
      <w:r>
        <w:tab/>
        <w:t>455</w:t>
      </w:r>
      <w:r>
        <w:tab/>
        <w:t>111</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7172"/>
          <w:tab w:val="center" w:pos="8039"/>
          <w:tab w:val="center" w:pos="9122"/>
        </w:tabs>
        <w:spacing w:line="240" w:lineRule="auto"/>
      </w:pPr>
      <w:r>
        <w:tab/>
      </w:r>
      <w:r>
        <w:tab/>
        <w:t>Статья 15.  Культура и наука</w:t>
      </w:r>
      <w:r>
        <w:tab/>
      </w:r>
      <w:r>
        <w:tab/>
        <w:t>456 - 509</w:t>
      </w:r>
      <w:r>
        <w:tab/>
        <w:t>111</w:t>
      </w:r>
    </w:p>
    <w:p w:rsidR="00000000" w:rsidRDefault="00000000">
      <w:pPr>
        <w:tabs>
          <w:tab w:val="clear" w:pos="6237"/>
          <w:tab w:val="decimal" w:pos="567"/>
          <w:tab w:val="right" w:leader="dot" w:pos="7172"/>
          <w:tab w:val="center" w:pos="8039"/>
          <w:tab w:val="center" w:pos="9122"/>
        </w:tabs>
        <w:spacing w:line="240" w:lineRule="auto"/>
      </w:pPr>
      <w:r>
        <w:tab/>
      </w:r>
      <w:r>
        <w:tab/>
      </w:r>
    </w:p>
    <w:p w:rsidR="00000000" w:rsidRDefault="00000000">
      <w:pPr>
        <w:tabs>
          <w:tab w:val="clear" w:pos="6237"/>
          <w:tab w:val="decimal" w:pos="567"/>
          <w:tab w:val="right" w:leader="dot" w:pos="8505"/>
          <w:tab w:val="center" w:pos="9122"/>
        </w:tabs>
        <w:spacing w:line="240" w:lineRule="auto"/>
      </w:pPr>
      <w:r>
        <w:t>Перечень приложений</w:t>
      </w:r>
      <w:r>
        <w:tab/>
      </w:r>
      <w:r>
        <w:tab/>
        <w:t>126</w:t>
      </w:r>
      <w:r>
        <w:tab/>
      </w:r>
    </w:p>
    <w:p w:rsidR="00000000" w:rsidRDefault="00000000">
      <w:pPr>
        <w:tabs>
          <w:tab w:val="clear" w:pos="6237"/>
          <w:tab w:val="decimal" w:pos="567"/>
          <w:tab w:val="right" w:leader="dot" w:pos="7172"/>
          <w:tab w:val="center" w:pos="8039"/>
          <w:tab w:val="center" w:pos="9122"/>
        </w:tabs>
        <w:spacing w:line="240" w:lineRule="auto"/>
        <w:rPr>
          <w:b/>
          <w:bCs/>
        </w:rPr>
      </w:pPr>
    </w:p>
    <w:p w:rsidR="00000000" w:rsidRDefault="00000000">
      <w:pPr>
        <w:tabs>
          <w:tab w:val="clear" w:pos="1134"/>
          <w:tab w:val="clear" w:pos="6237"/>
          <w:tab w:val="left" w:pos="1470"/>
          <w:tab w:val="right" w:leader="dot" w:pos="7172"/>
          <w:tab w:val="center" w:pos="8039"/>
          <w:tab w:val="center" w:pos="9122"/>
        </w:tabs>
        <w:jc w:val="center"/>
        <w:rPr>
          <w:b/>
          <w:bCs/>
        </w:rPr>
      </w:pPr>
      <w:r>
        <w:br w:type="page"/>
      </w:r>
      <w:r>
        <w:rPr>
          <w:b/>
          <w:bCs/>
        </w:rPr>
        <w:t>А.</w:t>
      </w:r>
      <w:r>
        <w:rPr>
          <w:b/>
          <w:bCs/>
        </w:rPr>
        <w:tab/>
        <w:t>РАЗДЕЛ ДОКЛАДА, КАСАЮЩИЙСЯ ОБЩИХ ПОЛОЖЕНИЙ</w:t>
      </w:r>
    </w:p>
    <w:p w:rsidR="00000000" w:rsidRDefault="00000000">
      <w:pPr>
        <w:tabs>
          <w:tab w:val="clear" w:pos="1134"/>
          <w:tab w:val="clear" w:pos="6237"/>
          <w:tab w:val="left" w:pos="1470"/>
          <w:tab w:val="right" w:leader="dot" w:pos="7172"/>
          <w:tab w:val="center" w:pos="8039"/>
          <w:tab w:val="center" w:pos="9122"/>
        </w:tabs>
        <w:jc w:val="center"/>
        <w:rPr>
          <w:b/>
          <w:bCs/>
        </w:rPr>
      </w:pPr>
    </w:p>
    <w:p w:rsidR="00000000" w:rsidRDefault="00000000">
      <w:pPr>
        <w:tabs>
          <w:tab w:val="clear" w:pos="1134"/>
          <w:tab w:val="clear" w:pos="6237"/>
          <w:tab w:val="left" w:pos="1470"/>
          <w:tab w:val="right" w:leader="dot" w:pos="7172"/>
          <w:tab w:val="center" w:pos="8039"/>
          <w:tab w:val="center" w:pos="9122"/>
        </w:tabs>
        <w:jc w:val="center"/>
        <w:rPr>
          <w:b/>
          <w:bCs/>
        </w:rPr>
      </w:pPr>
      <w:r>
        <w:rPr>
          <w:b/>
          <w:bCs/>
        </w:rPr>
        <w:t>Введение</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1.</w:t>
      </w:r>
      <w:r>
        <w:tab/>
        <w:t>Норвегия стремилась подготовить настоящий доклад в соответствии с пересмотренными Общими руководящими принципами в отношении формы и содержания докладов, представляемых государствами-участниками (Е/С.12/1991/1).</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2.</w:t>
      </w:r>
      <w:r>
        <w:tab/>
        <w:t>Во избежание дублирования информации в настоящем докладе содержатся ссылки на третий периодический доклад Норвегии (Е/1994/104/</w:t>
      </w:r>
      <w:r>
        <w:rPr>
          <w:lang w:val="en-US"/>
        </w:rPr>
        <w:t>Add</w:t>
      </w:r>
      <w:r>
        <w:t>.3) и на другие доклады, представленные Норвегией в соответствии с конвенциями Организации Объединенных Наций о правах человека.</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3.</w:t>
      </w:r>
      <w:r>
        <w:tab/>
        <w:t>По состоянию на 1 октября 2003 года 100 нор. крон приблизительно соответствовали 14 долл. США.</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jc w:val="center"/>
      </w:pPr>
      <w:r>
        <w:rPr>
          <w:b/>
          <w:bCs/>
        </w:rPr>
        <w:t>Статья 1.  Право на самоопределение</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4.</w:t>
      </w:r>
      <w:r>
        <w:tab/>
        <w:t>Предлагается обратить внимание на третий периодический доклад Норвегии, пункты 3-5.</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jc w:val="center"/>
      </w:pPr>
      <w:r>
        <w:rPr>
          <w:b/>
          <w:bCs/>
        </w:rPr>
        <w:t>Статья 2.  Осуществление Пакта</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rPr>
          <w:b/>
          <w:bCs/>
        </w:rPr>
      </w:pPr>
      <w:r>
        <w:rPr>
          <w:b/>
          <w:bCs/>
        </w:rPr>
        <w:t>Статус Пакта в норвежском праве</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5.</w:t>
      </w:r>
      <w:r>
        <w:tab/>
        <w:t>15 июля 1994 года в Конституцию Норвегии были внесены поправки.  Новая статья 110 с) гласит:  "</w:t>
      </w:r>
      <w:r>
        <w:rPr>
          <w:i/>
          <w:iCs/>
        </w:rPr>
        <w:t>Государственные власти обязаны уважать и защищать права человека.  Более конкретные положения об осуществлении договоров о правах человека определяются законами</w:t>
      </w:r>
      <w:r>
        <w:t>".</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6.</w:t>
      </w:r>
      <w:r>
        <w:tab/>
        <w:t>На основе вышеупомянутого положения 21 мая 1999</w:t>
      </w:r>
      <w:r>
        <w:rPr>
          <w:lang w:val="en-US"/>
        </w:rPr>
        <w:t> </w:t>
      </w:r>
      <w:r>
        <w:t>года был принят и вступил в силу Закон об укреплении статуса прав человека в норвежском законодательстве (Закон о правах человека), см. приложение 1.  Среди прочего этим Законом было установлено, что Международный пакт об экономических, социальных и культурных правах имеет силу закона в Норвегии, поскольку он является обязательным для Норвегии.  В случае конфликта положения Пакта имеют преимущественную силу по сравнению с положениями иного законодательства.  Информация относительно данного Закона и международных правовых документов была распространена среди всех судов, министерств, полицейских округов, муниципалитетов и т.д.</w:t>
      </w:r>
    </w:p>
    <w:p w:rsidR="00000000" w:rsidRDefault="00000000">
      <w:pPr>
        <w:tabs>
          <w:tab w:val="clear" w:pos="1134"/>
          <w:tab w:val="clear" w:pos="6237"/>
          <w:tab w:val="left" w:pos="1470"/>
          <w:tab w:val="right" w:leader="dot" w:pos="7172"/>
          <w:tab w:val="center" w:pos="8039"/>
          <w:tab w:val="center" w:pos="9122"/>
        </w:tabs>
        <w:rPr>
          <w:b/>
          <w:bCs/>
        </w:rPr>
      </w:pPr>
      <w:r>
        <w:rPr>
          <w:b/>
          <w:bCs/>
        </w:rPr>
        <w:t>Пункт 1 руководящих принципов (лица, не являющиеся гражданами)</w:t>
      </w:r>
    </w:p>
    <w:p w:rsidR="00000000" w:rsidRDefault="00000000">
      <w:pPr>
        <w:tabs>
          <w:tab w:val="clear" w:pos="1134"/>
          <w:tab w:val="clear" w:pos="6237"/>
          <w:tab w:val="left" w:pos="1470"/>
          <w:tab w:val="right" w:leader="dot" w:pos="7172"/>
          <w:tab w:val="center" w:pos="8039"/>
          <w:tab w:val="center" w:pos="9122"/>
        </w:tabs>
        <w:rPr>
          <w:sz w:val="20"/>
        </w:rPr>
      </w:pPr>
    </w:p>
    <w:p w:rsidR="00000000" w:rsidRDefault="00000000">
      <w:pPr>
        <w:tabs>
          <w:tab w:val="clear" w:pos="1134"/>
          <w:tab w:val="clear" w:pos="6237"/>
          <w:tab w:val="left" w:pos="1470"/>
          <w:tab w:val="right" w:leader="dot" w:pos="7172"/>
          <w:tab w:val="center" w:pos="8039"/>
          <w:tab w:val="center" w:pos="9122"/>
        </w:tabs>
      </w:pPr>
      <w:r>
        <w:t>7.</w:t>
      </w:r>
      <w:r>
        <w:tab/>
        <w:t>Предлагается обратить внимание на третий периодический доклад Норвегии, пункты 6-9.  Если действующее законодательство не предусматривает иного, то иностранные граждане, находящиеся в Норвегии на законных основаниях, обладают теми же правами и обязанностями, что и норвежские граждане (статья 3 Закона об иммиграции).</w:t>
      </w:r>
    </w:p>
    <w:p w:rsidR="00000000" w:rsidRDefault="00000000">
      <w:pPr>
        <w:tabs>
          <w:tab w:val="clear" w:pos="1134"/>
          <w:tab w:val="clear" w:pos="6237"/>
          <w:tab w:val="left" w:pos="1470"/>
          <w:tab w:val="right" w:leader="dot" w:pos="7172"/>
          <w:tab w:val="center" w:pos="8039"/>
          <w:tab w:val="center" w:pos="9122"/>
        </w:tabs>
        <w:rPr>
          <w:sz w:val="20"/>
        </w:rPr>
      </w:pPr>
    </w:p>
    <w:p w:rsidR="00000000" w:rsidRDefault="00000000">
      <w:pPr>
        <w:tabs>
          <w:tab w:val="clear" w:pos="1134"/>
          <w:tab w:val="clear" w:pos="6237"/>
          <w:tab w:val="left" w:pos="1470"/>
          <w:tab w:val="right" w:leader="dot" w:pos="7172"/>
          <w:tab w:val="center" w:pos="8039"/>
          <w:tab w:val="center" w:pos="9122"/>
        </w:tabs>
        <w:rPr>
          <w:b/>
          <w:bCs/>
        </w:rPr>
      </w:pPr>
      <w:r>
        <w:rPr>
          <w:b/>
          <w:bCs/>
        </w:rPr>
        <w:t>Пункт 2 руководящих принципов (недопущение дискриминации)</w:t>
      </w:r>
    </w:p>
    <w:p w:rsidR="00000000" w:rsidRDefault="00000000">
      <w:pPr>
        <w:tabs>
          <w:tab w:val="clear" w:pos="1134"/>
          <w:tab w:val="clear" w:pos="6237"/>
          <w:tab w:val="left" w:pos="1470"/>
          <w:tab w:val="right" w:leader="dot" w:pos="7172"/>
          <w:tab w:val="center" w:pos="8039"/>
          <w:tab w:val="center" w:pos="9122"/>
        </w:tabs>
        <w:rPr>
          <w:sz w:val="20"/>
        </w:rPr>
      </w:pPr>
    </w:p>
    <w:p w:rsidR="00000000" w:rsidRDefault="00000000">
      <w:pPr>
        <w:tabs>
          <w:tab w:val="clear" w:pos="1134"/>
          <w:tab w:val="clear" w:pos="6237"/>
          <w:tab w:val="left" w:pos="1470"/>
          <w:tab w:val="right" w:leader="dot" w:pos="7172"/>
          <w:tab w:val="center" w:pos="8039"/>
          <w:tab w:val="center" w:pos="9122"/>
        </w:tabs>
      </w:pPr>
      <w:r>
        <w:t>8.</w:t>
      </w:r>
      <w:r>
        <w:tab/>
        <w:t>Предлагается обратить внимание на третий периодический доклад Норвегии, пункты 10-11.  Ряд касающихся дискриминации вопросов упомянут в различных статьях Пакта.  В этой связи Норвегия может представить следующую информацию:</w:t>
      </w:r>
    </w:p>
    <w:p w:rsidR="00000000" w:rsidRDefault="00000000">
      <w:pPr>
        <w:tabs>
          <w:tab w:val="clear" w:pos="1134"/>
          <w:tab w:val="clear" w:pos="6237"/>
          <w:tab w:val="left" w:pos="1470"/>
          <w:tab w:val="right" w:leader="dot" w:pos="7172"/>
          <w:tab w:val="center" w:pos="8039"/>
          <w:tab w:val="center" w:pos="9122"/>
        </w:tabs>
        <w:rPr>
          <w:sz w:val="20"/>
        </w:rPr>
      </w:pPr>
    </w:p>
    <w:p w:rsidR="00000000" w:rsidRDefault="00000000">
      <w:pPr>
        <w:tabs>
          <w:tab w:val="clear" w:pos="1134"/>
          <w:tab w:val="clear" w:pos="6237"/>
          <w:tab w:val="left" w:pos="1470"/>
          <w:tab w:val="right" w:leader="dot" w:pos="7172"/>
          <w:tab w:val="center" w:pos="8039"/>
          <w:tab w:val="center" w:pos="9122"/>
        </w:tabs>
      </w:pPr>
      <w:r>
        <w:rPr>
          <w:i/>
          <w:iCs/>
        </w:rPr>
        <w:t>Новый Закон о борьбе с этнической дискриминацией</w:t>
      </w:r>
    </w:p>
    <w:p w:rsidR="00000000" w:rsidRDefault="00000000">
      <w:pPr>
        <w:tabs>
          <w:tab w:val="clear" w:pos="1134"/>
          <w:tab w:val="clear" w:pos="6237"/>
          <w:tab w:val="left" w:pos="1470"/>
          <w:tab w:val="right" w:leader="dot" w:pos="7172"/>
          <w:tab w:val="center" w:pos="8039"/>
          <w:tab w:val="center" w:pos="9122"/>
        </w:tabs>
        <w:rPr>
          <w:sz w:val="20"/>
        </w:rPr>
      </w:pPr>
    </w:p>
    <w:p w:rsidR="00000000" w:rsidRDefault="00000000">
      <w:pPr>
        <w:tabs>
          <w:tab w:val="clear" w:pos="1134"/>
          <w:tab w:val="clear" w:pos="6237"/>
          <w:tab w:val="left" w:pos="1470"/>
          <w:tab w:val="right" w:leader="dot" w:pos="7172"/>
          <w:tab w:val="center" w:pos="8039"/>
          <w:tab w:val="center" w:pos="9122"/>
        </w:tabs>
      </w:pPr>
      <w:r>
        <w:t>9.</w:t>
      </w:r>
      <w:r>
        <w:tab/>
        <w:t xml:space="preserve">В настоящее время в Норвегии не имеется общего законодательного положения, запрещающего </w:t>
      </w:r>
      <w:r>
        <w:rPr>
          <w:u w:val="single"/>
        </w:rPr>
        <w:t>этническую</w:t>
      </w:r>
      <w:r>
        <w:t xml:space="preserve"> дискриминацию, однако ряд положений в различных законодательных актах запрещает дискриминацию в конкретных областях.  В 2000 году правительство создало законодательный комитет по подготовке предложений по закону о борьбе с этнической дискриминацией, а также определению возможных санкций, рассмотрению путей обеспечения эффективного выполнения законодательства и изучения предложения о том, каким образом в норвежское право можно было бы инкорпорировать Конвенцию ООН о ликвидации всех форм расовой дискриминации.  Доклад Комитета от 14 июня 2002 года поддерживает общий запрет этнической дискриминации во всех сферах жизни общества, за исключением семейной жизни и вопросов личного характера.  Доклад был широко распространен с целью получения критических замечаний.  Правительство планирует представить предложение по закону о борьбе с этнической дискриминацией в 2004 году.</w:t>
      </w:r>
    </w:p>
    <w:p w:rsidR="00000000" w:rsidRDefault="00000000">
      <w:pPr>
        <w:tabs>
          <w:tab w:val="clear" w:pos="1134"/>
          <w:tab w:val="clear" w:pos="6237"/>
          <w:tab w:val="left" w:pos="1470"/>
          <w:tab w:val="right" w:leader="dot" w:pos="7172"/>
          <w:tab w:val="center" w:pos="8039"/>
          <w:tab w:val="center" w:pos="9122"/>
        </w:tabs>
        <w:rPr>
          <w:sz w:val="20"/>
        </w:rPr>
      </w:pPr>
    </w:p>
    <w:p w:rsidR="00000000" w:rsidRDefault="00000000">
      <w:pPr>
        <w:tabs>
          <w:tab w:val="clear" w:pos="1134"/>
          <w:tab w:val="clear" w:pos="6237"/>
          <w:tab w:val="left" w:pos="1470"/>
          <w:tab w:val="right" w:leader="dot" w:pos="7172"/>
          <w:tab w:val="center" w:pos="8039"/>
          <w:tab w:val="center" w:pos="9122"/>
        </w:tabs>
      </w:pPr>
      <w:r>
        <w:rPr>
          <w:i/>
          <w:iCs/>
        </w:rPr>
        <w:t>План действий по борьбе с расизмом и дискриминацией (1998-2001 годы)</w:t>
      </w:r>
    </w:p>
    <w:p w:rsidR="00000000" w:rsidRDefault="00000000">
      <w:pPr>
        <w:tabs>
          <w:tab w:val="clear" w:pos="1134"/>
          <w:tab w:val="clear" w:pos="6237"/>
          <w:tab w:val="left" w:pos="1470"/>
          <w:tab w:val="right" w:leader="dot" w:pos="7172"/>
          <w:tab w:val="center" w:pos="8039"/>
          <w:tab w:val="center" w:pos="9122"/>
        </w:tabs>
        <w:rPr>
          <w:sz w:val="20"/>
        </w:rPr>
      </w:pPr>
    </w:p>
    <w:p w:rsidR="00000000" w:rsidRDefault="00000000">
      <w:pPr>
        <w:tabs>
          <w:tab w:val="clear" w:pos="1134"/>
          <w:tab w:val="clear" w:pos="6237"/>
          <w:tab w:val="left" w:pos="1470"/>
          <w:tab w:val="right" w:leader="dot" w:pos="7172"/>
          <w:tab w:val="center" w:pos="8039"/>
          <w:tab w:val="center" w:pos="9122"/>
        </w:tabs>
      </w:pPr>
      <w:r>
        <w:t>10.</w:t>
      </w:r>
      <w:r>
        <w:tab/>
        <w:t>В 1998 году правительство представило План действий по борьбе с расизмом и расовой дискриминацией, который охватывал период 1998-2001 годов.  План предусматривал меры, касающиеся судебной системы, рынка труда, жилищного рынка, школ, ключевых секторов государственной администрации, начального и среднего образования для определенных профессиональных групп и деятельности на уровне местных общин.  Кроме того, в нем содержались меры по расширению возможностей получения правовой помощи в данной области и более активному информированию по вопросам, касающимся видов и масштабов расизма и дискриминации.</w:t>
      </w:r>
    </w:p>
    <w:p w:rsidR="00000000" w:rsidRDefault="00000000">
      <w:pPr>
        <w:tabs>
          <w:tab w:val="clear" w:pos="1134"/>
          <w:tab w:val="clear" w:pos="6237"/>
          <w:tab w:val="left" w:pos="1470"/>
          <w:tab w:val="right" w:leader="dot" w:pos="7172"/>
          <w:tab w:val="center" w:pos="8039"/>
          <w:tab w:val="center" w:pos="9122"/>
        </w:tabs>
        <w:rPr>
          <w:sz w:val="20"/>
        </w:rPr>
      </w:pPr>
    </w:p>
    <w:p w:rsidR="00000000" w:rsidRDefault="00000000">
      <w:pPr>
        <w:tabs>
          <w:tab w:val="clear" w:pos="1134"/>
          <w:tab w:val="clear" w:pos="6237"/>
          <w:tab w:val="left" w:pos="1470"/>
          <w:tab w:val="right" w:leader="dot" w:pos="7172"/>
          <w:tab w:val="center" w:pos="8039"/>
          <w:tab w:val="center" w:pos="9122"/>
        </w:tabs>
      </w:pPr>
      <w:r>
        <w:rPr>
          <w:i/>
          <w:iCs/>
        </w:rPr>
        <w:t>Центр по борьбе с этнической дискриминацией</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11.</w:t>
      </w:r>
      <w:r>
        <w:tab/>
        <w:t>В качестве одной из мер, предусмотренных в Плане действий, 10 февраля 1999</w:t>
      </w:r>
      <w:r>
        <w:rPr>
          <w:lang w:val="en-US"/>
        </w:rPr>
        <w:t> </w:t>
      </w:r>
      <w:r>
        <w:t>года был открыт Центр по борьбе с этнической дискриминацией.  Центр является независимым административным учреждением центрального правительства, оказывающим правовую помощь в случаях, связанных с дискриминацией по признакам вероисповедания, цвета кожи, национального или этнического происхождения.  Он документирует и контролирует различные виды и общие масштабы дискриминации.  Центр будет продолжать функционировать в своем нынешнем виде до тех пор, пока правительство не представит предложение по закону об этнической дискриминации, когда будет принято окончательное решение в отношении обязанностей и функций Центра.</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rPr>
          <w:i/>
          <w:iCs/>
        </w:rPr>
        <w:t>План действий по борьбе с расизмом и дискриминацией (2002-2006 годы)</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12.</w:t>
      </w:r>
      <w:r>
        <w:tab/>
        <w:t>1 июля 2002 года правительство подготовило новый План действий, охватывающий период 2002-2006 годов, основанный на предыдущем Плане действий и заключительном документе Всемирной конференции 2001 года по борьбе против расизма, расовой дискриминации, ксенофобии и связанной с ними нетерпимости.  Особое место в Плане уделяется трудовой деятельности, совершенствованию государственных служб, школам/образованию, полиции/органам преследования/судам, документации, Интернету, местным общинам и укреплению правовых гарантий против этнической дискриминации и проявлений расизма.  Кроме того, в Плане действий уделяется внимание дискриминации в отношении коренных народов, национальных меньшинств и иммигрантов.</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rPr>
          <w:b/>
          <w:bCs/>
        </w:rPr>
      </w:pPr>
      <w:r>
        <w:rPr>
          <w:b/>
          <w:bCs/>
        </w:rPr>
        <w:t>Пункт 3 руководящих принципов (сотрудничество в целях развития)</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13.</w:t>
      </w:r>
      <w:r>
        <w:tab/>
        <w:t>В 1999 году правительство представило свой План действий в области прав человека.  В нем подчеркивается связь между правами человека, развитием и сокращением нищеты (более подробная информация содержится в приложении 2, в частности в пункте 5.6).</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pPr>
      <w:r>
        <w:t>14.</w:t>
      </w:r>
      <w:r>
        <w:tab/>
        <w:t>Сотрудничество Норвегии в целях развития направлено на поощрение устойчивых улучшений в сферах экономической, социальной и политической жизни населения развивающихся стран.  Основное внимание уделяется наиболее неимущим членам общества и сокращению нищеты.  Сотрудничество в целях развития является одним из средств поощрения экономических, социальных и культурных прав за счет содействия увеличению доходов и благосостояния, а также росту уровня образования.  Финансируемое Норвегией сотрудничество в целях развития направлено на поддержку усилий по реализации Целей Организации Объединенных Наций в области развития на пороге тысячелетия.  Усилия Норвегии сосредоточены на шести основных приоритетных областях:  1)  социальное развитие,  2)  экономическое развитие,  3)  мир, демократия и права человека,  4)  окружающая среда и рациональное природопользование,  5)  гуманитарная помощь в случае конфликтов и стихийных бедствий, а также  6)  женщины и равенство мужчин и женщин.</w:t>
      </w:r>
    </w:p>
    <w:p w:rsidR="00000000" w:rsidRDefault="00000000">
      <w:pPr>
        <w:tabs>
          <w:tab w:val="clear" w:pos="1134"/>
          <w:tab w:val="clear" w:pos="6237"/>
          <w:tab w:val="left" w:pos="1470"/>
          <w:tab w:val="right" w:leader="dot" w:pos="7172"/>
          <w:tab w:val="center" w:pos="8039"/>
          <w:tab w:val="center" w:pos="9122"/>
        </w:tabs>
        <w:spacing w:line="240" w:lineRule="auto"/>
        <w:rPr>
          <w:sz w:val="20"/>
        </w:rPr>
      </w:pPr>
    </w:p>
    <w:p w:rsidR="00000000" w:rsidRDefault="00000000">
      <w:pPr>
        <w:tabs>
          <w:tab w:val="clear" w:pos="1134"/>
          <w:tab w:val="clear" w:pos="6237"/>
          <w:tab w:val="left" w:pos="1470"/>
          <w:tab w:val="right" w:leader="dot" w:pos="7172"/>
          <w:tab w:val="center" w:pos="8039"/>
          <w:tab w:val="center" w:pos="9122"/>
        </w:tabs>
      </w:pPr>
      <w:r>
        <w:t>15.</w:t>
      </w:r>
      <w:r>
        <w:tab/>
        <w:t xml:space="preserve">В 2002 году правительство предложило План действий по борьбе с нищетой в странах Юга на период до 2015 года.  В Плане действий особое внимание уделяется обеспечению того, чтобы права человека составляли неотъемлемую часть политики Норвегии в целях развития, а также поощрению прав слабых групп как в процессе осуществления двусторонней помощи на страновом уровне, так и на международных форумах.  Крайняя нищета является нарушением человеческого достоинства, и существует четкая взаимосвязь между сокращением нищеты и укреплением прав человека.  Реализация прав человека и развитие демократии являются областями, заслуживающими особого внимания.  Гражданские, политические, экономические, социальные и культурные права должны представлять собой одну из основных тем для диалога со странами, с которыми Норвегия поддерживает сотрудничество в интересах развития.  План действий прилагается к настоящему документу в качестве приложения 3.  </w:t>
      </w:r>
    </w:p>
    <w:p w:rsidR="00000000" w:rsidRDefault="00000000">
      <w:pPr>
        <w:tabs>
          <w:tab w:val="clear" w:pos="1134"/>
          <w:tab w:val="clear" w:pos="6237"/>
          <w:tab w:val="left" w:pos="1470"/>
          <w:tab w:val="right" w:leader="dot" w:pos="7172"/>
          <w:tab w:val="center" w:pos="8039"/>
          <w:tab w:val="center" w:pos="9122"/>
        </w:tabs>
        <w:spacing w:line="240" w:lineRule="auto"/>
        <w:rPr>
          <w:sz w:val="20"/>
        </w:rPr>
      </w:pPr>
    </w:p>
    <w:p w:rsidR="00000000" w:rsidRDefault="00000000">
      <w:pPr>
        <w:tabs>
          <w:tab w:val="clear" w:pos="1134"/>
          <w:tab w:val="clear" w:pos="6237"/>
          <w:tab w:val="left" w:pos="1470"/>
          <w:tab w:val="right" w:leader="dot" w:pos="7172"/>
          <w:tab w:val="center" w:pos="8039"/>
          <w:tab w:val="center" w:pos="9122"/>
        </w:tabs>
      </w:pPr>
      <w:r>
        <w:t>16.</w:t>
      </w:r>
      <w:r>
        <w:tab/>
        <w:t>Признавая взаимосвязь между поощрением социального развития и правами человека, Норвежское агентство по международному развитию (НОРАД) разработало прилагаемый справочник для оценки воздействия потенциальных программ в области развития на права человека (приложение 4).</w:t>
      </w:r>
    </w:p>
    <w:p w:rsidR="00000000" w:rsidRDefault="00000000">
      <w:pPr>
        <w:tabs>
          <w:tab w:val="clear" w:pos="1134"/>
          <w:tab w:val="clear" w:pos="6237"/>
          <w:tab w:val="left" w:pos="1470"/>
          <w:tab w:val="right" w:leader="dot" w:pos="7172"/>
          <w:tab w:val="center" w:pos="8039"/>
          <w:tab w:val="center" w:pos="9122"/>
        </w:tabs>
        <w:spacing w:line="240" w:lineRule="auto"/>
        <w:rPr>
          <w:sz w:val="20"/>
        </w:rPr>
      </w:pPr>
    </w:p>
    <w:p w:rsidR="00000000" w:rsidRDefault="00000000">
      <w:pPr>
        <w:tabs>
          <w:tab w:val="clear" w:pos="1134"/>
          <w:tab w:val="clear" w:pos="6237"/>
          <w:tab w:val="left" w:pos="1470"/>
          <w:tab w:val="right" w:leader="dot" w:pos="7172"/>
          <w:tab w:val="center" w:pos="8039"/>
          <w:tab w:val="center" w:pos="9122"/>
        </w:tabs>
      </w:pPr>
      <w:r>
        <w:t>17.</w:t>
      </w:r>
      <w:r>
        <w:tab/>
        <w:t>Приоритетными группами в финансируемых Норвегией программах и проектах в целях развития являются дети, женщины, инвалиды, меньшинства и коренные народы.  Обязательства в области прав человека составляют основу для дискуссий со странами - партнерами Норвегии в целях укрепления их потенциала по защите и поощрению прав человека.  Таким образом, основным справочным документом для определения конкретных областей, требующих особого внимания в рамках двустороннего сотрудничества, является Международный пакт об экономических, социальных и культурных правах.</w:t>
      </w:r>
    </w:p>
    <w:p w:rsidR="00000000" w:rsidRDefault="00000000">
      <w:pPr>
        <w:tabs>
          <w:tab w:val="clear" w:pos="1134"/>
          <w:tab w:val="clear" w:pos="6237"/>
          <w:tab w:val="left" w:pos="1470"/>
          <w:tab w:val="right" w:leader="dot" w:pos="7172"/>
          <w:tab w:val="center" w:pos="8039"/>
          <w:tab w:val="center" w:pos="9122"/>
        </w:tabs>
        <w:spacing w:line="240" w:lineRule="auto"/>
        <w:rPr>
          <w:sz w:val="20"/>
        </w:rPr>
      </w:pPr>
    </w:p>
    <w:p w:rsidR="00000000" w:rsidRDefault="00000000">
      <w:pPr>
        <w:tabs>
          <w:tab w:val="clear" w:pos="1134"/>
          <w:tab w:val="clear" w:pos="6237"/>
          <w:tab w:val="left" w:pos="1470"/>
          <w:tab w:val="right" w:leader="dot" w:pos="7172"/>
          <w:tab w:val="center" w:pos="8039"/>
          <w:tab w:val="center" w:pos="9122"/>
        </w:tabs>
      </w:pPr>
      <w:r>
        <w:t>18.</w:t>
      </w:r>
      <w:r>
        <w:tab/>
        <w:t>Норвегия стремится к тому, чтобы объем оказываемой ею многосторонней и двусторонней помощи являлся приблизительно одинаковым.  В 2002 году многосторонняя помощь составила 45,8% от общего объема сотрудничества в целях развития (31,5% - общая многосторонняя помощь и 14,3% - смешанная многосторонняя и двусторонняя помощь - т.е. помощь, предназначенная для проектов и программ, которые осуществляются под управлением многосторонних организаций).  На долю двусторонней помощи пришлось 49,6%, причем административные расходы составили 4,7% от всего бюджета.</w:t>
      </w:r>
    </w:p>
    <w:p w:rsidR="00000000" w:rsidRDefault="00000000">
      <w:pPr>
        <w:tabs>
          <w:tab w:val="clear" w:pos="1134"/>
          <w:tab w:val="clear" w:pos="6237"/>
          <w:tab w:val="left" w:pos="1470"/>
          <w:tab w:val="right" w:leader="dot" w:pos="7172"/>
          <w:tab w:val="center" w:pos="8039"/>
          <w:tab w:val="center" w:pos="9122"/>
        </w:tabs>
      </w:pPr>
      <w:r>
        <w:t>19.</w:t>
      </w:r>
      <w:r>
        <w:tab/>
        <w:t>В рамках двустороннего сотрудничества Норвегии в целях развития оказание поддержки правам человека, демократии и благому управлению увеличилось с 1 235 млн. норвежских крон в 2000 году до 1 643 млн. норвежских крон в 2002 году.  На ее долю приходилось 16,1% всего объема двусторонней помощи Норвегии в 2000 году, и этот показатель увеличился до 18,5% в 2002 году.</w:t>
      </w:r>
    </w:p>
    <w:p w:rsidR="00000000" w:rsidRDefault="00000000">
      <w:pPr>
        <w:tabs>
          <w:tab w:val="clear" w:pos="1134"/>
          <w:tab w:val="clear" w:pos="6237"/>
          <w:tab w:val="left" w:pos="1470"/>
          <w:tab w:val="right" w:leader="dot" w:pos="7172"/>
          <w:tab w:val="center" w:pos="8039"/>
          <w:tab w:val="center" w:pos="9122"/>
        </w:tabs>
      </w:pPr>
    </w:p>
    <w:p w:rsidR="00000000" w:rsidRDefault="00000000">
      <w:pPr>
        <w:tabs>
          <w:tab w:val="clear" w:pos="1134"/>
          <w:tab w:val="clear" w:pos="6237"/>
          <w:tab w:val="left" w:pos="1470"/>
          <w:tab w:val="right" w:leader="dot" w:pos="7172"/>
          <w:tab w:val="center" w:pos="8039"/>
          <w:tab w:val="center" w:pos="9122"/>
        </w:tabs>
        <w:jc w:val="center"/>
      </w:pPr>
      <w:r>
        <w:rPr>
          <w:b/>
          <w:bCs/>
        </w:rPr>
        <w:t>В.</w:t>
      </w:r>
      <w:r>
        <w:rPr>
          <w:b/>
          <w:bCs/>
        </w:rPr>
        <w:tab/>
        <w:t>РАЗДЕЛ ДОКЛАДА, КАСАЮЩИЙСЯ КОНКРЕТНЫХ ПРАВ</w:t>
      </w:r>
    </w:p>
    <w:p w:rsidR="00000000" w:rsidRDefault="00000000"/>
    <w:p w:rsidR="00000000" w:rsidRDefault="00000000">
      <w:pPr>
        <w:jc w:val="center"/>
        <w:rPr>
          <w:b/>
          <w:bCs/>
        </w:rPr>
      </w:pPr>
      <w:r>
        <w:rPr>
          <w:b/>
          <w:bCs/>
        </w:rPr>
        <w:t>Статья 6.  Право на труд</w:t>
      </w:r>
    </w:p>
    <w:p w:rsidR="00000000" w:rsidRDefault="00000000">
      <w:pPr>
        <w:jc w:val="center"/>
        <w:rPr>
          <w:b/>
          <w:bCs/>
        </w:rPr>
      </w:pPr>
    </w:p>
    <w:p w:rsidR="00000000" w:rsidRDefault="00000000">
      <w:pPr>
        <w:rPr>
          <w:b/>
          <w:bCs/>
        </w:rPr>
      </w:pPr>
      <w:r>
        <w:rPr>
          <w:b/>
          <w:bCs/>
        </w:rPr>
        <w:t>Пункт 2 руководящих принципов (информация о занятости)</w:t>
      </w:r>
    </w:p>
    <w:p w:rsidR="00000000" w:rsidRDefault="00000000"/>
    <w:p w:rsidR="00000000" w:rsidRDefault="00000000">
      <w:r>
        <w:rPr>
          <w:i/>
          <w:iCs/>
        </w:rPr>
        <w:t>Положение в области занятости, безработица и неполная занятость, уровни и тенденции</w:t>
      </w:r>
    </w:p>
    <w:p w:rsidR="00000000" w:rsidRDefault="00000000"/>
    <w:p w:rsidR="00000000" w:rsidRDefault="00000000">
      <w:r>
        <w:t>20.</w:t>
      </w:r>
      <w:r>
        <w:tab/>
        <w:t>Информация по данному вопросу содержится в докладе, представленном в сентябре 2002 года, который охватывает 1995-2001 годы и был представлен в соответствии с Конвенцией МОТ № 122, о политике в области занятости (приложение 5).  Норвегия не получила каких-либо замечаний от Комитета экспертов МОТ в отношении своей политики занятости.  Основные моменты и дополнительная информация за 2002 год приведены в настоящем докладе (см. также прилагаемую таблицу (приложение 6), которая была обновлена в 2002 году).</w:t>
      </w:r>
    </w:p>
    <w:p w:rsidR="00000000" w:rsidRDefault="00000000"/>
    <w:p w:rsidR="00000000" w:rsidRDefault="00000000">
      <w:r>
        <w:t>21.</w:t>
      </w:r>
      <w:r>
        <w:tab/>
        <w:t>В Норвегии зарегистрирован один из самых высоких уровней занятости и самых низких уровней безработицы в регионе ОЭСР.  Однако в то же время возросшее количество инвалидов, увеличение случаев раннего выхода на пенсию по старости и периодов отсутствия работников на рабочих местах по причине заболеваний оказали свое воздействие на снижение показателя участия на рынке труда (для сравнения см. пункт 1 вышеупомянутого доклада).</w:t>
      </w:r>
    </w:p>
    <w:p w:rsidR="00000000" w:rsidRDefault="00000000"/>
    <w:p w:rsidR="00000000" w:rsidRDefault="00000000">
      <w:r>
        <w:t>22.</w:t>
      </w:r>
      <w:r>
        <w:tab/>
        <w:t xml:space="preserve">Положение на рынке труда различных групп населения описано в пунктах 2 и 3 указанного доклада.  Региональные различия в области занятости являются относительно небольшими и менее заметными, чем прежде.  В приложении 7 содержится разбивка безработицы по губерниям.  </w:t>
      </w:r>
    </w:p>
    <w:p w:rsidR="00000000" w:rsidRDefault="00000000"/>
    <w:p w:rsidR="00000000" w:rsidRDefault="00000000">
      <w:r>
        <w:t>23.</w:t>
      </w:r>
      <w:r>
        <w:tab/>
        <w:t xml:space="preserve">В Норвегии зарегистрирован высокий уровень участия на рынке труда, который только на 9% выше для мужчин, чем для женщин.  Уровень участия пожилого населения за отмеченный период несколько сократился, однако все еще является высоким по сравнению с другими европейскими странами.  В последние годы возросло количество трудящихся с профессиональными заболеваниями, и отчасти это объясняется тем фактом, что власти уделяют большое внимание усилиям по реабилитации трудящихся, прежде чем рассматривать их в качестве кандидатов на получение пенсии по инвалидности.  Положение иммигрантов, среди которых насчитывается больше безработных, чем среди этнических норвежцев, более подробно описано в отдельном пункте настоящего доклада.  </w:t>
      </w:r>
    </w:p>
    <w:p w:rsidR="00000000" w:rsidRDefault="00000000"/>
    <w:p w:rsidR="00000000" w:rsidRDefault="00000000">
      <w:r>
        <w:t>24.</w:t>
      </w:r>
      <w:r>
        <w:tab/>
        <w:t>Снизившись до 3,2% в 1998 году, уровень безработицы возрос до 3,9% в 2002 году.  Статистическое управление Норвегии ожидает продолжение роста безработицы.  Эта тенденция обусловлена внутренними факторами, значительным ростом реальной заработной платы и высоким обменным курсом норвежской кроны, который ослабляет норвежские предприятия, подвергающиеся международной конкуренции, а также снижением темпов международного экономического развития.</w:t>
      </w:r>
    </w:p>
    <w:p w:rsidR="00000000" w:rsidRDefault="00000000"/>
    <w:p w:rsidR="00000000" w:rsidRDefault="00000000">
      <w:r>
        <w:t>25.</w:t>
      </w:r>
      <w:r>
        <w:tab/>
        <w:t>Рост безработицы затрагивает трудящихся с высшим образованием в большей степени, чем прежде.  Этот фактор в сочетании с растущей безработицей в секторе строительства привел к несколько более высокому увеличению безработицы среди мужчин, чем среди женщин.  За последние два года наивысший рост безработицы наблюдался в возрастной группе 25-49 лет.</w:t>
      </w:r>
    </w:p>
    <w:p w:rsidR="00000000" w:rsidRDefault="00000000"/>
    <w:p w:rsidR="00000000" w:rsidRDefault="00000000">
      <w:r>
        <w:t>26.</w:t>
      </w:r>
      <w:r>
        <w:tab/>
        <w:t>Рынок труда был затронут сокращением спроса на рабочую силу.  Этот фактор в сочетании с сокращением уровня мер, принимаемых на рынке труда, привел к увеличению доли трудящихся, являющихся безработными в течение длительных сроков.  За последние несколько лет безработица среди иммигрантов возрастала такими же темпами, как и обычная безработица.  Сегодня каждый шестой безработный является иммигрантом.  В конце 2002 года было зарегистрировано 76 200 ищущих работу лиц, имеющих профессиональные заболевания (3,1% в составе рабочей силы).  За последние несколько лет количество лиц, имеющих профессиональные заболевания, в значительно большей степени возросло среди женщин, чем среди мужчин.</w:t>
      </w:r>
    </w:p>
    <w:p w:rsidR="00000000" w:rsidRDefault="00000000"/>
    <w:p w:rsidR="00000000" w:rsidRDefault="00000000">
      <w:pPr>
        <w:rPr>
          <w:i/>
          <w:iCs/>
        </w:rPr>
      </w:pPr>
      <w:r>
        <w:rPr>
          <w:i/>
          <w:iCs/>
        </w:rPr>
        <w:t>Основные аспекты политики и программ, касающихся рынка труда</w:t>
      </w:r>
    </w:p>
    <w:p w:rsidR="00000000" w:rsidRDefault="00000000">
      <w:pPr>
        <w:rPr>
          <w:i/>
          <w:iCs/>
        </w:rPr>
      </w:pPr>
    </w:p>
    <w:p w:rsidR="00000000" w:rsidRDefault="00000000">
      <w:r>
        <w:t>27.</w:t>
      </w:r>
      <w:r>
        <w:tab/>
        <w:t>Целью политики, касающейся рынка труда, является поощрение такого рынка труда, который являлся бы как можно более безопасным, всеохватным и саморегулируемым.  Она направлена на содействие обеспечению того, чтобы всем группам была предоставлена возможность в полном объеме заниматься приносящей удовлетворение трудовой деятельностью.</w:t>
      </w:r>
    </w:p>
    <w:p w:rsidR="00000000" w:rsidRDefault="00000000"/>
    <w:p w:rsidR="00000000" w:rsidRDefault="00000000">
      <w:r>
        <w:t>28.</w:t>
      </w:r>
      <w:r>
        <w:tab/>
        <w:t>Правительство придает приоритетное значение модернизации государственного сектора.  Основное внимание уделяется ориентации на потребителя, рационализации и упрощению, а также расширению свободы действий для местных подразделений.  Этот процесс модернизации рассматривается в совокупности с оптимальным использованием рабочей силы и направлен на поощрение ее использования.  Обеспечение того, чтобы рабочая сила использовалась правильно и чтобы как можно больше людей могло участвовать на рынке труда, имеет решающее значение для формирования ценностей как в государственном, так и в частном секторе.</w:t>
      </w:r>
    </w:p>
    <w:p w:rsidR="00000000" w:rsidRDefault="00000000"/>
    <w:p w:rsidR="00000000" w:rsidRDefault="00000000">
      <w:r>
        <w:t>29.</w:t>
      </w:r>
      <w:r>
        <w:tab/>
        <w:t>Активная политика на рынке труда по</w:t>
      </w:r>
      <w:r>
        <w:noBreakHyphen/>
        <w:t>прежнему играет центральную роль и является важным механизмом для обеспечения плодотворной трудовой деятельности с высоким уровнем занятости и низкой безработицей.  Стратегия, проводимая Норвежской государственной службой занятости ("</w:t>
      </w:r>
      <w:r>
        <w:rPr>
          <w:lang w:val="en-US"/>
        </w:rPr>
        <w:t>Aetat</w:t>
      </w:r>
      <w:r>
        <w:t>") и направленная на сохранение контактов с отдельными безработными трудящимися, напоминает своего рода лестницу, первой ступенькой которой являются индивидуальные усилия трудящегося, направленные на поиск работы.  Системы самообслуживания "</w:t>
      </w:r>
      <w:r>
        <w:rPr>
          <w:lang w:val="en-US"/>
        </w:rPr>
        <w:t>Aetat</w:t>
      </w:r>
      <w:r>
        <w:t>" являются доступными в Интернете (</w:t>
      </w:r>
      <w:hyperlink r:id="rId9" w:history="1">
        <w:r>
          <w:rPr>
            <w:rStyle w:val="Hyperlink"/>
            <w:u w:val="none"/>
            <w:lang w:val="en-US"/>
          </w:rPr>
          <w:t>www</w:t>
        </w:r>
        <w:r>
          <w:rPr>
            <w:rStyle w:val="Hyperlink"/>
            <w:u w:val="none"/>
          </w:rPr>
          <w:t>.</w:t>
        </w:r>
        <w:r>
          <w:rPr>
            <w:rStyle w:val="Hyperlink"/>
            <w:u w:val="none"/>
            <w:lang w:val="en-US"/>
          </w:rPr>
          <w:t>aetat</w:t>
        </w:r>
        <w:r>
          <w:rPr>
            <w:rStyle w:val="Hyperlink"/>
            <w:u w:val="none"/>
          </w:rPr>
          <w:t>.</w:t>
        </w:r>
        <w:r>
          <w:rPr>
            <w:rStyle w:val="Hyperlink"/>
            <w:u w:val="none"/>
            <w:lang w:val="en-US"/>
          </w:rPr>
          <w:t>no</w:t>
        </w:r>
      </w:hyperlink>
      <w:r>
        <w:t>).  Следующая ступень включает персональный контроль за усилиями каждого конкретного лица, ищущего работу.  Большое внимание уделяется обеспечению того, чтобы ищущие работу лица действительно активно занимались поиском работы.  Третья ступень предусматривает предложение программ, касающихся рынка труда, рассчитанных в первую очередь на лиц, являющихся безработными в течение длительных сроков, с тем чтобы позволить им получить ту или иную квалификацию или трудовой опыт.  Показатели использования различных программ, касающихся рынка труда, предназначенных как для обычных ищущих работу лиц, так и для лиц с профессиональными заболеваниями, отражены в таблице, которая содержится в пункте 3 доклада, представленного в соответствии с Конвенцией МОТ № 122.  С 2002 года структура программ почти не изменилась, о чем свидетельствуют данные, приведенные ниже.  Приложение 8 содержит обзор уровня и видов программ в соответствии с текущими статистическими методами.</w:t>
      </w:r>
    </w:p>
    <w:p w:rsidR="00000000" w:rsidRDefault="00000000"/>
    <w:p w:rsidR="00000000" w:rsidRDefault="00000000">
      <w:r>
        <w:t>30.</w:t>
      </w:r>
      <w:r>
        <w:tab/>
        <w:t>Молодежь, лица, являющиеся безработными в течение длительных сроков, и иммигранты пользуются преимуществом в отношении использования мер, предназначенных для обычных лиц.  Сотрудничество с администрацией школ в области оказания содействия молодым людям, выбывшим из системы школьного образования, помогло удержать уровень безработицы среди молодежи в возрасте до 20 лет на низком уровне.  Программами рынка труда охвачена более высокая доля иммигрантов, чем их доля от общего числа зарегистрированных безработных.  Проведенные Статистическим управлением Норвегии обследования показывают, что 43% из числа тех, кто завершил программы рынка труда (по состоянию на апрель 2001 года), спустя шесть месяцев смогли трудоустроиться.</w:t>
      </w:r>
    </w:p>
    <w:p w:rsidR="00000000" w:rsidRDefault="00000000"/>
    <w:p w:rsidR="00000000" w:rsidRDefault="00000000">
      <w:r>
        <w:t>31.</w:t>
      </w:r>
      <w:r>
        <w:tab/>
        <w:t>Приблизительно две трети лиц с профессиональными заболеваниями участвовали в программах рынка труда.  Уровень их участия в таких программах был несколько ниже в 2002 году отчасти из-за большого числа новых участников.  После завершения реабилитационных программ почти половина из них возвращается к трудовой деятельности.  Значительная часть ищущих работу лиц с профессиональными заболеваниями имеет право на получение пособий в период профессиональной реабилитации и участия в программах рынка труда (см. приложение 25, глава 7).</w:t>
      </w:r>
    </w:p>
    <w:p w:rsidR="00000000" w:rsidRDefault="00000000"/>
    <w:p w:rsidR="00000000" w:rsidRDefault="00000000">
      <w:r>
        <w:t>32.</w:t>
      </w:r>
      <w:r>
        <w:tab/>
        <w:t>Начиная с 2002 года для программ рынка труда была введена новая структура, которая предусматривает меньше видов различных мер.  Услуги, предлагаемые каждому желающему получить работу, в настоящее время основаны на индивидуальной оценке, серии программ и целостном подходе.  Каждая программа нацелена на широкую группу, включающую как лиц с профессиональными заболеваниями, так и обычных желающих найти работу.  Лицам с профессиональными заболеваниями могут быть предложены программы, рассчитанные на более длительные периоды времени, а также более высокие пособия.  Определенные виды программ, включая программы в охраняемом секторе, по</w:t>
      </w:r>
      <w:r>
        <w:noBreakHyphen/>
        <w:t>прежнему зарезервированы за лицами с профессиональными заболеваниями.</w:t>
      </w:r>
    </w:p>
    <w:p w:rsidR="00000000" w:rsidRDefault="00000000"/>
    <w:p w:rsidR="00000000" w:rsidRDefault="00000000">
      <w:r>
        <w:t>33.</w:t>
      </w:r>
      <w:r>
        <w:tab/>
        <w:t>Новая структура включает в себя пять основных категорий программ:  субсидии, стимулирующие занятость, выплачиваемые работодателям;  программы профессионального обучения;  программы приобретения квалификации (предлагаемые на рынке труда курсы);  временная занятость и работа, постоянно адаптируемая к конкретным потребностям.</w:t>
      </w:r>
    </w:p>
    <w:p w:rsidR="00000000" w:rsidRDefault="00000000"/>
    <w:p w:rsidR="00000000" w:rsidRDefault="00000000">
      <w:r>
        <w:t>34.</w:t>
      </w:r>
      <w:r>
        <w:tab/>
        <w:t>Основная функция "</w:t>
      </w:r>
      <w:r>
        <w:rPr>
          <w:lang w:val="en-US"/>
        </w:rPr>
        <w:t>Aetat</w:t>
      </w:r>
      <w:r>
        <w:t>" состоит в том, чтобы предоставить лицам, ищущим работу, необходимую квалификацию, а также помочь им найти работу посредством личного контакта и организованных программ рынка труда.  Эта Служба должна обеспечивать, чтобы пособия по безработице и пособия по реабилитации выплачивались быстро и правильно.  В Закон о трудоустройстве были внесены поправки, вступившие в силу с 1 июля 2002 года, согласно которым были расширены полномочия "</w:t>
      </w:r>
      <w:r>
        <w:rPr>
          <w:lang w:val="en-US"/>
        </w:rPr>
        <w:t>Aetat</w:t>
      </w:r>
      <w:r>
        <w:t>" по делегированию и децентрализации своих функций, с тем чтобы наиболее оптимальным образом удовлетворять потребности потребителей и рынка.</w:t>
      </w:r>
    </w:p>
    <w:p w:rsidR="00000000" w:rsidRDefault="00000000"/>
    <w:p w:rsidR="00000000" w:rsidRDefault="00000000">
      <w:r>
        <w:t>35.</w:t>
      </w:r>
      <w:r>
        <w:tab/>
        <w:t>В целях разработки стимулов для активизации трудовой деятельности и более эффективного использования ресурсов, а также для улучшения качества услуг в некоторых сферах политики, касающейся рынка труда, осуществляются экспериментальные проекты с целью проверки на практике механизмов финансирования, основанных на конкретной деятельности и на конечном результате.</w:t>
      </w:r>
    </w:p>
    <w:p w:rsidR="00000000" w:rsidRDefault="00000000"/>
    <w:p w:rsidR="00000000" w:rsidRDefault="00000000">
      <w:r>
        <w:t>36.</w:t>
      </w:r>
      <w:r>
        <w:tab/>
        <w:t>В докладе Норвегии о выполнении Рекомендации МОТ № 169, касающейся политики занятости, который был представлен осенью 2002 года, содержится более полная информация, касающаяся экспериментов с новыми формами финансирования (данная информация содержится в приложении 9).  Кроме того, планируется введение бонуса в виде увеличения административных ресурсов для местных отделений "</w:t>
      </w:r>
      <w:r>
        <w:rPr>
          <w:lang w:val="en-US"/>
        </w:rPr>
        <w:t>Aetat</w:t>
      </w:r>
      <w:r>
        <w:t>" за быстрое и точное распределение пособий по безработице и более эффективное использование ресурсов, которое превышает действующие требования.</w:t>
      </w:r>
    </w:p>
    <w:p w:rsidR="00000000" w:rsidRDefault="00000000"/>
    <w:p w:rsidR="00000000" w:rsidRDefault="00000000">
      <w:r>
        <w:t>37.</w:t>
      </w:r>
      <w:r>
        <w:tab/>
        <w:t>Для сокращения отсутствий по болезни и преждевременного ухода на пенсию с рынка труда осенью 2001 года правительство подписало рассчитанное на четыре года трехстороннее соглашение с социальными партнерами, касающееся более всеохватной трудовой деятельности (соответствующая информация содержится в пункте 6 приложения 5).</w:t>
      </w:r>
    </w:p>
    <w:p w:rsidR="00000000" w:rsidRDefault="00000000"/>
    <w:p w:rsidR="00000000" w:rsidRDefault="00000000">
      <w:pPr>
        <w:rPr>
          <w:i/>
          <w:iCs/>
        </w:rPr>
      </w:pPr>
      <w:r>
        <w:rPr>
          <w:i/>
          <w:iCs/>
        </w:rPr>
        <w:t>Свобода выбора работы и условия труда</w:t>
      </w:r>
    </w:p>
    <w:p w:rsidR="00000000" w:rsidRDefault="00000000">
      <w:pPr>
        <w:rPr>
          <w:i/>
          <w:iCs/>
        </w:rPr>
      </w:pPr>
    </w:p>
    <w:p w:rsidR="00000000" w:rsidRDefault="00000000">
      <w:r>
        <w:t>38.</w:t>
      </w:r>
      <w:r>
        <w:tab/>
        <w:t>Предлагается обратить внимание на приведенную выше информацию о том, что правительство уделяет большое значение созданию благоприятных условий для трудовой деятельности, при которой всем группам предоставляется возможность в полном объеме заниматься приносящей удовлетворение трудовой деятельностью.</w:t>
      </w:r>
    </w:p>
    <w:p w:rsidR="00000000" w:rsidRDefault="00000000"/>
    <w:p w:rsidR="00000000" w:rsidRDefault="00000000">
      <w:pPr>
        <w:rPr>
          <w:i/>
          <w:iCs/>
        </w:rPr>
      </w:pPr>
      <w:r>
        <w:rPr>
          <w:i/>
          <w:iCs/>
        </w:rPr>
        <w:t>Курсы, предлагаемые на рынке труда</w:t>
      </w:r>
    </w:p>
    <w:p w:rsidR="00000000" w:rsidRDefault="00000000">
      <w:pPr>
        <w:rPr>
          <w:i/>
          <w:iCs/>
        </w:rPr>
      </w:pPr>
    </w:p>
    <w:p w:rsidR="00000000" w:rsidRDefault="00000000">
      <w:r>
        <w:t>39.</w:t>
      </w:r>
      <w:r>
        <w:tab/>
        <w:t>Предлагается обратить внимание на вышеприведенные пункты, в которых сообщается о существующих на рынке труда курсах в качестве одной или нескольких программ рынка труда для безработных лиц и лиц с профессиональными заболеваниями.  Подобные курсы, которые находятся в ведении органов, занимающихся вопросами рынка труда, служат дополнением к профессиональной подготовке, за которую отвечают органы системы образования.</w:t>
      </w:r>
    </w:p>
    <w:p w:rsidR="00000000" w:rsidRDefault="00000000"/>
    <w:p w:rsidR="00000000" w:rsidRDefault="00000000">
      <w:r>
        <w:t>40.</w:t>
      </w:r>
      <w:r>
        <w:tab/>
        <w:t>Существующие на рынке труда курсы имеют краткую продолжительность и ориентированы на производства/профессии, в которых ощущается потребность в рабочей силе.  Такой вид квалификационной программы направлен на улучшение возможностей безработного в поисках работы.  Связанные с рынком труда органы финансируют программу подготовки и определяют, кто из кандидатов подходит для прохождения курсов.  Вместе с тем они не организуют курсы самостоятельно, а приобретают их у государственных школ или у тех, кто предлагает частные курсы.</w:t>
      </w:r>
    </w:p>
    <w:p w:rsidR="00000000" w:rsidRDefault="00000000"/>
    <w:p w:rsidR="00000000" w:rsidRDefault="00000000">
      <w:pPr>
        <w:rPr>
          <w:i/>
          <w:iCs/>
        </w:rPr>
      </w:pPr>
      <w:r>
        <w:rPr>
          <w:i/>
          <w:iCs/>
        </w:rPr>
        <w:br w:type="page"/>
        <w:t>Задачи политики рынка труда</w:t>
      </w:r>
    </w:p>
    <w:p w:rsidR="00000000" w:rsidRDefault="00000000">
      <w:pPr>
        <w:rPr>
          <w:i/>
          <w:iCs/>
        </w:rPr>
      </w:pPr>
    </w:p>
    <w:p w:rsidR="00000000" w:rsidRDefault="00000000">
      <w:r>
        <w:t>41.</w:t>
      </w:r>
      <w:r>
        <w:tab/>
        <w:t xml:space="preserve">Цель политики рынка труда состоит в поощрении такого рынка труда, который являлся бы как можно более безопасным, всеохватным и </w:t>
      </w:r>
      <w:proofErr w:type="spellStart"/>
      <w:r>
        <w:t>саморегулируемым</w:t>
      </w:r>
      <w:proofErr w:type="spellEnd"/>
      <w:r>
        <w:t>.  Службы "</w:t>
      </w:r>
      <w:proofErr w:type="spellStart"/>
      <w:r>
        <w:rPr>
          <w:lang w:val="en-US"/>
        </w:rPr>
        <w:t>Aetat</w:t>
      </w:r>
      <w:proofErr w:type="spellEnd"/>
      <w:r>
        <w:t>", обеспечивающие информацию и последующие консультативные услуги для желающих получить работу, а также осуществление программ, касающихся рынка труда, уделяют особое внимание тем областям, где возникают особые проблемы.  Более подробная информация содержится в приложении 5, а также в пункте 20 и последующих пунктах выше.</w:t>
      </w:r>
    </w:p>
    <w:p w:rsidR="00000000" w:rsidRDefault="00000000"/>
    <w:p w:rsidR="00000000" w:rsidRDefault="00000000">
      <w:pPr>
        <w:rPr>
          <w:b/>
          <w:bCs/>
        </w:rPr>
      </w:pPr>
      <w:r>
        <w:rPr>
          <w:b/>
          <w:bCs/>
        </w:rPr>
        <w:t>Пункт 3 руководящих принципов (дискриминация)</w:t>
      </w:r>
    </w:p>
    <w:p w:rsidR="00000000" w:rsidRDefault="00000000"/>
    <w:p w:rsidR="00000000" w:rsidRDefault="00000000">
      <w:r>
        <w:t>42.</w:t>
      </w:r>
      <w:r>
        <w:tab/>
        <w:t>В целях недопущения дискриминации трудящихся был представлен проект закона о равноправии в сфере труда.  В нем предложен общий запрет на различия в обращении по признакам пола, религии или убеждений, цвета кожи, национального или этнического происхождения, политических взглядов, членства в организациях трудящихся, сексуальной ориентации, инвалидности или возраста.  Этот запрет распространяется также на прямые или скрытые различия в обращении, на домогательства и поощрение различий в обращении.  Кроме того, он будет применяться в отношении всех аспектов трудовых отношений, начиная от объявления вакансии и кончая завершением таких отношений.</w:t>
      </w:r>
    </w:p>
    <w:p w:rsidR="00000000" w:rsidRDefault="00000000"/>
    <w:p w:rsidR="00000000" w:rsidRDefault="00000000">
      <w:r>
        <w:t>43.</w:t>
      </w:r>
      <w:r>
        <w:tab/>
        <w:t>Описание положения на рынке труда содержится в докладе Норвегии о выполнении Конвенции МОТ № 122 (приложение 5) и в шестнадцатом докладе Норвегии об осуществлении Конвенции Организации Объединенных Наций о ликвидации всех форм расовой дискриминации, особенно в пункте 133 и последующих пунктах.</w:t>
      </w:r>
    </w:p>
    <w:p w:rsidR="00000000" w:rsidRDefault="00000000"/>
    <w:p w:rsidR="00000000" w:rsidRDefault="00000000">
      <w:pPr>
        <w:rPr>
          <w:b/>
          <w:bCs/>
        </w:rPr>
      </w:pPr>
      <w:r>
        <w:rPr>
          <w:b/>
          <w:bCs/>
        </w:rPr>
        <w:t>Пункт 4 руководящих принципов (лица, имеющие более чем одну работу на полную ставку)</w:t>
      </w:r>
    </w:p>
    <w:p w:rsidR="00000000" w:rsidRDefault="00000000"/>
    <w:p w:rsidR="00000000" w:rsidRDefault="00000000">
      <w:r>
        <w:t>44.</w:t>
      </w:r>
      <w:r>
        <w:tab/>
        <w:t>Не существует оснований полагать, что лица, имеющие более чем одну работу на полную ставку, делают это для того, чтобы обеспечить достаточный жизненный уровень для себя и своих семей.</w:t>
      </w:r>
    </w:p>
    <w:p w:rsidR="00000000" w:rsidRDefault="00000000"/>
    <w:p w:rsidR="00000000" w:rsidRDefault="00000000">
      <w:pPr>
        <w:rPr>
          <w:b/>
          <w:bCs/>
        </w:rPr>
      </w:pPr>
      <w:r>
        <w:rPr>
          <w:b/>
          <w:bCs/>
        </w:rPr>
        <w:t>Пункт 5 руководящих принципов (изменения, происшедшие со времени представления предыдущего доклада)</w:t>
      </w:r>
    </w:p>
    <w:p w:rsidR="00000000" w:rsidRDefault="00000000"/>
    <w:p w:rsidR="00000000" w:rsidRDefault="00000000">
      <w:r>
        <w:t>45.</w:t>
      </w:r>
      <w:r>
        <w:tab/>
        <w:t>Рекомендуется обратить внимание на предыдущие пункты.</w:t>
      </w:r>
    </w:p>
    <w:p w:rsidR="00000000" w:rsidRDefault="00000000"/>
    <w:p w:rsidR="00000000" w:rsidRDefault="00000000">
      <w:pPr>
        <w:jc w:val="center"/>
        <w:rPr>
          <w:b/>
          <w:bCs/>
        </w:rPr>
      </w:pPr>
      <w:r>
        <w:rPr>
          <w:b/>
          <w:bCs/>
        </w:rPr>
        <w:t>Статья 7.</w:t>
      </w:r>
      <w:r>
        <w:rPr>
          <w:b/>
          <w:bCs/>
        </w:rPr>
        <w:tab/>
        <w:t>Справедливые и благоприятные условия труда</w:t>
      </w:r>
    </w:p>
    <w:p w:rsidR="00000000" w:rsidRDefault="00000000">
      <w:pPr>
        <w:rPr>
          <w:b/>
          <w:bCs/>
        </w:rPr>
      </w:pPr>
    </w:p>
    <w:p w:rsidR="00000000" w:rsidRDefault="00000000">
      <w:r>
        <w:t>46.</w:t>
      </w:r>
      <w:r>
        <w:tab/>
        <w:t>Предлагается обратить внимание на доклады Норвегии о выполнении следующих соответствующий конвенций МОТ:</w:t>
      </w:r>
    </w:p>
    <w:p w:rsidR="00000000" w:rsidRDefault="00000000"/>
    <w:p w:rsidR="00000000" w:rsidRDefault="00000000">
      <w:pPr>
        <w:numPr>
          <w:ilvl w:val="0"/>
          <w:numId w:val="3"/>
        </w:numPr>
        <w:ind w:left="1122"/>
      </w:pPr>
      <w:r>
        <w:t>Конвенция об оплачиваемых отпусках (пересмотренная в 1970 году) (№ 132), доклад представлен в 2000 году (приложение 10);</w:t>
      </w:r>
    </w:p>
    <w:p w:rsidR="00000000" w:rsidRDefault="00000000">
      <w:pPr>
        <w:tabs>
          <w:tab w:val="clear" w:pos="567"/>
        </w:tabs>
      </w:pPr>
    </w:p>
    <w:p w:rsidR="00000000" w:rsidRDefault="00000000">
      <w:pPr>
        <w:numPr>
          <w:ilvl w:val="0"/>
          <w:numId w:val="3"/>
        </w:numPr>
        <w:ind w:left="1122"/>
      </w:pPr>
      <w:r>
        <w:t>Конвенция об инспекции труда 1947 года (№ 81), доклад представлен в 2001 году (приложение 11);</w:t>
      </w:r>
    </w:p>
    <w:p w:rsidR="00000000" w:rsidRDefault="00000000">
      <w:pPr>
        <w:tabs>
          <w:tab w:val="clear" w:pos="567"/>
        </w:tabs>
      </w:pPr>
    </w:p>
    <w:p w:rsidR="00000000" w:rsidRDefault="00000000">
      <w:pPr>
        <w:numPr>
          <w:ilvl w:val="0"/>
          <w:numId w:val="3"/>
        </w:numPr>
        <w:ind w:left="1122"/>
      </w:pPr>
      <w:r>
        <w:t>Конвенция об инспекции труда в сельском хозяйстве 1969 года (№ 129), доклад представлен в 2002 году (приложение 12);</w:t>
      </w:r>
    </w:p>
    <w:p w:rsidR="00000000" w:rsidRDefault="00000000">
      <w:pPr>
        <w:tabs>
          <w:tab w:val="clear" w:pos="567"/>
        </w:tabs>
      </w:pPr>
    </w:p>
    <w:p w:rsidR="00000000" w:rsidRDefault="00000000">
      <w:pPr>
        <w:numPr>
          <w:ilvl w:val="0"/>
          <w:numId w:val="3"/>
        </w:numPr>
        <w:ind w:left="1122"/>
      </w:pPr>
      <w:r>
        <w:t>Конвенция о безопасности и гигиене труда 1981 года (№ 155), доклад представлен в 1999 году (приложение 13);</w:t>
      </w:r>
    </w:p>
    <w:p w:rsidR="00000000" w:rsidRDefault="00000000">
      <w:pPr>
        <w:tabs>
          <w:tab w:val="clear" w:pos="567"/>
        </w:tabs>
      </w:pPr>
    </w:p>
    <w:p w:rsidR="00000000" w:rsidRDefault="00000000">
      <w:pPr>
        <w:numPr>
          <w:ilvl w:val="0"/>
          <w:numId w:val="3"/>
        </w:numPr>
        <w:ind w:left="1122"/>
      </w:pPr>
      <w:r>
        <w:t>Конвенция о равном вознаграждении 1951 года (№ 100), доклад представлен в 2002 году (приложение 14).</w:t>
      </w:r>
    </w:p>
    <w:p w:rsidR="00000000" w:rsidRDefault="00000000">
      <w:pPr>
        <w:tabs>
          <w:tab w:val="clear" w:pos="567"/>
        </w:tabs>
      </w:pPr>
    </w:p>
    <w:p w:rsidR="00000000" w:rsidRDefault="00000000">
      <w:r>
        <w:t>47.</w:t>
      </w:r>
      <w:r>
        <w:tab/>
        <w:t>Предлагается также обратить внимание на пункты 85-96 третьего периодического доклада Норвегии об осуществлении Международного пакта об экономических, социальных и культурных правах.</w:t>
      </w:r>
    </w:p>
    <w:p w:rsidR="00000000" w:rsidRDefault="00000000"/>
    <w:p w:rsidR="00000000" w:rsidRDefault="00000000">
      <w:pPr>
        <w:rPr>
          <w:b/>
          <w:bCs/>
        </w:rPr>
      </w:pPr>
      <w:r>
        <w:rPr>
          <w:b/>
          <w:bCs/>
        </w:rPr>
        <w:t>Пункт 2 руководящих принципов (определение размеров заработной платы)</w:t>
      </w:r>
    </w:p>
    <w:p w:rsidR="00000000" w:rsidRDefault="00000000"/>
    <w:p w:rsidR="00000000" w:rsidRDefault="00000000">
      <w:pPr>
        <w:rPr>
          <w:i/>
          <w:iCs/>
        </w:rPr>
      </w:pPr>
      <w:r>
        <w:rPr>
          <w:i/>
          <w:iCs/>
        </w:rPr>
        <w:t>Основные методы, используемые для определения размеров заработной платы, минимальная заработная плата и распределение доходов</w:t>
      </w:r>
    </w:p>
    <w:p w:rsidR="00000000" w:rsidRDefault="00000000">
      <w:pPr>
        <w:rPr>
          <w:i/>
          <w:iCs/>
        </w:rPr>
      </w:pPr>
    </w:p>
    <w:p w:rsidR="00000000" w:rsidRDefault="00000000">
      <w:r>
        <w:t>48.</w:t>
      </w:r>
      <w:r>
        <w:tab/>
        <w:t>Информация по данному вопросу содержится в третьем периодическом докладе Норвегии, пункты 86, 87 и 89.</w:t>
      </w:r>
    </w:p>
    <w:p w:rsidR="00000000" w:rsidRDefault="00000000"/>
    <w:p w:rsidR="00000000" w:rsidRDefault="00000000">
      <w:pPr>
        <w:rPr>
          <w:i/>
          <w:iCs/>
        </w:rPr>
      </w:pPr>
      <w:r>
        <w:rPr>
          <w:i/>
          <w:iCs/>
        </w:rPr>
        <w:t>Равное вознаграждение за труд равной ценности</w:t>
      </w:r>
    </w:p>
    <w:p w:rsidR="00000000" w:rsidRDefault="00000000">
      <w:pPr>
        <w:rPr>
          <w:i/>
          <w:iCs/>
        </w:rPr>
      </w:pPr>
    </w:p>
    <w:p w:rsidR="00000000" w:rsidRDefault="00000000">
      <w:r>
        <w:t>49.</w:t>
      </w:r>
      <w:r>
        <w:tab/>
        <w:t>Информация по данному вопросу содержится в пунктах 223 и 226 Заключительных замечаний, принятых Комитетом по итогам рассмотрения третьего периодического доклада Норвегии (</w:t>
      </w:r>
      <w:proofErr w:type="spellStart"/>
      <w:r>
        <w:t>Е</w:t>
      </w:r>
      <w:proofErr w:type="spellEnd"/>
      <w:r>
        <w:t>/С.12/1995/18).</w:t>
      </w:r>
    </w:p>
    <w:p w:rsidR="00000000" w:rsidRDefault="00000000"/>
    <w:p w:rsidR="00000000" w:rsidRDefault="00000000">
      <w:r>
        <w:t>50.</w:t>
      </w:r>
      <w:r>
        <w:tab/>
        <w:t xml:space="preserve">Вопрос о равном вознаграждении за труд равной ценности занимает центральное место в усилиях по поощрению равенства мужчин и женщин.  Разница в номинальной заработной плате между работающими мужчинами и женщинами оставалась относительно стабильной в течение долгого времени, однако к концу рассматриваемого периода наметились заметные улучшения.  В среднем номинальная почасовая оплата труда женщин составляла приблизительно </w:t>
      </w:r>
      <w:proofErr w:type="spellStart"/>
      <w:r>
        <w:t>80%</w:t>
      </w:r>
      <w:proofErr w:type="spellEnd"/>
      <w:r>
        <w:t xml:space="preserve"> от заработка мужчин в начале 90-х годов прошлого века согласно обследованиям условий жизни.  Согласно внутренним расчетам, произведенным министерством труда и правительственной администрации, в 2000 году этот показатель для работающих полный рабочий день составил </w:t>
      </w:r>
      <w:proofErr w:type="spellStart"/>
      <w:r>
        <w:t>84,5%</w:t>
      </w:r>
      <w:proofErr w:type="spellEnd"/>
      <w:r>
        <w:t>.</w:t>
      </w:r>
    </w:p>
    <w:p w:rsidR="00000000" w:rsidRDefault="00000000"/>
    <w:p w:rsidR="00000000" w:rsidRDefault="00000000">
      <w:r>
        <w:t>51.</w:t>
      </w:r>
      <w:r>
        <w:tab/>
        <w:t xml:space="preserve">В период 1990-2001 годов оплата труда женщин повысилась по сравнению с оплатой труда мужчин в основных отраслях экономической деятельности.  Разрыв в оплате труда мужчин и женщин различается в зависимости от отрасли.  В сфере банковской деятельности, коммерческих услуг и секторе розничной торговли существует относительно заметное расхождение в оплате труда мужчин и женщин.  Это различие является наименьшим в секторе школьного образования, в </w:t>
      </w:r>
      <w:proofErr w:type="spellStart"/>
      <w:r>
        <w:t>гостинично-ресторанном</w:t>
      </w:r>
      <w:proofErr w:type="spellEnd"/>
      <w:r>
        <w:t xml:space="preserve"> секторе и среди промышленных рабочих.  Ключевая роль в усилиях по достижению равного вознаграждения принадлежит организациям работников и работодателей.  Поощрение равной оплаты также является одной из основных функций Уполномоченного по вопросам равенства мужчин и женщин.  Случаи, предоставляемые на рассмотрение Уполномоченного, сегодня являются более сложными, чем прежде.  В настоящее время различия в оплате часто скрываются за различными наименованиями должностей или оформляются в виде льгот или других преимуществ, предлагаемых работодателем.</w:t>
      </w:r>
    </w:p>
    <w:p w:rsidR="00000000" w:rsidRDefault="00000000"/>
    <w:p w:rsidR="00000000" w:rsidRDefault="00000000">
      <w:r>
        <w:t>52.</w:t>
      </w:r>
      <w:r>
        <w:tab/>
        <w:t>Положение, касающееся равного вознаграждения за труд равной ценности, предусмотренное в Законе о равенстве мужчин и женщин, является важным вкладом в повышение значения женского труда.  В соответствии с этим положением женщины и мужчины на одном и том же предприятии "имеют равное вознаграждение за одинаковую работу или за труд равной ценности".  Прежде всего это относится к работе по одной и той же специальности или профессии или к работе, имеющей значительные внешние схожие признаки.  Кроме того, этот Закон применяется в отношении труда равной ценности независимо от того, регулируется ли оплата различными коллективными соглашениями об оплате труда, а также от того, связана ли такая работа с различными специальностями или профессиями.  Апелляционный совет по вопросам равенства мужчин и женщин может выносить свое мнение о том, противоречит ли коллективное соглашение о заработной плате Закону о равенстве мужчин и женщин, независимо от того, касается ли данный вопрос конкретных трудовых отношений.</w:t>
      </w:r>
    </w:p>
    <w:p w:rsidR="00000000" w:rsidRDefault="00000000"/>
    <w:p w:rsidR="00000000" w:rsidRDefault="00000000">
      <w:r>
        <w:t>53.</w:t>
      </w:r>
      <w:r>
        <w:tab/>
        <w:t>Правительство рекомендует использовать в качестве средства достижения равного вознаграждения за труд равной ценности оценку результатов труда.  14 июня 2002 года, после внесения поправки в Закон о равенстве мужчин и женщин, основные факторы, которые должны учитываться при оценке того, представляет ли труд равную ценность, были включены в текст Закона.  Данный вопрос "…</w:t>
      </w:r>
      <w:r>
        <w:rPr>
          <w:i/>
          <w:iCs/>
        </w:rPr>
        <w:t>определяется после общей оценки, при которой внимание уделяется опыту, необходимому для выполнения работы, и другим соответствующим факторам, таким, как усилия, ответственность и условия труда"</w:t>
      </w:r>
      <w:r>
        <w:t xml:space="preserve"> (статья 5, пункт 3).  Задача заключается в достижении унифицированной практики.  В 2002 году правительство приступило к реализации проекта в различных компаниях с целью разработки нейтральной с точки зрения </w:t>
      </w:r>
      <w:proofErr w:type="spellStart"/>
      <w:r>
        <w:t>гендерных</w:t>
      </w:r>
      <w:proofErr w:type="spellEnd"/>
      <w:r>
        <w:t xml:space="preserve"> различий системы оценки работы.  Такая система может также использоваться Уполномоченным по вопросам равенства мужчин и женщин в качестве одного из механизмов для соблюдения Закона.</w:t>
      </w:r>
    </w:p>
    <w:p w:rsidR="00000000" w:rsidRDefault="00000000"/>
    <w:p w:rsidR="00000000" w:rsidRDefault="00000000">
      <w:pPr>
        <w:rPr>
          <w:b/>
          <w:bCs/>
        </w:rPr>
      </w:pPr>
      <w:r>
        <w:rPr>
          <w:b/>
          <w:bCs/>
        </w:rPr>
        <w:t>Пункт 3 руководящих принципов (условия труда)</w:t>
      </w:r>
    </w:p>
    <w:p w:rsidR="00000000" w:rsidRDefault="00000000"/>
    <w:p w:rsidR="00000000" w:rsidRDefault="00000000">
      <w:r>
        <w:t>54.</w:t>
      </w:r>
      <w:r>
        <w:tab/>
        <w:t>Производственная гигиена и безопасность труда регулируются Законом от 4 февраля 1977 года № 4 о защите трудящихся и условиях труда на рабочих местах.  Всеобъемлющая цель данного Закона состоит в обеспечении того, чтобы условия труда на рабочих местах являлись полностью удовлетворительными.  Закон регулирует условия на рабочих местах, например связанные с использованием технических приборов и оборудования, токсических веществ и других веществ, опасных для здоровья, а также приспособлений для работы, в частности для трудящихся с профессиональными заболеваниями.  Ответственность за обеспечение того, чтобы предприятие соблюдало положения Закона, возлагается на работодателя.  Наиболее эффективным инструментом в попытках улучшить гигиену, безопасность и общую благоприятную атмосферу на предприятии, является система внутреннего контроля.  В соответствии с этой системой лицо, ответственное за предприятие, обязано установить систему внутреннего контроля, с тем чтобы организация и выполнение работы осуществлялись в соответствии с положениями Закона (предлагается обратить внимание на пункт 90 третьего периодического доклада Норвегии).</w:t>
      </w:r>
    </w:p>
    <w:p w:rsidR="00000000" w:rsidRDefault="00000000"/>
    <w:p w:rsidR="00000000" w:rsidRDefault="00000000">
      <w:r>
        <w:t>55.</w:t>
      </w:r>
      <w:r>
        <w:tab/>
        <w:t>Трудовая инспекция Норвегии, которая является государственным органам, несет ответственность за осуществление контроля за соблюдением положений Закона об условиях труда.  Она может проводить инспекционные проверки без заблаговременного уведомления.  Любое связанное с производством лицо, а также изготовители, поставщики и импортеры технических средств и оборудования и опасных для здоровья веществ, обязаны предоставлять любую информацию, необходимую для проведения проверок.</w:t>
      </w:r>
    </w:p>
    <w:p w:rsidR="00000000" w:rsidRDefault="00000000"/>
    <w:p w:rsidR="00000000" w:rsidRDefault="00000000">
      <w:pPr>
        <w:rPr>
          <w:lang w:val="en-US"/>
        </w:rPr>
      </w:pPr>
    </w:p>
    <w:p w:rsidR="00000000" w:rsidRDefault="00000000">
      <w:pPr>
        <w:rPr>
          <w:i/>
          <w:iCs/>
        </w:rPr>
      </w:pPr>
      <w:r>
        <w:rPr>
          <w:i/>
          <w:iCs/>
        </w:rPr>
        <w:t>Категории трудящихся, на которых не распространяются положения Закона об условиях труда</w:t>
      </w:r>
    </w:p>
    <w:p w:rsidR="00000000" w:rsidRDefault="00000000"/>
    <w:p w:rsidR="00000000" w:rsidRDefault="00000000">
      <w:r>
        <w:t>56.</w:t>
      </w:r>
      <w:r>
        <w:tab/>
        <w:t>В порядке общего правила на трудящихся распространяются положения Закона об условиях труда, касающиеся вопросов гигиены, окружающей среды и безопасности.  На некоторые отрасли, такие, как судоходство, рыболовство и военная авиация, распространяются специальные положения.  Предлагается обратить внимание на раздел последнего доклада Норвегии о выполнении Конвенции МОТ № 155 (приложение 13), касающийся поправок к Закону о моряках.</w:t>
      </w:r>
    </w:p>
    <w:p w:rsidR="00000000" w:rsidRDefault="00000000"/>
    <w:p w:rsidR="00000000" w:rsidRDefault="00000000">
      <w:pPr>
        <w:rPr>
          <w:i/>
          <w:iCs/>
        </w:rPr>
      </w:pPr>
      <w:r>
        <w:rPr>
          <w:i/>
          <w:iCs/>
        </w:rPr>
        <w:t>Производственный травматизм и профессиональные заболевания</w:t>
      </w:r>
    </w:p>
    <w:p w:rsidR="00000000" w:rsidRDefault="00000000">
      <w:pPr>
        <w:rPr>
          <w:i/>
          <w:iCs/>
        </w:rPr>
      </w:pPr>
    </w:p>
    <w:p w:rsidR="00000000" w:rsidRDefault="00000000">
      <w:r>
        <w:t>57.</w:t>
      </w:r>
      <w:r>
        <w:tab/>
        <w:t>В период 1978-1998 годов ежегодно происходило в среднем по 66 несчастных случаев со смертельным исходом, а в последние пять лет средний показатель смертности на производстве составлял 56 случаев в год.  Трудовая инспекция Норвегии не ведет регистрации несчастных случаев при добыче нефти в открытом море, а также в таких областях, как судоходство и рыболовство.  Эти несчастные случаи регистрируются соответствующими органами контроля в каждом секторе.  Трудовая инспекция регистрирует ежегодно приблизительно 35 000 несчастных случаев на производстве на основе копий отчетов о несчастных случаях, представляемых работодателями в Национальную страховую администрацию.  Согласно оценкам, регистрируется порядка 20</w:t>
      </w:r>
      <w:r>
        <w:noBreakHyphen/>
        <w:t>25% от всех несчастных случаев на рабочих местах.</w:t>
      </w:r>
    </w:p>
    <w:p w:rsidR="00000000" w:rsidRDefault="00000000"/>
    <w:p w:rsidR="00000000" w:rsidRDefault="00000000">
      <w:r>
        <w:t>58.</w:t>
      </w:r>
      <w:r>
        <w:tab/>
        <w:t>Ежегодно Трудовая инспекция собирает или получает сообщения о приблизительно 3 800 случаях связанных с трудовой деятельностью заболеваний, таких, как отравления, заболевания или симптомы заболеваний, из которых половину составляют случаи потери слуха, связанные с профессиональной деятельностью.  Вместе с тем зарегистрированные данные являются неполными из-за недостаточной отчетности.</w:t>
      </w:r>
    </w:p>
    <w:p w:rsidR="00000000" w:rsidRDefault="00000000"/>
    <w:p w:rsidR="00000000" w:rsidRDefault="00000000">
      <w:pPr>
        <w:rPr>
          <w:b/>
          <w:bCs/>
        </w:rPr>
      </w:pPr>
      <w:r>
        <w:rPr>
          <w:b/>
          <w:bCs/>
        </w:rPr>
        <w:t>Пункт 4 руководящих принципов (равные возможности продвижения по службе)</w:t>
      </w:r>
    </w:p>
    <w:p w:rsidR="00000000" w:rsidRDefault="00000000"/>
    <w:p w:rsidR="00000000" w:rsidRDefault="00000000">
      <w:pPr>
        <w:rPr>
          <w:i/>
          <w:iCs/>
        </w:rPr>
      </w:pPr>
      <w:r>
        <w:rPr>
          <w:i/>
          <w:iCs/>
        </w:rPr>
        <w:t>Равенство мужчин и женщин в сфере трудовой деятельности</w:t>
      </w:r>
    </w:p>
    <w:p w:rsidR="00000000" w:rsidRDefault="00000000">
      <w:pPr>
        <w:rPr>
          <w:i/>
          <w:iCs/>
        </w:rPr>
      </w:pPr>
    </w:p>
    <w:p w:rsidR="00000000" w:rsidRDefault="00000000">
      <w:r>
        <w:t>59.</w:t>
      </w:r>
      <w:r>
        <w:tab/>
        <w:t>Как показывают статистические данные, рынок труда в Норвегии в значительной степени разделен по признаку пола, а участие женщин на рынке труда является одним из самых высоких в западном мире.  78% из числа всех женщин в возрасте от 25 до 66 лет входят в состав рабочей силы.  Вместе с тем такой высокий уровень занятости оказал незначительное влияние на то, чтобы обеспечить более равное распределение на сегрегированном по признаку пола рынке труда.  Лишь небольшое число женщин занимают старшие руководящие должности, а распределение мужчин и женщин на различных производствах и в различных видах профессиональной деятельности является неравномерным.</w:t>
      </w:r>
    </w:p>
    <w:p w:rsidR="00000000" w:rsidRDefault="00000000"/>
    <w:p w:rsidR="00000000" w:rsidRDefault="00000000">
      <w:r>
        <w:t>60.</w:t>
      </w:r>
      <w:r>
        <w:tab/>
        <w:t>Как показывают недавно проведенные исследования, существует взаимосвязь между высоким уровнем участия в составе рабочей силы, возросшей сегрегацией по признаку пола на рынке труда и устойчивыми различиями в оплате труда женщин и мужчин.  В целом, если представленность женщин и мужчин в составе рабочей силы является более пропорциональной, то положение женщин укрепляется, и достигается бо</w:t>
      </w:r>
      <w:r>
        <w:rPr>
          <w:rFonts w:ascii="Tahoma" w:hAnsi="Tahoma" w:cs="Tahoma"/>
        </w:rPr>
        <w:t></w:t>
      </w:r>
      <w:r>
        <w:t>льшая степень равенства мужчин и женщин.  В то же время участие на рынке труда является более значительным, поскольку в состав рабочей силы вливаются женщины с более низким уровнем образования и имеющие меньше опыта, а также возрастает доля таких женщин, работающих в секторе обслуживания.  Так, в краткосрочном плане возникает парадокс, суть которого состоит в том, что повышение степени представленности женщин в составе рабочей силы способствует росту различий между женщинами и мужчинами на рынке труда.  Поэтому, для того чтобы получить полную картину, необходимо также учитывать неоплачиваемую работу.</w:t>
      </w:r>
    </w:p>
    <w:p w:rsidR="00000000" w:rsidRDefault="00000000"/>
    <w:p w:rsidR="00000000" w:rsidRDefault="00000000">
      <w:r>
        <w:t>61.</w:t>
      </w:r>
      <w:r>
        <w:tab/>
        <w:t>Женщины преобладают среди учащихся как на уровне старших классов средней школы, так и на университетском уровне.  В 2002 году женщины составили 59% из числа всех выпускников университетов и колледжей, что свидетельствует о двухпроцентном росте по сравнению с 2000 годом.  Кроме того, женщины сравнялись с мужчинами по уровню образования.  Как среди женщин, так и среди мужчин 34% населения в возрасте 25-66 лет имеют высшее образование.</w:t>
      </w:r>
    </w:p>
    <w:p w:rsidR="00000000" w:rsidRDefault="00000000"/>
    <w:p w:rsidR="00000000" w:rsidRDefault="00000000">
      <w:r>
        <w:t>62.</w:t>
      </w:r>
      <w:r>
        <w:tab/>
        <w:t>Выбор образования мужчинами и женщинами по</w:t>
      </w:r>
      <w:r>
        <w:noBreakHyphen/>
        <w:t>прежнему крайне отличается.  В более равной степени мужчины и женщины представлены в изучении общих предметов, чем в сфере профессионально-технической подготовки.  Девочки по</w:t>
      </w:r>
      <w:r>
        <w:noBreakHyphen/>
        <w:t>прежнему выбирают медицинские, социальные и эстетические предметы, в то время как мальчики доминируют среди учащихся, осваивающих технические специальности и предметы, связанные с механикой.  В университетах доля женщин является высокой во всех элитных программах обучения, например по специальностям, имеющим высокий статус и предусматривающим хорошую оплату, за исключением программ подготовки по инженерным специальностям.</w:t>
      </w:r>
    </w:p>
    <w:p w:rsidR="00000000" w:rsidRDefault="00000000"/>
    <w:p w:rsidR="00000000" w:rsidRDefault="00000000">
      <w:pPr>
        <w:rPr>
          <w:i/>
          <w:iCs/>
        </w:rPr>
      </w:pPr>
      <w:r>
        <w:rPr>
          <w:i/>
          <w:iCs/>
        </w:rPr>
        <w:t>Женщины в системе управления</w:t>
      </w:r>
    </w:p>
    <w:p w:rsidR="00000000" w:rsidRDefault="00000000"/>
    <w:p w:rsidR="00000000" w:rsidRDefault="00000000">
      <w:r>
        <w:t>63.</w:t>
      </w:r>
      <w:r>
        <w:tab/>
        <w:t>Как в государственном, так и в частном секторах был осуществлен ряд программ по найму женщин на управленческие должности.  В 1997 году был начат проект "Женщины, качество и квалификация" с целью повышения количества женщин на руководящих должностях в администрации центрального правительства.  Была поставлена цель повысить к 2001 году долю женщин в государственной администрации до 30%.  За время осуществления проекта благодаря целенаправленным усилиям доля женщин возросла, в результате чего удалось также углубить специальные знания и расширить их многопрофильный характер.  В 2002 году 28% старших должностей в аппарате центрального правительства занимали женщины.  Усилиям по достижению еще большего равенства мужчин и женщин на руководящих должностях в государственном секторе будет по</w:t>
      </w:r>
      <w:r>
        <w:noBreakHyphen/>
        <w:t>прежнему уделяться первоочередное внимание.  Поэтому правительство поставило новую цель, предусматривающую обеспечение того, чтобы к 1 января 2006 года доля как мужчин, так и женщин в государственном секторе составляла не менее 40%.</w:t>
      </w:r>
    </w:p>
    <w:p w:rsidR="00000000" w:rsidRDefault="00000000"/>
    <w:p w:rsidR="00000000" w:rsidRDefault="00000000">
      <w:r>
        <w:t>64.</w:t>
      </w:r>
      <w:r>
        <w:tab/>
        <w:t>13 июня 2003 года правительство представило в стортинг законопроект, предусматривающий требование о том, чтобы в составе советов директоров всех государственных предприятий и находящихся в частном владении публичных компаний с ограниченной ответственностью было представлено по крайней мере 40% представителей каждого пола.  Эти нормы будут способствовать повышению равенства мужчин и женщин и развитию демократии, а также укреплению управленческого звена частного сектора и повышению конкурентоспособности компаний.  Вместе с тем нормы, предусмотренные для находящихся в частном владении публичных компаний с ограниченной ответственностью, не вступят в силу, если желаемый гендерный баланс будет достигнут добровольно в течение 2005 года.  Нормы, применимые к государственным компаниям, должны вступить в силу с 1 января 2004 года.  Кроме того, правительство приступило к сотрудничеству с организациями работодателей и трудящихся с целью увеличения доли женщин в составе советов директоров.  В апреле 2003 года женщины составляли в среднем лишь 7,3% из числа членов советов директоров норвежских публичных компаний с ограниченной ответственностью, находящихся в частной собственности.  На предприятиях, принадлежащих государству, доля женщин среди членов советов директоров составляла 45,7% (март 2003 года).</w:t>
      </w:r>
    </w:p>
    <w:p w:rsidR="00000000" w:rsidRDefault="00000000"/>
    <w:p w:rsidR="00000000" w:rsidRDefault="00000000">
      <w:r>
        <w:t>65.</w:t>
      </w:r>
      <w:r>
        <w:tab/>
        <w:t>"</w:t>
      </w:r>
      <w:r>
        <w:rPr>
          <w:lang w:val="en-US"/>
        </w:rPr>
        <w:t>Kvinnebasen</w:t>
      </w:r>
      <w:r>
        <w:t>" является базой данных о женщинах-специалистах, претендующих на занятие руководящих должностей, в которой зарегистрировано 3 400 женщин, отвечающих требованиям для работы на руководящих должностях и в составе советов управляющих.  Норвежский фонд промышленного и регионального развития (НФПРР) также создал базу данных кандидатов-женщин, имеющих необходимую квалификацию для участия в работе членов советов директоров.  Через программу ОПР сектор ИКТ провел ряд мероприятий по увеличению доли женщин, работающих в данной отрасли.</w:t>
      </w:r>
    </w:p>
    <w:p w:rsidR="00000000" w:rsidRDefault="00000000"/>
    <w:p w:rsidR="00000000" w:rsidRDefault="00000000">
      <w:pPr>
        <w:pageBreakBefore/>
        <w:rPr>
          <w:b/>
          <w:bCs/>
        </w:rPr>
      </w:pPr>
      <w:r>
        <w:rPr>
          <w:b/>
          <w:bCs/>
        </w:rPr>
        <w:t>Пункт 5 руководящих принципов (отдых, досуг и т.д.)</w:t>
      </w:r>
    </w:p>
    <w:p w:rsidR="00000000" w:rsidRDefault="00000000"/>
    <w:p w:rsidR="00000000" w:rsidRDefault="00000000">
      <w:r>
        <w:t>66.</w:t>
      </w:r>
      <w:r>
        <w:tab/>
        <w:t>Предлагается обратить внимание на доклады о выполнении Конвенции МОТ № 14 (приложение 15) о еженедельном отдыхе на промышленных предприятиях за период до 31 мая 2000 года и Конвенции МОТ № 132 об оплачиваемых отпусках за период до 31 мая 2002 года (приложение 10).</w:t>
      </w:r>
    </w:p>
    <w:p w:rsidR="00000000" w:rsidRDefault="00000000"/>
    <w:p w:rsidR="00000000" w:rsidRDefault="00000000">
      <w:pPr>
        <w:rPr>
          <w:u w:val="single"/>
        </w:rPr>
      </w:pPr>
      <w:r>
        <w:t>67.</w:t>
      </w:r>
      <w:r>
        <w:tab/>
        <w:t xml:space="preserve">В рамках выполнения Соглашения о ЕЭЗ в апреле 1998 года Норвегия выполнила Директиву Европейского союза 93/104/ЕС о продолжительности рабочего дня.  Среди прочего это означало, что минимальный ежедневный период отдыха увеличился с 10 до 11 часов.  Кроме того, трудящимся, выполняющим работу в ночное время, гарантируется бесплатный медицинский уход. </w:t>
      </w:r>
    </w:p>
    <w:p w:rsidR="00000000" w:rsidRDefault="00000000"/>
    <w:p w:rsidR="00000000" w:rsidRDefault="00000000">
      <w:pPr>
        <w:rPr>
          <w:b/>
          <w:bCs/>
        </w:rPr>
      </w:pPr>
      <w:r>
        <w:rPr>
          <w:b/>
          <w:bCs/>
        </w:rPr>
        <w:t>Пункт 6 руководящих принципов (изменения, происшедшие со времени представления предыдущего доклада)</w:t>
      </w:r>
    </w:p>
    <w:p w:rsidR="00000000" w:rsidRDefault="00000000"/>
    <w:p w:rsidR="00000000" w:rsidRDefault="00000000">
      <w:r>
        <w:t>68.</w:t>
      </w:r>
      <w:r>
        <w:tab/>
        <w:t>Эти изменения описаны в вышеприведенном тексте.</w:t>
      </w:r>
    </w:p>
    <w:p w:rsidR="00000000" w:rsidRDefault="00000000"/>
    <w:p w:rsidR="00000000" w:rsidRDefault="00000000">
      <w:pPr>
        <w:jc w:val="center"/>
        <w:rPr>
          <w:b/>
          <w:bCs/>
        </w:rPr>
      </w:pPr>
      <w:r>
        <w:rPr>
          <w:b/>
          <w:bCs/>
        </w:rPr>
        <w:t>Статья 8.  Профсоюзы</w:t>
      </w:r>
    </w:p>
    <w:p w:rsidR="00000000" w:rsidRDefault="00000000">
      <w:pPr>
        <w:rPr>
          <w:b/>
          <w:bCs/>
        </w:rPr>
      </w:pPr>
    </w:p>
    <w:p w:rsidR="00000000" w:rsidRDefault="00000000">
      <w:r>
        <w:t>69.</w:t>
      </w:r>
      <w:r>
        <w:tab/>
        <w:t>Предлагается обратить внимание на третий периодический доклад Норвегии, пункты 97-119, а также на доклады о выполнении Конвенции МОТ № 87 и Конвенции МОТ № 98.  Последний из докладов о выполнении Конвенции МОТ № 87 охватывает период до 31 мая 2002 года (приложение 16), а последний из докладов о выполнении Конвенции МОТ № 98 </w:t>
      </w:r>
      <w:r>
        <w:noBreakHyphen/>
        <w:t xml:space="preserve"> период до 31 мая 2001 года (приложение 17).</w:t>
      </w:r>
    </w:p>
    <w:p w:rsidR="00000000" w:rsidRDefault="00000000"/>
    <w:p w:rsidR="00000000" w:rsidRDefault="00000000">
      <w:pPr>
        <w:rPr>
          <w:b/>
          <w:bCs/>
        </w:rPr>
      </w:pPr>
      <w:r>
        <w:rPr>
          <w:b/>
          <w:bCs/>
        </w:rPr>
        <w:t>Пункт 2 руководящих принципов (условия вступления в профсоюзы и создания профсоюзов)</w:t>
      </w:r>
    </w:p>
    <w:p w:rsidR="00000000" w:rsidRDefault="00000000"/>
    <w:p w:rsidR="00000000" w:rsidRDefault="00000000">
      <w:r>
        <w:t>70.</w:t>
      </w:r>
      <w:r>
        <w:tab/>
        <w:t xml:space="preserve">В отношении подпунктов </w:t>
      </w:r>
      <w:proofErr w:type="spellStart"/>
      <w:r>
        <w:t>a</w:t>
      </w:r>
      <w:proofErr w:type="spellEnd"/>
      <w:r>
        <w:t>)-</w:t>
      </w:r>
      <w:proofErr w:type="spellStart"/>
      <w:r>
        <w:t>d</w:t>
      </w:r>
      <w:proofErr w:type="spellEnd"/>
      <w:r>
        <w:t>) пункта 2 руководящих принципов просьба обратить внимание на пункты 97-101 третьего периодического доклада Норвегии.</w:t>
      </w:r>
    </w:p>
    <w:p w:rsidR="00000000" w:rsidRDefault="00000000"/>
    <w:p w:rsidR="00000000" w:rsidRDefault="00000000">
      <w:pPr>
        <w:rPr>
          <w:i/>
          <w:iCs/>
        </w:rPr>
      </w:pPr>
      <w:r>
        <w:rPr>
          <w:i/>
          <w:iCs/>
        </w:rPr>
        <w:t>Численность и структура профсоюзов</w:t>
      </w:r>
    </w:p>
    <w:p w:rsidR="00000000" w:rsidRDefault="00000000">
      <w:pPr>
        <w:rPr>
          <w:i/>
          <w:iCs/>
        </w:rPr>
      </w:pPr>
    </w:p>
    <w:p w:rsidR="00000000" w:rsidRDefault="00000000">
      <w:r>
        <w:t>71.</w:t>
      </w:r>
      <w:r>
        <w:tab/>
        <w:t>В отношении вступления в профсоюзы и образования профсоюзов властями не предусмотрено никаких условий.  Предлагается обратить внимание на пункты 102-106 третьего периодического доклада Норвегии.  Подготовленные Статистическим управлением Норвегии данные, отражающие количество членов профсоюзов в период 1999</w:t>
      </w:r>
      <w:r>
        <w:noBreakHyphen/>
        <w:t>2002 годов, прилагаются к настоящему докладу в качестве приложения 18.</w:t>
      </w:r>
    </w:p>
    <w:p w:rsidR="00000000" w:rsidRDefault="00000000">
      <w:r>
        <w:t>72.</w:t>
      </w:r>
      <w:r>
        <w:tab/>
        <w:t xml:space="preserve">Членами профсоюзов являются </w:t>
      </w:r>
      <w:proofErr w:type="spellStart"/>
      <w:r>
        <w:t>55-57%</w:t>
      </w:r>
      <w:proofErr w:type="spellEnd"/>
      <w:r>
        <w:t xml:space="preserve"> трудящихся от общего числа лиц, работающих в Норвегии, однако условия оплаты и труда еще большего количества трудящихся определяются коллективными соглашениями, поскольку работодатели, подписавшие коллективное соглашение, обязаны применять его положения ко всем трудящимся.  Во многих случаях - даже в компаниях, где ни работодатель, ни работники не являются членами профсоюзов или не связаны каким-либо коллективным соглашением, - применяются условия оплаты и труда, закрепленные в коллективном соглашении, охватывающем соответствующую отрасль.</w:t>
      </w:r>
    </w:p>
    <w:p w:rsidR="00000000" w:rsidRDefault="00000000"/>
    <w:p w:rsidR="00000000" w:rsidRDefault="00000000">
      <w:r>
        <w:t>73.</w:t>
      </w:r>
      <w:r>
        <w:tab/>
        <w:t xml:space="preserve">В государственном секторе членами профсоюзов являются от </w:t>
      </w:r>
      <w:proofErr w:type="spellStart"/>
      <w:r>
        <w:t>80%</w:t>
      </w:r>
      <w:proofErr w:type="spellEnd"/>
      <w:r>
        <w:t xml:space="preserve"> до </w:t>
      </w:r>
      <w:proofErr w:type="spellStart"/>
      <w:r>
        <w:t>90%</w:t>
      </w:r>
      <w:proofErr w:type="spellEnd"/>
      <w:r>
        <w:t xml:space="preserve"> всех трудящихся.  Вместе с тем </w:t>
      </w:r>
      <w:proofErr w:type="spellStart"/>
      <w:r>
        <w:t>100%</w:t>
      </w:r>
      <w:proofErr w:type="spellEnd"/>
      <w:r>
        <w:t xml:space="preserve"> трудящихся охвачены коллективным соглашением о заработной плате, поскольку это соглашение распространяется на всех лиц, занятых в государственном секторе.</w:t>
      </w:r>
    </w:p>
    <w:p w:rsidR="00000000" w:rsidRDefault="00000000"/>
    <w:p w:rsidR="00000000" w:rsidRDefault="00000000">
      <w:r>
        <w:t>74.</w:t>
      </w:r>
      <w:r>
        <w:tab/>
        <w:t>В настоящее время имеется четыре крупные конфедерации профсоюзов в Норвегии, члены которых являются работниками как частного, так и государственного секторов. Норвежская федерация профсоюзов (</w:t>
      </w:r>
      <w:proofErr w:type="spellStart"/>
      <w:r>
        <w:t>НФП</w:t>
      </w:r>
      <w:proofErr w:type="spellEnd"/>
      <w:r>
        <w:t>) по</w:t>
      </w:r>
      <w:r>
        <w:noBreakHyphen/>
        <w:t xml:space="preserve">прежнему остается крупнейшей конфедерацией, в которую входят 25 профсоюзов, представляющих широкий спектр предприятий частного и государственного секторов.  По состоянию на 31 декабря 2001 года </w:t>
      </w:r>
      <w:proofErr w:type="spellStart"/>
      <w:r>
        <w:t>НФП</w:t>
      </w:r>
      <w:proofErr w:type="spellEnd"/>
      <w:r>
        <w:t xml:space="preserve"> насчитывала приблизительно 800 000 членов.</w:t>
      </w:r>
    </w:p>
    <w:p w:rsidR="00000000" w:rsidRDefault="00000000"/>
    <w:p w:rsidR="00000000" w:rsidRDefault="00000000">
      <w:r>
        <w:t>75.</w:t>
      </w:r>
      <w:r>
        <w:tab/>
        <w:t>В Конфедерацию профессионально-технических профсоюзов (</w:t>
      </w:r>
      <w:proofErr w:type="spellStart"/>
      <w:r>
        <w:t>КПС</w:t>
      </w:r>
      <w:proofErr w:type="spellEnd"/>
      <w:r>
        <w:t xml:space="preserve">) входят 20 профсоюзов, общая численность которых по состоянию на 31 декабря 2001 года составляла приблизительно 190 000 членов.  Эта Конфедерация в основном объединяет те же категории трудящихся, что и </w:t>
      </w:r>
      <w:proofErr w:type="spellStart"/>
      <w:r>
        <w:t>НФП</w:t>
      </w:r>
      <w:proofErr w:type="spellEnd"/>
      <w:r>
        <w:t>.</w:t>
      </w:r>
    </w:p>
    <w:p w:rsidR="00000000" w:rsidRDefault="00000000"/>
    <w:p w:rsidR="00000000" w:rsidRDefault="00000000">
      <w:r>
        <w:t>76.</w:t>
      </w:r>
      <w:r>
        <w:tab/>
        <w:t>Конфедерация профсоюзов работников со средним образованием (</w:t>
      </w:r>
      <w:proofErr w:type="spellStart"/>
      <w:r>
        <w:t>КСО</w:t>
      </w:r>
      <w:proofErr w:type="spellEnd"/>
      <w:r>
        <w:t>) объединяет категории трудящихся, имеющих среднее образование, таких, как учителя, медицинские сестры и полицейские, и по состоянию на 31 декабря 2001 года она включала пять профсоюзов, насчитывавших 215 000 членов.</w:t>
      </w:r>
    </w:p>
    <w:p w:rsidR="00000000" w:rsidRDefault="00000000"/>
    <w:p w:rsidR="00000000" w:rsidRDefault="00000000">
      <w:r>
        <w:t>77.</w:t>
      </w:r>
      <w:r>
        <w:tab/>
        <w:t>Федерация норвежских профессиональных ассоциаций (</w:t>
      </w:r>
      <w:proofErr w:type="spellStart"/>
      <w:r>
        <w:rPr>
          <w:lang w:val="en-US"/>
        </w:rPr>
        <w:t>Akademikerne</w:t>
      </w:r>
      <w:proofErr w:type="spellEnd"/>
      <w:r>
        <w:t xml:space="preserve">) объединяет специалистов, получивших университетское образование, таких, как доктора, юристы, духовенство, инженеры и т.п.  По состоянию на 31 декабря 2001 года в федерацию входило 11 профсоюзов и приблизительно 122 000 членов.  Помимо этих конфедераций имеется порядка 25-30 независимых профсоюзов, большинство из которых являются малочисленными.  </w:t>
      </w:r>
    </w:p>
    <w:p w:rsidR="00000000" w:rsidRDefault="00000000"/>
    <w:p w:rsidR="00000000" w:rsidRDefault="00000000">
      <w:r>
        <w:t>78.</w:t>
      </w:r>
      <w:r>
        <w:tab/>
        <w:t>Федерация норвежских профессиональных ассоциаций (</w:t>
      </w:r>
      <w:proofErr w:type="spellStart"/>
      <w:r>
        <w:rPr>
          <w:lang w:val="en-US"/>
        </w:rPr>
        <w:t>Akademikernes</w:t>
      </w:r>
      <w:proofErr w:type="spellEnd"/>
      <w:r>
        <w:t xml:space="preserve"> </w:t>
      </w:r>
      <w:proofErr w:type="spellStart"/>
      <w:r>
        <w:rPr>
          <w:lang w:val="en-US"/>
        </w:rPr>
        <w:t>Fellesorganisasjon</w:t>
      </w:r>
      <w:proofErr w:type="spellEnd"/>
      <w:r>
        <w:t xml:space="preserve">) была распущена 1 июля 2001 года.  Ассоциации, которые прежде входили в состав федерации, в основном вступили в </w:t>
      </w:r>
      <w:proofErr w:type="spellStart"/>
      <w:r>
        <w:rPr>
          <w:lang w:val="en-US"/>
        </w:rPr>
        <w:t>Akademikerne</w:t>
      </w:r>
      <w:proofErr w:type="spellEnd"/>
      <w:r>
        <w:t xml:space="preserve"> либо в </w:t>
      </w:r>
      <w:proofErr w:type="spellStart"/>
      <w:r>
        <w:t>КСО</w:t>
      </w:r>
      <w:proofErr w:type="spellEnd"/>
      <w:r>
        <w:t>.</w:t>
      </w:r>
    </w:p>
    <w:p w:rsidR="00000000" w:rsidRDefault="00000000"/>
    <w:p w:rsidR="00000000" w:rsidRDefault="00000000">
      <w:pPr>
        <w:rPr>
          <w:b/>
          <w:bCs/>
        </w:rPr>
      </w:pPr>
      <w:r>
        <w:rPr>
          <w:b/>
          <w:bCs/>
        </w:rPr>
        <w:t>Пункт 3 руководящих принципов (право на забастовку)</w:t>
      </w:r>
    </w:p>
    <w:p w:rsidR="00000000" w:rsidRDefault="00000000"/>
    <w:p w:rsidR="00000000" w:rsidRDefault="00000000">
      <w:r>
        <w:t>79.</w:t>
      </w:r>
      <w:r>
        <w:tab/>
        <w:t>Право на забастовку признается норвежским правом, однако оно не закреплено в законодательстве.  Закон от 5 мая 1927 года № 1 о трудовых спорах и Закон от 18 июля 1958 года № 2 о спорах на государственной службе основаны на допущении, что норвежские трудящиеся имеют право на забастовку.  В этих Законах содержатся положения, которые регулируют право на участие в забастовках с целью выдвижения требований о разработке или пересмотре коллективных соглашений о заработной плате.</w:t>
      </w:r>
    </w:p>
    <w:p w:rsidR="00000000" w:rsidRDefault="00000000"/>
    <w:p w:rsidR="00000000" w:rsidRDefault="00000000">
      <w:pPr>
        <w:rPr>
          <w:i/>
          <w:iCs/>
        </w:rPr>
      </w:pPr>
      <w:r>
        <w:rPr>
          <w:i/>
          <w:iCs/>
        </w:rPr>
        <w:t>Обязательный арбитраж</w:t>
      </w:r>
    </w:p>
    <w:p w:rsidR="00000000" w:rsidRDefault="00000000">
      <w:pPr>
        <w:rPr>
          <w:i/>
          <w:iCs/>
        </w:rPr>
      </w:pPr>
    </w:p>
    <w:p w:rsidR="00000000" w:rsidRDefault="00000000">
      <w:r>
        <w:t>80.</w:t>
      </w:r>
      <w:r>
        <w:tab/>
        <w:t>Предлагается обратить внимание на пункт 115 третьего периодического доклада Норвегии, касающийся оговорки Норвегии в отношении подпункта </w:t>
      </w:r>
      <w:proofErr w:type="spellStart"/>
      <w:r>
        <w:t>d</w:t>
      </w:r>
      <w:proofErr w:type="spellEnd"/>
      <w:r>
        <w:t>) пункта 1 статьи 8 Международного пакта об экономических, социальных и культурных правах.</w:t>
      </w:r>
    </w:p>
    <w:p w:rsidR="00000000" w:rsidRDefault="00000000"/>
    <w:p w:rsidR="00000000" w:rsidRDefault="00000000">
      <w:r>
        <w:t>81.</w:t>
      </w:r>
      <w:r>
        <w:tab/>
        <w:t>Во время рассмотрения третьего периодического доклада Норвегии Комитет выразил свою озабоченность в связи с использованием Норвегией обязательного арбитража (</w:t>
      </w:r>
      <w:r>
        <w:rPr>
          <w:lang w:val="en-US"/>
        </w:rPr>
        <w:t>E</w:t>
      </w:r>
      <w:r>
        <w:t>/</w:t>
      </w:r>
      <w:r>
        <w:rPr>
          <w:lang w:val="en-US"/>
        </w:rPr>
        <w:t>C</w:t>
      </w:r>
      <w:r>
        <w:t>.12/1995/18, пункт 224).  Это заключение, возможно, свидетельствует об ошибочном понимании.  В Законе о трудовых спорах не содержится никаких положений, касающихся обязательного арбитража.  Таких положений также не содержится в Законе от 19 декабря 1952 года № 7 о создании комитетов по вопросам заработной платы при трудовых спорах, который лишь предусматривает учреждение Национального совета по вопросам заработной платы в качестве органа, предоставляющего свои услуги сторонам, участвующим в добровольном арбитраже.  Обязательный арбитраж может применяться лишь в том случае, если правительство считает, что жизнь и здоровье или другие основные интересы общества подвергаются угрозе.  В каждом случае правительство обязано представить законопроект в парламент (стортинг) с предложением о том, чтобы решение конфликта было передано Национальному совету по вопросам заработной платы.  По каждому конкретному случаю принимается отдельный закон.  Следует отметить, что все правительственные законопроекты без какого-либо исключения получали поддержку значительного большинства представителей стортинга.  В период между сессиями стортинга правительство может установить обязательный арбитраж посредством так называемого временного постановления, см. статью 17 Конституции Норвегии.  Такая практика применялась в ряде случаев, однако впоследствии не выдвигалось никаких возражений по поводу решений правительства в связи с последующим одобрением постановлений стортингом.</w:t>
      </w:r>
    </w:p>
    <w:p w:rsidR="00000000" w:rsidRDefault="00000000"/>
    <w:p w:rsidR="00000000" w:rsidRDefault="00000000">
      <w:r>
        <w:t>82.</w:t>
      </w:r>
      <w:r>
        <w:tab/>
        <w:t xml:space="preserve">По мнению Норвегии, использование обязательного арбитража находится в пределах, которые определены практикой в соответствии с конвенциями МОТ № 87 и № 98, а также статьей 6, </w:t>
      </w:r>
      <w:proofErr w:type="spellStart"/>
      <w:r>
        <w:rPr>
          <w:lang w:val="en-US"/>
        </w:rPr>
        <w:t>cf</w:t>
      </w:r>
      <w:proofErr w:type="spellEnd"/>
      <w:r>
        <w:t>. статьей 31 Европейской социальной хартии (статьей </w:t>
      </w:r>
      <w:r>
        <w:rPr>
          <w:lang w:val="en-US"/>
        </w:rPr>
        <w:t>G</w:t>
      </w:r>
      <w:r>
        <w:t xml:space="preserve"> пересмотренной Социальной хартии).  За период после представления предыдущего доклада в 1994 году обязательный арбитраж в основном использовался в секторе здравоохранения, когда Совет здравоохранения Норвегии установил, что опасности подвергается жизнь и здоровье граждан.  За период с 1994 по 2002 год обязательный арбитраж устанавливался в 16 случаях.  В 2003 году никаких подобных действий не предпринималось.</w:t>
      </w:r>
    </w:p>
    <w:p w:rsidR="00000000" w:rsidRDefault="00000000"/>
    <w:p w:rsidR="00000000" w:rsidRDefault="00000000">
      <w:r>
        <w:t>83.</w:t>
      </w:r>
      <w:r>
        <w:tab/>
        <w:t>Прежде в государственном секторе принимались меры, за которые Норвегия подвергалась критике со стороны, в числе прочих, Комитета экспертов в соответствии с Европейской социальной хартией, поскольку такие меры также затрагивали группы, чью забастовку нельзя было расценить как представляющую опасность для жизни и здоровья.  В секторе центрального правительства сторонами соглашений о заработной плате являются не индивидуальные ассоциации, а их конфедерации.  При одном общем коллективном соглашении о заработной плате, охватывающем многие различные группы трудящихся, невозможно остановить забастовку и решить спор только в интересах тех групп, чья забастовка представляет собой угрозу для жизни и здоровья (типичный случай для сектора здравоохранения).  С другой стороны, в муниципальном секторе возможность проводить такие различия существует.  В этом секторе одной из сторон соглашения о заработной плате с Норвежской ассоциацией органов местного самоуправления (которая проводит переговоры от имени муниципалитетов) является конкретная ассоциация, а не вся участвующая в переговорах конфедерация.  Таким образом, практика в данном секторе была изменена в 1998 году, с тем чтобы такая мера, как обязательный арбитраж, применялась только к тем группам, чья забастовка представляет собой угрозу для жизни и здоровья граждан.</w:t>
      </w:r>
    </w:p>
    <w:p w:rsidR="00000000" w:rsidRDefault="00000000"/>
    <w:p w:rsidR="00000000" w:rsidRDefault="00000000">
      <w:r>
        <w:t>84.</w:t>
      </w:r>
      <w:r>
        <w:tab/>
        <w:t>Кроме того, за период после предыдущего доклада аналогичные меры трижды принимались в нефтяном секторе.  Это были случаи, когда Норвегия столкнулась с вероятностью полной остановки добычи нефти и газа из континентального шельфа, что имело бы такие серьезные последствия, что применение обязательного арбитража не выходило за рамки Конвенции МОТ № 98 и Европейской социальной хартии.  Проведенные в то время оценки частично основывались на вероятности того, что государство понесет весьма значительные потери доходов, но также и на том, что возникала опасность подрыва доверия к Норвегии как к надежному поставщику газа и нефти.  Остановка добычи в Северном море незамедлительно приведет к тому, что Норвегия окажется не в состоянии выполнять свои обязательства по поставкам газа в ряд европейских государств.  Предлагается обратить внимание на постановление Верховного суда от 10 апреля 1997 года (приложение 19) и на решение Европейского суда по правам человека от 26 июня 2002 года (приложение 20).</w:t>
      </w:r>
    </w:p>
    <w:p w:rsidR="00000000" w:rsidRDefault="00000000"/>
    <w:p w:rsidR="00000000" w:rsidRDefault="00000000">
      <w:pPr>
        <w:pStyle w:val="Heading3"/>
        <w:rPr>
          <w:iCs/>
        </w:rPr>
      </w:pPr>
      <w:r>
        <w:rPr>
          <w:iCs/>
        </w:rPr>
        <w:t>Обязательное посредничество</w:t>
      </w:r>
    </w:p>
    <w:p w:rsidR="00000000" w:rsidRDefault="00000000">
      <w:pPr>
        <w:pStyle w:val="Heading3"/>
        <w:rPr>
          <w:iCs/>
        </w:rPr>
      </w:pPr>
    </w:p>
    <w:p w:rsidR="00000000" w:rsidRDefault="00000000">
      <w:r>
        <w:t>85.</w:t>
      </w:r>
      <w:r>
        <w:tab/>
        <w:t xml:space="preserve">Информация, касающаяся обязательного посредничества, содержится в пункте 108 третьего периодического доклада Норвегии.  </w:t>
      </w:r>
    </w:p>
    <w:p w:rsidR="00000000" w:rsidRDefault="00000000"/>
    <w:p w:rsidR="00000000" w:rsidRDefault="00000000">
      <w:pPr>
        <w:pStyle w:val="BodyText"/>
        <w:spacing w:line="288" w:lineRule="auto"/>
      </w:pPr>
      <w:r>
        <w:t>Законодательство, регулирующее осуществление права на забастовку определенными категориями трудящихся</w:t>
      </w:r>
    </w:p>
    <w:p w:rsidR="00000000" w:rsidRDefault="00000000">
      <w:pPr>
        <w:pStyle w:val="BodyText"/>
        <w:spacing w:line="288" w:lineRule="auto"/>
      </w:pPr>
    </w:p>
    <w:p w:rsidR="00000000" w:rsidRDefault="00000000">
      <w:r>
        <w:t>86.</w:t>
      </w:r>
      <w:r>
        <w:tab/>
        <w:t>Информация, касающаяся вооруженных сил и высокопоставленных гражданских служащих, содержится в пунктах 100 и 116-118 третьего периодического доклада Норвегии.  Запрещение права на забастовку сотрудников полиции было отменено, когда в 1995 году был принят новый Закон о полиции.  Таким образом, полиции было предоставлено право на забастовку наравне с другими профессиональными группами.</w:t>
      </w:r>
    </w:p>
    <w:p w:rsidR="00000000" w:rsidRDefault="00000000"/>
    <w:p w:rsidR="00000000" w:rsidRDefault="00000000">
      <w:pPr>
        <w:rPr>
          <w:b/>
          <w:bCs/>
        </w:rPr>
      </w:pPr>
      <w:r>
        <w:rPr>
          <w:b/>
          <w:bCs/>
        </w:rPr>
        <w:t>Пункт 4 Руководящих принципов (ограничения на осуществление права вступать в профсоюзы и создавать их, а также права на забастовку)</w:t>
      </w:r>
    </w:p>
    <w:p w:rsidR="00000000" w:rsidRDefault="00000000"/>
    <w:p w:rsidR="00000000" w:rsidRDefault="00000000">
      <w:r>
        <w:t>87.</w:t>
      </w:r>
      <w:r>
        <w:tab/>
        <w:t>Предлагается обратить внимание на информацию, содержащуюся выше в связи с пунктом 2 руководящих принципов.</w:t>
      </w:r>
    </w:p>
    <w:p w:rsidR="00000000" w:rsidRDefault="00000000"/>
    <w:p w:rsidR="00000000" w:rsidRDefault="00000000">
      <w:pPr>
        <w:rPr>
          <w:b/>
          <w:bCs/>
        </w:rPr>
      </w:pPr>
      <w:r>
        <w:rPr>
          <w:b/>
          <w:bCs/>
        </w:rPr>
        <w:t>Пункт 5 руководящих принципов (изменения, происшедшие со времени представления предыдущего доклада)</w:t>
      </w:r>
    </w:p>
    <w:p w:rsidR="00000000" w:rsidRDefault="00000000"/>
    <w:p w:rsidR="00000000" w:rsidRDefault="00000000">
      <w:pPr>
        <w:pStyle w:val="Heading3"/>
        <w:rPr>
          <w:iCs/>
        </w:rPr>
      </w:pPr>
      <w:r>
        <w:rPr>
          <w:iCs/>
        </w:rPr>
        <w:t>Законодательство</w:t>
      </w:r>
    </w:p>
    <w:p w:rsidR="00000000" w:rsidRDefault="00000000">
      <w:pPr>
        <w:pStyle w:val="Heading3"/>
        <w:rPr>
          <w:iCs/>
        </w:rPr>
      </w:pPr>
    </w:p>
    <w:p w:rsidR="00000000" w:rsidRDefault="00000000">
      <w:r>
        <w:t>88.</w:t>
      </w:r>
      <w:r>
        <w:tab/>
        <w:t xml:space="preserve">Как уже отмечалось выше, запрещение в отношении права на забастовку сотрудников полиции было отменено.  Кроме того, как упоминалось выше, в 1999 году был принят Закон о правах человека.  </w:t>
      </w:r>
    </w:p>
    <w:p w:rsidR="00000000" w:rsidRDefault="00000000"/>
    <w:p w:rsidR="00000000" w:rsidRDefault="00000000">
      <w:pPr>
        <w:pStyle w:val="Heading3"/>
        <w:rPr>
          <w:iCs/>
        </w:rPr>
      </w:pPr>
      <w:r>
        <w:rPr>
          <w:iCs/>
        </w:rPr>
        <w:t>Судебные решения</w:t>
      </w:r>
    </w:p>
    <w:p w:rsidR="00000000" w:rsidRDefault="00000000">
      <w:pPr>
        <w:pStyle w:val="Heading3"/>
        <w:rPr>
          <w:iCs/>
        </w:rPr>
      </w:pPr>
    </w:p>
    <w:p w:rsidR="00000000" w:rsidRDefault="00000000">
      <w:r>
        <w:t>89.</w:t>
      </w:r>
      <w:r>
        <w:tab/>
        <w:t>10 апреля 1997</w:t>
      </w:r>
      <w:r>
        <w:rPr>
          <w:lang w:val="en-US"/>
        </w:rPr>
        <w:t> </w:t>
      </w:r>
      <w:r>
        <w:t>года (</w:t>
      </w:r>
      <w:r>
        <w:rPr>
          <w:lang w:val="en-US"/>
        </w:rPr>
        <w:t>Norwegian</w:t>
      </w:r>
      <w:r>
        <w:t xml:space="preserve"> </w:t>
      </w:r>
      <w:r>
        <w:rPr>
          <w:lang w:val="en-US"/>
        </w:rPr>
        <w:t>Supreme</w:t>
      </w:r>
      <w:r>
        <w:t xml:space="preserve"> </w:t>
      </w:r>
      <w:r>
        <w:rPr>
          <w:lang w:val="en-US"/>
        </w:rPr>
        <w:t>Court</w:t>
      </w:r>
      <w:r>
        <w:t xml:space="preserve"> </w:t>
      </w:r>
      <w:r>
        <w:rPr>
          <w:lang w:val="en-US"/>
        </w:rPr>
        <w:t>Reports</w:t>
      </w:r>
      <w:r>
        <w:t xml:space="preserve"> 1997, </w:t>
      </w:r>
      <w:r>
        <w:rPr>
          <w:lang w:val="en-US"/>
        </w:rPr>
        <w:t>p</w:t>
      </w:r>
      <w:r>
        <w:t>. 580) Верховный суд вынес постановление по делу Федерация профсоюзов нефтяников (ФПН) против государства.  В своем постановлении Верховный суд определил, что использование обязательного арбитража в нефтяном секторе в 1994 году не являлось нарушением международных правовых обязательств Норвегии.  Копия постановления прилагается к настоящему докладу в виде приложения 19.</w:t>
      </w:r>
    </w:p>
    <w:p w:rsidR="00000000" w:rsidRDefault="00000000"/>
    <w:p w:rsidR="00000000" w:rsidRDefault="00000000">
      <w:r>
        <w:t>90.</w:t>
      </w:r>
      <w:r>
        <w:tab/>
        <w:t>Позднее данное дело было представлено на рассмотрение Европейского суда по правам человека.  Профсоюз утверждал, что вмешательство в осуществление права на забастовку является нарушением статьи 11 Европейской конвенции о правах человека (ЕКПЧ).  В своем решении от 26 июня 2002 года Суд в порядке суммарного производства отклонил данное дело как являющееся явно необоснованным, поскольку он установил, что применение Норвегией принудительного арбитража в 1994 году не представляло собой нарушения статьи 11 ЕКПЧ (см. приложение 20).</w:t>
      </w:r>
    </w:p>
    <w:p w:rsidR="00000000" w:rsidRDefault="00000000"/>
    <w:p w:rsidR="00000000" w:rsidRDefault="00000000">
      <w:r>
        <w:t>91.</w:t>
      </w:r>
      <w:r>
        <w:tab/>
        <w:t>В двух последующих решениях Верховного суда были установлены как позитивные, так и негативные аспекты права на вступление в профсоюзы и на создание профсоюзов.</w:t>
      </w:r>
    </w:p>
    <w:p w:rsidR="00000000" w:rsidRDefault="00000000"/>
    <w:p w:rsidR="00000000" w:rsidRDefault="00000000">
      <w:pPr>
        <w:pStyle w:val="Heading3"/>
        <w:rPr>
          <w:iCs/>
        </w:rPr>
      </w:pPr>
      <w:r>
        <w:rPr>
          <w:iCs/>
        </w:rPr>
        <w:t>Официальные комитеты и доклады</w:t>
      </w:r>
    </w:p>
    <w:p w:rsidR="00000000" w:rsidRDefault="00000000">
      <w:pPr>
        <w:pStyle w:val="Heading3"/>
        <w:rPr>
          <w:iCs/>
        </w:rPr>
      </w:pPr>
    </w:p>
    <w:p w:rsidR="00000000" w:rsidRDefault="00000000">
      <w:r>
        <w:t>92.</w:t>
      </w:r>
      <w:r>
        <w:tab/>
        <w:t>Весной 2001</w:t>
      </w:r>
      <w:r>
        <w:rPr>
          <w:lang w:val="en-US"/>
        </w:rPr>
        <w:t> </w:t>
      </w:r>
      <w:r>
        <w:t>года свой доклад (</w:t>
      </w:r>
      <w:r>
        <w:rPr>
          <w:lang w:val="en-US"/>
        </w:rPr>
        <w:t>Norwegian</w:t>
      </w:r>
      <w:r>
        <w:t xml:space="preserve"> </w:t>
      </w:r>
      <w:r>
        <w:rPr>
          <w:lang w:val="en-US"/>
        </w:rPr>
        <w:t>Official</w:t>
      </w:r>
      <w:r>
        <w:t xml:space="preserve"> </w:t>
      </w:r>
      <w:r>
        <w:rPr>
          <w:lang w:val="en-US"/>
        </w:rPr>
        <w:t>Report</w:t>
      </w:r>
      <w:r>
        <w:t xml:space="preserve"> (</w:t>
      </w:r>
      <w:r>
        <w:rPr>
          <w:lang w:val="en-US"/>
        </w:rPr>
        <w:t>NOU</w:t>
      </w:r>
      <w:r>
        <w:t>) 2001:14) представил Комитет, назначенный для пересмотра системы заключения коллективных договоров (так называемый Комитет Стабеля).  В составе Комитета были представлены все крупнейшие организации работников и работодателей.  Его задачей было проанализировать существующую систему заключения коллективных договоров, а также разработать основу для коллективных переговоров о заработной плате и в случае необходимости предложить поправки к существующей практике.  Кроме того, Комитет обсудил международные правовые обязательства Норвегии.</w:t>
      </w:r>
    </w:p>
    <w:p w:rsidR="00000000" w:rsidRDefault="00000000"/>
    <w:p w:rsidR="00000000" w:rsidRDefault="00000000">
      <w:r>
        <w:t>93.</w:t>
      </w:r>
      <w:r>
        <w:tab/>
        <w:t xml:space="preserve">В целом, Комитет пришел к удовлетворительному мнению о существующей в Норвегии системе, однако предложил внести некоторые изменения в систему посредничества.  В систему был внесен ряд незначительных поправок, а большинство противоречивых предложений было отклонено из-за значительной оппозиции.  </w:t>
      </w:r>
    </w:p>
    <w:p w:rsidR="00000000" w:rsidRDefault="00000000"/>
    <w:p w:rsidR="00000000" w:rsidRDefault="00000000">
      <w:r>
        <w:t>94.</w:t>
      </w:r>
      <w:r>
        <w:tab/>
        <w:t xml:space="preserve">В 2003 году были внесены поправки в Закон о трудовых спорах.  Председатель и заместитель председателя суда по производственным конфликтам отныне назначаются не на фиксированный срок, а на неограниченный период времени наравне с остальными норвежскими судьями. </w:t>
      </w:r>
    </w:p>
    <w:p w:rsidR="00000000" w:rsidRDefault="00000000"/>
    <w:p w:rsidR="00000000" w:rsidRDefault="00000000">
      <w:r>
        <w:t>95.</w:t>
      </w:r>
      <w:r>
        <w:tab/>
        <w:t>Предлагается обратить внимание на пункт 113 третьего периодического доклада Норвегии.  В 1996 году Совет по трудовому законодательству представил принципы, касающиеся нового закона о трудовых спорах (</w:t>
      </w:r>
      <w:r>
        <w:rPr>
          <w:lang w:val="en-US"/>
        </w:rPr>
        <w:t>NOU</w:t>
      </w:r>
      <w:r>
        <w:t xml:space="preserve"> 1996:14).  Совет предложил ряд поправок к действующему законодательству, однако его предложения столкнулись со значительной оппозицией и не получили поддержки.  Вышеупомянутый Комитет Стабеля также рассмотрел эти предложения, однако в силу ряда причин решил не рекомендовать их для последующего осуществления.</w:t>
      </w:r>
    </w:p>
    <w:p w:rsidR="00000000" w:rsidRDefault="00000000"/>
    <w:p w:rsidR="00000000" w:rsidRDefault="00000000">
      <w:pPr>
        <w:pStyle w:val="Heading1"/>
        <w:jc w:val="center"/>
        <w:rPr>
          <w:bCs/>
        </w:rPr>
      </w:pPr>
      <w:r>
        <w:rPr>
          <w:bCs/>
        </w:rPr>
        <w:t>Статья 9.  Социальное обеспечение</w:t>
      </w:r>
    </w:p>
    <w:p w:rsidR="00000000" w:rsidRDefault="00000000">
      <w:pPr>
        <w:pStyle w:val="Heading1"/>
        <w:rPr>
          <w:bCs/>
        </w:rPr>
      </w:pPr>
    </w:p>
    <w:p w:rsidR="00000000" w:rsidRDefault="00000000">
      <w:r>
        <w:t>96.</w:t>
      </w:r>
      <w:r>
        <w:tab/>
        <w:t>Предлагается обратить внимание на пункты 120-220 третьего периодического доклада Норвегии, а также на представленные Норвегией доклады о выполнении конвенций МОТ № 102 о минимальных нормах социального обеспечения (приложение 21), № 128 о пособиях по инвалидности, по старости и по случаю потери кормильца (приложение 22), № 130 о медицинской помощи и пособиях по болезни (приложение 23) и № 168 о содействии занятости и защите от безработицы (приложение 24).</w:t>
      </w:r>
    </w:p>
    <w:p w:rsidR="00000000" w:rsidRDefault="00000000"/>
    <w:p w:rsidR="00000000" w:rsidRDefault="00000000">
      <w:pPr>
        <w:rPr>
          <w:b/>
          <w:bCs/>
        </w:rPr>
      </w:pPr>
      <w:r>
        <w:rPr>
          <w:b/>
          <w:bCs/>
        </w:rPr>
        <w:t>Пункт 2 руководящих принципов (категории социального обеспечения)</w:t>
      </w:r>
    </w:p>
    <w:p w:rsidR="00000000" w:rsidRDefault="00000000"/>
    <w:p w:rsidR="00000000" w:rsidRDefault="00000000">
      <w:r>
        <w:t>97.</w:t>
      </w:r>
      <w:r>
        <w:tab/>
        <w:t>Предлагается обратить внимание на брошюру, озаглавленную "Система социального страхования Норвегии, обследование, 2003 год" (приложение 25).  Как отмечается в этой брошюре, система социального обеспечения охватывает все категории социального страхования, упомянутые в пункте 2 руководящих принципов.  Кроме того, Национальная система страхования включает в себя пособия по профессиональной и медицинской реабилитации (см. приложение 25, глава 7), пособие для одиноких родителей (глава 12), единовременное пособие на похороны (глава 13) и аванс в связи с содержанием детей (глава 14).</w:t>
      </w:r>
    </w:p>
    <w:p w:rsidR="00000000" w:rsidRDefault="00000000"/>
    <w:p w:rsidR="00000000" w:rsidRDefault="00000000">
      <w:pPr>
        <w:rPr>
          <w:b/>
          <w:bCs/>
        </w:rPr>
      </w:pPr>
      <w:r>
        <w:rPr>
          <w:b/>
          <w:bCs/>
        </w:rPr>
        <w:t>Пункт 3 Руководящих принципов (основные особенности действующих программ социального обеспечения)</w:t>
      </w:r>
    </w:p>
    <w:p w:rsidR="00000000" w:rsidRDefault="00000000"/>
    <w:p w:rsidR="00000000" w:rsidRDefault="00000000">
      <w:pPr>
        <w:rPr>
          <w:i/>
          <w:iCs/>
        </w:rPr>
      </w:pPr>
      <w:r>
        <w:rPr>
          <w:i/>
          <w:iCs/>
        </w:rPr>
        <w:t>Общая информация</w:t>
      </w:r>
    </w:p>
    <w:p w:rsidR="00000000" w:rsidRDefault="00000000">
      <w:pPr>
        <w:rPr>
          <w:i/>
          <w:iCs/>
        </w:rPr>
      </w:pPr>
    </w:p>
    <w:p w:rsidR="00000000" w:rsidRDefault="00000000">
      <w:r>
        <w:t>98.</w:t>
      </w:r>
      <w:r>
        <w:tab/>
        <w:t>В соответствии с Законом о национальном страховании от 1997 года каждое проживающее и работающее в Норвегии лицо охвачено системой национального страхования.  Кроме того, каждое проживающее в государстве лицо в принципе охвачено Законом о пособии на ребенка от 2002 года.</w:t>
      </w:r>
    </w:p>
    <w:p w:rsidR="00000000" w:rsidRDefault="00000000"/>
    <w:p w:rsidR="00000000" w:rsidRDefault="00000000">
      <w:r>
        <w:t>99.</w:t>
      </w:r>
      <w:r>
        <w:tab/>
        <w:t>Многие пособия по социальному страхованию начисляются по отношению к минимальной сумме (МС), которая определена в Законе о национальном страховании.  Например, при расчете размера пособий по болезни доход от оплачиваемой работы, который принимается во внимание, ограничивается этой минимальной суммой в шестикратном размере (6 МС).  На основе минимальной суммы также рассчитываются пенсии.</w:t>
      </w:r>
    </w:p>
    <w:p w:rsidR="00000000" w:rsidRDefault="00000000"/>
    <w:p w:rsidR="00000000" w:rsidRDefault="00000000">
      <w:r>
        <w:t>100.</w:t>
      </w:r>
      <w:r>
        <w:tab/>
        <w:t>Минимальная сумма пересматривается стортингом один или несколько раз в год с учетом инфляции и общего увеличения уровня доходов.  Таким образом, функция минимальной суммы состоит в том, чтобы доход пенсионеров и других получающих пособие лиц увеличивался приблизительно в той же пропорции, что и доходы работающего населения.</w:t>
      </w:r>
    </w:p>
    <w:p w:rsidR="00000000" w:rsidRDefault="00000000"/>
    <w:p w:rsidR="00000000" w:rsidRDefault="00000000">
      <w:r>
        <w:t>101.</w:t>
      </w:r>
      <w:r>
        <w:tab/>
        <w:t xml:space="preserve">В нижеприведенной таблице показана динамика роста минимальной суммы начиная </w:t>
      </w:r>
    </w:p>
    <w:p w:rsidR="00000000" w:rsidRDefault="00000000">
      <w:r>
        <w:t>с 1994 года:</w:t>
      </w:r>
    </w:p>
    <w:p w:rsidR="00000000" w:rsidRDefault="00000000"/>
    <w:tbl>
      <w:tblPr>
        <w:tblW w:w="0" w:type="auto"/>
        <w:tblInd w:w="598" w:type="dxa"/>
        <w:tblLook w:val="0000" w:firstRow="0" w:lastRow="0" w:firstColumn="0" w:lastColumn="0" w:noHBand="0" w:noVBand="0"/>
      </w:tblPr>
      <w:tblGrid>
        <w:gridCol w:w="2186"/>
        <w:gridCol w:w="2186"/>
      </w:tblGrid>
      <w:tr w:rsidR="00000000">
        <w:tblPrEx>
          <w:tblCellMar>
            <w:top w:w="0" w:type="dxa"/>
            <w:bottom w:w="0" w:type="dxa"/>
          </w:tblCellMar>
        </w:tblPrEx>
        <w:tc>
          <w:tcPr>
            <w:tcW w:w="2186" w:type="dxa"/>
          </w:tcPr>
          <w:p w:rsidR="00000000" w:rsidRDefault="00000000">
            <w:r>
              <w:t>01.05.1994</w:t>
            </w:r>
          </w:p>
        </w:tc>
        <w:tc>
          <w:tcPr>
            <w:tcW w:w="2186" w:type="dxa"/>
          </w:tcPr>
          <w:p w:rsidR="00000000" w:rsidRDefault="00000000">
            <w:r>
              <w:t>38 080 нор. крон</w:t>
            </w:r>
          </w:p>
        </w:tc>
      </w:tr>
      <w:tr w:rsidR="00000000">
        <w:tblPrEx>
          <w:tblCellMar>
            <w:top w:w="0" w:type="dxa"/>
            <w:bottom w:w="0" w:type="dxa"/>
          </w:tblCellMar>
        </w:tblPrEx>
        <w:tc>
          <w:tcPr>
            <w:tcW w:w="2186" w:type="dxa"/>
          </w:tcPr>
          <w:p w:rsidR="00000000" w:rsidRDefault="00000000">
            <w:r>
              <w:t>01.05.1995</w:t>
            </w:r>
          </w:p>
        </w:tc>
        <w:tc>
          <w:tcPr>
            <w:tcW w:w="2186" w:type="dxa"/>
          </w:tcPr>
          <w:p w:rsidR="00000000" w:rsidRDefault="00000000">
            <w:r>
              <w:t>29 230 нор. крон</w:t>
            </w:r>
          </w:p>
        </w:tc>
      </w:tr>
      <w:tr w:rsidR="00000000">
        <w:tblPrEx>
          <w:tblCellMar>
            <w:top w:w="0" w:type="dxa"/>
            <w:bottom w:w="0" w:type="dxa"/>
          </w:tblCellMar>
        </w:tblPrEx>
        <w:tc>
          <w:tcPr>
            <w:tcW w:w="2186" w:type="dxa"/>
          </w:tcPr>
          <w:p w:rsidR="00000000" w:rsidRDefault="00000000">
            <w:r>
              <w:t>01.05.1996</w:t>
            </w:r>
          </w:p>
        </w:tc>
        <w:tc>
          <w:tcPr>
            <w:tcW w:w="2186" w:type="dxa"/>
          </w:tcPr>
          <w:p w:rsidR="00000000" w:rsidRDefault="00000000">
            <w:r>
              <w:t>41 000 нор. крон</w:t>
            </w:r>
          </w:p>
        </w:tc>
      </w:tr>
      <w:tr w:rsidR="00000000">
        <w:tblPrEx>
          <w:tblCellMar>
            <w:top w:w="0" w:type="dxa"/>
            <w:bottom w:w="0" w:type="dxa"/>
          </w:tblCellMar>
        </w:tblPrEx>
        <w:tc>
          <w:tcPr>
            <w:tcW w:w="2186" w:type="dxa"/>
          </w:tcPr>
          <w:p w:rsidR="00000000" w:rsidRDefault="00000000">
            <w:r>
              <w:t>01.05.1997</w:t>
            </w:r>
          </w:p>
        </w:tc>
        <w:tc>
          <w:tcPr>
            <w:tcW w:w="2186" w:type="dxa"/>
          </w:tcPr>
          <w:p w:rsidR="00000000" w:rsidRDefault="00000000">
            <w:r>
              <w:t>42 500 нор. крон</w:t>
            </w:r>
          </w:p>
        </w:tc>
      </w:tr>
      <w:tr w:rsidR="00000000">
        <w:tblPrEx>
          <w:tblCellMar>
            <w:top w:w="0" w:type="dxa"/>
            <w:bottom w:w="0" w:type="dxa"/>
          </w:tblCellMar>
        </w:tblPrEx>
        <w:tc>
          <w:tcPr>
            <w:tcW w:w="2186" w:type="dxa"/>
          </w:tcPr>
          <w:p w:rsidR="00000000" w:rsidRDefault="00000000">
            <w:r>
              <w:t>01.05.1998</w:t>
            </w:r>
          </w:p>
        </w:tc>
        <w:tc>
          <w:tcPr>
            <w:tcW w:w="2186" w:type="dxa"/>
          </w:tcPr>
          <w:p w:rsidR="00000000" w:rsidRDefault="00000000">
            <w:r>
              <w:t>45 370 нор. крон</w:t>
            </w:r>
          </w:p>
        </w:tc>
      </w:tr>
      <w:tr w:rsidR="00000000">
        <w:tblPrEx>
          <w:tblCellMar>
            <w:top w:w="0" w:type="dxa"/>
            <w:bottom w:w="0" w:type="dxa"/>
          </w:tblCellMar>
        </w:tblPrEx>
        <w:tc>
          <w:tcPr>
            <w:tcW w:w="2186" w:type="dxa"/>
          </w:tcPr>
          <w:p w:rsidR="00000000" w:rsidRDefault="00000000">
            <w:r>
              <w:t>01.05.1999</w:t>
            </w:r>
          </w:p>
        </w:tc>
        <w:tc>
          <w:tcPr>
            <w:tcW w:w="2186" w:type="dxa"/>
          </w:tcPr>
          <w:p w:rsidR="00000000" w:rsidRDefault="00000000">
            <w:r>
              <w:t>46 950 нор. крон</w:t>
            </w:r>
          </w:p>
        </w:tc>
      </w:tr>
      <w:tr w:rsidR="00000000">
        <w:tblPrEx>
          <w:tblCellMar>
            <w:top w:w="0" w:type="dxa"/>
            <w:bottom w:w="0" w:type="dxa"/>
          </w:tblCellMar>
        </w:tblPrEx>
        <w:tc>
          <w:tcPr>
            <w:tcW w:w="2186" w:type="dxa"/>
          </w:tcPr>
          <w:p w:rsidR="00000000" w:rsidRDefault="00000000">
            <w:r>
              <w:t>01.05.2000</w:t>
            </w:r>
          </w:p>
        </w:tc>
        <w:tc>
          <w:tcPr>
            <w:tcW w:w="2186" w:type="dxa"/>
          </w:tcPr>
          <w:p w:rsidR="00000000" w:rsidRDefault="00000000">
            <w:r>
              <w:t>49 090 нор. крон</w:t>
            </w:r>
          </w:p>
        </w:tc>
      </w:tr>
      <w:tr w:rsidR="00000000">
        <w:tblPrEx>
          <w:tblCellMar>
            <w:top w:w="0" w:type="dxa"/>
            <w:bottom w:w="0" w:type="dxa"/>
          </w:tblCellMar>
        </w:tblPrEx>
        <w:tc>
          <w:tcPr>
            <w:tcW w:w="2186" w:type="dxa"/>
          </w:tcPr>
          <w:p w:rsidR="00000000" w:rsidRDefault="00000000">
            <w:r>
              <w:t>01.05.2001</w:t>
            </w:r>
          </w:p>
        </w:tc>
        <w:tc>
          <w:tcPr>
            <w:tcW w:w="2186" w:type="dxa"/>
          </w:tcPr>
          <w:p w:rsidR="00000000" w:rsidRDefault="00000000">
            <w:r>
              <w:t>51 360 нор. крон</w:t>
            </w:r>
          </w:p>
        </w:tc>
      </w:tr>
      <w:tr w:rsidR="00000000">
        <w:tblPrEx>
          <w:tblCellMar>
            <w:top w:w="0" w:type="dxa"/>
            <w:bottom w:w="0" w:type="dxa"/>
          </w:tblCellMar>
        </w:tblPrEx>
        <w:tc>
          <w:tcPr>
            <w:tcW w:w="2186" w:type="dxa"/>
          </w:tcPr>
          <w:p w:rsidR="00000000" w:rsidRDefault="00000000">
            <w:r>
              <w:t>01.05.2002</w:t>
            </w:r>
          </w:p>
        </w:tc>
        <w:tc>
          <w:tcPr>
            <w:tcW w:w="2186" w:type="dxa"/>
          </w:tcPr>
          <w:p w:rsidR="00000000" w:rsidRDefault="00000000">
            <w:r>
              <w:t>54 170 нор. крон</w:t>
            </w:r>
          </w:p>
        </w:tc>
      </w:tr>
      <w:tr w:rsidR="00000000">
        <w:tblPrEx>
          <w:tblCellMar>
            <w:top w:w="0" w:type="dxa"/>
            <w:bottom w:w="0" w:type="dxa"/>
          </w:tblCellMar>
        </w:tblPrEx>
        <w:tc>
          <w:tcPr>
            <w:tcW w:w="2186" w:type="dxa"/>
          </w:tcPr>
          <w:p w:rsidR="00000000" w:rsidRDefault="00000000">
            <w:r>
              <w:t>01.05.2003</w:t>
            </w:r>
          </w:p>
        </w:tc>
        <w:tc>
          <w:tcPr>
            <w:tcW w:w="2186" w:type="dxa"/>
          </w:tcPr>
          <w:p w:rsidR="00000000" w:rsidRDefault="00000000">
            <w:r>
              <w:t>56 862 нор. крон</w:t>
            </w:r>
          </w:p>
        </w:tc>
      </w:tr>
    </w:tbl>
    <w:p w:rsidR="00000000" w:rsidRDefault="00000000"/>
    <w:p w:rsidR="00000000" w:rsidRDefault="00000000">
      <w:r>
        <w:t>102.</w:t>
      </w:r>
      <w:r>
        <w:tab/>
        <w:t>Административные решения, касающиеся пособий по норвежскому социальному обеспечению, могут быть обжалованы в Апелляционном страховом суде согласно Закону № 9 от 16 декабря 1966 года относительно процедуры обжалования в этом органе.  Апелляционный страховой суд является независимым административным учреждением.  Решения, вынесенные этим судом, могут в свою очередь передаваться на рассмотрение обычных судов.</w:t>
      </w:r>
    </w:p>
    <w:p w:rsidR="00000000" w:rsidRDefault="00000000"/>
    <w:p w:rsidR="00000000" w:rsidRDefault="00000000">
      <w:pPr>
        <w:rPr>
          <w:b/>
          <w:bCs/>
        </w:rPr>
      </w:pPr>
      <w:r>
        <w:rPr>
          <w:b/>
          <w:bCs/>
        </w:rPr>
        <w:t>Пункт 4 руководящих принципов (финансирование системы социального обеспечения и расходы, связанные с социальным обеспечением)</w:t>
      </w:r>
    </w:p>
    <w:p w:rsidR="00000000" w:rsidRDefault="00000000"/>
    <w:p w:rsidR="00000000" w:rsidRDefault="00000000">
      <w:r>
        <w:t>103.</w:t>
      </w:r>
      <w:r>
        <w:tab/>
        <w:t>Национальная система страхования финансируется национальными страховыми взносами, поступающими от работодателей, работников, лиц, работающих не по найму, и других участников национальной системы страхования, а также за счет государственных субсидий.  Размеры взносов и государственных субсидий устанавливаются стортингом.  Нижеприведенные цифры относятся к 2002 году.</w:t>
      </w:r>
    </w:p>
    <w:p w:rsidR="00000000" w:rsidRDefault="00000000"/>
    <w:p w:rsidR="00000000" w:rsidRDefault="00000000">
      <w:r>
        <w:t>104.</w:t>
      </w:r>
      <w:r>
        <w:tab/>
        <w:t>Национальные страховые взносы для трудящихся и лиц, работающих не по найму, исчисляются на основе зачитываемых для пенсии доходов.  Взносы с зачитываемых для пенсии доходов не взимаются, если доход составляет ниже 23 000 нор. крон.  Взнос не должен превышать 25% любого дохода, превышающего эту сумму.  Пособия по болезни, пособия по беременности и родам и пособия по безработице являются зачитываемыми для пенсии доходами.</w:t>
      </w:r>
    </w:p>
    <w:p w:rsidR="00000000" w:rsidRDefault="00000000"/>
    <w:p w:rsidR="00000000" w:rsidRDefault="00000000">
      <w:r>
        <w:t>105.</w:t>
      </w:r>
      <w:r>
        <w:tab/>
        <w:t xml:space="preserve">Национальный страховой взнос, выплачиваемый наемными трудящимися, составляет </w:t>
      </w:r>
      <w:proofErr w:type="spellStart"/>
      <w:r>
        <w:t>7,8%</w:t>
      </w:r>
      <w:proofErr w:type="spellEnd"/>
      <w:r>
        <w:t xml:space="preserve"> от зачитываемых для пенсии доходов (заработная плата до удержания налогов).  Для лиц, работающих не по найму, размер взноса составляет </w:t>
      </w:r>
      <w:proofErr w:type="spellStart"/>
      <w:r>
        <w:t>10,7%</w:t>
      </w:r>
      <w:proofErr w:type="spellEnd"/>
      <w:r>
        <w:t xml:space="preserve"> от зачитываемых для пенсии доходов (чистых доходов от самостоятельной предпринимательской деятельности) при доходе до 12 МС и 7,8% от доходов, превышающих 12 МС.  Как правило, в тех случаях, когда размер зачитываемых для пенсии доходов превышает установленный максимум (соответственно 16 МС, 75 МС и/или 134 МС для различных категорий работающих не по найму лиц) национальные страховые взносы не выплачиваются.  В отношении других личных доходов (пенсий и т.п.) доля взносов составляет 3,0%.</w:t>
      </w:r>
    </w:p>
    <w:p w:rsidR="00000000" w:rsidRDefault="00000000"/>
    <w:p w:rsidR="00000000" w:rsidRDefault="00000000">
      <w:r>
        <w:t>106.</w:t>
      </w:r>
      <w:r>
        <w:tab/>
        <w:t>Национальные страховые взносы работодателя определяются в качестве процентной доли от выплачиваемой им зарплаты.  Этот взнос колеблется в пределах от 14,1% до 0,0% в зависимости от района проживания работника.  Норвегия разделена на пять региональных зон на основе географических и экономических критериев.  Работодатели выплачивают более низкие страховые взносы за трудящихся, достигших 62-летнего возраста.  Эти ставки также различаются в зависимости от региона проживания работника.  В определенных отраслях предприятия должны выплачивать взносы работодателей по наивысшей ставке (14,1% или 10,1% за работников в возрасте 62 лет и старше), независимо от места проживания работника.  Кроме того, с заработных плат, превышающих 16 МС, выплачивается специальный взнос в размере 12,5% с превышающей суммы.</w:t>
      </w:r>
    </w:p>
    <w:p w:rsidR="00000000" w:rsidRDefault="00000000"/>
    <w:p w:rsidR="00000000" w:rsidRDefault="00000000">
      <w:r>
        <w:t>107.</w:t>
      </w:r>
      <w:r>
        <w:tab/>
        <w:t>Пособия многодетным семьям или денежные пособия семьям с маленькими детьми финансируются из государственного бюджета.</w:t>
      </w:r>
    </w:p>
    <w:p w:rsidR="00000000" w:rsidRDefault="00000000"/>
    <w:p w:rsidR="00000000" w:rsidRDefault="00000000">
      <w:r>
        <w:t>108.</w:t>
      </w:r>
      <w:r>
        <w:tab/>
        <w:t>В 2002 году общий размер национальных затрат на страхование составил приблизительно 192 490 млн. нор. крон.  Эта сумма представляла собой приблизительно 34,2% от совокупных расходов государства и национальных страховых бюджетов и приблизительно 12,6% от валового внутреннего продукта.  В 2002 году государственная субсидия Национальной системе страхования составила приблизительно 53 391 млн. нор. крон, или около 27,7% от всех национальных страховых расходов.</w:t>
      </w:r>
    </w:p>
    <w:p w:rsidR="00000000" w:rsidRDefault="00000000"/>
    <w:p w:rsidR="00000000" w:rsidRDefault="00000000">
      <w:r>
        <w:t>109.</w:t>
      </w:r>
      <w:r>
        <w:tab/>
        <w:t>Для сравнения, в 1988 году общая сумма национальных страховых расходов составляла 99 362 млн. нор. крон, или приблизительно 36,1% от совокупных расходов государства и национальных страховых бюджетов и 16,4% от валового внутреннего продукта.  В 1988 году государственная субсидия, выплаченная Национальной системе страхования, составила 20 514 млн. нор. крон, или 20,6% от общих национальных расходов на страхование.</w:t>
      </w:r>
    </w:p>
    <w:p w:rsidR="00000000" w:rsidRDefault="00000000"/>
    <w:p w:rsidR="00000000" w:rsidRDefault="00000000">
      <w:r>
        <w:t>110.</w:t>
      </w:r>
      <w:r>
        <w:tab/>
        <w:t>За отчетный период был отмечен рост как количества получателей пособий, так и размера индивидуальных выплат.  Увеличение пенсионных выплат отчасти объясняется достижением уровня полного развития Национальной системы страхования (лица, входящие в состав более молодых когорт, имели возможность накопить большее количество лет, за которые осуществлялись взносы, и таким образом имеют право на более высокие дополнительные пенсии) и отчасти за счет увеличения ставок пособий, особенно ставок, касающихся специальных надбавок.</w:t>
      </w:r>
    </w:p>
    <w:p w:rsidR="00000000" w:rsidRDefault="00000000"/>
    <w:p w:rsidR="00000000" w:rsidRDefault="00000000">
      <w:pPr>
        <w:rPr>
          <w:b/>
          <w:bCs/>
        </w:rPr>
      </w:pPr>
      <w:r>
        <w:rPr>
          <w:b/>
          <w:bCs/>
        </w:rPr>
        <w:t>Пункт 5 руководящих принципов (неофициальные (частные) меры)</w:t>
      </w:r>
    </w:p>
    <w:p w:rsidR="00000000" w:rsidRDefault="00000000"/>
    <w:p w:rsidR="00000000" w:rsidRDefault="00000000">
      <w:r>
        <w:t>111.</w:t>
      </w:r>
      <w:r>
        <w:tab/>
        <w:t>Согласно оценкам, приблизительно более половины работающего населения охвачены одной или несколькими программами частного или государственного (для государственных служащих) пенсионного обеспечения, дополняющими пенсии, выплачиваемые в рамках национального пенсионного страхования, о котором говорилось выше.</w:t>
      </w:r>
    </w:p>
    <w:p w:rsidR="00000000" w:rsidRDefault="00000000"/>
    <w:p w:rsidR="00000000" w:rsidRDefault="00000000">
      <w:pPr>
        <w:rPr>
          <w:b/>
          <w:bCs/>
        </w:rPr>
      </w:pPr>
      <w:r>
        <w:rPr>
          <w:b/>
          <w:bCs/>
        </w:rPr>
        <w:t>Пункт 6 руководящих принципов (группы, находящиеся в неблагоприятном положении)</w:t>
      </w:r>
    </w:p>
    <w:p w:rsidR="00000000" w:rsidRDefault="00000000"/>
    <w:p w:rsidR="00000000" w:rsidRDefault="00000000">
      <w:r>
        <w:t>112.</w:t>
      </w:r>
      <w:r>
        <w:tab/>
        <w:t>Национальная система страхования распространяется на всех лиц, проживающих или работающих в Норвегии.  Положения Закона о национальном страховании распространяются в равной мере на мужчин и женщин, за исключением, разумеется, пособий, выплачиваемых по беременности и родам.</w:t>
      </w:r>
    </w:p>
    <w:p w:rsidR="00000000" w:rsidRDefault="00000000"/>
    <w:p w:rsidR="00000000" w:rsidRDefault="00000000">
      <w:pPr>
        <w:rPr>
          <w:i/>
          <w:iCs/>
        </w:rPr>
      </w:pPr>
      <w:r>
        <w:rPr>
          <w:i/>
          <w:iCs/>
        </w:rPr>
        <w:t>Социальное обеспечение</w:t>
      </w:r>
    </w:p>
    <w:p w:rsidR="00000000" w:rsidRDefault="00000000">
      <w:pPr>
        <w:rPr>
          <w:i/>
          <w:iCs/>
        </w:rPr>
      </w:pPr>
    </w:p>
    <w:p w:rsidR="00000000" w:rsidRDefault="00000000">
      <w:r>
        <w:t>113.</w:t>
      </w:r>
      <w:r>
        <w:tab/>
        <w:t>Лица, которые не могут обеспечить себя за счет труда или защитить свои экономические права, включая право на социальное обеспечение, имеют право получать финансовую и социальную помощь.  Это право установлено Законом 1991 года о социальных услугах и т.п.  Ответственность за предоставление финансовой и социальной помощи возложена на администрацию служб социального обеспечения на муниципальном уровне.  В Законе не содержится каких-либо руководящих принципов относительно уровня предоставляемой финансовой помощи, однако он основан на принципе обеспечения каждому лицу удовлетворительного уровня жизни.  Вопрос о том, что именно подразумевается под удовлетворительным уровнем жизни, определяется на основе оценки индивидуальных потребностей каждого заявителя.  Финансовая и социальная помощь является дополнительным пособием для отдельных получателей и представляет собой наиболее низкую степень системы социальной финансовой защиты в программах социального обеспечения.</w:t>
      </w:r>
    </w:p>
    <w:p w:rsidR="00000000" w:rsidRDefault="00000000"/>
    <w:p w:rsidR="00000000" w:rsidRDefault="00000000">
      <w:r>
        <w:t>114.</w:t>
      </w:r>
      <w:r>
        <w:tab/>
        <w:t>В 1998 году правительством через министерство социальных дел были изданы руководящие принципы для муниципальных органов в виде инструкций, позволяющих определить расходы, охватываемые термином "уровень жизни" в Законе о социальных услугах.  В 2001 году министерство издало руководящие принципы в виде рекомендуемых ставок финансовой помощи.  Государственные руководящие принципы учитывают текущие повседневные расходы.  В основу для расчетов не закладываются жилищные расходы, расходы, связанные с оплатой электричества и отопления, и т.п., а также особые расходы.  Руководящие принципы устанавливают следующие рекомендуемые ежемесячные ставки выплат, начиная с 1 января 2002 года:</w:t>
      </w:r>
    </w:p>
    <w:p w:rsidR="00000000" w:rsidRDefault="00000000"/>
    <w:tbl>
      <w:tblPr>
        <w:tblW w:w="9411" w:type="dxa"/>
        <w:tblLayout w:type="fixed"/>
        <w:tblCellMar>
          <w:left w:w="28" w:type="dxa"/>
          <w:right w:w="28" w:type="dxa"/>
        </w:tblCellMar>
        <w:tblLook w:val="0000" w:firstRow="0" w:lastRow="0" w:firstColumn="0" w:lastColumn="0" w:noHBand="0" w:noVBand="0"/>
      </w:tblPr>
      <w:tblGrid>
        <w:gridCol w:w="5415"/>
        <w:gridCol w:w="3996"/>
      </w:tblGrid>
      <w:tr w:rsidR="00000000">
        <w:tblPrEx>
          <w:tblCellMar>
            <w:top w:w="0" w:type="dxa"/>
            <w:bottom w:w="0" w:type="dxa"/>
          </w:tblCellMar>
        </w:tblPrEx>
        <w:trPr>
          <w:cantSplit/>
        </w:trPr>
        <w:tc>
          <w:tcPr>
            <w:tcW w:w="5415" w:type="dxa"/>
          </w:tcPr>
          <w:p w:rsidR="00000000" w:rsidRDefault="00000000">
            <w:r>
              <w:tab/>
              <w:t>Одинокие лица</w:t>
            </w:r>
          </w:p>
        </w:tc>
        <w:tc>
          <w:tcPr>
            <w:tcW w:w="3996" w:type="dxa"/>
          </w:tcPr>
          <w:p w:rsidR="00000000" w:rsidRDefault="00000000">
            <w:r>
              <w:t>4 000 нор. крон</w:t>
            </w:r>
          </w:p>
        </w:tc>
      </w:tr>
      <w:tr w:rsidR="00000000">
        <w:tblPrEx>
          <w:tblCellMar>
            <w:top w:w="0" w:type="dxa"/>
            <w:bottom w:w="0" w:type="dxa"/>
          </w:tblCellMar>
        </w:tblPrEx>
        <w:trPr>
          <w:cantSplit/>
        </w:trPr>
        <w:tc>
          <w:tcPr>
            <w:tcW w:w="5415" w:type="dxa"/>
          </w:tcPr>
          <w:p w:rsidR="00000000" w:rsidRDefault="00000000">
            <w:r>
              <w:tab/>
              <w:t>Семейные пары</w:t>
            </w:r>
          </w:p>
        </w:tc>
        <w:tc>
          <w:tcPr>
            <w:tcW w:w="3996" w:type="dxa"/>
          </w:tcPr>
          <w:p w:rsidR="00000000" w:rsidRDefault="00000000">
            <w:r>
              <w:t>6 660 нор. крон</w:t>
            </w:r>
          </w:p>
        </w:tc>
      </w:tr>
      <w:tr w:rsidR="00000000">
        <w:tblPrEx>
          <w:tblCellMar>
            <w:top w:w="0" w:type="dxa"/>
            <w:bottom w:w="0" w:type="dxa"/>
          </w:tblCellMar>
        </w:tblPrEx>
        <w:trPr>
          <w:cantSplit/>
        </w:trPr>
        <w:tc>
          <w:tcPr>
            <w:tcW w:w="5415" w:type="dxa"/>
          </w:tcPr>
          <w:p w:rsidR="00000000" w:rsidRDefault="00000000">
            <w:r>
              <w:tab/>
              <w:t>Сожители - на каждого</w:t>
            </w:r>
          </w:p>
        </w:tc>
        <w:tc>
          <w:tcPr>
            <w:tcW w:w="3996" w:type="dxa"/>
          </w:tcPr>
          <w:p w:rsidR="00000000" w:rsidRDefault="00000000">
            <w:r>
              <w:t>3 330 нор. крон</w:t>
            </w:r>
          </w:p>
        </w:tc>
      </w:tr>
      <w:tr w:rsidR="00000000">
        <w:tblPrEx>
          <w:tblCellMar>
            <w:top w:w="0" w:type="dxa"/>
            <w:bottom w:w="0" w:type="dxa"/>
          </w:tblCellMar>
        </w:tblPrEx>
        <w:trPr>
          <w:cantSplit/>
        </w:trPr>
        <w:tc>
          <w:tcPr>
            <w:tcW w:w="5415" w:type="dxa"/>
          </w:tcPr>
          <w:p w:rsidR="00000000" w:rsidRDefault="00000000">
            <w:r>
              <w:tab/>
              <w:t>Дети в возрасте от 0 до 5 лет</w:t>
            </w:r>
          </w:p>
        </w:tc>
        <w:tc>
          <w:tcPr>
            <w:tcW w:w="3996" w:type="dxa"/>
          </w:tcPr>
          <w:p w:rsidR="00000000" w:rsidRDefault="00000000">
            <w:r>
              <w:t>1 530 нор. крон</w:t>
            </w:r>
          </w:p>
        </w:tc>
      </w:tr>
      <w:tr w:rsidR="00000000">
        <w:tblPrEx>
          <w:tblCellMar>
            <w:top w:w="0" w:type="dxa"/>
            <w:bottom w:w="0" w:type="dxa"/>
          </w:tblCellMar>
        </w:tblPrEx>
        <w:trPr>
          <w:cantSplit/>
        </w:trPr>
        <w:tc>
          <w:tcPr>
            <w:tcW w:w="5415" w:type="dxa"/>
          </w:tcPr>
          <w:p w:rsidR="00000000" w:rsidRDefault="00000000">
            <w:r>
              <w:tab/>
              <w:t>Дети в возрасте от 6 до 10 лет</w:t>
            </w:r>
          </w:p>
        </w:tc>
        <w:tc>
          <w:tcPr>
            <w:tcW w:w="3996" w:type="dxa"/>
          </w:tcPr>
          <w:p w:rsidR="00000000" w:rsidRDefault="00000000">
            <w:r>
              <w:t>2 020 нор. крон</w:t>
            </w:r>
          </w:p>
        </w:tc>
      </w:tr>
      <w:tr w:rsidR="00000000">
        <w:tblPrEx>
          <w:tblCellMar>
            <w:top w:w="0" w:type="dxa"/>
            <w:bottom w:w="0" w:type="dxa"/>
          </w:tblCellMar>
        </w:tblPrEx>
        <w:trPr>
          <w:cantSplit/>
        </w:trPr>
        <w:tc>
          <w:tcPr>
            <w:tcW w:w="5415" w:type="dxa"/>
          </w:tcPr>
          <w:p w:rsidR="00000000" w:rsidRDefault="00000000">
            <w:r>
              <w:tab/>
              <w:t>Дети в возрасте от 11 до 17 лет</w:t>
            </w:r>
          </w:p>
        </w:tc>
        <w:tc>
          <w:tcPr>
            <w:tcW w:w="3996" w:type="dxa"/>
          </w:tcPr>
          <w:p w:rsidR="00000000" w:rsidRDefault="00000000">
            <w:r>
              <w:t>2 550 нор. крон</w:t>
            </w:r>
          </w:p>
        </w:tc>
      </w:tr>
    </w:tbl>
    <w:p w:rsidR="00000000" w:rsidRDefault="00000000">
      <w:pPr>
        <w:spacing w:line="240" w:lineRule="auto"/>
      </w:pPr>
    </w:p>
    <w:p w:rsidR="00000000" w:rsidRDefault="00000000">
      <w:pPr>
        <w:rPr>
          <w:b/>
          <w:bCs/>
        </w:rPr>
      </w:pPr>
      <w:r>
        <w:rPr>
          <w:b/>
          <w:bCs/>
        </w:rPr>
        <w:t>Пункт 7 руководящих принципов (изменения, происшедшие со времени представления предыдущего доклада)</w:t>
      </w:r>
    </w:p>
    <w:p w:rsidR="00000000" w:rsidRDefault="00000000"/>
    <w:p w:rsidR="00000000" w:rsidRDefault="00000000">
      <w:r>
        <w:t>115.</w:t>
      </w:r>
      <w:r>
        <w:tab/>
        <w:t>Ряд изменений в системе пособий по социальному обеспечению был уже упомянут выше.  В отношении законодательных поправок просьба принять к сведению, что в 1997 году Закон о национальном страховании от 1966 года был заменен новым Законом о национальном страховании.  Цель нового закона состояла в том, чтобы упростить и обновить формулировки этого законодательного документа.  Новый Закон не влечет за собой каких-либо значительных и существенных изменений в национальной страховой системе Норвегии.</w:t>
      </w:r>
    </w:p>
    <w:p w:rsidR="00000000" w:rsidRDefault="00000000"/>
    <w:p w:rsidR="00000000" w:rsidRDefault="00000000">
      <w:r>
        <w:t>116.</w:t>
      </w:r>
      <w:r>
        <w:tab/>
        <w:t>1 января 2003 года вступил в силу новый Закон о семейных пособиях, содержащий более упрощенный и более доступный свод норм, регулирующих этот вид пособия.  Внимание было уделено тому, чтобы сделать этот Закон как можно более понятным для отдельных лиц и упростить процедуру его осуществления на практике для органов Национальной системы страхования.  Этот новый законодательный документ не предусматривает каких-либо значительных изменений, относящихся к вопросам существа, однако в определенных областях имеются упрощения, которые несколько изменяют содержание положений, касающихся предыдущих норм, определявших порядок выплаты семейного пособия.</w:t>
      </w:r>
    </w:p>
    <w:p w:rsidR="00000000" w:rsidRDefault="00000000"/>
    <w:p w:rsidR="00000000" w:rsidRDefault="00000000">
      <w:pPr>
        <w:jc w:val="center"/>
        <w:rPr>
          <w:b/>
          <w:bCs/>
        </w:rPr>
      </w:pPr>
      <w:r>
        <w:rPr>
          <w:b/>
          <w:bCs/>
        </w:rPr>
        <w:t>Статья 10.  Семья, мать и ребенок</w:t>
      </w:r>
    </w:p>
    <w:p w:rsidR="00000000" w:rsidRDefault="00000000">
      <w:pPr>
        <w:rPr>
          <w:b/>
          <w:bCs/>
        </w:rPr>
      </w:pPr>
    </w:p>
    <w:p w:rsidR="00000000" w:rsidRDefault="00000000">
      <w:r>
        <w:t>117.</w:t>
      </w:r>
      <w:r>
        <w:tab/>
        <w:t>Предлагается обратить внимание на первый (CRC/C/8/Add.7) и второй (CRC/C/70/Add.2) периодические доклады Норвегии, представленные в соответствии с Конвенцией Организации Объединенных Наций о правах ребенка.  Внимание также обращается на четвертый периодический доклад Норвегии (статья 11.2 а)-b) и статья 16.1</w:t>
      </w:r>
      <w:r>
        <w:noBreakHyphen/>
        <w:t>2), пятый периодический доклад (статья 11.2 b), статья 16.1 b) и статья 16.1 d)) и шестой периодический доклад (статья 5 b), статья 11.2 b) и статья 16.1 b)-d)), представленные в соответствии с Конвенций Организации Объединенных Наций о ликвидации всех форм дискриминации в отношении женщин.  Также заслуживает внимания третий периодический доклад Норвегии, представленный в соответствии с Международным пактом об экономических, социальных и культурных правах, пункты 221-267.</w:t>
      </w:r>
    </w:p>
    <w:p w:rsidR="00000000" w:rsidRDefault="00000000"/>
    <w:p w:rsidR="00000000" w:rsidRDefault="00000000">
      <w:pPr>
        <w:rPr>
          <w:b/>
          <w:bCs/>
        </w:rPr>
      </w:pPr>
      <w:r>
        <w:rPr>
          <w:b/>
          <w:bCs/>
        </w:rPr>
        <w:t>Пункт 2 (понятие "семья") и пункт 3 (понятие "совершеннолетие") руководящих принципов</w:t>
      </w:r>
    </w:p>
    <w:p w:rsidR="00000000" w:rsidRDefault="00000000">
      <w:pPr>
        <w:rPr>
          <w:u w:val="single"/>
        </w:rPr>
      </w:pPr>
    </w:p>
    <w:p w:rsidR="00000000" w:rsidRDefault="00000000">
      <w:r>
        <w:t>118.</w:t>
      </w:r>
      <w:r>
        <w:tab/>
        <w:t xml:space="preserve"> В отношении понятия "семья" предлагается обратиться к третьему периодическому докладу Норвегии, пункты 223-225.  Понятие "совершеннолетие" определено в первом периодическом докладе Норвегии, представленном в соответствии с Конвенцией Организации Объединенных Наций о правах ребенка, пункты 57-90.  Полный возраст совершеннолетия составляет 18 лет.  Определенные возрастные ограничения перечислены в вышеуказанных докладах.  Обновленная информация, касающаяся этих возрастных ограничений, содержится в третьем периодическом докладе Норвегии, представленном в соответствии с Конвенцией Организации Объединенных Наций о правах ребенка (ссылка на документ ООН отсутствует), глава II.  Следует отметить, что возрастное ограничение как для добровольного, так и для обязательного призыва в вооруженные силы было увеличено до 18 лет.</w:t>
      </w:r>
    </w:p>
    <w:p w:rsidR="00000000" w:rsidRDefault="00000000"/>
    <w:p w:rsidR="00000000" w:rsidRDefault="00000000">
      <w:pPr>
        <w:rPr>
          <w:b/>
          <w:bCs/>
        </w:rPr>
      </w:pPr>
      <w:r>
        <w:rPr>
          <w:b/>
          <w:bCs/>
        </w:rPr>
        <w:t>Пункт 4 руководящих принципов (помощь семье и ее охрана)</w:t>
      </w:r>
    </w:p>
    <w:p w:rsidR="00000000" w:rsidRDefault="00000000"/>
    <w:p w:rsidR="00000000" w:rsidRDefault="00000000">
      <w:r>
        <w:t>119.</w:t>
      </w:r>
      <w:r>
        <w:tab/>
        <w:t xml:space="preserve">В Закон о браке от 4 июля 1991 года были внесены две важные поправки, касающиеся вступления в брак.  Предложенные поправки были описаны в третьем периодическом докладе Норвегии, пункты 227-231. </w:t>
      </w:r>
    </w:p>
    <w:p w:rsidR="00000000" w:rsidRDefault="00000000"/>
    <w:p w:rsidR="00000000" w:rsidRDefault="00000000">
      <w:r>
        <w:t>120.</w:t>
      </w:r>
      <w:r>
        <w:tab/>
        <w:t>Теперь любой иностранный гражданин на момент заключения брака должен проживать в Норвегии на законных основаниях, для того чтобы иметь право вступить в брак в Норвегии.  Кроме того, в настоящее время имеется четкое законодательное положение о том, что любой из супругов, которого заставили вступить в брак по принуждению, может аннулировать этот брак в судебном порядке.</w:t>
      </w:r>
    </w:p>
    <w:p w:rsidR="00000000" w:rsidRDefault="00000000"/>
    <w:p w:rsidR="00000000" w:rsidRDefault="00000000">
      <w:r>
        <w:t>121.</w:t>
      </w:r>
      <w:r>
        <w:tab/>
        <w:t>За период после представления предыдущего доклада ряд поправок был внесен в Закон о детях.</w:t>
      </w:r>
    </w:p>
    <w:p w:rsidR="00000000" w:rsidRDefault="00000000"/>
    <w:p w:rsidR="00000000" w:rsidRDefault="00000000">
      <w:r>
        <w:t>122.</w:t>
      </w:r>
      <w:r>
        <w:tab/>
        <w:t>Муж матери на момент рождения ребенка более не считается автоматически отцом этого ребенка.  Кроме того, были ликвидированы требования и крайний срок для возбуждения судебного иска с целью изменения отцовства.  Помимо этого появилась возможность для повторного рассмотрения дела, решение по которому было вынесено без проведения анализа ДНК сторон.  Появилась также возможность для установления отцовства во время дородовых осмотров акушеркой или врачом.</w:t>
      </w:r>
    </w:p>
    <w:p w:rsidR="00000000" w:rsidRDefault="00000000"/>
    <w:p w:rsidR="00000000" w:rsidRDefault="00000000">
      <w:r>
        <w:t>123.</w:t>
      </w:r>
      <w:r>
        <w:tab/>
        <w:t xml:space="preserve">В случае смерти одного из родителей, на которых возложена совместная родительская ответственность, исключительная родительская ответственность возлагается на оставшегося родителя.  Если ребенок проживает с обоими родителями, а исключительная родительская ответственность возложена на мать такого ребенка, то в случае смерти матери родительская ответственность переходит к отцу ребенка.  Другие лица, желающие взять на себя родительскую ответственность, могут ходатайствовать об этом в судебном порядке в течение шестимесячного срока.  При решении данного вопроса суд обязан уделять особое значение биологическим аспектам, однако решающим фактором должны являться наилучшие интересы ребенка.  Прежде отцу приходилось передавать дело на рассмотрение суда для того, чтобы ему была передана родительская ответственность, если он не проживал совместно с ребенком, потерявшим мать, или если он проживал совместно с матерью и ребенком, однако не обладал родительской ответственностью. </w:t>
      </w:r>
    </w:p>
    <w:p w:rsidR="00000000" w:rsidRDefault="00000000"/>
    <w:p w:rsidR="00000000" w:rsidRDefault="00000000">
      <w:r>
        <w:t>124.</w:t>
      </w:r>
      <w:r>
        <w:tab/>
        <w:t>Родители, которые не договорились об ином, теперь должны разделять затраты по оплате стоимости проезда в целях проведения времени со своими детьми.  Доля затрат определяется пропорционально доходам родителей.  Из этого общего правила могут делаться исключения в тех случаях, когда имеются особые основания, оправдывающие иное распределение затрат.</w:t>
      </w:r>
    </w:p>
    <w:p w:rsidR="00000000" w:rsidRDefault="00000000"/>
    <w:p w:rsidR="00000000" w:rsidRDefault="00000000">
      <w:r>
        <w:t>125.</w:t>
      </w:r>
      <w:r>
        <w:tab/>
        <w:t>Новый свод норм для определения выплат на содержание ребенка был утвержден стортингом, однако еще не вступил в силу.  Новые нормы основаны на фактических расходах, необходимых для обеспечения ребенку достаточно приемлемого уровня жизни.  Расходы определяются согласно шкале, корректируемой в зависимости от меняющихся с возрастом потребностей ребенка.  Расходы на содержание ребенка распределяются между родителями пропорционально в соответствии с их доходами.  Выплаты на содержание ребенка корректируются в соответствии с платежеспособностью конкретного родителя, после чего вычитаются любые траты, понесенные данным родителем в связи с проведенным совместно с ребенком временем.</w:t>
      </w:r>
    </w:p>
    <w:p w:rsidR="00000000" w:rsidRDefault="00000000"/>
    <w:p w:rsidR="00000000" w:rsidRDefault="00000000">
      <w:r>
        <w:t>126.</w:t>
      </w:r>
      <w:r>
        <w:tab/>
        <w:t>Информация о предоставляемой семьям помощи содержится в брошюре "Система социального страхования Норвегии" (приложение 25).</w:t>
      </w:r>
    </w:p>
    <w:p w:rsidR="00000000" w:rsidRDefault="00000000"/>
    <w:p w:rsidR="00000000" w:rsidRDefault="00000000">
      <w:r>
        <w:t>127.</w:t>
      </w:r>
      <w:r>
        <w:tab/>
        <w:t>С информацией о консультировании родителей можно ознакомиться во втором периодическом докладе Норвегии по Конвенции Организации Объединенных Наций о правах ребенка (CRC/C/70/Add.2), пункты 150-152 и пункт 210.</w:t>
      </w:r>
    </w:p>
    <w:p w:rsidR="00000000" w:rsidRDefault="00000000"/>
    <w:p w:rsidR="00000000" w:rsidRDefault="00000000">
      <w:r>
        <w:t>128.</w:t>
      </w:r>
      <w:r>
        <w:tab/>
        <w:t>В рамках дальнейшего осуществления начатой в 1995 году программы оказания консультативной помощи родителям для родителей и специалистов был подготовлен ряд информационных материалов (брошюр и видеофильмов по конкретным темам), затрагивающих такие вопросы, как взаимоотношения между родителями и детьми школьного возраста, взаимоотношения между учителями и учениками, запугивание, внутренний мир детей и подростков, отцы и дети и т.п.  Целью этих мер является установление доброжелательных отношений и конструктивных связей между родителями и детьми, а также между учителями и родителями, предупреждая таким образом социальные и психологические проблемы, возникающие среди детей и подростков.  Был также проведен экспериментальный проект, ориентированный на учителей, целью которого являлось повышение осознания важности взаимодействия между учителями и учениками.</w:t>
      </w:r>
    </w:p>
    <w:p w:rsidR="00000000" w:rsidRDefault="00000000"/>
    <w:p w:rsidR="00000000" w:rsidRDefault="00000000">
      <w:r>
        <w:t>129.</w:t>
      </w:r>
      <w:r>
        <w:tab/>
        <w:t>Опубликованный в 2001 году доклад об оценке первой стадии программы оказания консультативной помощи родителям, охватывающий период 1995-1998 годов, показывает, что группы родителей наиболее часто использовались в качестве инструмента для осуществления программы на местах.  Уровень деятельности был наивысшим в клиниках общественного здравоохранения и в центрах по дневному уходу за детьми.  Школы и службы педагогического и психологического консультирования участвовали лишь в значительной степени на первой стадии программы.  Программа помогла обеспечить широкое распространение информации и ее адаптацию к конкретным целевым группам, отчасти за счет подготовки справочников, видеофильмов и брошюр по специальным темам.</w:t>
      </w:r>
    </w:p>
    <w:p w:rsidR="00000000" w:rsidRDefault="00000000"/>
    <w:p w:rsidR="00000000" w:rsidRDefault="00000000">
      <w:r>
        <w:t>130.</w:t>
      </w:r>
      <w:r>
        <w:tab/>
        <w:t>Информация о консультировании семей и посредничестве содержится в главе 5В третьего периодического доклада Норвегии, представленного в соответствии с Конвенцией Организации Объединенных Наций о правах ребенка.  В настоящее время в Норвегии насчитывается 64 центра по оказанию консультативных услуг семьям, половина из которых находится в ведении государственных органов, а другая - церковных организаций.  Эти центры имеются в каждой губернии Норвегии.</w:t>
      </w:r>
    </w:p>
    <w:p w:rsidR="00000000" w:rsidRDefault="00000000"/>
    <w:p w:rsidR="00000000" w:rsidRDefault="00000000">
      <w:r>
        <w:t>131.</w:t>
      </w:r>
      <w:r>
        <w:tab/>
        <w:t>1 января 1998 года вступил в силу Закон о центрах по оказанию консультативных услуг семьям, который применяется в отношении как государственных, так и церковных центров.  Эти центры по вопросам семейного консультирования выполняют две установленные функции.  Они должны предоставлять семейную терапию и консультирование семьям, которые испытывают трудности, переживают конфликты или кризисы.  Они также призваны оказывать посреднические услуги в соответствии с Законом о браке и Законом о детях в случае развода.  Цель посредничества, которое является обязательным для всех семей, имеющих общих детей моложе 16 лет, заключается в оказании помощи родителям в достижении согласия по вопросам о том, с кем будет жить ребенок, каковы права посещающего родителя и т.п.  Кроме того, центры по оказанию консультативных услуг семьям предлагают информацию по семейным темам для широкой общественности.</w:t>
      </w:r>
    </w:p>
    <w:p w:rsidR="00000000" w:rsidRDefault="00000000"/>
    <w:p w:rsidR="00000000" w:rsidRDefault="00000000">
      <w:r>
        <w:t>132.</w:t>
      </w:r>
      <w:r>
        <w:tab/>
        <w:t>Осенью 2002 года правительство предложило поправки к Закону 1992 года о службах социального обеспечения ребенка (Закон о социальном обеспечении ребенка) и к Закону 1997 года о центрах по оказанию консультативных услуг семьям (Закон о центрах по оказанию консультативных услуг семьям), суть которых заключалась в том, что с 1 января 2004 года обязанности в сфере социального обеспечения детей и семей перейдут от губерний к центральному правительству.  Одной из целей передачи этой ответственности центральному правительству является обеспечение более равного и согласованного обслуживания во всех регионах.  В 2003 году стортинг утвердил правительственную программу, и 1 января 2004 года реформа вступила в действие.</w:t>
      </w:r>
    </w:p>
    <w:p w:rsidR="00000000" w:rsidRDefault="00000000"/>
    <w:p w:rsidR="00000000" w:rsidRDefault="00000000">
      <w:r>
        <w:t>133.</w:t>
      </w:r>
      <w:r>
        <w:tab/>
        <w:t>Более подробная информация о службах здравоохранения приводится в разделе настоящего доклада по статье 12.</w:t>
      </w:r>
    </w:p>
    <w:p w:rsidR="00000000" w:rsidRDefault="00000000"/>
    <w:p w:rsidR="00000000" w:rsidRDefault="00000000">
      <w:r>
        <w:t>134.</w:t>
      </w:r>
      <w:r>
        <w:tab/>
        <w:t xml:space="preserve">Информация о социальном обеспечении детей изложена в третьем периодическом докладе Норвегии, представленном в соответствии с Конвенцией Организации Объединенных Наций о правах ребенка, глава </w:t>
      </w:r>
      <w:r>
        <w:rPr>
          <w:lang w:val="en-US"/>
        </w:rPr>
        <w:t>VI</w:t>
      </w:r>
      <w:r>
        <w:t>, Здравоохранение и социальное обеспечение.</w:t>
      </w:r>
    </w:p>
    <w:p w:rsidR="00000000" w:rsidRDefault="00000000"/>
    <w:p w:rsidR="00000000" w:rsidRDefault="00000000">
      <w:r>
        <w:t>135.</w:t>
      </w:r>
      <w:r>
        <w:tab/>
        <w:t xml:space="preserve">После рассмотрения третьего периодического доклада Норвегии в своих заключительных замечаниях Комитет выразил сожаление в связи с недостаточностью статистической информации в отношении насилия в семье и жестокого обращения с детьми, </w:t>
      </w:r>
      <w:r>
        <w:rPr>
          <w:lang w:val="en-US"/>
        </w:rPr>
        <w:t>E</w:t>
      </w:r>
      <w:r>
        <w:t>/</w:t>
      </w:r>
      <w:r>
        <w:rPr>
          <w:lang w:val="en-US"/>
        </w:rPr>
        <w:t>C</w:t>
      </w:r>
      <w:r>
        <w:t>.12/1995/18, пункты 222 и 225.</w:t>
      </w:r>
    </w:p>
    <w:p w:rsidR="00000000" w:rsidRDefault="00000000"/>
    <w:p w:rsidR="00000000" w:rsidRDefault="00000000">
      <w:r>
        <w:t>136.</w:t>
      </w:r>
      <w:r>
        <w:tab/>
        <w:t>С 1993 года относительно различных причин, оправдывающих принятие соответствующих мер службами социального обеспечения ребенка, публикуются ежегодные статистические данные, в том числе касающиеся случаев жестокого обращения, затрагивающих физическое и психическое здоровье, а также сексуальных надругательств.  Статистические данные отражают количество детей, охваченных мерами служб по социальному обеспечению ребенка, причины для вмешательства и вид полученной детьми помощи и поддержки.  В любой конкретный момент в общей сложности приблизительно 20 600 детей получают различные виды помощи по месту жительства от служб по социальному обеспечению ребенка.  Кроме того, статистические данные показывают, что еще 5 200 детей размещены для оказания помощи за пределами своих домов по причине различных видов жестокого обращения и отсутствия заботы.  Около 80% таких детей размещены в приемных семьях, а приблизительно 20% - в детских учреждениях.</w:t>
      </w:r>
    </w:p>
    <w:p w:rsidR="00000000" w:rsidRDefault="00000000"/>
    <w:p w:rsidR="00000000" w:rsidRDefault="00000000">
      <w:r>
        <w:t>137.</w:t>
      </w:r>
      <w:r>
        <w:tab/>
        <w:t>Министерство по делам детей и семьи уделяет постоянное внимание улучшению и повышению статистических показателей, касающихся социального обеспечения детей.  Министерство осуществляет сотрудничество со Статистическим управлением Норвегии в рамках национальной системы статистических данных, предназначенных для государственного сектора (КОСТРА), целью которой является создание более эффективной основы для анализа, планирования и управления, а также для оценки того, обеспечивается ли достижение национальных целей.  Задачей КОСТРА является упрощение передачи данных из муниципалитетов и губерний в центральную администрацию, поскольку данные сообщаются только один раз, несмотря на то, что они используются для различных целей.  Вся отчетность осуществляется посредством обменов электронными данными.  Информация по различным службам муниципалитетов и губерний регистрируется и собирается для того, чтобы обеспечить соответствующей информацией тех, кто принимает решение на национальном и местном уровнях.  Эта система подвергается постоянной оценке.</w:t>
      </w:r>
    </w:p>
    <w:p w:rsidR="00000000" w:rsidRDefault="00000000"/>
    <w:p w:rsidR="00000000" w:rsidRDefault="00000000">
      <w:r>
        <w:t>138.</w:t>
      </w:r>
      <w:r>
        <w:tab/>
        <w:t>Масштабы бытового насилия в отношении женщин и детей точно не известны.  Оно охватывает жестокое обращение с женщинами, физические надругательства над детьми, детей, ставших свидетелями насилия, и детей, пострадавших от сексуальных надругательств.  Тем не менее ряд исследований ясно указывает на то, что такое насилие является гораздо более распространенным, чем первоначально предполагалось.  Министерство юстиции в настоящее время занимается подготовкой статистических данных по бытовому насилию на основе данных, представленных Статистическим управлением Норвегии (Обследование уровня жизни) и Управлением полиции (Национальный регистр обвинительных приговоров).  В частности, Обследование уровня жизни за 1997 год показало, что за предыдущие 12 месяцев 6% всех взрослых являлись жертвами насилия или серьезных угроз.  Из числа тех, кто подвергался насилию или угрозам за последний год, 19% составили жертвы насилия или угроз в своих собственных жилищах.  Каждая десятая жертва насилия пострадала от одного из членов семьи или одного из бывших членов семьи.  Женщины подвергаются более значительной опасности бытового насилия, чем мужчины.  27% женщин стали жертвами насилия или угроз у себя дома и 15% - насилия и угроз со стороны одного из членов семьи или бывшего члена семьи.  Количество детей, ищущих убежища в кризисных центрах вместе со своими матерями, дает представление о количестве детей, которые растут в обстановке бытового насилия.  Из общего числа 4 163 лиц, которым пришлось ночевать в одном из кризисных центров в 2001 году, 1 814 составили дети.</w:t>
      </w:r>
    </w:p>
    <w:p w:rsidR="00000000" w:rsidRDefault="00000000"/>
    <w:p w:rsidR="00000000" w:rsidRDefault="00000000">
      <w:r>
        <w:t>139.</w:t>
      </w:r>
      <w:r>
        <w:tab/>
        <w:t>Информация о социальной помощи содержится в третьем периодическом докладе Норвегии, пункты 240 и 241, а также в пунктах 112 и 113 выше.</w:t>
      </w:r>
    </w:p>
    <w:p w:rsidR="00000000" w:rsidRDefault="00000000"/>
    <w:p w:rsidR="00000000" w:rsidRDefault="00000000">
      <w:pPr>
        <w:rPr>
          <w:b/>
          <w:bCs/>
        </w:rPr>
      </w:pPr>
      <w:r>
        <w:rPr>
          <w:b/>
          <w:bCs/>
        </w:rPr>
        <w:t>Пункт 5 руководящих принципов (система охраны материнства)</w:t>
      </w:r>
    </w:p>
    <w:p w:rsidR="00000000" w:rsidRDefault="00000000"/>
    <w:p w:rsidR="00000000" w:rsidRDefault="00000000">
      <w:r>
        <w:t>140.</w:t>
      </w:r>
      <w:r>
        <w:tab/>
        <w:t>Информация о существующих программах содержится в главе 9 приложения 25, а также в пятом (статья 11.2с) и шестом (статья 11.2</w:t>
      </w:r>
      <w:r>
        <w:rPr>
          <w:lang w:val="en-US"/>
        </w:rPr>
        <w:t>b</w:t>
      </w:r>
      <w:r>
        <w:t>) периодических докладах Норвегии, представленных в соответствии с Конвенцией Организации Объединенных Наций о ликвидации всех форм дискриминации в отношении женщин.</w:t>
      </w:r>
    </w:p>
    <w:p w:rsidR="00000000" w:rsidRDefault="00000000">
      <w:pPr>
        <w:rPr>
          <w:lang w:val="en-US"/>
        </w:rPr>
      </w:pPr>
    </w:p>
    <w:p w:rsidR="00000000" w:rsidRDefault="00000000">
      <w:r>
        <w:t>141.</w:t>
      </w:r>
      <w:r>
        <w:tab/>
        <w:t>В отношении отпуска, предоставляемого отцам в связи с рождением ребенка, можно добавить, что, согласно проведенным исследованиям, почти восемь мужчин из десяти пользуются своим правом на выделяемую отцам квоту периода оплачиваемого отпуска по уходу за ребенком.  Полученные результаты также показывают, что такая система удовлетворяет отцов и что они все чаще предпочитают брать более продолжительную часть срока, предназначенного для отпуска по уходу за ребенком.</w:t>
      </w:r>
    </w:p>
    <w:p w:rsidR="00000000" w:rsidRDefault="00000000"/>
    <w:p w:rsidR="00000000" w:rsidRDefault="00000000">
      <w:r>
        <w:t>142.</w:t>
      </w:r>
      <w:r>
        <w:tab/>
        <w:t xml:space="preserve">Помимо квоты отцов в оплачиваемом отпуске по уходу за ребенком, отцы также имеют право на двухнедельный неоплачиваемый отпуск в связи с рождением ребенка независимо от того, имеется ли у матери оплачиваемая работа.  Это положение применяется только в том случае, если отец проживает вместе с матерью и использует время отпуска для заботы о своей семье и своем доме. </w:t>
      </w:r>
    </w:p>
    <w:p w:rsidR="00000000" w:rsidRDefault="00000000"/>
    <w:p w:rsidR="00000000" w:rsidRDefault="00000000">
      <w:r>
        <w:t>143.</w:t>
      </w:r>
      <w:r>
        <w:tab/>
        <w:t>Система расчетов этих сроков описана в третьем периодическом докладе Норвегии, пункты 244 и 245.  В 1996 году эта система была расширена и распространена на лиц, работающих не по найму, а также на внештатных сотрудников при условии, что они заключают соглашение со своим отделением социального обеспечения по поводу выплаты связанных с уходом за ребенком денежных пособий.</w:t>
      </w:r>
    </w:p>
    <w:p w:rsidR="00000000" w:rsidRDefault="00000000"/>
    <w:p w:rsidR="00000000" w:rsidRDefault="00000000">
      <w:r>
        <w:t>144.</w:t>
      </w:r>
      <w:r>
        <w:tab/>
        <w:t>Условия сокращения продолжительности рабочего времени без оплаты для работника описаны в пункте 246 третьего периодического доклада Норвегии.  Сокращение продолжительности рабочего времени может быть оформлено в виде укороченного рабочего дня или укороченной рабочей недели.  С 1995 года существует возможность оформить сокращение в виде периодов освобождения от работы.  Необходимость в периодах освобождения от работы может, например, возникнуть в связи с более продолжительными школьными каникулами.</w:t>
      </w:r>
    </w:p>
    <w:p w:rsidR="00000000" w:rsidRDefault="00000000"/>
    <w:p w:rsidR="00000000" w:rsidRDefault="00000000">
      <w:r>
        <w:t>145.</w:t>
      </w:r>
      <w:r>
        <w:tab/>
        <w:t>Родители, желающие пользоваться этой системой, должны по мере возможности заблаговременно обратиться в письменной форме к своему работодателю и не позднее чем за четыре недели до начала своего отпуска.  Работники могут использовать возможность сокращенного рабочего времени в течение максимального двухгодичного срока за один раз.  По истечении согласованного срока работник имеет право восстановить свою предыдущую продолжительность рабочего времени.</w:t>
      </w:r>
    </w:p>
    <w:p w:rsidR="00000000" w:rsidRDefault="00000000"/>
    <w:p w:rsidR="00000000" w:rsidRDefault="00000000">
      <w:r>
        <w:t>146.</w:t>
      </w:r>
      <w:r>
        <w:tab/>
        <w:t>Такая договоренность зависит от возможности использования системы сокращенного рабочего времени без причинения особых неудобств предприятию, вместе с тем такие неудобства должны быть значительными для того, чтобы работодатель мог отклонить просьбу о сокращенном рабочем времени.  Споры между работниками и работодателями решаются специальным Советом по апелляциям.</w:t>
      </w:r>
    </w:p>
    <w:p w:rsidR="00000000" w:rsidRDefault="00000000"/>
    <w:p w:rsidR="00000000" w:rsidRDefault="00000000">
      <w:r>
        <w:t>147.</w:t>
      </w:r>
      <w:r>
        <w:tab/>
        <w:t>С 1 февраля 1995 года вступила в силу поправка к Закону об условиях труда, по которой в дополнение к сроку, в течение которого выплачивается денежное пособие в связи с рождением или усыновлением ребенка, каждый родитель имеет право на максимальный годичный неоплачиваемый отпуск на каждого ребенка.  Таким образом, родители по своему усмотрению могут оставаться дома до достижения их ребенком трехлетнего возраста.  Право на отпуск предоставляется родителям маленьких детей, которые хотели бы заботиться о своих детях на постоянной основе в течение относительно длительного периода времени, возможность сохранять связи со своей работой и вернуться на ту же должность.</w:t>
      </w:r>
    </w:p>
    <w:p w:rsidR="00000000" w:rsidRDefault="00000000"/>
    <w:p w:rsidR="00000000" w:rsidRDefault="00000000">
      <w:r>
        <w:t>148.</w:t>
      </w:r>
      <w:r>
        <w:tab/>
        <w:t>Если работник пользуется системой учета рабочего времени, то он не может также брать неоплачиваемый отпуск.  Это ограничение применяется в отношении работников, не состоящих в браке, однако в случае  работающих родителей, если только один из них использует систему учета рабочего времени, то другой может воспользоваться своим правом на неоплачиваемый отпуск.</w:t>
      </w:r>
    </w:p>
    <w:p w:rsidR="00000000" w:rsidRDefault="00000000"/>
    <w:p w:rsidR="00000000" w:rsidRDefault="00000000">
      <w:r>
        <w:t>149.</w:t>
      </w:r>
      <w:r>
        <w:tab/>
        <w:t>Информация, касающаяся женщин с ограниченным правом на получение пособия по беременности и родам, содержится в главе 9.3 приложения 25 и в пунктах 112 и 113 выше, касающихся социальной помощи.</w:t>
      </w:r>
    </w:p>
    <w:p w:rsidR="00000000" w:rsidRDefault="00000000"/>
    <w:p w:rsidR="00000000" w:rsidRDefault="00000000">
      <w:pPr>
        <w:rPr>
          <w:b/>
          <w:bCs/>
        </w:rPr>
      </w:pPr>
      <w:r>
        <w:rPr>
          <w:b/>
          <w:bCs/>
        </w:rPr>
        <w:t>Пункт 6 руководящих принципов (особые меры защиты и помощи в интересах детей и подростков)</w:t>
      </w:r>
    </w:p>
    <w:p w:rsidR="00000000" w:rsidRDefault="00000000"/>
    <w:p w:rsidR="00000000" w:rsidRDefault="00000000">
      <w:r>
        <w:t>150.</w:t>
      </w:r>
      <w:r>
        <w:tab/>
        <w:t>Информация о минимальном возрасте для приема на работу содержится в докладах, представленных Норвегией в соответствии с Конвенцией МОТ № 138 о минимальном возрасте для приема на работу, которые охватывают период до 31 мая 2002 года (приложение 26).  Предлагается также обратиться к первому периодическому докладу Норвегии, представленному в соответствии с Конвенцией Организации Объединенных Наций о правах ребенка (</w:t>
      </w:r>
      <w:r>
        <w:rPr>
          <w:lang w:val="en-US"/>
        </w:rPr>
        <w:t>CRC</w:t>
      </w:r>
      <w:r>
        <w:t>/</w:t>
      </w:r>
      <w:r>
        <w:rPr>
          <w:lang w:val="en-US"/>
        </w:rPr>
        <w:t>C</w:t>
      </w:r>
      <w:r>
        <w:t>/70/</w:t>
      </w:r>
      <w:r>
        <w:rPr>
          <w:lang w:val="en-US"/>
        </w:rPr>
        <w:t>Add</w:t>
      </w:r>
      <w:r>
        <w:t>.2), и третьему периодическому докладу Норвегии, представленному в соответствии с Конвенцией о правах ребенка, глава </w:t>
      </w:r>
      <w:r>
        <w:rPr>
          <w:lang w:val="en-US"/>
        </w:rPr>
        <w:t>VIII</w:t>
      </w:r>
      <w:r>
        <w:t> С 1, экономическая эксплуатация детей, включая детский труд.  Кроме того, следует отметить, что Норвегия является участницей Конвенции МОТ № 182 о запрещении и немедленных мерах по искоренению наихудших форм детского труда.</w:t>
      </w:r>
    </w:p>
    <w:p w:rsidR="00000000" w:rsidRDefault="00000000"/>
    <w:p w:rsidR="00000000" w:rsidRDefault="00000000">
      <w:r>
        <w:t>151.</w:t>
      </w:r>
      <w:r>
        <w:tab/>
        <w:t>Закон об условиях труда содержит особые положения о приеме на работу на предприятия подростков моложе 18 лет.  В апреле 1998 года в эти положения были внесены поправки в целях выполнения Директивы ЕС 94/33/ЕС по защите работающей молодежи.</w:t>
      </w:r>
    </w:p>
    <w:p w:rsidR="00000000" w:rsidRDefault="00000000"/>
    <w:p w:rsidR="00000000" w:rsidRDefault="00000000">
      <w:r>
        <w:t>152.</w:t>
      </w:r>
      <w:r>
        <w:tab/>
        <w:t>Закон налагает общий запрет на трудоустройство детей в возрасте моложе 15 лет, т.е. до завершения периода обязательного школьного обучения, однако он также предусматривает ряд исключений.</w:t>
      </w:r>
    </w:p>
    <w:p w:rsidR="00000000" w:rsidRDefault="00000000"/>
    <w:p w:rsidR="00000000" w:rsidRDefault="00000000">
      <w:r>
        <w:t>153.</w:t>
      </w:r>
      <w:r>
        <w:tab/>
        <w:t>Дети в возрасте 13 лет и старше могут выполнять легкую работу, не наносящую ущерба их здоровью, развитию и школьному образованию.</w:t>
      </w:r>
    </w:p>
    <w:p w:rsidR="00000000" w:rsidRDefault="00000000">
      <w:r>
        <w:t>154.</w:t>
      </w:r>
      <w:r>
        <w:tab/>
        <w:t>Дети в возрасте 14 лет и старше могут быть приняты на работу в рамках их учебной или практической профессиональной подготовки, если эта работа не причиняет ущерба их здоровью и развитию, и при условии одобрения программы подготовки органами, отвечающими за вопросы образования.</w:t>
      </w:r>
    </w:p>
    <w:p w:rsidR="00000000" w:rsidRDefault="00000000"/>
    <w:p w:rsidR="00000000" w:rsidRDefault="00000000">
      <w:r>
        <w:t>155.</w:t>
      </w:r>
      <w:r>
        <w:tab/>
        <w:t>Дети в возрасте до 15 лет могут принимать участие в культурных или аналогичных мероприятиях, таких, как театральные постановки.</w:t>
      </w:r>
    </w:p>
    <w:p w:rsidR="00000000" w:rsidRDefault="00000000"/>
    <w:p w:rsidR="00000000" w:rsidRDefault="00000000">
      <w:r>
        <w:t>156.</w:t>
      </w:r>
      <w:r>
        <w:tab/>
        <w:t>Работодатели должны обеспечивать, чтобы подростки моложе 18 лет не использовались на работах, которые могут нанести ущерб их здоровью, безопасности или развитию.  Например, дети не могут работать с химическими веществами или выполнять работу, которая считается опасной.  Определение того, что считается опасной работой, изложено в нормативных положениях.  Вместе с тем допускаются исключения в отношении работы, которая выполняется в связи с профессиональной подготовкой, при условии обеспечения контроля за такой работой со стороны опытных лиц и проведения надлежащего инструктажа.</w:t>
      </w:r>
    </w:p>
    <w:p w:rsidR="00000000" w:rsidRDefault="00000000"/>
    <w:p w:rsidR="00000000" w:rsidRDefault="00000000">
      <w:r>
        <w:t>157.</w:t>
      </w:r>
      <w:r>
        <w:tab/>
        <w:t>В целом рабочее время для детей и подростков моложе 18 лет должно планироваться таким образом, чтобы работа не препятствовала их школьному образованию или учебе.  Так, например, дети в возрасте до 15 лет, т.е. до завершения периода обязательного школьного обучения, не могут работать более двух часов в сутки и 12 часов в неделю.  Такое ограничение может быть увеличено до семи часов в сутки во время школьных каникул и 35 часов в неделю, если школы закрываются более чем на одну неделю.  Дети, участвующие в профессиональной подготовке, могут работать до восьми часов в день и 40 часов в неделю (включая время, проведенное в школе).</w:t>
      </w:r>
    </w:p>
    <w:p w:rsidR="00000000" w:rsidRDefault="00000000"/>
    <w:p w:rsidR="00000000" w:rsidRDefault="00000000">
      <w:r>
        <w:t>158.</w:t>
      </w:r>
      <w:r>
        <w:tab/>
        <w:t>В соответствии с действующим законодательством подростки не могут работать в ночное время.  Кроме того, законодательство предусматривает минимальный период отдыха, составляющий 14 часов для детей в возрасте до 15 лет или не завершивших обязательное школьное обучение, и 12 часов для лиц в возрасте от 15 до 18 лет.  Подростки в возрасте до 18 лет имеют право на период отдыха, составляющий не менее 48 часов в неделю.</w:t>
      </w:r>
    </w:p>
    <w:p w:rsidR="00000000" w:rsidRDefault="00000000"/>
    <w:p w:rsidR="00000000" w:rsidRDefault="00000000">
      <w:r>
        <w:t>159.</w:t>
      </w:r>
      <w:r>
        <w:tab/>
        <w:t>Проведенный в 1997 году анализ показывает, что 60% подростков в возрасте 13</w:t>
      </w:r>
      <w:r>
        <w:noBreakHyphen/>
        <w:t>17 лет выполняли оплачиваемую работу либо во время школьных каникул, либо в дополнение к посещению школы.  Доля таких подростков значительно выше среди 17</w:t>
      </w:r>
      <w:r>
        <w:noBreakHyphen/>
        <w:t>летних, чем среди 13-летних.</w:t>
      </w:r>
    </w:p>
    <w:p w:rsidR="00000000" w:rsidRDefault="00000000"/>
    <w:p w:rsidR="00000000" w:rsidRDefault="00000000">
      <w:r>
        <w:t>160.</w:t>
      </w:r>
      <w:r>
        <w:tab/>
        <w:t>Этот же анализ показывает, что продолжительность рабочего времени подростков, которые параллельно учатся в школе, в среднем составляет от одного до трех часов в неделю.</w:t>
      </w:r>
    </w:p>
    <w:p w:rsidR="00000000" w:rsidRDefault="00000000"/>
    <w:p w:rsidR="00000000" w:rsidRDefault="00000000">
      <w:r>
        <w:t>161.</w:t>
      </w:r>
      <w:r>
        <w:tab/>
        <w:t>Хотя в процентном отношении доля работающих подростков в Норвегии является высокой, детский труд не представляет собой проблемы из-за ограничений, установленных в отношении продолжительности рабочего времени и видов работы, которую разрешено выполнять подросткам.  Лишь немногие подростки моложе 15 лет трудятся полный рабочий день, поскольку в Норвегии продолжительность обязательного школьного образования составляет десять лет.</w:t>
      </w:r>
    </w:p>
    <w:p w:rsidR="00000000" w:rsidRDefault="00000000"/>
    <w:p w:rsidR="00000000" w:rsidRDefault="00000000">
      <w:r>
        <w:t>162.</w:t>
      </w:r>
      <w:r>
        <w:tab/>
        <w:t>В нижеприведенной таблице приводится обзор за 2000 год в отношении подростков, получавших доход от трудовой деятельности.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50"/>
        <w:gridCol w:w="3331"/>
        <w:gridCol w:w="4929"/>
      </w:tblGrid>
      <w:tr w:rsidR="00000000">
        <w:tblPrEx>
          <w:tblCellMar>
            <w:top w:w="0" w:type="dxa"/>
            <w:bottom w:w="0" w:type="dxa"/>
          </w:tblCellMar>
        </w:tblPrEx>
        <w:trPr>
          <w:cantSplit/>
        </w:trPr>
        <w:tc>
          <w:tcPr>
            <w:tcW w:w="1150" w:type="dxa"/>
            <w:tcBorders>
              <w:bottom w:val="single" w:sz="4" w:space="0" w:color="auto"/>
            </w:tcBorders>
          </w:tcPr>
          <w:p w:rsidR="00000000" w:rsidRDefault="00000000">
            <w:pPr>
              <w:spacing w:line="240" w:lineRule="auto"/>
            </w:pPr>
          </w:p>
        </w:tc>
        <w:tc>
          <w:tcPr>
            <w:tcW w:w="3331" w:type="dxa"/>
            <w:tcBorders>
              <w:bottom w:val="single" w:sz="4" w:space="0" w:color="auto"/>
            </w:tcBorders>
          </w:tcPr>
          <w:p w:rsidR="00000000" w:rsidRDefault="00000000">
            <w:pPr>
              <w:spacing w:line="240" w:lineRule="auto"/>
              <w:jc w:val="center"/>
            </w:pPr>
            <w:r>
              <w:t>Количество лиц в возрастной группе</w:t>
            </w:r>
          </w:p>
        </w:tc>
        <w:tc>
          <w:tcPr>
            <w:tcW w:w="4929" w:type="dxa"/>
            <w:tcBorders>
              <w:bottom w:val="single" w:sz="4" w:space="0" w:color="auto"/>
            </w:tcBorders>
          </w:tcPr>
          <w:p w:rsidR="00000000" w:rsidRDefault="00000000">
            <w:pPr>
              <w:spacing w:line="240" w:lineRule="auto"/>
              <w:jc w:val="center"/>
            </w:pPr>
            <w:r>
              <w:t>Количество лиц, получающих засчитываемый для пенсии доход</w:t>
            </w:r>
          </w:p>
        </w:tc>
      </w:tr>
      <w:tr w:rsidR="00000000">
        <w:tblPrEx>
          <w:tblCellMar>
            <w:top w:w="0" w:type="dxa"/>
            <w:bottom w:w="0" w:type="dxa"/>
          </w:tblCellMar>
        </w:tblPrEx>
        <w:trPr>
          <w:cantSplit/>
        </w:trPr>
        <w:tc>
          <w:tcPr>
            <w:tcW w:w="1150" w:type="dxa"/>
            <w:tcBorders>
              <w:bottom w:val="nil"/>
            </w:tcBorders>
          </w:tcPr>
          <w:p w:rsidR="00000000" w:rsidRDefault="00000000">
            <w:r>
              <w:t>13 лет</w:t>
            </w:r>
          </w:p>
        </w:tc>
        <w:tc>
          <w:tcPr>
            <w:tcW w:w="3331" w:type="dxa"/>
            <w:tcBorders>
              <w:bottom w:val="nil"/>
            </w:tcBorders>
          </w:tcPr>
          <w:p w:rsidR="00000000" w:rsidRDefault="00000000">
            <w:pPr>
              <w:jc w:val="center"/>
            </w:pPr>
            <w:r>
              <w:t>56 157</w:t>
            </w:r>
          </w:p>
        </w:tc>
        <w:tc>
          <w:tcPr>
            <w:tcW w:w="4929" w:type="dxa"/>
            <w:tcBorders>
              <w:bottom w:val="nil"/>
            </w:tcBorders>
          </w:tcPr>
          <w:p w:rsidR="00000000" w:rsidRDefault="00000000">
            <w:pPr>
              <w:jc w:val="center"/>
            </w:pPr>
            <w:r>
              <w:t>7 021</w:t>
            </w:r>
          </w:p>
        </w:tc>
      </w:tr>
      <w:tr w:rsidR="00000000">
        <w:tblPrEx>
          <w:tblCellMar>
            <w:top w:w="0" w:type="dxa"/>
            <w:bottom w:w="0" w:type="dxa"/>
          </w:tblCellMar>
        </w:tblPrEx>
        <w:trPr>
          <w:cantSplit/>
        </w:trPr>
        <w:tc>
          <w:tcPr>
            <w:tcW w:w="1150" w:type="dxa"/>
            <w:tcBorders>
              <w:top w:val="nil"/>
              <w:bottom w:val="nil"/>
            </w:tcBorders>
          </w:tcPr>
          <w:p w:rsidR="00000000" w:rsidRDefault="00000000">
            <w:r>
              <w:t>14 лет</w:t>
            </w:r>
          </w:p>
        </w:tc>
        <w:tc>
          <w:tcPr>
            <w:tcW w:w="3331" w:type="dxa"/>
            <w:tcBorders>
              <w:top w:val="nil"/>
              <w:bottom w:val="nil"/>
            </w:tcBorders>
          </w:tcPr>
          <w:p w:rsidR="00000000" w:rsidRDefault="00000000">
            <w:pPr>
              <w:jc w:val="center"/>
            </w:pPr>
            <w:r>
              <w:t>54 889</w:t>
            </w:r>
          </w:p>
        </w:tc>
        <w:tc>
          <w:tcPr>
            <w:tcW w:w="4929" w:type="dxa"/>
            <w:tcBorders>
              <w:top w:val="nil"/>
              <w:bottom w:val="nil"/>
            </w:tcBorders>
          </w:tcPr>
          <w:p w:rsidR="00000000" w:rsidRDefault="00000000">
            <w:pPr>
              <w:jc w:val="center"/>
            </w:pPr>
            <w:r>
              <w:t>14 466</w:t>
            </w:r>
          </w:p>
        </w:tc>
      </w:tr>
      <w:tr w:rsidR="00000000">
        <w:tblPrEx>
          <w:tblCellMar>
            <w:top w:w="0" w:type="dxa"/>
            <w:bottom w:w="0" w:type="dxa"/>
          </w:tblCellMar>
        </w:tblPrEx>
        <w:trPr>
          <w:cantSplit/>
        </w:trPr>
        <w:tc>
          <w:tcPr>
            <w:tcW w:w="1150" w:type="dxa"/>
            <w:tcBorders>
              <w:top w:val="nil"/>
              <w:bottom w:val="nil"/>
            </w:tcBorders>
          </w:tcPr>
          <w:p w:rsidR="00000000" w:rsidRDefault="00000000">
            <w:r>
              <w:t>15 лет</w:t>
            </w:r>
          </w:p>
        </w:tc>
        <w:tc>
          <w:tcPr>
            <w:tcW w:w="3331" w:type="dxa"/>
            <w:tcBorders>
              <w:top w:val="nil"/>
              <w:bottom w:val="nil"/>
            </w:tcBorders>
          </w:tcPr>
          <w:p w:rsidR="00000000" w:rsidRDefault="00000000">
            <w:pPr>
              <w:jc w:val="center"/>
            </w:pPr>
            <w:r>
              <w:t>53 536</w:t>
            </w:r>
          </w:p>
        </w:tc>
        <w:tc>
          <w:tcPr>
            <w:tcW w:w="4929" w:type="dxa"/>
            <w:tcBorders>
              <w:top w:val="nil"/>
              <w:bottom w:val="nil"/>
            </w:tcBorders>
          </w:tcPr>
          <w:p w:rsidR="00000000" w:rsidRDefault="00000000">
            <w:pPr>
              <w:jc w:val="center"/>
            </w:pPr>
            <w:r>
              <w:t>21 960</w:t>
            </w:r>
          </w:p>
        </w:tc>
      </w:tr>
      <w:tr w:rsidR="00000000">
        <w:tblPrEx>
          <w:tblCellMar>
            <w:top w:w="0" w:type="dxa"/>
            <w:bottom w:w="0" w:type="dxa"/>
          </w:tblCellMar>
        </w:tblPrEx>
        <w:trPr>
          <w:cantSplit/>
        </w:trPr>
        <w:tc>
          <w:tcPr>
            <w:tcW w:w="1150" w:type="dxa"/>
            <w:tcBorders>
              <w:top w:val="nil"/>
              <w:bottom w:val="nil"/>
            </w:tcBorders>
          </w:tcPr>
          <w:p w:rsidR="00000000" w:rsidRDefault="00000000">
            <w:r>
              <w:t>16 лет</w:t>
            </w:r>
          </w:p>
        </w:tc>
        <w:tc>
          <w:tcPr>
            <w:tcW w:w="3331" w:type="dxa"/>
            <w:tcBorders>
              <w:top w:val="nil"/>
              <w:bottom w:val="nil"/>
            </w:tcBorders>
          </w:tcPr>
          <w:p w:rsidR="00000000" w:rsidRDefault="00000000">
            <w:pPr>
              <w:jc w:val="center"/>
            </w:pPr>
            <w:r>
              <w:t>52 983</w:t>
            </w:r>
          </w:p>
        </w:tc>
        <w:tc>
          <w:tcPr>
            <w:tcW w:w="4929" w:type="dxa"/>
            <w:tcBorders>
              <w:top w:val="nil"/>
              <w:bottom w:val="nil"/>
            </w:tcBorders>
          </w:tcPr>
          <w:p w:rsidR="00000000" w:rsidRDefault="00000000">
            <w:pPr>
              <w:jc w:val="center"/>
            </w:pPr>
            <w:r>
              <w:t>31 723</w:t>
            </w:r>
          </w:p>
        </w:tc>
      </w:tr>
      <w:tr w:rsidR="00000000">
        <w:tblPrEx>
          <w:tblCellMar>
            <w:top w:w="0" w:type="dxa"/>
            <w:bottom w:w="0" w:type="dxa"/>
          </w:tblCellMar>
        </w:tblPrEx>
        <w:trPr>
          <w:cantSplit/>
        </w:trPr>
        <w:tc>
          <w:tcPr>
            <w:tcW w:w="1150" w:type="dxa"/>
            <w:tcBorders>
              <w:top w:val="nil"/>
            </w:tcBorders>
          </w:tcPr>
          <w:p w:rsidR="00000000" w:rsidRDefault="00000000">
            <w:r>
              <w:t>17 лет</w:t>
            </w:r>
          </w:p>
        </w:tc>
        <w:tc>
          <w:tcPr>
            <w:tcW w:w="3331" w:type="dxa"/>
            <w:tcBorders>
              <w:top w:val="nil"/>
            </w:tcBorders>
          </w:tcPr>
          <w:p w:rsidR="00000000" w:rsidRDefault="00000000">
            <w:pPr>
              <w:jc w:val="center"/>
            </w:pPr>
            <w:r>
              <w:t>53 027</w:t>
            </w:r>
          </w:p>
        </w:tc>
        <w:tc>
          <w:tcPr>
            <w:tcW w:w="4929" w:type="dxa"/>
            <w:tcBorders>
              <w:top w:val="nil"/>
            </w:tcBorders>
          </w:tcPr>
          <w:p w:rsidR="00000000" w:rsidRDefault="00000000">
            <w:pPr>
              <w:jc w:val="center"/>
            </w:pPr>
            <w:r>
              <w:t>39 125</w:t>
            </w:r>
          </w:p>
        </w:tc>
      </w:tr>
    </w:tbl>
    <w:p w:rsidR="00000000" w:rsidRDefault="00000000"/>
    <w:p w:rsidR="00000000" w:rsidRDefault="00000000">
      <w:r>
        <w:tab/>
      </w:r>
      <w:r>
        <w:rPr>
          <w:i/>
          <w:iCs/>
        </w:rPr>
        <w:t>Источник</w:t>
      </w:r>
      <w:r>
        <w:t>:  Статистическое управление Норвегии:  статистика налогообложения за 2000 год.</w:t>
      </w:r>
    </w:p>
    <w:p w:rsidR="00000000" w:rsidRDefault="00000000"/>
    <w:p w:rsidR="00000000" w:rsidRDefault="00000000">
      <w:r>
        <w:t>163.</w:t>
      </w:r>
      <w:r>
        <w:tab/>
        <w:t>В июле 2002 года были введены новые нормативные положения, касающиеся работы в частных домах.  В Нормативных положениях о домашней работе, ведении хозяйства и обеспечении ухода в домах или домашних хозяйствах частных работодателей содержатся специальные положения, регулирующие рабочее время и другие условия для лиц моложе 18 лет, которые соответствуют положениям Закона об условиях труда, см. выше.  Они также предусматривают требование о заключении трудового соглашения, которое регулирует основные области трудовых отношений и предусматривает создание по возможности наилучших условий труда, учитывая тот факт, что рабочим местом является частное жилище.</w:t>
      </w:r>
    </w:p>
    <w:p w:rsidR="00000000" w:rsidRDefault="00000000"/>
    <w:p w:rsidR="00000000" w:rsidRDefault="00000000">
      <w:r>
        <w:t>164.</w:t>
      </w:r>
      <w:r>
        <w:tab/>
        <w:t>Информация об уязвимых группах содержится в третьем периодическом докладе Норвегии, представленном в соответствии с Конвенцией Организации Объединенных Наций о правах ребенка, глава III А о недискриминации, глава V Н о детях, лишенных семейного окружения, и глава VI А о детях с физическими или психическими дефектами.</w:t>
      </w:r>
    </w:p>
    <w:p w:rsidR="00000000" w:rsidRDefault="00000000"/>
    <w:p w:rsidR="00000000" w:rsidRDefault="00000000">
      <w:r>
        <w:t>165.</w:t>
      </w:r>
      <w:r>
        <w:tab/>
        <w:t xml:space="preserve">Предлагается также обратить внимание на первый периодический доклад Норвегии, представленный в соответствии с Конвенцией Организации Объединенных Наций о правах ребенка, </w:t>
      </w:r>
      <w:proofErr w:type="spellStart"/>
      <w:r>
        <w:rPr>
          <w:lang w:val="en-US"/>
        </w:rPr>
        <w:t>CRC</w:t>
      </w:r>
      <w:proofErr w:type="spellEnd"/>
      <w:r>
        <w:t>/</w:t>
      </w:r>
      <w:r>
        <w:rPr>
          <w:lang w:val="en-US"/>
        </w:rPr>
        <w:t>C</w:t>
      </w:r>
      <w:r>
        <w:t>/8/</w:t>
      </w:r>
      <w:r>
        <w:rPr>
          <w:lang w:val="en-US"/>
        </w:rPr>
        <w:t>Add</w:t>
      </w:r>
      <w:r>
        <w:t>.7, пункт 70, о детях, не имеющих биологических родителей.  Внимание также обращается на третий периодический доклад Норвегии по настоящему Пакту, пункты 257-259.</w:t>
      </w:r>
    </w:p>
    <w:p w:rsidR="00000000" w:rsidRDefault="00000000"/>
    <w:p w:rsidR="00000000" w:rsidRDefault="00000000">
      <w:r>
        <w:t>166.</w:t>
      </w:r>
      <w:r>
        <w:tab/>
        <w:t>В течение долгого времени не прекращается дискуссия о том, следует ли государству потребовать от муниципалитетов поручить службам социального обеспечения детей принятия мер в интересах несопровождаемых несовершеннолетних, являющихся беженцами или просителями убежища.  Правительство будет по</w:t>
      </w:r>
      <w:r>
        <w:noBreakHyphen/>
        <w:t>прежнему оставлять за муниципалитетами свободу выбора в вопросе о том, какую часть своей структуры они хотели бы наделить ответственностью за работу с несопровождаемыми группами несовершеннолетних.  Несопровождаемые несовершеннолетние, являющиеся просителями убежища или беженцами, тем не менее имеют право на услуги и меры, предусмотренные Законом о службах социального обеспечения детей, если они испытывают особую потребность в помощи.  Несопровождаемые несовершеннолетние также имеют право на услуги и меры, предусмотренные законодательством, регулирующим вопросы образования и охраны здоровья.</w:t>
      </w:r>
    </w:p>
    <w:p w:rsidR="00000000" w:rsidRDefault="00000000"/>
    <w:p w:rsidR="00000000" w:rsidRDefault="00000000">
      <w:r>
        <w:t>167.</w:t>
      </w:r>
      <w:r>
        <w:tab/>
        <w:t>Центральное правительство стремится повысить осведомленность широких слоев населения о правах, закрепленных в Конвенции Организации Объединенных Наций о правах ребенка.  В этой связи предлагается обратить внимание на третий периодический доклад Норвегии, представленный в соответствии с вышеупомянутой Конвенцией, глава </w:t>
      </w:r>
      <w:proofErr w:type="spellStart"/>
      <w:r>
        <w:t>I</w:t>
      </w:r>
      <w:proofErr w:type="spellEnd"/>
      <w:r>
        <w:t> В.  Что касается включения данной Конвенции в норвежское законодательство, то правительство провело обзор законодательства, затрагивающего права ребенка.  Весной 2003 года правительство предложило поправки к Закону о детях, Закону об усыновлении и Закону о службах социального обеспечения детей, которые требуют, чтобы дети в возрасте семи лет и старше, а также дети более младшего возраста, которые способны сформулировать свои собственные взгляды, получали информацию и возможность выразить свои мнения до принятия решений по затрагивающим их интересы вопросам.  Первоначально возрастное ограничение соответствовало 12 годам.  Эти законодательные поправки вступили в силу 1 октября 2003 года.</w:t>
      </w:r>
    </w:p>
    <w:p w:rsidR="00000000" w:rsidRDefault="00000000"/>
    <w:p w:rsidR="00000000" w:rsidRDefault="00000000">
      <w:pPr>
        <w:rPr>
          <w:b/>
          <w:bCs/>
        </w:rPr>
      </w:pPr>
      <w:r>
        <w:rPr>
          <w:b/>
          <w:bCs/>
        </w:rPr>
        <w:t>Пункт 7 руководящих принципов (изменения, происшедшие за период после представления предыдущего доклада)</w:t>
      </w:r>
    </w:p>
    <w:p w:rsidR="00000000" w:rsidRDefault="00000000"/>
    <w:p w:rsidR="00000000" w:rsidRDefault="00000000">
      <w:r>
        <w:t>168.</w:t>
      </w:r>
      <w:r>
        <w:tab/>
        <w:t xml:space="preserve">В дополнение к информации, представленной в предыдущих пунктах, можно отметить следующее.  </w:t>
      </w:r>
    </w:p>
    <w:p w:rsidR="00000000" w:rsidRDefault="00000000"/>
    <w:p w:rsidR="00000000" w:rsidRDefault="00000000">
      <w:r>
        <w:t>169.</w:t>
      </w:r>
      <w:r>
        <w:tab/>
        <w:t>Для предотвращения сексуальных надругательств над детьми, получающими помощь со стороны служб социального обеспечения ребенка, в 1999 году в Закон о социальном обеспечении ребенка были внесены поправки, согласно которым лица, стремящиеся занять определенные должности в рамках службы социального обеспечения детей или выполнять определенные функции, связанные с ее деятельностью, должны, при необходимости, представить справку из полиции.  В справке должно быть отражено, совершались ли соответствующим лицом какие-либо акты сексуальных надругательств в отношении детей или подростков.  Если подобные факты имели место, то возможность занятия соответствующей должности или выполнения соответствующей функции исключается.</w:t>
      </w:r>
    </w:p>
    <w:p w:rsidR="00000000" w:rsidRDefault="00000000"/>
    <w:p w:rsidR="00000000" w:rsidRDefault="00000000">
      <w:r>
        <w:t>170.</w:t>
      </w:r>
      <w:r>
        <w:tab/>
        <w:t>С января 2002 года вступило в силу положение, согласно которому любой из партнеров в зарегистрированном союзе стал иметь право на усыновление ребенка другого партнера.  Это возможно лишь в том случае, если данный партнер несет исключительную родительскую ответственность за ребенка и если зарегистрированные партнеры являются лицами, обеспечивающими уход за ребенком и по сути являющимися его социальными родителями.  Цель данного нового положения состоит в том, чтобы предоставить этим детям такую же возможность правовой безопасности и защиты, какую имеют дети, проживающие с одним из родителей и супругом или супругой данного лица.</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rPr>
          <w:b/>
          <w:bCs/>
        </w:rPr>
      </w:pPr>
    </w:p>
    <w:p w:rsidR="00000000" w:rsidRDefault="00000000">
      <w:r>
        <w:t>171.</w:t>
      </w:r>
      <w:r>
        <w:tab/>
        <w:t>Предлагается обратить внимание на третий периодический доклад Норвегии, пункты 268</w:t>
      </w:r>
      <w:r>
        <w:noBreakHyphen/>
        <w:t>390.</w:t>
      </w:r>
    </w:p>
    <w:p w:rsidR="00000000" w:rsidRDefault="00000000"/>
    <w:p w:rsidR="00000000" w:rsidRDefault="00000000">
      <w:pPr>
        <w:rPr>
          <w:b/>
          <w:bCs/>
        </w:rPr>
      </w:pPr>
      <w:r>
        <w:rPr>
          <w:b/>
          <w:bCs/>
        </w:rPr>
        <w:t>Основные тенденции, связанные с жизненным уровнем в Норвегии</w:t>
      </w:r>
    </w:p>
    <w:p w:rsidR="00000000" w:rsidRDefault="00000000">
      <w:pPr>
        <w:rPr>
          <w:u w:val="single"/>
        </w:rPr>
      </w:pPr>
    </w:p>
    <w:p w:rsidR="00000000" w:rsidRDefault="00000000">
      <w:r>
        <w:t>172.</w:t>
      </w:r>
      <w:r>
        <w:tab/>
        <w:t xml:space="preserve">Последний официальный доклад о распределении дохода и о жизненном уровне в Норвегии ("Белая книга" № 50 (1998-1999 годы), представленная в стортинг:  Справедливое распределение) показывает, что подавляющее большинство населения имеет высокий жизненный уровень и что для большинства людей в 80-е и 90-е годы прошлого века произошло улучшение их наиболее важных условий жизни.  Возросли личные накопления, и заметно улучшились материальные условия жизни.  Резюме указанного доклада прилагается к настоящему докладу в приложении 27.  </w:t>
      </w:r>
    </w:p>
    <w:p w:rsidR="00000000" w:rsidRDefault="00000000"/>
    <w:p w:rsidR="00000000" w:rsidRDefault="00000000">
      <w:r>
        <w:t>173.</w:t>
      </w:r>
      <w:r>
        <w:tab/>
        <w:t xml:space="preserve">Различия в доходах в Норвегии за этот период возросли, и количество лиц с низкими доходами оставалось стабильным или незначительно возросло.  Наметилась тенденция к маргинализации определенных групп населения, у которых непрочное финансовое положение в значительной степени сочетается с низким уровнем образования, слабыми связями с рынком труда, плохим состоянием здоровья и плохими жилищными условиями.  </w:t>
      </w:r>
    </w:p>
    <w:p w:rsidR="00000000" w:rsidRDefault="00000000"/>
    <w:p w:rsidR="00000000" w:rsidRDefault="00000000">
      <w:r>
        <w:t>174.</w:t>
      </w:r>
      <w:r>
        <w:tab/>
        <w:t xml:space="preserve">Главная причина увеличения различий состоит в росте доходов от капитала групп, получающих наиболее высокие доходы.  Кроме того, сократилась доля определенных групп в составе рабочей силы и появилось больше лиц, чьим основным источником дохода является государственная помощь.  Изменились семейные структуры и модели поддержки;  в частности, резко возросло количество одиноких лиц, а также родителей-одиночек.  </w:t>
      </w:r>
    </w:p>
    <w:p w:rsidR="00000000" w:rsidRDefault="00000000"/>
    <w:p w:rsidR="00000000" w:rsidRDefault="00000000">
      <w:pPr>
        <w:rPr>
          <w:b/>
          <w:bCs/>
        </w:rPr>
      </w:pPr>
      <w:r>
        <w:rPr>
          <w:b/>
          <w:bCs/>
        </w:rPr>
        <w:t>Пункт 1 руководящих принципов (информация о нынешнем жизненном уровне)</w:t>
      </w:r>
    </w:p>
    <w:p w:rsidR="00000000" w:rsidRDefault="00000000"/>
    <w:p w:rsidR="00000000" w:rsidRDefault="00000000">
      <w:r>
        <w:t>175.</w:t>
      </w:r>
      <w:r>
        <w:tab/>
        <w:t>Норвегия занимает одно из первых мест в соответствии с Индексом развития человеческого потенциала ПРООН за 2002 и 2003 годы.  Информация о жизненном уровне в Норвегии содержится в статистическом приложении к Докладу ПРООН о развитии человеческого потенциала за 2003 год, который приложен к настоящему докладу в приложении 28.</w:t>
      </w:r>
    </w:p>
    <w:p w:rsidR="00000000" w:rsidRDefault="00000000"/>
    <w:p w:rsidR="00000000" w:rsidRDefault="00000000">
      <w:pPr>
        <w:rPr>
          <w:i/>
          <w:iCs/>
        </w:rPr>
      </w:pPr>
      <w:r>
        <w:rPr>
          <w:i/>
          <w:iCs/>
        </w:rPr>
        <w:t>Черта бедности</w:t>
      </w:r>
    </w:p>
    <w:p w:rsidR="00000000" w:rsidRDefault="00000000">
      <w:pPr>
        <w:rPr>
          <w:i/>
          <w:iCs/>
        </w:rPr>
      </w:pPr>
    </w:p>
    <w:p w:rsidR="00000000" w:rsidRDefault="00000000">
      <w:r>
        <w:t>176.</w:t>
      </w:r>
      <w:r>
        <w:tab/>
        <w:t xml:space="preserve">В Плане действий по преодолению нищеты (см. следующий пункт) низкий доход используется в качестве одного из основных показателей нищеты.  Низким считается доход, составляющий </w:t>
      </w:r>
      <w:proofErr w:type="spellStart"/>
      <w:r>
        <w:t>50%</w:t>
      </w:r>
      <w:proofErr w:type="spellEnd"/>
      <w:r>
        <w:t xml:space="preserve"> или менее от среднего дохода в течение трех лет.  В 2000 году для одиноких лиц 50% усредненного дохода составили 77 000 нор. крон.  Согласно данным Статистического управления Норвегии, за трехлетний период 1997</w:t>
      </w:r>
      <w:r>
        <w:noBreakHyphen/>
        <w:t xml:space="preserve">1999 годов приблизительно у </w:t>
      </w:r>
      <w:proofErr w:type="spellStart"/>
      <w:r>
        <w:t>2,3%</w:t>
      </w:r>
      <w:proofErr w:type="spellEnd"/>
      <w:r>
        <w:t xml:space="preserve"> норвежского населения совокупный трехлетний доход после налогообложения был ниже половина усредненного дохода.  В эту категорию входят приблизительно 90 000 человек.  Количество "неимущих", согласно оценкам, варьируется в зависимости от используемого метода измерения.  В 2002 году минимальная пенсия одиноких лиц составляла 97 140 нор. крон.</w:t>
      </w:r>
    </w:p>
    <w:p w:rsidR="00000000" w:rsidRDefault="00000000"/>
    <w:p w:rsidR="00000000" w:rsidRDefault="00000000">
      <w:r>
        <w:t>177.</w:t>
      </w:r>
      <w:r>
        <w:tab/>
        <w:t>В 2002 году правительство представило в стортинг План действий по борьбе с нищетой (доклад № 6 (2002-2003 годы)).  Резюме доклада прилагается к настоящему докладу в приложении 29.  Указанный план предусматривает целевые меры, направленные на предотвращение того, чтобы люди оказывались в ситуации, характеризующейся постоянными низкими доходами и проблемами, связанными с низким жизненным уровнем, а также на оказание им помощи для улучшения их положения.  Задача состоит в том, чтобы позволить как можно большему числу лиц трудоспособного возраста обеспечивать себя за счет своей собственной работы и предусмотреть, чтобы те, кто не может трудиться, получали стабильное содержание благодаря пособиям по социальному обеспечению.  Эти меры направлены на следующие приоритетные группы:  иммигранты и беженцы;  лица, длительное время получающие пособие по социальному обеспечению;  лица, получающие пенсии по инвалидности;  родители-одиночки и другие оказавшиеся в неблагоприятном положении семьи с маленькими детьми;  дети и подростки;  лица, злоупотребляющие наркотическими веществами;  лица с психическими отклонениями, а также бездомные.</w:t>
      </w:r>
    </w:p>
    <w:p w:rsidR="00000000" w:rsidRDefault="00000000"/>
    <w:p w:rsidR="00000000" w:rsidRDefault="00000000">
      <w:r>
        <w:t>178.</w:t>
      </w:r>
      <w:r>
        <w:tab/>
        <w:t>За последние несколько лет социальное положение, жизненный уровень и качество жизни ряда уязвимых групп улучшились.  Это относится к лицам, злоупотребляющим алкоголем и наркотиками, с сопутствующим комплексом проблем, инвалидам и нуждающимся в уходе престарелым.  Норвегия утвердила планы работы с такими группами и осуществила меры в направлении реально достижимых целей для улучшения положения в конкретно установленные сроки.</w:t>
      </w:r>
    </w:p>
    <w:p w:rsidR="00000000" w:rsidRDefault="00000000"/>
    <w:p w:rsidR="00000000" w:rsidRDefault="00000000">
      <w:r>
        <w:rPr>
          <w:i/>
          <w:iCs/>
        </w:rPr>
        <w:t>Правительственный План действий по борьбе с наркоманией и алкоголизмом на 2003</w:t>
      </w:r>
      <w:r>
        <w:rPr>
          <w:i/>
          <w:iCs/>
        </w:rPr>
        <w:noBreakHyphen/>
        <w:t>2005 годы</w:t>
      </w:r>
    </w:p>
    <w:p w:rsidR="00000000" w:rsidRDefault="00000000"/>
    <w:p w:rsidR="00000000" w:rsidRDefault="00000000">
      <w:r>
        <w:t>179.</w:t>
      </w:r>
      <w:r>
        <w:tab/>
        <w:t>В 2002 году правительство Норвегии представило план действий по борьбе с наркоманией и алкоголизмом.  План предусматривает повышенное внимание в отношении профилактических мер, улучшение лечебных и реабилитационных служб и сокращение ущерба.  Политика в отношении наркомании и алкоголизма является важным компонентом политики социального обеспечения.  Такие важные составляющие, как План действий по преодолению нищеты, доклад, содержащий оценку возможности создания общего агентства для деятельности служб социального страхования и социального обеспечения, Национальная программа в области психического здоровья, службы социального обеспечения детей и т.п., должны также рассматриваться в связи с политикой в области наркомании и алкоголизма.</w:t>
      </w:r>
    </w:p>
    <w:p w:rsidR="00000000" w:rsidRDefault="00000000"/>
    <w:p w:rsidR="00000000" w:rsidRDefault="00000000">
      <w:r>
        <w:t>180.</w:t>
      </w:r>
      <w:r>
        <w:tab/>
        <w:t xml:space="preserve">Для заострения внимания на вопросах профилактики и лечения, включая контроль за причиненным ущербом, были назначены два консультативных комитета экспертов по политике в отношении алкоголя и наркотиков.  </w:t>
      </w:r>
    </w:p>
    <w:p w:rsidR="00000000" w:rsidRDefault="00000000"/>
    <w:p w:rsidR="00000000" w:rsidRDefault="00000000">
      <w:pPr>
        <w:keepNext/>
      </w:pPr>
      <w:r>
        <w:rPr>
          <w:i/>
          <w:iCs/>
        </w:rPr>
        <w:t>План действий в поддержку инвалидов</w:t>
      </w:r>
    </w:p>
    <w:p w:rsidR="00000000" w:rsidRDefault="00000000">
      <w:pPr>
        <w:keepNext/>
      </w:pPr>
    </w:p>
    <w:p w:rsidR="00000000" w:rsidRDefault="00000000">
      <w:r>
        <w:t>181.</w:t>
      </w:r>
      <w:r>
        <w:tab/>
        <w:t>С 1990 года в Норвегии было реализовано три плана действий в поддержку инвалидов.  Целью этих планов являлось обеспечение всестороннего участия и равенства для этой группы в соответствии с задачами, изложенными в Стандартных правилах Организации Объединенных Наций по обеспечению равных возможностей для инвалидов.  План действий на 1998-2002 годы предусматривал 161 меру, охватывающую большинство сфер общественной жизни.</w:t>
      </w:r>
    </w:p>
    <w:p w:rsidR="00000000" w:rsidRDefault="00000000"/>
    <w:p w:rsidR="00000000" w:rsidRDefault="00000000">
      <w:r>
        <w:t>182.</w:t>
      </w:r>
      <w:r>
        <w:tab/>
        <w:t xml:space="preserve">План действий способствовал проведению комплексных исследований и научных изысканий, совершенствованию законодательства и его практическому применению, а также улучшению положения в области создания ряда новых видов государственных услуг для лиц с физическими или психическими отклонениями.  Был создан ряд новых вспомогательных средств, включая специальную сеть ресурсов для лиц, полностью утративших слух или испытывающих серьезные нарушения слуха, специальное отделение в норвежском Центре научных исследований в области </w:t>
      </w:r>
      <w:proofErr w:type="spellStart"/>
      <w:r>
        <w:t>деменции</w:t>
      </w:r>
      <w:proofErr w:type="spellEnd"/>
      <w:r>
        <w:t xml:space="preserve">, которому было поручено осуществление общенациональной программы, связанной с инвалидностью и старением;  введение </w:t>
      </w:r>
      <w:proofErr w:type="spellStart"/>
      <w:r>
        <w:t>постдипломной</w:t>
      </w:r>
      <w:proofErr w:type="spellEnd"/>
      <w:r>
        <w:t xml:space="preserve"> подготовки специалистов в области гигиены полости рта по редким медицинским состояниям, национальной системы курсов семейного консультирования для родителей детей-инвалидов, создание специального центра по вспомогательным устройствам с использованием информационных технологий, национального Научно-исследовательского центра по изучению синдрома дефицита внимания и </w:t>
      </w:r>
      <w:proofErr w:type="spellStart"/>
      <w:r>
        <w:t>гиперактивности</w:t>
      </w:r>
      <w:proofErr w:type="spellEnd"/>
      <w:r>
        <w:t xml:space="preserve"> (</w:t>
      </w:r>
      <w:proofErr w:type="spellStart"/>
      <w:r>
        <w:t>СДВГ</w:t>
      </w:r>
      <w:proofErr w:type="spellEnd"/>
      <w:r>
        <w:t xml:space="preserve">), синдрома </w:t>
      </w:r>
      <w:proofErr w:type="spellStart"/>
      <w:r>
        <w:t>Туретта</w:t>
      </w:r>
      <w:proofErr w:type="spellEnd"/>
      <w:r>
        <w:t xml:space="preserve"> и </w:t>
      </w:r>
      <w:proofErr w:type="spellStart"/>
      <w:r>
        <w:t>нарколепсии</w:t>
      </w:r>
      <w:proofErr w:type="spellEnd"/>
      <w:r>
        <w:t>, а также специального центра ресурсов для поощрения участия и доступности для лиц, страдающих физическими недостатками.  Оценка показала, что План действий повысил осознание и признание того факта, что необходимо учитывать потребности лиц с физическими и психическими недостатками в процессах планирования и принятия решений на различных уровнях государственной администрации.</w:t>
      </w:r>
    </w:p>
    <w:p w:rsidR="00000000" w:rsidRDefault="00000000"/>
    <w:p w:rsidR="00000000" w:rsidRDefault="00000000">
      <w:r>
        <w:t>183.</w:t>
      </w:r>
      <w:r>
        <w:tab/>
        <w:t>В представленном стортингу докладе № 40 (2002-2003 годы) по вопросу об устранении барьеров инвалидности правительство изложило предложения, касающиеся целей, стратегий и мер своей политики в отношении лиц с физическими и психическими недостатками.  Правительством был предложен ряд конкретных мер по улучшению условий для лиц с подобными недостатками, таких, как создание центра документации, которому поручено ежегодно представлять доклад об изменениях в обществе, касающихся намеченных правительством целей.  Было также заявлено о том, что в течение ряда последующих лет будет выделено около 80 млн. норвежских крон для проведения более углубленных научных исследований в отношении лиц, страдающих различными недостатками, и создаваемых обществом барьеров.</w:t>
      </w:r>
    </w:p>
    <w:p w:rsidR="00000000" w:rsidRDefault="00000000"/>
    <w:p w:rsidR="00000000" w:rsidRDefault="00000000">
      <w:r>
        <w:t>184.</w:t>
      </w:r>
      <w:r>
        <w:tab/>
        <w:t>Кроме того, правительство назначило специальный комитет для изучения вопроса и подготовки докладов в отношении мер по укреплению правовой защиты инвалидов от дискриминации.  Этот комитет должен представить свой доклад в конце 2004 года.</w:t>
      </w:r>
    </w:p>
    <w:p w:rsidR="00000000" w:rsidRDefault="00000000"/>
    <w:p w:rsidR="00000000" w:rsidRDefault="00000000">
      <w:r>
        <w:rPr>
          <w:i/>
          <w:iCs/>
        </w:rPr>
        <w:br w:type="page"/>
        <w:t>Реформа для лиц с психическими нарушениями</w:t>
      </w:r>
    </w:p>
    <w:p w:rsidR="00000000" w:rsidRDefault="00000000"/>
    <w:p w:rsidR="00000000" w:rsidRDefault="00000000">
      <w:r>
        <w:t>185.</w:t>
      </w:r>
      <w:r>
        <w:tab/>
        <w:t>Реформа для лиц с психическими нарушениями была начата в 1991 году.  В соответствии с этой реформой основная ответственность за предоставление жилья и обслуживания всем лицам с нарушениями развития (психики) была возложена на муниципалитеты, а центральные учреждения были закрыты.  В результате реформы были приняты комплексные меры по улучшению и нормализации условий жизни и положения психически неполноценных лиц.</w:t>
      </w:r>
    </w:p>
    <w:p w:rsidR="00000000" w:rsidRDefault="00000000"/>
    <w:p w:rsidR="00000000" w:rsidRDefault="00000000">
      <w:r>
        <w:t>186.</w:t>
      </w:r>
      <w:r>
        <w:tab/>
        <w:t xml:space="preserve">Осуществление реформы стало объектом обширных научных исследований, свидетельствующих о нормализации жизненных ситуаций и улучшении условий жизни.  Согласно полученным результатам большинство лиц с психическими недостатками проживают в своем собственном жилье и имеют хороший уровень жизни, посещают обычные дневные центры по уходу и школы в своих местных общинах, пользуются услугами в рамках системы муниципального обслуживания, занимаются оплачиваемым трудом или участвуют в мероприятиях, проводимых в дневное время, а также в различных видах деятельности по организации отдыха.  Проведенная оценка показывает, что ретроспективно приблизительно </w:t>
      </w:r>
      <w:proofErr w:type="spellStart"/>
      <w:r>
        <w:t>75%</w:t>
      </w:r>
      <w:proofErr w:type="spellEnd"/>
      <w:r>
        <w:t xml:space="preserve"> родственников считают, что после реформы условия для лиц с психическими недостатками улучшились.  </w:t>
      </w:r>
    </w:p>
    <w:p w:rsidR="00000000" w:rsidRDefault="00000000"/>
    <w:p w:rsidR="00000000" w:rsidRDefault="00000000">
      <w:r>
        <w:t>187.</w:t>
      </w:r>
      <w:r>
        <w:tab/>
        <w:t>В отношении проблем лиц с психическими недостатками по</w:t>
      </w:r>
      <w:r>
        <w:noBreakHyphen/>
        <w:t>прежнему остаются нерешенные задачи.  Существует еще много взрослых инвалидов, проживающих вместе с родственниками, которые хотели бы иметь свое собственное жилье.  И хотя в настоящее время стало больше инвалидов, у которых расширились социальные связи, помощь многим из них по</w:t>
      </w:r>
      <w:r>
        <w:noBreakHyphen/>
        <w:t>прежнему остается неадекватной.  Имело место сокращение деятельности по организации досуга, которое отчасти было компенсировано за счет увеличения числа мероприятий, проводимых в дневное время.  Лица с психическими недостатками принимают не слишком активное участие в обычной работе и мероприятиях по организации досуга.</w:t>
      </w:r>
    </w:p>
    <w:p w:rsidR="00000000" w:rsidRDefault="00000000"/>
    <w:p w:rsidR="00000000" w:rsidRDefault="00000000">
      <w:r>
        <w:rPr>
          <w:i/>
          <w:iCs/>
        </w:rPr>
        <w:t>Престарелые, нуждающиеся в уходе</w:t>
      </w:r>
    </w:p>
    <w:p w:rsidR="00000000" w:rsidRDefault="00000000"/>
    <w:p w:rsidR="00000000" w:rsidRDefault="00000000">
      <w:r>
        <w:t>188.</w:t>
      </w:r>
      <w:r>
        <w:tab/>
        <w:t xml:space="preserve">В период 1998-2002 годов основная задача Плана действий в интересах престарелых состояла в укреплении потенциала муниципальных медицинских и общественных служб по удовлетворению растущей потребности в обеспечении ухода и медицинской помощи, связанной с увеличением количества пожилых лиц.  Осуществление Плана действий в интересах престарелых позволило достичь хороших результатов, и в настоящее время количество лиц, занятых в этом секторе, возросло.  С учетом увеличения числа лиц в возрасте старше 80 лет было активизировано строительство домов для престарелых;  была проведена реформа, направленная на обеспечение того, чтобы каждое лицо, проживающее в центре по уходу или доме для престарелых, имело отдельную комнату, а центры по уходу были отремонтированы и модернизированы.  Большое количество домов для престарелых было заменено домами гостиничного типа для престарелых и инвалидов.  Хотя План действий оказал позитивное воздействие с точки зрения удовлетворения краткосрочных потребностей, количество престарелых лиц в Норвегии будет возрастать, и пожилые люди будут доживать до очень глубокой старости, учитывая возросшую ожидаемую продолжительность жизни.  Это увеличение поставит перед обществом новые проблемы, связанные как с пенсионным обеспечением, так и с требуемым обслуживанием.  Состояние здоровья пожилых лиц очевидно улучшается, в результате чего они меньше нуждаются в помощи, чем ранее.  Новые методы лечения позволят отсрочить или предупредить наступление связанных с возрастом заболеваний, таких, как заболевания, приводящие к </w:t>
      </w:r>
      <w:proofErr w:type="spellStart"/>
      <w:r>
        <w:t>деменции</w:t>
      </w:r>
      <w:proofErr w:type="spellEnd"/>
      <w:r>
        <w:t xml:space="preserve">.  </w:t>
      </w:r>
    </w:p>
    <w:p w:rsidR="00000000" w:rsidRDefault="00000000"/>
    <w:p w:rsidR="00000000" w:rsidRDefault="00000000">
      <w:r>
        <w:t>189.</w:t>
      </w:r>
      <w:r>
        <w:tab/>
        <w:t xml:space="preserve">Кроме того, возрастет количество пожилых людей с высоким жизненным уровнем:  возрастная группа в пределах от 50 до 60 лет - будущие 80- и 90-летние - будут иметь высокие доходы, отчасти за счет дополнительных пенсионных накоплений.  У них также будет иметься больше финансовых средств и их образовательный уровень будет выше, чем у предыдущих поколений пожилых людей.  </w:t>
      </w:r>
    </w:p>
    <w:p w:rsidR="00000000" w:rsidRDefault="00000000"/>
    <w:p w:rsidR="00000000" w:rsidRDefault="00000000">
      <w:r>
        <w:t>190.</w:t>
      </w:r>
      <w:r>
        <w:tab/>
        <w:t>Для повышения качества услуг по уходу был подготовлен специальный План найма медицинских и социальных работников на 2003-2006 годы.  Доклад о качестве медицинского и социального обслуживания, который в настоящее время находится на рассмотрении стортинга, свидетельствует о том, что качество и уровень жизни пожилых людей, за которыми осуществляется уход, также улучшились.</w:t>
      </w:r>
    </w:p>
    <w:p w:rsidR="00000000" w:rsidRDefault="00000000"/>
    <w:p w:rsidR="00000000" w:rsidRDefault="00000000">
      <w:pPr>
        <w:rPr>
          <w:b/>
          <w:bCs/>
        </w:rPr>
      </w:pPr>
      <w:r>
        <w:rPr>
          <w:b/>
          <w:bCs/>
        </w:rPr>
        <w:t>Пункт 2 руководящих принципов (право на достаточное питание)</w:t>
      </w:r>
    </w:p>
    <w:p w:rsidR="00000000" w:rsidRDefault="00000000"/>
    <w:p w:rsidR="00000000" w:rsidRDefault="00000000">
      <w:r>
        <w:t>191.</w:t>
      </w:r>
      <w:r>
        <w:tab/>
        <w:t xml:space="preserve">Продовольственное снабжение в Норвегии является достаточным и стабильным и охватывает все население.  Уровень самообеспеченности в течение нескольких последних лет составлял приблизительно </w:t>
      </w:r>
      <w:proofErr w:type="spellStart"/>
      <w:r>
        <w:t>50-55%</w:t>
      </w:r>
      <w:proofErr w:type="spellEnd"/>
      <w:r>
        <w:t xml:space="preserve"> (в 2001 году - </w:t>
      </w:r>
      <w:proofErr w:type="spellStart"/>
      <w:r>
        <w:t>52%</w:t>
      </w:r>
      <w:proofErr w:type="spellEnd"/>
      <w:r>
        <w:t xml:space="preserve">).  Имеются статистические данные, собранные на основе обследований потребительского спроса и национальных обследований, которые касаются продовольственного снабжения как на макро-, так и на </w:t>
      </w:r>
      <w:proofErr w:type="spellStart"/>
      <w:r>
        <w:t>микроуровне</w:t>
      </w:r>
      <w:proofErr w:type="spellEnd"/>
      <w:r>
        <w:t>.  Были проведены обследования рациона питания среди детей в различных возрастных группах, а также среди взрослых и престарелых.  Структура питания норвежцев за последние 20 лет улучшилась и, как показывают обследования, большинство людей имеют нормальный рацион питания.  Вместе с тем существующее положение может быть улучшено, поскольку в настоящее время норвежцы потребляют достаточно мало фруктов и овощей и слишком много жира.</w:t>
      </w:r>
    </w:p>
    <w:p w:rsidR="00000000" w:rsidRDefault="00000000">
      <w:r>
        <w:t>192.</w:t>
      </w:r>
      <w:r>
        <w:tab/>
        <w:t>Общие цели политики Норвегии в области продовольствия и питания остаются неизменными.  Состав рациона питания населения должен быть таким, чтобы он</w:t>
      </w:r>
    </w:p>
    <w:p w:rsidR="00000000" w:rsidRDefault="00000000"/>
    <w:p w:rsidR="00000000" w:rsidRDefault="00000000">
      <w:pPr>
        <w:numPr>
          <w:ilvl w:val="0"/>
          <w:numId w:val="4"/>
        </w:numPr>
        <w:tabs>
          <w:tab w:val="clear" w:pos="567"/>
        </w:tabs>
      </w:pPr>
      <w:r>
        <w:t>сокращал количество связанных с питанием заболеваний среди населения</w:t>
      </w:r>
    </w:p>
    <w:p w:rsidR="00000000" w:rsidRDefault="00000000"/>
    <w:p w:rsidR="00000000" w:rsidRDefault="00000000">
      <w:pPr>
        <w:numPr>
          <w:ilvl w:val="0"/>
          <w:numId w:val="4"/>
        </w:numPr>
        <w:tabs>
          <w:tab w:val="clear" w:pos="567"/>
        </w:tabs>
      </w:pPr>
      <w:r>
        <w:t>являлся безопасным с точки зрения здоровья</w:t>
      </w:r>
    </w:p>
    <w:p w:rsidR="00000000" w:rsidRDefault="00000000"/>
    <w:p w:rsidR="00000000" w:rsidRDefault="00000000">
      <w:pPr>
        <w:numPr>
          <w:ilvl w:val="0"/>
          <w:numId w:val="4"/>
        </w:numPr>
        <w:tabs>
          <w:tab w:val="clear" w:pos="567"/>
        </w:tabs>
      </w:pPr>
      <w:r>
        <w:t>соответствовал запросам потребителей</w:t>
      </w:r>
    </w:p>
    <w:p w:rsidR="00000000" w:rsidRDefault="00000000"/>
    <w:p w:rsidR="00000000" w:rsidRDefault="00000000">
      <w:pPr>
        <w:numPr>
          <w:ilvl w:val="0"/>
          <w:numId w:val="4"/>
        </w:numPr>
        <w:tabs>
          <w:tab w:val="clear" w:pos="567"/>
        </w:tabs>
      </w:pPr>
      <w:r>
        <w:t>подбирался с учетом требований устойчивого развития и соблюдения экологических норм.</w:t>
      </w:r>
    </w:p>
    <w:p w:rsidR="00000000" w:rsidRDefault="00000000"/>
    <w:p w:rsidR="00000000" w:rsidRDefault="00000000">
      <w:r>
        <w:t>193.</w:t>
      </w:r>
      <w:r>
        <w:tab/>
        <w:t>Рацион питания в Норвегии улучшился.  В период с середины 70</w:t>
      </w:r>
      <w:r>
        <w:noBreakHyphen/>
        <w:t>х по начало 90</w:t>
      </w:r>
      <w:r>
        <w:noBreakHyphen/>
        <w:t>х годов прошлого века содержание жиров в рационе сократилось приблизительно с 40 до 35 энергетических процентов и в дальнейшем снизилось до 34 энергетических процентов.  Состав жирных кислот в рационе питания также изменился в лучшую сторону.  Кроме того, за последние 25 лет значительно возросло потребление овощей.  Наряду с этими улучшениями в рационе питания смертность в результате инфаркта миокарда сократилась более чем в два раза среди лиц старше 70 лет.</w:t>
      </w:r>
    </w:p>
    <w:p w:rsidR="00000000" w:rsidRDefault="00000000"/>
    <w:p w:rsidR="00000000" w:rsidRDefault="00000000">
      <w:r>
        <w:t>194.</w:t>
      </w:r>
      <w:r>
        <w:tab/>
        <w:t xml:space="preserve">С точки зрения охраны здоровья в рационе питания жителей Норвегии все еще содержится слишком много жиров, в частности насыщенных жиров, слишком много сахара и соли и слишком мало пищевых продуктов, богатых крахмалом, клетчаткой и антиоксидантами, таких, как хлеб из цельного зерна и овощи.  Дефицит этих элементов в рационе повышает риск развития сердечно-сосудистых болезней, рака, избыточного веса, запоров, заболеваний желчного пузыря, разрушения зубов, железодефицитной анемии, остеопороза и инсулиннезависимого сахарного диабета.  Если будут соблюдаться связанные с режимом питания рекомендации Национального совета по вопросам питания и физической деятельности, то распространенность этих заболеваний может быть сокращена.  В будущем важнейшими задачами политики в области питания станут удвоение потребления фруктов и овощей и сокращение потребления жиров, особенно насыщенных жиров.  Дефицит физической активности является еще одним важным недостатком современного образа жизни, в результате которого опасность появления вышеупомянутых связанных со здоровьем проблем возрастает.  </w:t>
      </w:r>
    </w:p>
    <w:p w:rsidR="00000000" w:rsidRDefault="00000000"/>
    <w:p w:rsidR="00000000" w:rsidRDefault="00000000">
      <w:r>
        <w:t>195.</w:t>
      </w:r>
      <w:r>
        <w:tab/>
        <w:t>Информация, приведенная ниже, содержится в докладе о тенденциях, касающихся рациона питания в Норвегии (Статистика обеспечения продовольствием и обследования потребления), опубликованном Управлением по вопросам здравоохранения и социального обеспечения в январе 2003 года, и в докладе № 16 (2002</w:t>
      </w:r>
      <w:r>
        <w:noBreakHyphen/>
        <w:t>2003), который был представлен в стортинг под названием "</w:t>
      </w:r>
      <w:r>
        <w:rPr>
          <w:i/>
          <w:iCs/>
        </w:rPr>
        <w:t>Предложения по укреплению здоровья населения Норвегии:  основа политики общественного здравоохранения</w:t>
      </w:r>
      <w:r>
        <w:t>".</w:t>
      </w:r>
    </w:p>
    <w:p w:rsidR="00000000" w:rsidRDefault="00000000"/>
    <w:p w:rsidR="00000000" w:rsidRDefault="00000000">
      <w:pPr>
        <w:rPr>
          <w:i/>
          <w:iCs/>
        </w:rPr>
      </w:pPr>
      <w:r>
        <w:rPr>
          <w:i/>
          <w:iCs/>
        </w:rPr>
        <w:t>Голод и недоедание</w:t>
      </w:r>
    </w:p>
    <w:p w:rsidR="00000000" w:rsidRDefault="00000000">
      <w:pPr>
        <w:rPr>
          <w:i/>
          <w:iCs/>
        </w:rPr>
      </w:pPr>
    </w:p>
    <w:p w:rsidR="00000000" w:rsidRDefault="00000000">
      <w:r>
        <w:t>196.</w:t>
      </w:r>
      <w:r>
        <w:tab/>
        <w:t>Голод и недоедание возникают лишь в крайне редких случаях в норвежском обществе и, как правило, бывают вызваны проблемами, которые не связаны с фактической нехваткой продовольствия, такими, как болезни или социальные проблемы.  Сводные статистические данные по таким случаям отсутствуют.  Несбалансированный рацион питания (например, чрезмерное потребление жиров и/или сахара), а также связанные с рационом питания болезни, такие, как сердечно-сосудистые заболевания и диабет, рассматриваются в качестве одной из основных проблем.  Увеличивается распространенность ожирения.</w:t>
      </w:r>
    </w:p>
    <w:p w:rsidR="00000000" w:rsidRDefault="00000000"/>
    <w:p w:rsidR="00000000" w:rsidRDefault="00000000">
      <w:r>
        <w:t>197.</w:t>
      </w:r>
      <w:r>
        <w:tab/>
        <w:t>Рацион питания различных групп не одинаков, и питание некоторых людей имеет явные недостатки с точки зрения здоровья.  В числе прочего, обследования, проведенные среди взрослого населения, показывают, что люди с многолетним образованием и более высоким социально-экономическим статусом имеют более здоровое питание, чем лица с низким уровнем образования и более низким социально-экономическим статусом.</w:t>
      </w:r>
    </w:p>
    <w:p w:rsidR="00000000" w:rsidRDefault="00000000"/>
    <w:p w:rsidR="00000000" w:rsidRDefault="00000000">
      <w:pPr>
        <w:rPr>
          <w:i/>
          <w:iCs/>
        </w:rPr>
      </w:pPr>
      <w:r>
        <w:rPr>
          <w:i/>
          <w:iCs/>
        </w:rPr>
        <w:t>Различия в рационах питания между женщинами и мужчинами</w:t>
      </w:r>
    </w:p>
    <w:p w:rsidR="00000000" w:rsidRDefault="00000000">
      <w:pPr>
        <w:rPr>
          <w:i/>
          <w:iCs/>
        </w:rPr>
      </w:pPr>
    </w:p>
    <w:p w:rsidR="00000000" w:rsidRDefault="00000000">
      <w:r>
        <w:t>198.</w:t>
      </w:r>
      <w:r>
        <w:tab/>
        <w:t>Согласно национальным обследованиям рационов питания, проведенным в 1993</w:t>
      </w:r>
      <w:r>
        <w:noBreakHyphen/>
        <w:t xml:space="preserve">1994 годах и в 1997 году, норвежские женщины значительно больше, чем мужчины потребляют овощи, фрукты и ягоды, обезжиренное молоко, чай и вино.  </w:t>
      </w:r>
    </w:p>
    <w:p w:rsidR="00000000" w:rsidRDefault="00000000"/>
    <w:p w:rsidR="00000000" w:rsidRDefault="00000000">
      <w:pPr>
        <w:rPr>
          <w:i/>
          <w:iCs/>
        </w:rPr>
      </w:pPr>
      <w:r>
        <w:rPr>
          <w:i/>
          <w:iCs/>
        </w:rPr>
        <w:t>Изменения за последние 25 лет</w:t>
      </w:r>
    </w:p>
    <w:p w:rsidR="00000000" w:rsidRDefault="00000000">
      <w:pPr>
        <w:rPr>
          <w:i/>
          <w:iCs/>
        </w:rPr>
      </w:pPr>
    </w:p>
    <w:p w:rsidR="00000000" w:rsidRDefault="00000000">
      <w:r>
        <w:t>199.</w:t>
      </w:r>
      <w:r>
        <w:tab/>
        <w:t>За последние 25 лет рацион питания изменился в лучшую сторону, в том что касается потребления жиров, которое сократилось с 40 до 34 энергетических процентов.  С 1990 года эта доля оставалась относительно стабильной.  Другим важным показателем являются фрукты и овощи, в отношении которых было зарегистрировано постепенное увеличение потребления овощей, в то время как потребление фруктов и ягод оставалось стабильным в течение длительного периода времени.  Потребление фруктов и овощей должно быть удвоено, для того чтобы достичь рекомендованного уровня потребления.</w:t>
      </w:r>
    </w:p>
    <w:p w:rsidR="00000000" w:rsidRDefault="00000000"/>
    <w:p w:rsidR="00000000" w:rsidRDefault="00000000">
      <w:pPr>
        <w:keepNext/>
        <w:rPr>
          <w:i/>
          <w:iCs/>
        </w:rPr>
      </w:pPr>
      <w:r>
        <w:rPr>
          <w:i/>
          <w:iCs/>
        </w:rPr>
        <w:t>Негативные изменения</w:t>
      </w:r>
    </w:p>
    <w:p w:rsidR="00000000" w:rsidRDefault="00000000">
      <w:pPr>
        <w:keepNext/>
        <w:rPr>
          <w:i/>
          <w:iCs/>
        </w:rPr>
      </w:pPr>
    </w:p>
    <w:p w:rsidR="00000000" w:rsidRDefault="00000000">
      <w:r>
        <w:t>200.</w:t>
      </w:r>
      <w:r>
        <w:tab/>
        <w:t>Норвежским властям не известно о каких</w:t>
      </w:r>
      <w:r>
        <w:noBreakHyphen/>
        <w:t>либо законодательных или иных мерах, которые оказали бы негативное воздействие на доступ к достаточному питанию.</w:t>
      </w:r>
    </w:p>
    <w:p w:rsidR="00000000" w:rsidRDefault="00000000"/>
    <w:p w:rsidR="00000000" w:rsidRDefault="00000000">
      <w:pPr>
        <w:rPr>
          <w:i/>
          <w:iCs/>
        </w:rPr>
      </w:pPr>
      <w:r>
        <w:rPr>
          <w:i/>
          <w:iCs/>
        </w:rPr>
        <w:t>Меры для обеспечения соблюдения права на достаточное питание</w:t>
      </w:r>
    </w:p>
    <w:p w:rsidR="00000000" w:rsidRDefault="00000000">
      <w:pPr>
        <w:rPr>
          <w:i/>
          <w:iCs/>
        </w:rPr>
      </w:pPr>
    </w:p>
    <w:p w:rsidR="00000000" w:rsidRDefault="00000000">
      <w:r>
        <w:t>201.</w:t>
      </w:r>
      <w:r>
        <w:tab/>
        <w:t>Основываясь на тенденциях потребления пищевых продуктов, норвежские власти стремятся поощрять:</w:t>
      </w:r>
    </w:p>
    <w:p w:rsidR="00000000" w:rsidRDefault="00000000"/>
    <w:p w:rsidR="00000000" w:rsidRDefault="00000000">
      <w:pPr>
        <w:numPr>
          <w:ilvl w:val="0"/>
          <w:numId w:val="5"/>
        </w:numPr>
        <w:tabs>
          <w:tab w:val="clear" w:pos="567"/>
        </w:tabs>
      </w:pPr>
      <w:r>
        <w:t>грудное вскармливание младенцев</w:t>
      </w:r>
    </w:p>
    <w:p w:rsidR="00000000" w:rsidRDefault="00000000">
      <w:pPr>
        <w:tabs>
          <w:tab w:val="clear" w:pos="1134"/>
        </w:tabs>
      </w:pPr>
    </w:p>
    <w:p w:rsidR="00000000" w:rsidRDefault="00000000">
      <w:pPr>
        <w:numPr>
          <w:ilvl w:val="0"/>
          <w:numId w:val="5"/>
        </w:numPr>
        <w:tabs>
          <w:tab w:val="clear" w:pos="567"/>
        </w:tabs>
      </w:pPr>
      <w:r>
        <w:t>увеличение потребления овощей, фруктов, ягод и картофеля</w:t>
      </w:r>
    </w:p>
    <w:p w:rsidR="00000000" w:rsidRDefault="00000000">
      <w:pPr>
        <w:tabs>
          <w:tab w:val="clear" w:pos="567"/>
          <w:tab w:val="clear" w:pos="1134"/>
        </w:tabs>
      </w:pPr>
    </w:p>
    <w:p w:rsidR="00000000" w:rsidRDefault="00000000">
      <w:pPr>
        <w:numPr>
          <w:ilvl w:val="0"/>
          <w:numId w:val="5"/>
        </w:numPr>
        <w:tabs>
          <w:tab w:val="clear" w:pos="567"/>
        </w:tabs>
      </w:pPr>
      <w:r>
        <w:t>увеличение потребления зерновых продуктов, особенно продуктов из непросеянной муки</w:t>
      </w:r>
    </w:p>
    <w:p w:rsidR="00000000" w:rsidRDefault="00000000">
      <w:pPr>
        <w:tabs>
          <w:tab w:val="clear" w:pos="1134"/>
        </w:tabs>
      </w:pPr>
    </w:p>
    <w:p w:rsidR="00000000" w:rsidRDefault="00000000">
      <w:pPr>
        <w:numPr>
          <w:ilvl w:val="0"/>
          <w:numId w:val="5"/>
        </w:numPr>
        <w:tabs>
          <w:tab w:val="clear" w:pos="567"/>
        </w:tabs>
      </w:pPr>
      <w:r>
        <w:t>рост потребления рыбы</w:t>
      </w:r>
    </w:p>
    <w:p w:rsidR="00000000" w:rsidRDefault="00000000">
      <w:pPr>
        <w:tabs>
          <w:tab w:val="clear" w:pos="1134"/>
        </w:tabs>
      </w:pPr>
    </w:p>
    <w:p w:rsidR="00000000" w:rsidRDefault="00000000">
      <w:pPr>
        <w:numPr>
          <w:ilvl w:val="0"/>
          <w:numId w:val="5"/>
        </w:numPr>
        <w:tabs>
          <w:tab w:val="clear" w:pos="567"/>
        </w:tabs>
      </w:pPr>
      <w:r>
        <w:t>дальнейшее сокращение потребления пищевых жиров, особенно твердого маргарина и сливочного масла</w:t>
      </w:r>
    </w:p>
    <w:p w:rsidR="00000000" w:rsidRDefault="00000000">
      <w:pPr>
        <w:tabs>
          <w:tab w:val="clear" w:pos="1134"/>
        </w:tabs>
      </w:pPr>
    </w:p>
    <w:p w:rsidR="00000000" w:rsidRDefault="00000000">
      <w:pPr>
        <w:numPr>
          <w:ilvl w:val="0"/>
          <w:numId w:val="5"/>
        </w:numPr>
        <w:tabs>
          <w:tab w:val="clear" w:pos="567"/>
        </w:tabs>
      </w:pPr>
      <w:r>
        <w:t>рост потребления обезжиренного молока и мяса взамен альтернативных продуктов с более высоким содержанием жира</w:t>
      </w:r>
    </w:p>
    <w:p w:rsidR="00000000" w:rsidRDefault="00000000">
      <w:pPr>
        <w:tabs>
          <w:tab w:val="clear" w:pos="1134"/>
        </w:tabs>
      </w:pPr>
    </w:p>
    <w:p w:rsidR="00000000" w:rsidRDefault="00000000">
      <w:pPr>
        <w:numPr>
          <w:ilvl w:val="0"/>
          <w:numId w:val="5"/>
        </w:numPr>
        <w:tabs>
          <w:tab w:val="clear" w:pos="567"/>
        </w:tabs>
      </w:pPr>
      <w:r>
        <w:t>сокращение потребления сахара</w:t>
      </w:r>
    </w:p>
    <w:p w:rsidR="00000000" w:rsidRDefault="00000000">
      <w:pPr>
        <w:tabs>
          <w:tab w:val="clear" w:pos="1134"/>
        </w:tabs>
      </w:pPr>
    </w:p>
    <w:p w:rsidR="00000000" w:rsidRDefault="00000000">
      <w:pPr>
        <w:numPr>
          <w:ilvl w:val="0"/>
          <w:numId w:val="5"/>
        </w:numPr>
        <w:tabs>
          <w:tab w:val="clear" w:pos="567"/>
        </w:tabs>
      </w:pPr>
      <w:r>
        <w:t>сокращение потребления соли.</w:t>
      </w:r>
    </w:p>
    <w:p w:rsidR="00000000" w:rsidRDefault="00000000">
      <w:pPr>
        <w:tabs>
          <w:tab w:val="clear" w:pos="1134"/>
        </w:tabs>
      </w:pPr>
    </w:p>
    <w:p w:rsidR="00000000" w:rsidRDefault="00000000">
      <w:r>
        <w:t>202.</w:t>
      </w:r>
      <w:r>
        <w:tab/>
        <w:t>Для того чтобы отслеживать тенденции в области рациона питания и оценивать эффективность проводимых в отношении питания политических мер, центральные органы здравоохранения будут стремиться осуществлять более пристальный контроль за ситуацией в области питания и уровнями физической активности населения.</w:t>
      </w:r>
    </w:p>
    <w:p w:rsidR="00000000" w:rsidRDefault="00000000"/>
    <w:p w:rsidR="00000000" w:rsidRDefault="00000000">
      <w:r>
        <w:t>203.</w:t>
      </w:r>
      <w:r>
        <w:tab/>
        <w:t>В докладе № 16 (2002-2003) "</w:t>
      </w:r>
      <w:r>
        <w:rPr>
          <w:i/>
          <w:iCs/>
        </w:rPr>
        <w:t>Предложения по укреплению здоровья в Норвегии:  основа политики общественного здравоохранения</w:t>
      </w:r>
      <w:r>
        <w:t xml:space="preserve">" делается ссылка на опубликованный в 2002 году Доклад Всемирной организации здравоохранения о состоянии здравоохранения в мире, основное внимание в котором уделяется факторам, повышающим риск плохого состояния здоровья.  Особое внимание уделяется важности изменений в образе жизни.  В докладе отмечается, что на 10 факторов риска приходится треть всех преждевременных смертей в мире.  В наиболее промышленно развитых странах по меньшей мере треть бремени болезней является результатом пяти из этих факторов риска, которыми являются табак, алкоголь, высокое артериальное давление, высокий уровень холестерина и ожирение.  Ожирение, высокое артериальное давление и холестерин непосредственно связаны с отсутствием физической активности и рационом питания, содержащим слишком много жиров, сахара и соли.  Перед Норвегией также стоят важные задачи, связанные с обеспечением здорового образа жизни.  </w:t>
      </w:r>
    </w:p>
    <w:p w:rsidR="00000000" w:rsidRDefault="00000000"/>
    <w:p w:rsidR="00000000" w:rsidRDefault="00000000">
      <w:r>
        <w:t>204.</w:t>
      </w:r>
      <w:r>
        <w:tab/>
        <w:t>В представленном на рассмотрение стортинга докладе обращается особое внимание на те области, в которых существует необходимость улучшения рациона питания детей и подростков, а также ставится ряд вызывающих обеспокоенность вопросов, таких, как питание новорожденных и детей ясельного возраста, рахит и нехватка витамина </w:t>
      </w:r>
      <w:r>
        <w:rPr>
          <w:lang w:val="en-US"/>
        </w:rPr>
        <w:t>D</w:t>
      </w:r>
      <w:r>
        <w:t>, а также школьное питание.</w:t>
      </w:r>
    </w:p>
    <w:p w:rsidR="00000000" w:rsidRDefault="00000000"/>
    <w:p w:rsidR="00000000" w:rsidRDefault="00000000">
      <w:pPr>
        <w:keepNext/>
        <w:rPr>
          <w:i/>
          <w:iCs/>
        </w:rPr>
      </w:pPr>
      <w:r>
        <w:rPr>
          <w:i/>
          <w:iCs/>
        </w:rPr>
        <w:t>Применение научно-технических знаний</w:t>
      </w:r>
    </w:p>
    <w:p w:rsidR="00000000" w:rsidRDefault="00000000">
      <w:pPr>
        <w:keepNext/>
        <w:rPr>
          <w:i/>
          <w:iCs/>
        </w:rPr>
      </w:pPr>
    </w:p>
    <w:p w:rsidR="00000000" w:rsidRDefault="00000000">
      <w:r>
        <w:t>205.</w:t>
      </w:r>
      <w:r>
        <w:tab/>
        <w:t>Во всех сферах жизни норвежского общества отмечается хороший доступ к современным технологиям и новым знаниям и их активное использование, в том числе в секторе производства продуктов питания.  Это дает возможность производить новые продукты питания, однако питательные свойства этих продуктов различаются.  В Норвегии существует широкий выбор продуктов питания, и технический прогресс вряд ли оказывает значительное влияние на реализацию права на достаточное питание.  Вместе с тем новые знания о безопасности пищевых продуктов и правильном питании повышают возможности для улучшения рациона питания населения.  Другая цель состоит в увеличении производства и потребления органических сельскохозяйственных продуктов в Норвегии.</w:t>
      </w:r>
    </w:p>
    <w:p w:rsidR="00000000" w:rsidRDefault="00000000"/>
    <w:p w:rsidR="00000000" w:rsidRDefault="00000000">
      <w:pPr>
        <w:rPr>
          <w:i/>
          <w:iCs/>
        </w:rPr>
      </w:pPr>
      <w:r>
        <w:rPr>
          <w:i/>
          <w:iCs/>
        </w:rPr>
        <w:t>Распространение информации о принципах питания</w:t>
      </w:r>
    </w:p>
    <w:p w:rsidR="00000000" w:rsidRDefault="00000000">
      <w:pPr>
        <w:rPr>
          <w:i/>
          <w:iCs/>
        </w:rPr>
      </w:pPr>
    </w:p>
    <w:p w:rsidR="00000000" w:rsidRDefault="00000000">
      <w:r>
        <w:t>206.</w:t>
      </w:r>
      <w:r>
        <w:tab/>
        <w:t>Информация и распространение знаний о принципах питания в течение многих лет являлись одной из приоритетных задач органов здравоохранения Норвегии.  К числу осуществленных мер относятся:  подготовка информационных материалов для потребителей, оповещение средств массовой информации и программы подготовки руководящих работников в секторах здравоохранения, образования и производства продуктов питания.  Целевые группы для распространения информации меняются в зависимости от конкретной темы, однако общая информация рассчитана на население в целом.  Учащиеся школ рассматриваются как одна из наиболее важных целевых групп.</w:t>
      </w:r>
    </w:p>
    <w:p w:rsidR="00000000" w:rsidRDefault="00000000"/>
    <w:p w:rsidR="00000000" w:rsidRDefault="00000000">
      <w:pPr>
        <w:rPr>
          <w:i/>
          <w:iCs/>
        </w:rPr>
      </w:pPr>
      <w:r>
        <w:rPr>
          <w:i/>
          <w:iCs/>
        </w:rPr>
        <w:t>Аграрная реформа</w:t>
      </w:r>
    </w:p>
    <w:p w:rsidR="00000000" w:rsidRDefault="00000000">
      <w:pPr>
        <w:rPr>
          <w:i/>
          <w:iCs/>
        </w:rPr>
      </w:pPr>
    </w:p>
    <w:p w:rsidR="00000000" w:rsidRDefault="00000000">
      <w:r>
        <w:t>207.</w:t>
      </w:r>
      <w:r>
        <w:tab/>
        <w:t>Многие нормы, регулирующие в настоящее время производство продуктов питания, направлены на обеспечение того, чтобы продовольствие являлось безопасным для здоровья, а производство - экологически приемлемым.  Применение средств защиты растений имеет большое значение как для безопасности пищевых продуктов, так и для устойчивости производства.  Нормы, регулирующие одобрение, качество, методы применения и т.п., будут представлять собой важные элементы продовольственного регламента, основанного на принципе "от фьорда/поля до стола потребителя".  Так, например, был введен налог на продажу средств защиты растений, а также определены нормы использования таких средств с целью обеспечения того, чтобы продукция была экологически безвредной и чтобы производство продуктов питания являлось безопасным с точки зрения остаточного содержания средств защиты растений.</w:t>
      </w:r>
    </w:p>
    <w:p w:rsidR="00000000" w:rsidRDefault="00000000"/>
    <w:p w:rsidR="00000000" w:rsidRDefault="00000000">
      <w:r>
        <w:t>208.</w:t>
      </w:r>
      <w:r>
        <w:tab/>
        <w:t>Закон, касающийся мер по борьбе с болезнями домашнего скота, предназначен для защиты здоровья животных, обеспечивая таким образом рациональное и устойчивое производство продуктов питания.  Рациональное производство продуктов питания означает обеспечение того, чтобы пища животного происхождения являлась безопасной для здоровья населения.  Такие проблемы, как "коровье бешенство" и почесуха, показали, что здоровье животных оказывает более серьезное воздействие на безопасность пищевых продуктов, чем считалось ранее.  Исходя из соображений предосторожности, можно утверждать, что сегодняшнее здоровье животных может стать завтрашним здоровьем населения.  Поэтому включенные в Закон меры являются очень важными для обеспечения безопасности продовольствия для здоровья потребителя и защиты его интересов.</w:t>
      </w:r>
    </w:p>
    <w:p w:rsidR="00000000" w:rsidRDefault="00000000"/>
    <w:p w:rsidR="00000000" w:rsidRDefault="00000000">
      <w:r>
        <w:t>209.</w:t>
      </w:r>
      <w:r>
        <w:tab/>
        <w:t>13 июня 2003 года правительство представило в стортинг предложение по закону о производстве продуктов питания и безопасности пищевых продуктов (Закон о продовольствии).  Этот законопроект является частью более широкой реорганизации системы регулирования государством вопросов, касающихся продовольствия.  Новый закон о продовольствии представляет собой одну из мер, принятых правительством с целью уделения дополнительного внимания вопросам продовольствия.  Планируемый закон должен заложить основу для единого свода норм по вопросам продовольствия, обеспечивающих доступ населения к безопасному продовольствию и способствующих учету других соответствующих соображений, таких, как соблюдение интересов потребителей и содействие использованию экологически рациональных методов производства.</w:t>
      </w:r>
    </w:p>
    <w:p w:rsidR="00000000" w:rsidRDefault="00000000"/>
    <w:p w:rsidR="00000000" w:rsidRDefault="00000000">
      <w:r>
        <w:t>210.</w:t>
      </w:r>
      <w:r>
        <w:tab/>
        <w:t>Помимо климата и водных ресурсов, земля является наиболее важным и основополагающим производственным фактором в сельском хозяйстве.  Доступ к земле, имеющей высокий биологический производственный потенциал, имеет решающее значение для удовлетворения одной из наиважнейших потребностей человека - потребности в продовольствии.  Плодородные земли охраняются в соответствии с норвежским законодательством.  Конституция Норвегии предусматривает защиту плодородных земель.  Кроме того, в Норвегии существует Закон о земле, в котором также подчеркивается, что земельными ресурсами следует распоряжаться экологически рациональным образом, учитывая необходимость защиты почвы как одного из производственных факторов.  Закон регулирует использование сельскохозяйственной земли и направлен на поощрение использования земельных ресурсов таким образом, чтобы приносить пользу обществу и выгоду сельскохозяйственному производству.  Закон требует учитывать тот факт, что сельскохозяйственные угодья имеют основополагающее значение для жизни, здоровья и благополучия людей, животных и растений.  Положения этого Закона в основном касаются того, чтобы пахотная земля могла обеспечить основу для рентабельных операций, и предусматривают принятие мер для сохранения пахотных земель.  Кроме того, в Законе предусмотрены положения, касающиеся экологически рационального использования сельскохозяйственной земли.</w:t>
      </w:r>
    </w:p>
    <w:p w:rsidR="00000000" w:rsidRDefault="00000000"/>
    <w:p w:rsidR="00000000" w:rsidRDefault="00000000">
      <w:pPr>
        <w:rPr>
          <w:b/>
          <w:bCs/>
        </w:rPr>
      </w:pPr>
      <w:r>
        <w:rPr>
          <w:b/>
          <w:bCs/>
        </w:rPr>
        <w:t>Пункт 3 руководящих принципов (право на достаточное жилище)</w:t>
      </w:r>
    </w:p>
    <w:p w:rsidR="00000000" w:rsidRDefault="00000000"/>
    <w:p w:rsidR="00000000" w:rsidRDefault="00000000">
      <w:pPr>
        <w:rPr>
          <w:i/>
          <w:iCs/>
        </w:rPr>
      </w:pPr>
      <w:r>
        <w:rPr>
          <w:i/>
          <w:iCs/>
        </w:rPr>
        <w:t>Статистическая информация</w:t>
      </w:r>
    </w:p>
    <w:p w:rsidR="00000000" w:rsidRDefault="00000000">
      <w:pPr>
        <w:rPr>
          <w:i/>
          <w:iCs/>
        </w:rPr>
      </w:pPr>
    </w:p>
    <w:p w:rsidR="00000000" w:rsidRDefault="00000000">
      <w:r>
        <w:t>211.</w:t>
      </w:r>
      <w:r>
        <w:tab/>
        <w:t>Положение с жильем в Норвегии является хорошим у большинства людей.  По данным Статистического управления Норвегии, по состоянию на 3 ноября 2001 года в Норвегии имелось 1 961 548 заселенных жилищ по сравнению с 1 523 508 в 1980 году.  С 1990 года количество заселенных жилищ увеличилось на 12%.</w:t>
      </w:r>
    </w:p>
    <w:p w:rsidR="00000000" w:rsidRDefault="00000000"/>
    <w:p w:rsidR="00000000" w:rsidRDefault="00000000">
      <w:r>
        <w:t>212.</w:t>
      </w:r>
      <w:r>
        <w:tab/>
        <w:t>57% жилых единиц составляют индивидуальные дома, а 18% являются квартирами в жилых массивах или многоквартирных жилых зданиях.  Это соотношение осталось более менее неизменным по сравнению с предыдущими годами.  Большая часть квартир находится в Осло, где почти 70% жилых единиц сосредоточены в жилых массивах или в многоквартирных жилых домах.</w:t>
      </w:r>
    </w:p>
    <w:p w:rsidR="00000000" w:rsidRDefault="00000000"/>
    <w:p w:rsidR="00000000" w:rsidRDefault="00000000">
      <w:r>
        <w:t>213.</w:t>
      </w:r>
      <w:r>
        <w:tab/>
        <w:t>76,7% жилых единиц являются частными владениями или оформлены во владение в рамках жилищных кооперативов, в то время как 23% домашних хозяйств являются съемщиками жилья, в котором они проживают.  С 1990 года доля таких домашних хозяйств возросла.  В Осло почти 30% домашних хозяйств в настоящее время снимают жилье, в котором они проживают.  Соответствующий показатель в 1990 году составлял 24%.  В съемном жилье проживают преимущественно молодые люди (в возрасте до 45 лет), родители-одиночки или одинокие люди.</w:t>
      </w:r>
    </w:p>
    <w:p w:rsidR="00000000" w:rsidRDefault="00000000">
      <w:r>
        <w:t>214.</w:t>
      </w:r>
      <w:r>
        <w:tab/>
        <w:t>На протяжении всего послевоенного периода жилища постепенно становились более просторными.  В 1950 году на одну жилую единицу приходилось 3,4 жильца по сравнению с 2,4 в 1990 году и 2,3 в 2001 году.  Среднее количество комнат на каждую жилую единицу возросло с 3,6 в 1980 году до 4,1 в 2001 году.  Таким образом, в 2001 году на одну жилую единицу приходилось меньше жильцов, чем когда-либо прежде, и в среднем увеличилось количество комнат в каждой жилой единице.  В 2001 году в среднем имелось по 0,6 жильца на каждую комнату по сравнению с 0,7 жильца на комнату в 1980 году.  13% населения все еще проживает в стесненных условиях (одинокие лица в однокомнатных квартирах или количество жильцов, превышающее количество комнат, исключая кухню и ванную комнату), в то время как 48% проживают в просторных жилищах (одинокие лица, имеющие три или более комнат, или две или более комнат, приходящихся на одного человека, исключая кухню и ванную комнату).</w:t>
      </w:r>
    </w:p>
    <w:p w:rsidR="00000000" w:rsidRDefault="00000000"/>
    <w:p w:rsidR="00000000" w:rsidRDefault="00000000">
      <w:pPr>
        <w:rPr>
          <w:i/>
          <w:iCs/>
        </w:rPr>
      </w:pPr>
      <w:r>
        <w:rPr>
          <w:i/>
          <w:iCs/>
        </w:rPr>
        <w:t>Группы, находящиеся в неблагоприятном положении на рынке жилья</w:t>
      </w:r>
    </w:p>
    <w:p w:rsidR="00000000" w:rsidRDefault="00000000">
      <w:pPr>
        <w:rPr>
          <w:i/>
          <w:iCs/>
        </w:rPr>
      </w:pPr>
    </w:p>
    <w:p w:rsidR="00000000" w:rsidRDefault="00000000">
      <w:r>
        <w:t>215.</w:t>
      </w:r>
      <w:r>
        <w:tab/>
        <w:t>Исследования и обзоры норвежского рынка жилья показывают, что лица иммигрантского происхождения испытывают бóльшие трудности с поиском жилья, чем этнические норвежцы.  Это объясняется рядом факторов, включая слабое частное финансовое положение и дискриминацию на рынке жилья.</w:t>
      </w:r>
    </w:p>
    <w:p w:rsidR="00000000" w:rsidRDefault="00000000"/>
    <w:p w:rsidR="00000000" w:rsidRDefault="00000000">
      <w:r>
        <w:t>216.</w:t>
      </w:r>
      <w:r>
        <w:tab/>
        <w:t>Согласно проведенному в 1996 году Статистическим управлением Норвегии обследованию жилищных условий, каждый пятый из числа незападных иммигрантов сталкивался с ситуациями, когда ему отказывали в возможности стать покупателем дома или квартиросъемщиком из-за его этнического происхождения.</w:t>
      </w:r>
    </w:p>
    <w:p w:rsidR="00000000" w:rsidRDefault="00000000"/>
    <w:p w:rsidR="00000000" w:rsidRDefault="00000000">
      <w:r>
        <w:t>217.</w:t>
      </w:r>
      <w:r>
        <w:tab/>
        <w:t xml:space="preserve">Информация, полученная </w:t>
      </w:r>
      <w:r>
        <w:rPr>
          <w:i/>
          <w:iCs/>
        </w:rPr>
        <w:t>Центром по борьбе с этнической дискриминацией</w:t>
      </w:r>
      <w:r>
        <w:t>, указывает на то, что некоторые из участников этого сектора занимаются дискриминационной практикой.  Примеры дискриминации включают в себя принятие на общих собраниях уставов, ограничивающих доступ иностранцев к жилью, и отказ исполнительных советов утвердить покупку или аренду из-за этнического происхождения соответствующего лица.  Сообщения в прессе указывают на то, что дискриминация также существует на частных рынках продажи и аренды жилья.</w:t>
      </w:r>
    </w:p>
    <w:p w:rsidR="00000000" w:rsidRDefault="00000000"/>
    <w:p w:rsidR="00000000" w:rsidRDefault="00000000">
      <w:r>
        <w:t>218.</w:t>
      </w:r>
      <w:r>
        <w:tab/>
        <w:t>В проведенном Управлением по вопросам иммиграции обследовании "</w:t>
      </w:r>
      <w:r>
        <w:rPr>
          <w:i/>
          <w:iCs/>
        </w:rPr>
        <w:t>Виды и масштабы расизма и дискриминации в Норвегии, 1999-2000 годы</w:t>
      </w:r>
      <w:r>
        <w:t xml:space="preserve">" отмечается тот факт, что 20 из 29 муниципалитетов упоминают случаи дискриминации в данном секторе.  В докладе указано, что иммигрантов, реагирующих по телефону на объявления о жилье, могут постоянно игнорировать.  Наличие арендуемого жилья определяется рыночной конъюнктурой, и иммигранты имеют возможность снять жилье только в том случае, если нет других претендентов.  В докладе также отмечается оскорбительное поведение и запугивание в отношении лиц иммигрантского происхождения, если в конечном итоге им удается снять жилье.  В нем утверждается, что дискриминация на рынке жилья в первую очередь объясняется тем фактом, что норвежские домовладельцы скептически относятся к "бытовой культуре" </w:t>
      </w:r>
      <w:proofErr w:type="spellStart"/>
      <w:r>
        <w:t>незападных</w:t>
      </w:r>
      <w:proofErr w:type="spellEnd"/>
      <w:r>
        <w:t xml:space="preserve"> иммигрантов.  В настоящее время стортинг утвердил положение, запрещающее этот вид дискриминации.</w:t>
      </w:r>
    </w:p>
    <w:p w:rsidR="00000000" w:rsidRDefault="00000000"/>
    <w:p w:rsidR="00000000" w:rsidRDefault="00000000">
      <w:r>
        <w:t>219.</w:t>
      </w:r>
      <w:r>
        <w:tab/>
        <w:t xml:space="preserve">Как уже отмечалось, правительство занимается подготовкой предложений по новому закону о борьбе с этнической дискриминацией.  В докладе законодательного комитета, работающего над этим новым законом, предлагается установить общий запрет в отношении этнической дискриминации, который будет применяться во всех сферах общества, включая рынок жилья.  В соответствии с предложением комитета основной правовой санкцией в случае нарушения этого запрета будет компенсация нематериального ущерба (возмещение).  К числу других возможных санкций относится распоряжение об исправлении или прекращении ситуаций, которые вступают в противоречие с законом.  Комитет предлагает в качестве общей нормы долевое распределение бремени </w:t>
      </w:r>
      <w:proofErr w:type="spellStart"/>
      <w:r>
        <w:t>доказывания</w:t>
      </w:r>
      <w:proofErr w:type="spellEnd"/>
      <w:r>
        <w:t xml:space="preserve"> в случаях этнической дискриминации.  Кроме того, он предлагает учредить специальный орган для выполнения закона о борьбе с этнической дискриминацией, который будет уполномочен принимать решения и налагать санкции в случаях этнической дискриминации.  Это упростит процедуру возбуждения судебного дела лицами, которые считают, что они подверглись дискриминации, по сравнению с нынешней ситуацией, когда такие иски направляются в суды общей юрисдикции.  Комитет также предлагает включить в норвежское законодательство в рамках Закона о правах человека текст Конвенции Организации Объединенных Наций о ликвидации всех форм расовой дискриминации.  Осенью 2002 года доклад комитета получил широкое распространение в целях проведения консультаций, и в 2004 году правительство намерено представить предложение по новому закону о борьбе с этнической дискриминацией.</w:t>
      </w:r>
    </w:p>
    <w:p w:rsidR="00000000" w:rsidRDefault="00000000"/>
    <w:p w:rsidR="00000000" w:rsidRDefault="00000000">
      <w:r>
        <w:t>220.</w:t>
      </w:r>
      <w:r>
        <w:tab/>
        <w:t>В принципе просители убежища в Норвегии не имеют права владеть жильем.  Вместе с тем государство оказывает услуги по размещению всех просителей убежища.  Это предусмотрено представляемым правительством ежегодным бюджетом, который утверждается каждый год.  Просители убежища могут по своему усмотрению воспользоваться этим предложением.</w:t>
      </w:r>
    </w:p>
    <w:p w:rsidR="00000000" w:rsidRDefault="00000000"/>
    <w:p w:rsidR="00000000" w:rsidRDefault="00000000">
      <w:r>
        <w:t>221.</w:t>
      </w:r>
      <w:r>
        <w:tab/>
        <w:t>Иностранным гражданам, которым был предоставлен вид на жительство в Норвегии на основе прошения о предоставлении убежища и которые не могут найти жилье самостоятельно, предлагается жилье из фондов муниципалитетов.  Муниципальные власти совместно с государством принимают решение о том, сколько беженцев они хотели бы разместить.  Переговоры в отношении такого вида расселения могут быть трудными и длительными.  Поэтому многие просители убежища в Норвегии проживают в приютах в течение определенного периода после предоставления им вида на жительство.</w:t>
      </w:r>
    </w:p>
    <w:p w:rsidR="00000000" w:rsidRDefault="00000000"/>
    <w:p w:rsidR="00000000" w:rsidRDefault="00000000">
      <w:pPr>
        <w:rPr>
          <w:i/>
          <w:iCs/>
        </w:rPr>
      </w:pPr>
      <w:r>
        <w:rPr>
          <w:i/>
          <w:iCs/>
        </w:rPr>
        <w:t>Бездомные лица</w:t>
      </w:r>
    </w:p>
    <w:p w:rsidR="00000000" w:rsidRDefault="00000000">
      <w:pPr>
        <w:rPr>
          <w:i/>
          <w:iCs/>
        </w:rPr>
      </w:pPr>
    </w:p>
    <w:p w:rsidR="00000000" w:rsidRDefault="00000000">
      <w:r>
        <w:t>222.</w:t>
      </w:r>
      <w:r>
        <w:tab/>
        <w:t>Никакого регулярного статистического учета бездомных лиц не проводится.  В 1988 году, согласно оценкам, их количество колебалось в пределах от 1 600 до 3 000 бездомных (постояльцы приютов для бездомных и лица, не имеющие постоянного местожительства).  Определение такого явления как бездомность еще не устоялось, а согласованное международное определение отсутствует.</w:t>
      </w:r>
    </w:p>
    <w:p w:rsidR="00000000" w:rsidRDefault="00000000"/>
    <w:p w:rsidR="00000000" w:rsidRDefault="00000000">
      <w:r>
        <w:t>223.</w:t>
      </w:r>
      <w:r>
        <w:tab/>
        <w:t>В ходе обследования бездомных лиц, которые связывались со службами социального обеспечения в 1996 году, было установлено, что в Норвегии имеется 6 200 бездомных, что составляет 1,5 бездомных лица на тысячу жителей.  В этом обследовании бездомными определяются лица, не имеющие собственного жилья и вынужденные прибегать к случайным или временным жилищным альтернативам, а также лица, которым негде ночевать.  Лица, которые временно проживают в семьях или у друзей, а также лица, проживающие в учреждениях закрытого типа и не имеющие постоянного местожительства, куда они могли бы вернуться, также определяются как бездомные.  Одна треть из числа бездомных прежде всего испытывает проблемы именно с жильем и сможет обходиться без посторонней помощи после получения собственного жилья.  Остальные две трети нуждаются в дополнительной помощи и в некоторых случаях в решении проблем, связанных с лечением токсикомании и/или психических заболеваний, прежде чем они смогут жить отдельно.  Свежие обследования по данному вопросу отсутствуют.</w:t>
      </w:r>
    </w:p>
    <w:p w:rsidR="00000000" w:rsidRDefault="00000000"/>
    <w:p w:rsidR="00000000" w:rsidRDefault="00000000">
      <w:pPr>
        <w:rPr>
          <w:i/>
          <w:iCs/>
        </w:rPr>
      </w:pPr>
      <w:r>
        <w:rPr>
          <w:i/>
          <w:iCs/>
        </w:rPr>
        <w:t>Неадекватное жилье</w:t>
      </w:r>
    </w:p>
    <w:p w:rsidR="00000000" w:rsidRDefault="00000000">
      <w:pPr>
        <w:rPr>
          <w:i/>
          <w:iCs/>
        </w:rPr>
      </w:pPr>
    </w:p>
    <w:p w:rsidR="00000000" w:rsidRDefault="00000000">
      <w:r>
        <w:t>224.</w:t>
      </w:r>
      <w:r>
        <w:tab/>
        <w:t xml:space="preserve">Некоторые аспекты жилья, такие как плотность заселения, были описаны выше.  Согласно информации, собранной в 2001 году, лишь </w:t>
      </w:r>
      <w:proofErr w:type="spellStart"/>
      <w:r>
        <w:t>0,9%</w:t>
      </w:r>
      <w:proofErr w:type="spellEnd"/>
      <w:r>
        <w:t xml:space="preserve"> домашних хозяйств не имеют ни ванной, ни туалета, </w:t>
      </w:r>
      <w:proofErr w:type="spellStart"/>
      <w:r>
        <w:t>97%</w:t>
      </w:r>
      <w:proofErr w:type="spellEnd"/>
      <w:r>
        <w:t xml:space="preserve"> имеют и то, и другое, и </w:t>
      </w:r>
      <w:proofErr w:type="spellStart"/>
      <w:r>
        <w:t>99%</w:t>
      </w:r>
      <w:proofErr w:type="spellEnd"/>
      <w:r>
        <w:t xml:space="preserve"> оснащены кухнями/местами для приготовления пищи.</w:t>
      </w:r>
    </w:p>
    <w:p w:rsidR="00000000" w:rsidRDefault="00000000"/>
    <w:p w:rsidR="00000000" w:rsidRDefault="00000000">
      <w:r>
        <w:t>225.</w:t>
      </w:r>
      <w:r>
        <w:tab/>
        <w:t xml:space="preserve">Большинство жилищ оснащены адекватными отопительными системами;  </w:t>
      </w:r>
      <w:proofErr w:type="spellStart"/>
      <w:r>
        <w:t>93%</w:t>
      </w:r>
      <w:proofErr w:type="spellEnd"/>
      <w:r>
        <w:t xml:space="preserve"> используют электричество, а остальные - другие источники отопления.  Большинство имеют более одного источника отопления.  Проведенная в 2001 году перепись населения и жилья также показала, что все домашние хозяйства имеют адекватный доступ к чистой воде и подсоединены к канализационным системам.  Кроме того, все домашние хозяйства охвачены системой почтового обслуживания.</w:t>
      </w:r>
    </w:p>
    <w:p w:rsidR="00000000" w:rsidRDefault="00000000">
      <w:pPr>
        <w:rPr>
          <w:i/>
          <w:iCs/>
        </w:rPr>
      </w:pPr>
      <w:r>
        <w:rPr>
          <w:i/>
          <w:iCs/>
        </w:rPr>
        <w:t>Незаконные поселения</w:t>
      </w:r>
    </w:p>
    <w:p w:rsidR="00000000" w:rsidRDefault="00000000">
      <w:pPr>
        <w:rPr>
          <w:i/>
          <w:iCs/>
        </w:rPr>
      </w:pPr>
    </w:p>
    <w:p w:rsidR="00000000" w:rsidRDefault="00000000">
      <w:r>
        <w:t>226.</w:t>
      </w:r>
      <w:r>
        <w:tab/>
        <w:t>Не имеется никаких статистических данных или информации в отношении лиц, проживающих в незаконных поселениях (незаконных трущобах).  Также не имеется информации о том, что такие поселения существуют.  Если и имеются какие-либо скваттеры, то их количество крайне незначительно.</w:t>
      </w:r>
    </w:p>
    <w:p w:rsidR="00000000" w:rsidRDefault="00000000"/>
    <w:p w:rsidR="00000000" w:rsidRDefault="00000000">
      <w:pPr>
        <w:rPr>
          <w:i/>
          <w:iCs/>
        </w:rPr>
      </w:pPr>
      <w:r>
        <w:rPr>
          <w:i/>
          <w:iCs/>
        </w:rPr>
        <w:t>Выселения</w:t>
      </w:r>
    </w:p>
    <w:p w:rsidR="00000000" w:rsidRDefault="00000000">
      <w:pPr>
        <w:rPr>
          <w:i/>
          <w:iCs/>
        </w:rPr>
      </w:pPr>
    </w:p>
    <w:p w:rsidR="00000000" w:rsidRDefault="00000000">
      <w:r>
        <w:t>227.</w:t>
      </w:r>
      <w:r>
        <w:tab/>
        <w:t>Норвежское законодательство защищает людей от произвольного, необоснованного выселения и определяет права и обязанности владельцев и арендаторов.  Более подробная информация содержится в пункте, посвященном жилищному законодательству.  Законодательство Норвегии, которое применяется в отношении всех лиц, проживающих на законных основаниях, также предусматривает процедуры законного выселения.</w:t>
      </w:r>
    </w:p>
    <w:p w:rsidR="00000000" w:rsidRDefault="00000000"/>
    <w:p w:rsidR="00000000" w:rsidRDefault="00000000">
      <w:r>
        <w:t>228.</w:t>
      </w:r>
      <w:r>
        <w:tab/>
        <w:t>Регулярный сбор информации о выселениях на законном основании не производится.  В 1999 году обследование практики судов общей юрисдикции в 11 крупнейших городах Норвегии показало, что в период с 1995 по 1999 год в общей сложности было произведено 1 200 выселений на законных основаниях.  Наиболее распространенным основанием для выселения являлась неоплаченная аренда.</w:t>
      </w:r>
    </w:p>
    <w:p w:rsidR="00000000" w:rsidRDefault="00000000"/>
    <w:p w:rsidR="00000000" w:rsidRDefault="00000000">
      <w:r>
        <w:t>229.</w:t>
      </w:r>
      <w:r>
        <w:tab/>
        <w:t>В настоящее время проводится несколько совместных проектов с участием ряда министерств и муниципалитетов с целью сокращения количества выселений на законных основаниях, предоставления подходящего жилья для лиц, сталкивающихся с различными проблемами, и предупреждения бездомности.  Информация по этому вопросу содержится ниже в пункте, посвященном жилищному законодательству.</w:t>
      </w:r>
    </w:p>
    <w:p w:rsidR="00000000" w:rsidRDefault="00000000"/>
    <w:p w:rsidR="00000000" w:rsidRDefault="00000000">
      <w:pPr>
        <w:rPr>
          <w:i/>
          <w:iCs/>
        </w:rPr>
      </w:pPr>
      <w:r>
        <w:rPr>
          <w:i/>
          <w:iCs/>
        </w:rPr>
        <w:t>Жилищные пособия</w:t>
      </w:r>
    </w:p>
    <w:p w:rsidR="00000000" w:rsidRDefault="00000000">
      <w:pPr>
        <w:rPr>
          <w:i/>
          <w:iCs/>
        </w:rPr>
      </w:pPr>
    </w:p>
    <w:p w:rsidR="00000000" w:rsidRDefault="00000000">
      <w:r>
        <w:t>230.</w:t>
      </w:r>
      <w:r>
        <w:tab/>
        <w:t>Домашние хозяйства, доходы которых не достигают установленных минимумов и которые несут большие жилищные расходы, получают право на государственные жилищные пособия.  Такие пособия могут выплачиваться семьям с детьми, пенсионерам и инвалидам с учетом размера имеющихся у них средств к существованию.  Лица, чьи доходы не превышают нижнего предела доходов, установленного министерством социальных дел, также имеют право на пособия по социальному обеспечению.  Размер этих двух видов пособий варьируется в зависимости от суммы доходов и размеров соответствующего домашнего хозяйства.</w:t>
      </w:r>
    </w:p>
    <w:p w:rsidR="00000000" w:rsidRDefault="00000000"/>
    <w:p w:rsidR="00000000" w:rsidRDefault="00000000">
      <w:r>
        <w:t>231.</w:t>
      </w:r>
      <w:r>
        <w:tab/>
        <w:t>В 2002 году приблизительно 250 000 домашних хозяйств получали помощь на покрытие части текущих расходов в виде либо государственных жилищных пособий, либо пособий по социальному обеспечению.  Кроме того, жилищные пособия предоставляются некоторыми муниципалитетами.  Информация о том, какое конкретное количество людей охвачено этими мерами, отсутствует.</w:t>
      </w:r>
    </w:p>
    <w:p w:rsidR="00000000" w:rsidRDefault="00000000"/>
    <w:p w:rsidR="00000000" w:rsidRDefault="00000000">
      <w:pPr>
        <w:rPr>
          <w:i/>
          <w:iCs/>
        </w:rPr>
      </w:pPr>
      <w:r>
        <w:rPr>
          <w:i/>
          <w:iCs/>
        </w:rPr>
        <w:t>Списки очередников  на получение жилья</w:t>
      </w:r>
    </w:p>
    <w:p w:rsidR="00000000" w:rsidRDefault="00000000">
      <w:pPr>
        <w:rPr>
          <w:i/>
          <w:iCs/>
        </w:rPr>
      </w:pPr>
    </w:p>
    <w:p w:rsidR="00000000" w:rsidRDefault="00000000">
      <w:r>
        <w:t>232.</w:t>
      </w:r>
      <w:r>
        <w:tab/>
        <w:t>Муниципальные власти отвечают за обеспечение жильем лиц, находящихся в неблагоприятном положении.  Различные муниципалитеты применяют различные стратегии для решения этой задачи.  Некоторые из них ведут списки очередников на получение арендуемого жилья.  Сводные данные о количестве лиц в таких списках отсутствуют.</w:t>
      </w:r>
    </w:p>
    <w:p w:rsidR="00000000" w:rsidRDefault="00000000"/>
    <w:p w:rsidR="00000000" w:rsidRDefault="00000000">
      <w:r>
        <w:t>233.</w:t>
      </w:r>
      <w:r>
        <w:tab/>
        <w:t>Государство способствует предоставлению жилья обездоленным лицам через Государственный жилищный банк Норвегии, который предоставляет кредиты и субсидии отдельным лицам и муниципальным властям, организациям и учреждениям, обеспечивающим жильем группы с низкими доходами.  Сочетание предоставления кредитов и субсудий Государственным жилищным банком, а также жилищных пособий по социальному обеспечению позволяет группам с низкими доходами приобретать и сохранять за собой подходящее жилье.</w:t>
      </w:r>
    </w:p>
    <w:p w:rsidR="00000000" w:rsidRDefault="00000000"/>
    <w:p w:rsidR="00000000" w:rsidRDefault="00000000">
      <w:pPr>
        <w:rPr>
          <w:i/>
          <w:iCs/>
        </w:rPr>
      </w:pPr>
      <w:r>
        <w:rPr>
          <w:i/>
          <w:iCs/>
        </w:rPr>
        <w:t>Владение жильем и т.п.</w:t>
      </w:r>
    </w:p>
    <w:p w:rsidR="00000000" w:rsidRDefault="00000000">
      <w:pPr>
        <w:rPr>
          <w:i/>
          <w:iCs/>
        </w:rPr>
      </w:pPr>
    </w:p>
    <w:p w:rsidR="00000000" w:rsidRDefault="00000000">
      <w:r>
        <w:t>234.</w:t>
      </w:r>
      <w:r>
        <w:tab/>
        <w:t>Одной из целей норвежской жилищной политики является предоставление каждому человеку возможности получить жилье в собственность в качестве либо индивидуального владельца, либо члена жилищного кооператива.  Для достижения этой цели предусмотрены различные механизмы жилищной политики.  В результате лишь 23% населения проживают в арендуемых жилых единицах.  5% жилья составляют жилые единицы, арендуемые муниципалитетами, 2,5% жилых единиц являются собственностью жилищных компаний и сдаются ими в аренду, 13% приходятся на жилье, находящееся в частном владении, а 2,8% - на жилье, сдаваемое в аренду другими владельцами.</w:t>
      </w:r>
    </w:p>
    <w:p w:rsidR="00000000" w:rsidRDefault="00000000"/>
    <w:p w:rsidR="00000000" w:rsidRDefault="00000000">
      <w:r>
        <w:t>235.</w:t>
      </w:r>
      <w:r>
        <w:tab/>
        <w:t>Большинство людей, арендующих жилье, являются относительно молодыми (в возрасте до 45 лет).  Эта тенденция усилилась в 90-е годы.  Среди тех, кто арендует жилье, отмечается чрезмерная представленность родителей-одиночек и одиноких лиц.  Большинство из них проживают в частноарендуемом жилье, тогда как пожилые лица, проживающие в арендуемом жилье, чаще снимают муниципальное социальное жилье.</w:t>
      </w:r>
    </w:p>
    <w:p w:rsidR="00000000" w:rsidRDefault="00000000"/>
    <w:p w:rsidR="00000000" w:rsidRDefault="00000000">
      <w:pPr>
        <w:rPr>
          <w:i/>
          <w:iCs/>
        </w:rPr>
      </w:pPr>
      <w:r>
        <w:rPr>
          <w:i/>
          <w:iCs/>
        </w:rPr>
        <w:t>Законы, затрагивающие осуществление права на жилье</w:t>
      </w:r>
    </w:p>
    <w:p w:rsidR="00000000" w:rsidRDefault="00000000">
      <w:pPr>
        <w:rPr>
          <w:i/>
          <w:iCs/>
        </w:rPr>
      </w:pPr>
    </w:p>
    <w:p w:rsidR="00000000" w:rsidRDefault="00000000">
      <w:r>
        <w:t>236.</w:t>
      </w:r>
      <w:r>
        <w:tab/>
        <w:t>В законодательстве Норвегии не существует положений, закрепляющих право на жилье, однако в этой связи следует вновь упомянуть о том факте, что Международный пакт об экономических, социальных и культурных правах имеет в Норвегии силу закона.  В принципе, предполагается, что все проживающие в стране взрослые лица в состоянии получить для себя и для своих семей подходящее жилье.  Родители обязаны обеспечивать своих детей адекватным жильем до тех пор, пока они являются несовершеннолетними.  Кроме того, в соответствии с Законом о социальных услугах муниципальные власти обязаны оказывать помощь тем, кто не может самостоятельно обеспечить себя жильем.</w:t>
      </w:r>
    </w:p>
    <w:p w:rsidR="00000000" w:rsidRDefault="00000000"/>
    <w:p w:rsidR="00000000" w:rsidRDefault="00000000">
      <w:pPr>
        <w:rPr>
          <w:i/>
          <w:iCs/>
        </w:rPr>
      </w:pPr>
      <w:r>
        <w:rPr>
          <w:i/>
          <w:iCs/>
        </w:rPr>
        <w:t>Прочее законодательство</w:t>
      </w:r>
    </w:p>
    <w:p w:rsidR="00000000" w:rsidRDefault="00000000">
      <w:pPr>
        <w:rPr>
          <w:i/>
          <w:iCs/>
        </w:rPr>
      </w:pPr>
    </w:p>
    <w:p w:rsidR="00000000" w:rsidRDefault="00000000">
      <w:r>
        <w:t>237.</w:t>
      </w:r>
      <w:r>
        <w:tab/>
        <w:t>В последние годы были предприняты значительные усилия по совершенствованию законодательства, касающегося жилья и недвижимости.  Во</w:t>
      </w:r>
      <w:r>
        <w:noBreakHyphen/>
        <w:t>первых, в 1999 году был принят новый Закон о порядке оплаты арендуемого жилья (Закон от 26 марта 1999</w:t>
      </w:r>
      <w:r>
        <w:rPr>
          <w:lang w:val="en-US"/>
        </w:rPr>
        <w:t> </w:t>
      </w:r>
      <w:r>
        <w:t>года № 17).  Данный Закон регулирует контракты об аренде недвижимого имущества как в жилищных, так и в других целях.  В соответствии с новым Законом были расширены права арендаторов, а также удовлетворительным образом гарантированы интересы обеих сторон.</w:t>
      </w:r>
    </w:p>
    <w:p w:rsidR="00000000" w:rsidRDefault="00000000"/>
    <w:p w:rsidR="00000000" w:rsidRDefault="00000000">
      <w:r>
        <w:t>238.</w:t>
      </w:r>
      <w:r>
        <w:tab/>
        <w:t>Во</w:t>
      </w:r>
      <w:r>
        <w:noBreakHyphen/>
        <w:t>вторых, в 1997 году был принят новый Закон, касающийся секций, принадлежащих квартиросъемщикам-собственникам (Закон от 23 мая 1997 года № 31).  Секцией, принадлежащей квартиросъемщику-собственнику, является доля находящейся в совместном владении собственности, на которую распространяется исключительное право на пользование жилой единицей или другой частью данной собственности.  Многие положения предыдущего Закона были сохранены, однако положения нового Закона разработаны более подробно и в определенных случаях предоставляют больше гарантий индивидуальным квартиросъемщикам-собственникам.</w:t>
      </w:r>
    </w:p>
    <w:p w:rsidR="00000000" w:rsidRDefault="00000000"/>
    <w:p w:rsidR="00000000" w:rsidRDefault="00000000">
      <w:r>
        <w:t>239.</w:t>
      </w:r>
      <w:r>
        <w:tab/>
        <w:t>В-третьих, стортинг принял два новых закона, касающихся кооперативных жилищных ассоциаций (</w:t>
      </w:r>
      <w:proofErr w:type="spellStart"/>
      <w:r>
        <w:rPr>
          <w:lang w:val="en-US"/>
        </w:rPr>
        <w:t>boligbyggelag</w:t>
      </w:r>
      <w:proofErr w:type="spellEnd"/>
      <w:r>
        <w:t>)</w:t>
      </w:r>
      <w:r>
        <w:rPr>
          <w:i/>
          <w:iCs/>
        </w:rPr>
        <w:t xml:space="preserve"> </w:t>
      </w:r>
      <w:r>
        <w:t>и жилищных кооперативов (</w:t>
      </w:r>
      <w:proofErr w:type="spellStart"/>
      <w:r>
        <w:rPr>
          <w:lang w:val="en-US"/>
        </w:rPr>
        <w:t>borettslag</w:t>
      </w:r>
      <w:proofErr w:type="spellEnd"/>
      <w:r>
        <w:t>) (Законы от 6 июня 2003 года № 38 и 39), которые должны вступить в силу в 2004 году.  Они известны под общим названием Законы о жилищных кооперативах (</w:t>
      </w:r>
      <w:r>
        <w:rPr>
          <w:lang w:val="en-US"/>
        </w:rPr>
        <w:t>Borettslover</w:t>
      </w:r>
      <w:r>
        <w:t>)</w:t>
      </w:r>
      <w:r>
        <w:rPr>
          <w:i/>
          <w:iCs/>
        </w:rPr>
        <w:t xml:space="preserve">.  </w:t>
      </w:r>
      <w:r>
        <w:t>Действующие законы были приняты в 1960 году (Законы от 4 февраля 1960 года № 1 и 2) и основаны на модели кооперативного жилищного строительства и домовладения, которая была разработана в соответствии со шведской моделью, применявшейся в середине войны и оказавшейся исключительно важной для жилищного строительства в Норвегии после окончания второй мировой войны.</w:t>
      </w:r>
    </w:p>
    <w:p w:rsidR="00000000" w:rsidRDefault="00000000">
      <w:r>
        <w:t>240.</w:t>
      </w:r>
      <w:r>
        <w:tab/>
        <w:t>Одна из уникальных отличительных особенностей кооперативных организаций состоит в том, что их целью является поощрение интересов своих членов за счет взаимодействия между кооперативом и его членами.  Новые законы в основном сохранили предыдущую законодательную основу для кооперативных жилищных ассоциаций и жилищных кооперативов, однако по некоторым аспектам был предложен ряд улучшений и корректировок, преимущественно обусловленных изменениями социально-экономических условий.  В числе прочего предлагается, чтобы все доли в жилищных кооперативах регистрировались в одном месте.  В настоящее время регистрация этих долей в едином комплексном реестре отсутствует.</w:t>
      </w:r>
    </w:p>
    <w:p w:rsidR="00000000" w:rsidRDefault="00000000"/>
    <w:p w:rsidR="00000000" w:rsidRDefault="00000000">
      <w:r>
        <w:t>241.</w:t>
      </w:r>
      <w:r>
        <w:tab/>
        <w:t>В-четвертых, планируется представить предложение о новом законе, касающемся предоставления муниципалитетам преимущественного права на приобретение многоквартирных жилых зданий.  В 1977 году муниципалитетам было предоставлено преимущественное право на продажу крупных жилых единиц, предназначенных для сдачи в аренду (Закон от 29 апреля 1977 года № 34).  Этот закон преследует конкретную политическую цель обеспечения того, чтобы люди могли владеть домами, в которых они проживают.  При внесении поправок в этот закон основные его элементы будут сохранены, однако в определенных частях его положения будут улучшены, с тем чтобы повысить его эффективность.  Это касается, в частности, положения, в котором определяется, насколько крупной должна быть собственность, для того чтобы применялось преимущественное право.</w:t>
      </w:r>
    </w:p>
    <w:p w:rsidR="00000000" w:rsidRDefault="00000000"/>
    <w:p w:rsidR="00000000" w:rsidRDefault="00000000">
      <w:r>
        <w:t>242.</w:t>
      </w:r>
      <w:r>
        <w:tab/>
        <w:t>В-пятых, были приняты отдельные законы, касающиеся строительства жилых единиц (Закон от 13 июня 1997 года № 43), а также купли и продажи жилых единиц (Закон от 3 июля 1992 года № 93).  Кроме того, имеются новые законы, касающиеся агентств недвижимости, т.е. продажи через посредников, и аренды земли.  Аренда представляет собой предоставление в аренду земли для строительства жилой единицы, принадлежащей арендатору.  Аренда существует в течение многих лет, однако первое всеобъемлющее положение, касающееся этого вида контрактов, появилось после вступления в силу в 1975 году Закона об аренде земли.  В 1996 году был принят новый Закон об аренде земли, в котором, среди прочего, изложены различные методы корректировки арендной платы за землю.</w:t>
      </w:r>
    </w:p>
    <w:p w:rsidR="00000000" w:rsidRDefault="00000000"/>
    <w:p w:rsidR="00000000" w:rsidRDefault="00000000">
      <w:r>
        <w:t>243.</w:t>
      </w:r>
      <w:r>
        <w:tab/>
        <w:t xml:space="preserve">Муниципальные власти несут ответственность за оказание помощи обездоленным лицам, которые не могут самостоятельно получить жилье.  Одним из механизмов является размещение в арендуемом жилье.  Прежде для этих целей муниципалитеты полностью владели недвижимостью, предназначенной для сдачи в аренду.  Однако постепенно более распространенной практикой для муниципалитетов стало приобретение в собственность жилищных секций в различных комплексах и долей в жилищных кооперативах, которые они сдают в аренду оказавшимся в неблагоприятном положении лицам.  Существуют особые нормы в законах, касающихся секций, принадлежащих квартиросъемщикам-собственникам, и жилищных кооперативов, которые разрешают муниципальным властям выкупать до </w:t>
      </w:r>
      <w:proofErr w:type="spellStart"/>
      <w:r>
        <w:t>10%</w:t>
      </w:r>
      <w:proofErr w:type="spellEnd"/>
      <w:r>
        <w:t xml:space="preserve"> секций или долей.  Наделение местных властей правом приобретать жилые единицы подобным образом оказалось более предпочтительным с точки зрения жилищной и социальной политики.</w:t>
      </w:r>
    </w:p>
    <w:p w:rsidR="00000000" w:rsidRDefault="00000000"/>
    <w:p w:rsidR="00000000" w:rsidRDefault="00000000">
      <w:pPr>
        <w:rPr>
          <w:i/>
          <w:iCs/>
        </w:rPr>
      </w:pPr>
      <w:r>
        <w:rPr>
          <w:i/>
          <w:iCs/>
        </w:rPr>
        <w:t>Законодательство, связанное с землепользованием и т.п.</w:t>
      </w:r>
    </w:p>
    <w:p w:rsidR="00000000" w:rsidRDefault="00000000">
      <w:pPr>
        <w:rPr>
          <w:i/>
          <w:iCs/>
        </w:rPr>
      </w:pPr>
    </w:p>
    <w:p w:rsidR="00000000" w:rsidRDefault="00000000">
      <w:r>
        <w:t>244.</w:t>
      </w:r>
      <w:r>
        <w:tab/>
        <w:t>В Норвегии существуют всеобъемлющие положения, касающиеся целей, для которых земля должна и может быть использована.  Задачей Закона об уступке и преимущественном праве государственных органов на приобретение недвижимого имущества (Закон от 31 мая 1974 года № 19) является регулирование и контроль в области торговли недвижимым имуществом для обеспечения эффективной защиты сельскохозяйственных земель и такого владения и использования, которые наилучшим образом отвечали бы интересам общества и, среди прочего, защите сельскохозяйственных интересов и удовлетворению потребности в земле для развития, а также обеспечению того, чтобы тенденции цен на недвижимую собственность являлись социально приемлемыми.  Недвижимое имущество, за исключением отдельных случаев, не может быть приобретено без какого-либо разрешения (концессии).</w:t>
      </w:r>
    </w:p>
    <w:p w:rsidR="00000000" w:rsidRDefault="00000000"/>
    <w:p w:rsidR="00000000" w:rsidRDefault="00000000">
      <w:r>
        <w:t>245.</w:t>
      </w:r>
      <w:r>
        <w:tab/>
        <w:t>Закон, касающийся экспроприации недвижимого имущества (Закон от 23 октября 1959 года № 3), регулирует любые меры в отношении недвижимого имущества, зданий или других сооружений, постоянно соединенных с таким имуществом, в случае его экспроприации или если право пользоваться таким имуществом или получить от него доход или распоряжаться им отменяется, изменяется или аннулируется, в связи с чем использование такого имущества определенным образом подвергается запрету.  При условии выплаты компенсации собственность может быть экспроприирована, если она является необходимой для государственных зданий, муниципальных сооружений, жилой застройки и т.п.</w:t>
      </w:r>
    </w:p>
    <w:p w:rsidR="00000000" w:rsidRDefault="00000000"/>
    <w:p w:rsidR="00000000" w:rsidRDefault="00000000">
      <w:r>
        <w:t>246.</w:t>
      </w:r>
      <w:r>
        <w:tab/>
        <w:t>Закон о планировании и строительстве (Закон от 14 июня 1985 года № 77) также содержит положения, которые допускают экспроприацию.  В соответствии с этим Законом экспроприация разрешается в тех случаях, когда она является необходимой для осуществления плана развития района или плана застройки, когда землевладелец нуждается в доступе к системам канализации или для создания мест общего пользования, парковых зон на промышленных объектах или для благоустройства участка.</w:t>
      </w:r>
    </w:p>
    <w:p w:rsidR="00000000" w:rsidRDefault="00000000"/>
    <w:p w:rsidR="00000000" w:rsidRDefault="00000000">
      <w:r>
        <w:t>247.</w:t>
      </w:r>
      <w:r>
        <w:tab/>
        <w:t>В соответствии с Законом, касающимся предоставления компенсации за экспроприацию недвижимого имущества (Закон от 6 апреля 1984 года № 17), владелец имущества должен получить компенсацию за экспроприированное имущество, а также за вред и ущерб, причиненный его оставшейся собственности.  Оценка должна производиться на основе продажной стоимости, показателей полезности или стоимости обратной покупки.  Конституция Норвегии предусматривает, что любое лицо, чья собственность экспроприируется, должно получить полную компенсацию.</w:t>
      </w:r>
    </w:p>
    <w:p w:rsidR="00000000" w:rsidRDefault="00000000"/>
    <w:p w:rsidR="00000000" w:rsidRDefault="00000000">
      <w:r>
        <w:t>248.</w:t>
      </w:r>
      <w:r>
        <w:tab/>
        <w:t>Основная цель Закона о планировании и строительстве состоит в том, чтобы планирование способствовало координации деятельности государства, губерний и муниципалитетов, а также в том, чтобы обеспечить основу для компенсации за использование и охрану ресурсов для развития и для учета эстетических соображений.  За счет планирования и предъявления конкретных требований к проектам индивидуальной застройки Закон должен гарантировать, чтобы землепользование и развитие строительства приносили наивысшую возможную пользу для отдельных лиц и для общества.  В процессе планирования следует предусмотреть особые меры для того, чтобы дети росли в хороших экологических условиях.</w:t>
      </w:r>
    </w:p>
    <w:p w:rsidR="00000000" w:rsidRDefault="00000000"/>
    <w:p w:rsidR="00000000" w:rsidRDefault="00000000">
      <w:r>
        <w:t>249.</w:t>
      </w:r>
      <w:r>
        <w:tab/>
        <w:t>Муниципальные власти отвечают за осуществление муниципального планирования и за работу над планами районного развития.  Другие ответственные органы должны также принимать участие в процессе планирования, а планы следует представлять на рассмотрение общественности.  Ответственными органами являются органы, занимающиеся эксплуатацией ресурсов, консервацией, развитием строительства или социальным и культурным развитием в рамках населенного пункта.</w:t>
      </w:r>
    </w:p>
    <w:p w:rsidR="00000000" w:rsidRDefault="00000000"/>
    <w:p w:rsidR="00000000" w:rsidRDefault="00000000">
      <w:r>
        <w:t>250.</w:t>
      </w:r>
      <w:r>
        <w:tab/>
        <w:t>Муниципальные власти принимают окончательное решение в отношении использования зданий.  На основе соглашений, заключенных с подрядчиками и другими разработчиками, муниципальные власти могут также более подробно определять, каким образом и для кого конкретно будет построено соответствующее здание.  Таким образом, благодаря законодательству и соглашениям муниципальные власти имеют достаточный контроль над строительством новых зданий в соответствующих населенных пунктах.  С помощью этих механизмов - или экономических рычагов - муниципальные власти могут поощрять определенный вид развития жилищного строительства, включая строительство жилья для обездоленных и бездомных лиц.</w:t>
      </w:r>
    </w:p>
    <w:p w:rsidR="00000000" w:rsidRDefault="00000000"/>
    <w:p w:rsidR="00000000" w:rsidRDefault="00000000">
      <w:pPr>
        <w:rPr>
          <w:i/>
          <w:iCs/>
        </w:rPr>
      </w:pPr>
      <w:r>
        <w:rPr>
          <w:i/>
          <w:iCs/>
        </w:rPr>
        <w:t>Законодательство, касающееся прав жильцов на гарантированное владение жильем</w:t>
      </w:r>
    </w:p>
    <w:p w:rsidR="00000000" w:rsidRDefault="00000000">
      <w:pPr>
        <w:rPr>
          <w:i/>
          <w:iCs/>
        </w:rPr>
      </w:pPr>
    </w:p>
    <w:p w:rsidR="00000000" w:rsidRDefault="00000000">
      <w:r>
        <w:t>251.</w:t>
      </w:r>
      <w:r>
        <w:tab/>
        <w:t>Правовые взаимоотношения между арендатором и квартиросъемщиком регулируются Законом об аренде жилья 1999</w:t>
      </w:r>
      <w:r>
        <w:rPr>
          <w:lang w:val="en-US"/>
        </w:rPr>
        <w:t> </w:t>
      </w:r>
      <w:r>
        <w:t>года.  Договор об аренде может быть расторгнут только на основании конкретных и обоснованных причин.  Если квартиросъемщик протестует против такого расторжения, то арендатор должен передать вопрос о расторжении договора на рассмотрение суда общей юрисдикции.  Однако даже если суд сочтет расторжение договора обоснованным, это решение может быть отклонено как необоснованное после учета интересов обеих сторон.  Если стороны подписывают срочный договор об аренде, то, как правило, он должен заключаться как минимум на три года.  Таким образом квартиросъемщик достаточно хорошо защищен от возможности расторжения договора об аренде арендатором.</w:t>
      </w:r>
    </w:p>
    <w:p w:rsidR="00000000" w:rsidRDefault="00000000"/>
    <w:p w:rsidR="00000000" w:rsidRDefault="00000000">
      <w:r>
        <w:t>252.</w:t>
      </w:r>
      <w:r>
        <w:tab/>
        <w:t>Установленная сторонами арендная плата может быть уменьшена судом, если суд сочтет ее необоснованной.  Арендатор может повышать арендную плату каждый год, однако только в соответствии с индексом потребительских цен.  Каждые три года любая из сторон может потребовать, чтобы арендная плата была приведена в соответствие с "текущей арендной платой".  Текущая арендная плата представляет собой репрезентативную среднюю величину уровня аренды, которая уже установилась для данной местности посредством аренды аналогичных жилых единиц на аналогичных условиях.  Поэтому текущая арендная плата является значительно менее уязвимой по отношению к экономическим циклам, чем рыночная арендная плата.</w:t>
      </w:r>
    </w:p>
    <w:p w:rsidR="00000000" w:rsidRDefault="00000000"/>
    <w:p w:rsidR="00000000" w:rsidRDefault="00000000">
      <w:r>
        <w:t>253.</w:t>
      </w:r>
      <w:r>
        <w:tab/>
        <w:t>Помимо защиты арендной платы, предусматриваемой Законом об аренде жилья, в городах Осло и Тронхейм имеется около 12 000 жилых единиц с регулируемой арендной платой.  Арендная плата для этих жилых единиц была заморожена в 1940 году и в настоящее время может повышаться на 15% или 20% ежегодно, до тех пор пока не будет отменена действующая система регулирования, т.е. через десять лет после того, как 1 января 2000 года вступил в силу новый Закон об аренде жилья.</w:t>
      </w:r>
    </w:p>
    <w:p w:rsidR="00000000" w:rsidRDefault="00000000"/>
    <w:p w:rsidR="00000000" w:rsidRDefault="00000000">
      <w:pPr>
        <w:rPr>
          <w:i/>
          <w:iCs/>
        </w:rPr>
      </w:pPr>
      <w:r>
        <w:rPr>
          <w:i/>
          <w:iCs/>
        </w:rPr>
        <w:t>Законодательство, касающееся дискриминации в жилищном секторе</w:t>
      </w:r>
    </w:p>
    <w:p w:rsidR="00000000" w:rsidRDefault="00000000">
      <w:pPr>
        <w:rPr>
          <w:i/>
          <w:iCs/>
        </w:rPr>
      </w:pPr>
    </w:p>
    <w:p w:rsidR="00000000" w:rsidRDefault="00000000">
      <w:r>
        <w:t>254.</w:t>
      </w:r>
      <w:r>
        <w:tab/>
        <w:t>В действующем законодательстве отсутствуют положения, запрещающие дискриминацию в жилищном секторе.  Вместе с тем в связи с обсуждением новых законов, касающихся кооперативных жилищных ассоциаций и жилищных кооперативов (Законы от 6 июня 2003 года № 38 и  39), были приняты особые положения, запрещающие дискриминацию.  Такие положения будут также включены в Закон об аренде жилья и в Закон, касающийся секций, принадлежащих квартиросъемщикам-собственникам.  Когда эти поправки вступят в силу - очевидно в 2004 году, - особые группы получат достаточную защиту от дискриминации в рамках жилищного законодательства.  Например, новое положение в Законе об аренде жилья запрещает учитывать религиозные верования, цвет кожи, языковые навыки, национальное или этническое происхождение или сексуальные предпочтения, образ жизни или ориентацию, когда жилая единица предлагается для аренды, и такие отличительные черты не могут расцениваться в качестве разумных оснований для отказа в предоставлении согласия на съем жилья или в замене квартиросъемщика по контракту о субаренде, равно как они не могут учитываться при завершении договора об аренде.</w:t>
      </w:r>
    </w:p>
    <w:p w:rsidR="00000000" w:rsidRDefault="00000000"/>
    <w:p w:rsidR="00000000" w:rsidRDefault="00000000">
      <w:pPr>
        <w:rPr>
          <w:i/>
          <w:iCs/>
        </w:rPr>
      </w:pPr>
      <w:r>
        <w:rPr>
          <w:i/>
          <w:iCs/>
        </w:rPr>
        <w:t>Законодательство, касающееся выселения</w:t>
      </w:r>
    </w:p>
    <w:p w:rsidR="00000000" w:rsidRDefault="00000000">
      <w:pPr>
        <w:rPr>
          <w:i/>
          <w:iCs/>
        </w:rPr>
      </w:pPr>
    </w:p>
    <w:p w:rsidR="00000000" w:rsidRDefault="00000000">
      <w:r>
        <w:t>255.</w:t>
      </w:r>
      <w:r>
        <w:tab/>
        <w:t>В норвежском законодательстве отсутствуют положения о прямом запрете на выселение.  Вместе с тем в соответствии с положениями, касающимися выселения, выселения могут производиться только на основании процедур, изложенных в конкретных положениях.</w:t>
      </w:r>
    </w:p>
    <w:p w:rsidR="00000000" w:rsidRDefault="00000000"/>
    <w:p w:rsidR="00000000" w:rsidRDefault="00000000">
      <w:r>
        <w:t>256.</w:t>
      </w:r>
      <w:r>
        <w:tab/>
        <w:t xml:space="preserve">Законодательные положения, касающиеся выселения, могут быть обнаружены в Законе об исполнении судебных решений (Закон от 26 июня 1992 года № 86).  Выселения могут производиться только при соблюдении определенных материальных условий, т.е. для выселения должны иметься основания.  Одним из примеров оснований для выселения является невыплата арендной платы.  Как правило, чтобы предъявить требование о выселении, арендатор должен получить юридическое постановление о том, что квартиросъемщик не выплачивает причитающуюся за аренду сумму;  однако в том случае, если при подписании договора квартиросъемщик согласился с тем, что он может быть выселен без судебного решения при неуплате квартплаты, арендатор может обратиться непосредственно в правоприменительный орган для выселения квартиросъемщика.  Если выселение является допустимым, правоприменительный орган должен использовать особую процедуру.  Среди прочего, власти должны предупредить проживающее в жилой единице лицо, с тем чтобы предоставить ему возможность опротестовать заявление о выселении, и информировать его о последствиях выселения.  </w:t>
      </w:r>
    </w:p>
    <w:p w:rsidR="00000000" w:rsidRDefault="00000000"/>
    <w:p w:rsidR="00000000" w:rsidRDefault="00000000">
      <w:r>
        <w:t>257.</w:t>
      </w:r>
      <w:r>
        <w:tab/>
        <w:t>Центральное правительство в настоящее время приступило к осуществлению проекта, направленного на сокращение количества выселений, производимых в соответствии с действующими положениями.  В сотрудничестве с муниципалитетами предпринимаются усилия для улучшения услуг, предоставляемых тем, кто в них нуждается.  Это включает оказание помощи соответствующим лицам в том, чтобы они соблюдали предусмотренные положения, нормы и т.п., а также оказание им помощи при заселении и внесении арендной платы.  Особое внимание обращается на установление взаимодействия между правоприменительными органами и социальными службами.  Муниципалитетам предлагается разработать планы действий в области социального жилья в целях предоставления различных видов качественного жилья и установления широкого межучрежденческого сотрудничества.</w:t>
      </w:r>
    </w:p>
    <w:p w:rsidR="00000000" w:rsidRDefault="00000000"/>
    <w:p w:rsidR="00000000" w:rsidRDefault="00000000">
      <w:pPr>
        <w:rPr>
          <w:i/>
          <w:iCs/>
        </w:rPr>
      </w:pPr>
      <w:r>
        <w:rPr>
          <w:i/>
          <w:iCs/>
        </w:rPr>
        <w:t>Законодательство, препятствующее осуществлению основополагающего права на жилье</w:t>
      </w:r>
    </w:p>
    <w:p w:rsidR="00000000" w:rsidRDefault="00000000">
      <w:pPr>
        <w:rPr>
          <w:i/>
          <w:iCs/>
        </w:rPr>
      </w:pPr>
    </w:p>
    <w:p w:rsidR="00000000" w:rsidRDefault="00000000">
      <w:r>
        <w:t>258.</w:t>
      </w:r>
      <w:r>
        <w:tab/>
        <w:t>Норвежские власти не располагают информацией о каких-либо подобных последствиях нового законодательства.</w:t>
      </w:r>
    </w:p>
    <w:p w:rsidR="00000000" w:rsidRDefault="00000000"/>
    <w:p w:rsidR="00000000" w:rsidRDefault="00000000">
      <w:pPr>
        <w:rPr>
          <w:i/>
          <w:iCs/>
        </w:rPr>
      </w:pPr>
      <w:r>
        <w:rPr>
          <w:i/>
          <w:iCs/>
        </w:rPr>
        <w:t>Законодательство, касающееся спекуляции жильем и т.п.</w:t>
      </w:r>
    </w:p>
    <w:p w:rsidR="00000000" w:rsidRDefault="00000000">
      <w:pPr>
        <w:rPr>
          <w:i/>
          <w:iCs/>
        </w:rPr>
      </w:pPr>
    </w:p>
    <w:p w:rsidR="00000000" w:rsidRDefault="00000000">
      <w:r>
        <w:t>259.</w:t>
      </w:r>
      <w:r>
        <w:tab/>
        <w:t>В соответствии с Законом, касающимся преимущественного права государственных органов на приобретение многоквартирных жилых зданий, муниципалитеты уполномочены воспользоваться этим правом, если многоквартирный жилой дом в районе данного муниципалитета переходит во владение лиц, не имеющих отношения к государству или губернии, в которой находится данная собственность.  В данном контексте многоквартирным жилым зданием является арендуемая собственность, в которой более половины полезной жилой площади оборудовано в качестве жилья и в которой имеется по крайней мере пять квартир.  Право на преимущество может быть осуществлено от имени нанимателей жилья, самого муниципалитета или компании, которая управляется и контролируется муниципалитетом или государством.  Целью этого Закона является обеспечение того, чтобы как можно больше людей могли являться собственниками своих домов и таким образом также не допускать спекуляции.</w:t>
      </w:r>
    </w:p>
    <w:p w:rsidR="00000000" w:rsidRDefault="00000000"/>
    <w:p w:rsidR="00000000" w:rsidRDefault="00000000">
      <w:r>
        <w:t>260.</w:t>
      </w:r>
      <w:r>
        <w:tab/>
        <w:t>Тот факт, что многие люди являются владельцами своего жилья либо непосредственно, либо косвенно за счет участия в долевой собственности, также уменьшает риск спекуляции жильем.  Поскольку спрос может быть выше, чем предложение бывших в эксплуатации, недорогих жилых единиц, уровень цен в густонаселенных районах будет выше.  В этом случае муниципалитетам и государству важно обеспечить, чтобы имелось адекватное предложение жилья посредством предоставления подходящих участков и разумного финансирования.  Адекватное предложение жилья также будет способствовать снижению риска злополучной спекуляции на рынке жилья.</w:t>
      </w:r>
    </w:p>
    <w:p w:rsidR="00000000" w:rsidRDefault="00000000"/>
    <w:p w:rsidR="00000000" w:rsidRDefault="00000000">
      <w:pPr>
        <w:rPr>
          <w:i/>
          <w:iCs/>
        </w:rPr>
      </w:pPr>
      <w:r>
        <w:rPr>
          <w:i/>
          <w:iCs/>
        </w:rPr>
        <w:t>Законодательство, касающееся "незаконного" жилого сектора</w:t>
      </w:r>
    </w:p>
    <w:p w:rsidR="00000000" w:rsidRDefault="00000000">
      <w:pPr>
        <w:rPr>
          <w:i/>
          <w:iCs/>
        </w:rPr>
      </w:pPr>
    </w:p>
    <w:p w:rsidR="00000000" w:rsidRDefault="00000000">
      <w:r>
        <w:t>261.</w:t>
      </w:r>
      <w:r>
        <w:tab/>
        <w:t>В Норвегии лишь небольшое количество лиц вовлечено в "незаконный" жилищный сектор.  Поэтому какие</w:t>
      </w:r>
      <w:r>
        <w:noBreakHyphen/>
        <w:t>либо специальные нормы, регулирующие этот сектор, отсутствуют.</w:t>
      </w:r>
    </w:p>
    <w:p w:rsidR="00000000" w:rsidRDefault="00000000"/>
    <w:p w:rsidR="00000000" w:rsidRDefault="00000000">
      <w:pPr>
        <w:rPr>
          <w:i/>
          <w:iCs/>
        </w:rPr>
      </w:pPr>
      <w:r>
        <w:rPr>
          <w:i/>
          <w:iCs/>
        </w:rPr>
        <w:br w:type="page"/>
        <w:t>Законодательство, касающееся планирования с учетом охраны окружающей среды и здоровья граждан</w:t>
      </w:r>
    </w:p>
    <w:p w:rsidR="00000000" w:rsidRDefault="00000000">
      <w:pPr>
        <w:rPr>
          <w:i/>
          <w:iCs/>
        </w:rPr>
      </w:pPr>
    </w:p>
    <w:p w:rsidR="00000000" w:rsidRDefault="00000000">
      <w:r>
        <w:t>262.</w:t>
      </w:r>
      <w:r>
        <w:tab/>
        <w:t>В принципе, жилищное законодательство касается всех типов зданий и сооружений, и оно являлось важным механизмом для достижения сопутствующих целей, таких, как качество жилья, доступность, микроклимат в помещениях и потребление энергии, а также обеспечения широкого охвата жильем или формирования нормально функционирующего жилищного и строительного рынка.  Законодательство предусматривает требования, касающиеся технических стандартов, эстетического оформления строительных проектов и окружающей здания среды.</w:t>
      </w:r>
    </w:p>
    <w:p w:rsidR="00000000" w:rsidRDefault="00000000"/>
    <w:p w:rsidR="00000000" w:rsidRDefault="00000000">
      <w:r>
        <w:t>263.</w:t>
      </w:r>
      <w:r>
        <w:tab/>
        <w:t xml:space="preserve">Разделы Закона о планировании и строительстве тесно связаны между собой.  Раздел о строительстве предусматривает нормы, касающиеся того, каким образом должны выполняться проекты, которые были запланированы.  Кроме того, Закон предусматривает утверждение строительных положений, которые в свою очередь направлены на обеспечение высоких технических строительных стандартов, обеспечивающих надлежащий учет вопросов здоровья и окружающей среды.  Эти положения прежде всего касаются личной безопасности.  Здания и сооружения должны быть спроектированы и построены таким образом, чтобы не подвергать опасности или значительным неудобствам людей как во время процесса строительства, так и в период их эксплуатации.  В этой связи особо важное значение имеют технические спецификации, касающиеся освещенности и доступа свежего воздуха, предназначенные для улучшения внутреннего климата в помещениях.  Помимо этого, положения включают в себя требования, касающиеся отопительных установок, которые в свою очередь оказывают воздействие на потребление энергии в строительной области.  В тех же положениях предусмотрены особые требования, касающиеся обеспечения доступа в здания инвалидов. </w:t>
      </w:r>
    </w:p>
    <w:p w:rsidR="00000000" w:rsidRDefault="00000000"/>
    <w:p w:rsidR="00000000" w:rsidRDefault="00000000">
      <w:r>
        <w:t>264.</w:t>
      </w:r>
      <w:r>
        <w:tab/>
        <w:t>Если в строительных положениях изложены минимальные требования, другие документы могут использоваться для поощрения более высоких стандартов.  В Норвегии финансовые механизмы традиционно зависят от более строгих требований, чем минимальные стандарты, изложенные в строительных положениях.  Требования Норвежского государственного жилищного банка, касающиеся предоставления жилищных кредитов и ссуд, могут таким образом оказаться строже, чем требования, предусмотренные в строительных положениях.  То же самое касается генеральных планов по устойчивому развитию населенных пунктов городского типа и городских районов.  Целью этих планов является улучшение социальных, экономических и экологических условий для всех граждан, и особенно для уязвимых групп.</w:t>
      </w:r>
    </w:p>
    <w:p w:rsidR="00000000" w:rsidRDefault="00000000"/>
    <w:p w:rsidR="00000000" w:rsidRDefault="00000000"/>
    <w:p w:rsidR="00000000" w:rsidRDefault="00000000">
      <w:r>
        <w:t>265.</w:t>
      </w:r>
      <w:r>
        <w:tab/>
        <w:t xml:space="preserve">Норвегия проводит активную экологическую политику, которая в последние десятилетия привела к ряду конкретных улучшений в области физического состояния окружающей среды.  Благодаря усилиям правительства и участию населения были сохранены обширные районы редкой природной красоты, культурные ландшафты и водные пути.  Кроме того, были созданы национальные парки и заповедники каменистых островов, а также районы, специально приспособленные для проведения досуга на свежем воздухе вблизи городских районов.  Благодаря активной политике по борьбе с загрязнением окружающей среды были почти полностью ликвидированы такие промышленные загрязнители, как пыль, едкие запахи, хлористый водород и двуокись серы.  Строительство водоочистительных станций сократило канализационные выбросы в океаны и водные пути.  Довольно продолжительное время осуществляются меры по поощрению экологически национальной обработки и сортировки отходов в местах их образования.  </w:t>
      </w:r>
    </w:p>
    <w:p w:rsidR="00000000" w:rsidRDefault="00000000"/>
    <w:p w:rsidR="00000000" w:rsidRDefault="00000000">
      <w:pPr>
        <w:rPr>
          <w:i/>
          <w:iCs/>
        </w:rPr>
      </w:pPr>
      <w:r>
        <w:rPr>
          <w:i/>
          <w:iCs/>
        </w:rPr>
        <w:t>Другие меры по реализации права на достаточное жилье</w:t>
      </w:r>
    </w:p>
    <w:p w:rsidR="00000000" w:rsidRDefault="00000000">
      <w:pPr>
        <w:rPr>
          <w:i/>
          <w:iCs/>
        </w:rPr>
      </w:pPr>
    </w:p>
    <w:p w:rsidR="00000000" w:rsidRDefault="00000000">
      <w:r>
        <w:t>266.</w:t>
      </w:r>
      <w:r>
        <w:tab/>
        <w:t xml:space="preserve">Важную роль в строительстве и эксплуатации жилья и ведении хозяйственных дел помимо создания инфраструктуры и т.п. играет частный сектор.  Это в первую очередь относится к кооперативным жилищным ассоциациям и жилищным кооперативам.  Частные лица, строительные фирмы, фонды и т.п. также участвуют в жилищном строительстве.  Их деятельность регулируется соответствующим законодательством.  Никакой прямой финансовой поддержки частному сектору не предоставляется.  </w:t>
      </w:r>
    </w:p>
    <w:p w:rsidR="00000000" w:rsidRDefault="00000000"/>
    <w:p w:rsidR="00000000" w:rsidRDefault="00000000">
      <w:r>
        <w:t>267.</w:t>
      </w:r>
      <w:r>
        <w:tab/>
        <w:t xml:space="preserve">Норвежская федерация ассоциаций жилищных кооперативов играет уникальную роль в качестве одного из партнеров муниципальных властей.  Она является одним из крупнейших разработчиков жилья и полностью доминирует в области организованного управления жилищным строительством.  Она объединяет 570 000 членов.  </w:t>
      </w:r>
    </w:p>
    <w:p w:rsidR="00000000" w:rsidRDefault="00000000"/>
    <w:p w:rsidR="00000000" w:rsidRDefault="00000000">
      <w:r>
        <w:t>268.</w:t>
      </w:r>
      <w:r>
        <w:tab/>
        <w:t xml:space="preserve">В целом в настоящее время имеется приблизительно 100 кооперативных жилищных ассоциаций, которые действуют в более чем 200 муниципалитетах.  Они осуществляют свою деятельность практически во всех крупных городах и городских районах.  </w:t>
      </w:r>
    </w:p>
    <w:p w:rsidR="00000000" w:rsidRDefault="00000000"/>
    <w:p w:rsidR="00000000" w:rsidRDefault="00000000">
      <w:r>
        <w:t>269.</w:t>
      </w:r>
      <w:r>
        <w:tab/>
        <w:t xml:space="preserve">Тесное сотрудничество между жилищными кооперативами, муниципалитетами и государством позволило большинству населения приобрести в собственное владение жилье по приемлемым ценам.  Различные системы финансовой поддержки также позволили группам населения с ограниченными финансовыми средствами приобрести свое собственное жилье.  Предлагается обратить внимание на пункт 214 и последующие пункты выше, касающиеся оказавшихся в неблагоприятном экономическом положении групп.  </w:t>
      </w:r>
    </w:p>
    <w:p w:rsidR="00000000" w:rsidRDefault="00000000">
      <w:r>
        <w:t>270.</w:t>
      </w:r>
      <w:r>
        <w:tab/>
        <w:t>Норвежская модель жилищного строительства и управления установилась после второй мировой войны и основана на разделении функций и обязанностей между государством, муниципальными органами и частным сектором (включая жилищные кооперативы):</w:t>
      </w:r>
    </w:p>
    <w:p w:rsidR="00000000" w:rsidRDefault="00000000"/>
    <w:p w:rsidR="00000000" w:rsidRDefault="00000000">
      <w:r>
        <w:t>271.</w:t>
      </w:r>
      <w:r>
        <w:tab/>
      </w:r>
      <w:r>
        <w:rPr>
          <w:u w:val="single"/>
        </w:rPr>
        <w:t>Государство</w:t>
      </w:r>
      <w:r>
        <w:t xml:space="preserve"> формулирует цели и намечает основные руководящие принципы жилищной политики, устанавливает законодательство и нормативные положения, предоставляет субсидии и ссуды на выгодных условиях и поощряет научные исследования, приобретение знаний и распространение информации.  </w:t>
      </w:r>
    </w:p>
    <w:p w:rsidR="00000000" w:rsidRDefault="00000000"/>
    <w:p w:rsidR="00000000" w:rsidRDefault="00000000">
      <w:r>
        <w:t>272.</w:t>
      </w:r>
      <w:r>
        <w:tab/>
      </w:r>
      <w:r>
        <w:rPr>
          <w:u w:val="single"/>
        </w:rPr>
        <w:t>Муниципалитеты</w:t>
      </w:r>
      <w:r>
        <w:t xml:space="preserve"> обеспечивают адекватную поддержку строительным объектам, отвечают за планирование, оказывают содействие жилищному строительству посредством разработки необходимой инфраструктуры и т.д., обеспечивают, чтобы жилье (и прочие здания) строились в соответствии с существующими планами и нормативными положениями, а также отвечают за предоставление социального жилья.</w:t>
      </w:r>
    </w:p>
    <w:p w:rsidR="00000000" w:rsidRDefault="00000000"/>
    <w:p w:rsidR="00000000" w:rsidRDefault="00000000">
      <w:r>
        <w:t>273.</w:t>
      </w:r>
      <w:r>
        <w:tab/>
      </w:r>
      <w:r>
        <w:rPr>
          <w:u w:val="single"/>
        </w:rPr>
        <w:t>Частный сектор</w:t>
      </w:r>
      <w:r>
        <w:t xml:space="preserve">, включая жилищные кооперативы, берет на себя предпринимательскую ответственность и риск, отвечает за проектирование и строительство жилых единиц, обеспечивает управление, эксплуатацию и ремонт большей части жилых единиц, выбирает механизмы финансирования, а также участвует в обеспечении капитала и рабочей силы.  </w:t>
      </w:r>
    </w:p>
    <w:p w:rsidR="00000000" w:rsidRDefault="00000000"/>
    <w:p w:rsidR="00000000" w:rsidRDefault="00000000">
      <w:r>
        <w:t>274.</w:t>
      </w:r>
      <w:r>
        <w:tab/>
        <w:t xml:space="preserve">Такое распределение обязанностей до сих пор составляет основу жилищной политики Норвегии.  Высокие строительные стандарты Норвегии достигаются при незначительной финансовой поддержке со стороны государственных органов.  Жильцы несут как финансовую, так и практическую ответственность за свое жилье, и поэтому они лично и финансово заинтересованы в том, чтобы дома содержались в приличном состоянии.  Это является одной из причин того, почему в Норвегии почти нет трущоб.  </w:t>
      </w:r>
    </w:p>
    <w:p w:rsidR="00000000" w:rsidRDefault="00000000"/>
    <w:p w:rsidR="00000000" w:rsidRDefault="00000000">
      <w:pPr>
        <w:rPr>
          <w:i/>
          <w:iCs/>
        </w:rPr>
      </w:pPr>
      <w:r>
        <w:rPr>
          <w:i/>
          <w:iCs/>
        </w:rPr>
        <w:t>Официальные меры, принятые с целью поощрения жилищного строительства</w:t>
      </w:r>
    </w:p>
    <w:p w:rsidR="00000000" w:rsidRDefault="00000000">
      <w:pPr>
        <w:rPr>
          <w:i/>
          <w:iCs/>
        </w:rPr>
      </w:pPr>
    </w:p>
    <w:p w:rsidR="00000000" w:rsidRDefault="00000000">
      <w:r>
        <w:t>275.</w:t>
      </w:r>
      <w:r>
        <w:tab/>
        <w:t xml:space="preserve">Распределение обязанностей в области жилищной политики описано выше.  Муниципалитеты в Норвегии являются в значительной степени самоуправляемыми, и именно муниципальные власти несут ответственность за оценку местных жилищных потребностей и принятие необходимых мер, среди прочего, за счет предоставления в аренду жилья нуждающимся группам.  </w:t>
      </w:r>
    </w:p>
    <w:p w:rsidR="00000000" w:rsidRDefault="00000000"/>
    <w:p w:rsidR="00000000" w:rsidRDefault="00000000">
      <w:r>
        <w:t>276.</w:t>
      </w:r>
      <w:r>
        <w:tab/>
        <w:t xml:space="preserve">Государство предоставляет субсидии муниципалитетам, организациям и фондам, занимающимся строительством жилья для сдачи в аренду оказавшимся в неблагоприятном экономическом положении лицам.  Предлагается обратить внимание на те пункты, в которых содержится информация о группах, оказавшихся в неблагоприятном экономическом положении.  </w:t>
      </w:r>
    </w:p>
    <w:p w:rsidR="00000000" w:rsidRDefault="00000000"/>
    <w:p w:rsidR="00000000" w:rsidRDefault="00000000">
      <w:pPr>
        <w:rPr>
          <w:i/>
          <w:iCs/>
        </w:rPr>
      </w:pPr>
      <w:r>
        <w:rPr>
          <w:i/>
          <w:iCs/>
        </w:rPr>
        <w:t xml:space="preserve">Землепользование </w:t>
      </w:r>
    </w:p>
    <w:p w:rsidR="00000000" w:rsidRDefault="00000000">
      <w:pPr>
        <w:rPr>
          <w:i/>
          <w:iCs/>
        </w:rPr>
      </w:pPr>
    </w:p>
    <w:p w:rsidR="00000000" w:rsidRDefault="00000000">
      <w:r>
        <w:t>277.</w:t>
      </w:r>
      <w:r>
        <w:tab/>
        <w:t xml:space="preserve">В Норвегии основная часть земли находится в частном владении, однако некоторая ее часть принадлежит муниципалитетам, фондам, государству и прочим собственникам.  Муниципалитеты отвечают за выделение необходимых участков для строительства коммерческих зданий и жилья.  Кроме того, муниципалитеты отвечают за планирование землепользования и распределяют имеющиеся участки под жилищное строительство.  Эта деятельность осуществляется на основе планов районного развития.  Муниципалитеты также отвечают за развитие инфраструктуры.  </w:t>
      </w:r>
    </w:p>
    <w:p w:rsidR="00000000" w:rsidRDefault="00000000"/>
    <w:p w:rsidR="00000000" w:rsidRDefault="00000000">
      <w:r>
        <w:t>278.</w:t>
      </w:r>
      <w:r>
        <w:tab/>
        <w:t xml:space="preserve">Муниципалитеты используют различные методы в политике землепользования.  Некоторые муниципалитеты покупают землю для развития и продают жилищным застройщикам.  Другие сдают в аренду участки для жилищного строительства и т.д.  Нехватка свободной земли может представлять собой проблему для некоторых муниципалитетов, особенно в густонаселенных районах.  </w:t>
      </w:r>
    </w:p>
    <w:p w:rsidR="00000000" w:rsidRDefault="00000000"/>
    <w:p w:rsidR="00000000" w:rsidRDefault="00000000">
      <w:r>
        <w:t>279.</w:t>
      </w:r>
      <w:r>
        <w:tab/>
        <w:t>Роль государства заключается в принятии надлежащего законодательства в области землепользования и в предоставлении регулируемых определенными нормами займов муниципалитетам, для того чтобы они могли заниматься приобретением и освоением участков и т.д.  Такие займы предоставляются через Норвежское агентство по финансированию местных органов управления.</w:t>
      </w:r>
    </w:p>
    <w:p w:rsidR="00000000" w:rsidRDefault="00000000"/>
    <w:p w:rsidR="00000000" w:rsidRDefault="00000000">
      <w:pPr>
        <w:rPr>
          <w:i/>
          <w:iCs/>
        </w:rPr>
      </w:pPr>
      <w:r>
        <w:rPr>
          <w:i/>
          <w:iCs/>
        </w:rPr>
        <w:t>Финансовые меры, принимаемые государством</w:t>
      </w:r>
    </w:p>
    <w:p w:rsidR="00000000" w:rsidRDefault="00000000">
      <w:pPr>
        <w:rPr>
          <w:i/>
          <w:iCs/>
        </w:rPr>
      </w:pPr>
    </w:p>
    <w:p w:rsidR="00000000" w:rsidRDefault="00000000">
      <w:r>
        <w:t>280.</w:t>
      </w:r>
      <w:r>
        <w:tab/>
        <w:t xml:space="preserve">Норвежский государственный жилищный банк является центральным органом для осуществления жилищной политики.  В его ведении находятся все прямые финансовые механизмы в жилищном секторе.  Ежегодно стортинг выделяет средства Норвежскому государственному жилищному банку.  </w:t>
      </w:r>
    </w:p>
    <w:p w:rsidR="00000000" w:rsidRDefault="00000000"/>
    <w:p w:rsidR="00000000" w:rsidRDefault="00000000">
      <w:r>
        <w:t>281.</w:t>
      </w:r>
      <w:r>
        <w:tab/>
        <w:t xml:space="preserve">Норвежский государственный жилищный банк предоставляет кредиты и субсидии для строительства новых жилых единиц, выделяет средства на цели обновления и реставрации городских районов, приобретение домов и первичного жилья, а также для рефинансирования.  </w:t>
      </w:r>
    </w:p>
    <w:p w:rsidR="00000000" w:rsidRDefault="00000000"/>
    <w:p w:rsidR="00000000" w:rsidRDefault="00000000">
      <w:r>
        <w:t>282.</w:t>
      </w:r>
      <w:r>
        <w:tab/>
        <w:t xml:space="preserve">В 2003 году Норвежский государственный жилищный банк имел бюджет, предназначенный для предоставления кредитов, в размере 14,5 млрд. нор. крон.  Этот бюджет возрос с 8,5 млрд. нор. крон в 1997 году.  Кредиты предоставляются в виде общих жилищных кредитов, основанных на определенных качественных требованиях в отношении жилищных стандартов.  Кредиты и субсидии предоставляются на индивидуальной основе и с учетом критериев нуждаемости.  </w:t>
      </w:r>
    </w:p>
    <w:p w:rsidR="00000000" w:rsidRDefault="00000000"/>
    <w:p w:rsidR="00000000" w:rsidRDefault="00000000">
      <w:r>
        <w:t>283.</w:t>
      </w:r>
      <w:r>
        <w:tab/>
        <w:t xml:space="preserve">В 2003 году бюджет кредитов Норвежского государственного жилищного банка составлял приблизительно 6 млрд. нор. крон.  Субсидии предоставляются для обновления жилого фонда в городах и обеспечения качества жилых единиц, приобретения первичного жилья, реконструкции домов и аренды жилья, улучшения условий проживания с точки зрения окружающей среды, строительства домов гостиничного типа для престарелых и инвалидов, а также для компенсации процентных выплат по займам.  </w:t>
      </w:r>
    </w:p>
    <w:p w:rsidR="00000000" w:rsidRDefault="00000000"/>
    <w:p w:rsidR="00000000" w:rsidRDefault="00000000">
      <w:r>
        <w:t>284.</w:t>
      </w:r>
      <w:r>
        <w:tab/>
        <w:t>Кроме того, в 2003 году через Норвежский государственный жилищный банк будет выплачено 1,9 млрд. нор. крон в виде государственных жилищных пособий (для сравнения, в 1997 году было выделено 1,3 млрд. нор. крон).</w:t>
      </w:r>
    </w:p>
    <w:p w:rsidR="00000000" w:rsidRDefault="00000000"/>
    <w:p w:rsidR="00000000" w:rsidRDefault="00000000">
      <w:r>
        <w:rPr>
          <w:i/>
          <w:iCs/>
        </w:rPr>
        <w:t>Меры, принятые в сельских районах</w:t>
      </w:r>
    </w:p>
    <w:p w:rsidR="00000000" w:rsidRDefault="00000000"/>
    <w:p w:rsidR="00000000" w:rsidRDefault="00000000">
      <w:r>
        <w:t>285.</w:t>
      </w:r>
      <w:r>
        <w:tab/>
        <w:t>Норвегия проводит активную региональную политику, направленную на сохранение населенных пунктов в периферийных районах.  Используются многочисленные прямые и косвенные механизмы для поощрения развития и обеспечения жизнеспособных малых и средних центров, имеющих сбалансированное распределение населения, равных возможностей для работы по найму и различных пособий по социальному обеспечению.</w:t>
      </w:r>
    </w:p>
    <w:p w:rsidR="00000000" w:rsidRDefault="00000000"/>
    <w:p w:rsidR="00000000" w:rsidRDefault="00000000">
      <w:r>
        <w:rPr>
          <w:i/>
          <w:iCs/>
        </w:rPr>
        <w:t>Меры, принимаемые в рамках осуществления программ обновления жилого фонда в городах и т.п.</w:t>
      </w:r>
    </w:p>
    <w:p w:rsidR="00000000" w:rsidRDefault="00000000"/>
    <w:p w:rsidR="00000000" w:rsidRDefault="00000000">
      <w:r>
        <w:t>286.</w:t>
      </w:r>
      <w:r>
        <w:tab/>
        <w:t>Законодательство определяет, что является незаконным выселением, при каких обстоятельствах может проводиться выселение на законных основаниях, связанные с этим процедуры, а также в каких случаях власти обязаны предоставить компенсационное жилье.</w:t>
      </w:r>
    </w:p>
    <w:p w:rsidR="00000000" w:rsidRDefault="00000000"/>
    <w:p w:rsidR="00000000" w:rsidRDefault="00000000">
      <w:r>
        <w:t>287.</w:t>
      </w:r>
      <w:r>
        <w:tab/>
        <w:t>Если местные власти экспроприируют земли или жилье в связи с обновлением городов, для расширения дорог или для других целей развития, они обязаны обеспечить другим жильем затрагиваемые стороны или предоставить иную компенсацию.</w:t>
      </w:r>
    </w:p>
    <w:p w:rsidR="00000000" w:rsidRDefault="00000000"/>
    <w:p w:rsidR="00000000" w:rsidRDefault="00000000">
      <w:r>
        <w:rPr>
          <w:i/>
          <w:iCs/>
        </w:rPr>
        <w:t>Изменения, происшедшие за период после представления предыдущего периодического доклада</w:t>
      </w:r>
    </w:p>
    <w:p w:rsidR="00000000" w:rsidRDefault="00000000"/>
    <w:p w:rsidR="00000000" w:rsidRDefault="00000000">
      <w:r>
        <w:t>288.</w:t>
      </w:r>
      <w:r>
        <w:tab/>
        <w:t>Происшедшие за период после представления предыдущего доклада изменения описаны выше.</w:t>
      </w:r>
    </w:p>
    <w:p w:rsidR="00000000" w:rsidRDefault="00000000"/>
    <w:p w:rsidR="00000000" w:rsidRDefault="00000000">
      <w:pPr>
        <w:rPr>
          <w:b/>
          <w:bCs/>
        </w:rPr>
      </w:pPr>
      <w:r>
        <w:rPr>
          <w:b/>
          <w:bCs/>
        </w:rPr>
        <w:t>Пункт 4 руководящих принципов (препятствия, возникшие на пути осуществления права на достаточное жилище)</w:t>
      </w:r>
    </w:p>
    <w:p w:rsidR="00000000" w:rsidRDefault="00000000"/>
    <w:p w:rsidR="00000000" w:rsidRDefault="00000000">
      <w:r>
        <w:t>289.</w:t>
      </w:r>
      <w:r>
        <w:tab/>
        <w:t>Определенные группы и лица по</w:t>
      </w:r>
      <w:r>
        <w:noBreakHyphen/>
        <w:t>прежнему сталкиваются с проблемами, связанными с получением подходящего жилья.  К их числу относятся бездомные, которые часто испытывают целый комплекс проблем, подлежащих решению посредством индивидуальных комплексных решений.  Цены на жилье в густонаселенных районах могут вызывать у групп с низкими доходами трудности, особенно у домашних хозяйств, имеющих единственный источник дохода, трудности с покрытием расходов на проживание.  Беженцы и другие особые группы могут сталкиваться с дискриминацией на рынке частного жилья и т.д.</w:t>
      </w:r>
    </w:p>
    <w:p w:rsidR="00000000" w:rsidRDefault="00000000"/>
    <w:p w:rsidR="00000000" w:rsidRDefault="00000000">
      <w:r>
        <w:t>290.</w:t>
      </w:r>
      <w:r>
        <w:tab/>
        <w:t>В настоящее время ведется работа над подготовкой "Белой книги", в которой будет представлен более подробный обзор механизмов жилищной политики, а также предложения по улучшению положения для достижения целей жилищной политики.  Никаких радикальных изменений в отношении главных принципов норвежской жилищной политики или законодательных документов не предвидится.  Как на рынке жилья, так и на рынке кредитов государственное регулирование было в значительной мере ослаблено, исходя из мнения о том, что рынок предоставляет наилучшие решения как для отдельных лиц, так и для общества в целом с наименьшими возможными затратами.  Тем не менее решение задач жилищной политики без значительного участия со стороны государственных властей по</w:t>
      </w:r>
      <w:r>
        <w:noBreakHyphen/>
        <w:t xml:space="preserve">прежнему может быть проблематичным.  Это также касается задачи по обеспечению того, чтобы каждый проживающий в Норвегии человек имел достаточное жилище.  </w:t>
      </w:r>
    </w:p>
    <w:p w:rsidR="00000000" w:rsidRDefault="00000000"/>
    <w:p w:rsidR="00000000" w:rsidRDefault="00000000">
      <w:pPr>
        <w:jc w:val="center"/>
      </w:pPr>
      <w:r>
        <w:rPr>
          <w:b/>
          <w:bCs/>
        </w:rPr>
        <w:t>Статья 12.  Наивысший достижимый уровень здоровья</w:t>
      </w:r>
    </w:p>
    <w:p w:rsidR="00000000" w:rsidRDefault="00000000"/>
    <w:p w:rsidR="00000000" w:rsidRDefault="00000000">
      <w:pPr>
        <w:rPr>
          <w:b/>
          <w:bCs/>
        </w:rPr>
      </w:pPr>
      <w:r>
        <w:rPr>
          <w:b/>
          <w:bCs/>
        </w:rPr>
        <w:t>Пункт 1 руководящих принципов (ситуация в отношении охраны здоровья и т.п.)</w:t>
      </w:r>
    </w:p>
    <w:p w:rsidR="00000000" w:rsidRDefault="00000000"/>
    <w:p w:rsidR="00000000" w:rsidRDefault="00000000">
      <w:r>
        <w:t>291.</w:t>
      </w:r>
      <w:r>
        <w:tab/>
        <w:t xml:space="preserve">Состояние здоровья населения Норвегии в целом является удовлетворительным, и тенденции в этой области остаются позитивными.  Вместе с тем в настоящее время по сравнению со странами, с которыми Норвегия обычно себя сравнивает, позитивные тенденции замедлились.  В 1970 году показатель предполагаемой продолжительности жизни в Норвегии был третьим среди стран </w:t>
      </w:r>
      <w:proofErr w:type="spellStart"/>
      <w:r>
        <w:t>ОЭСР</w:t>
      </w:r>
      <w:proofErr w:type="spellEnd"/>
      <w:r>
        <w:t xml:space="preserve"> в отношении мужчин и самым высоким в отношении женщин.  В 1999 году Норвегия оказалась на восьмом месте в отношении мужчин и на девятом - в отношении женщин.</w:t>
      </w:r>
    </w:p>
    <w:p w:rsidR="00000000" w:rsidRDefault="00000000"/>
    <w:p w:rsidR="00000000" w:rsidRDefault="00000000">
      <w:r>
        <w:t>292.</w:t>
      </w:r>
      <w:r>
        <w:tab/>
        <w:t xml:space="preserve">У нас слишком мало информации о распространенности и распределении определенных болезней.  Среди прочего, это относится к неврологическим расстройствам, таким, как болезнь Альцгеймера, болезнь </w:t>
      </w:r>
      <w:proofErr w:type="spellStart"/>
      <w:r>
        <w:t>Паркинсона</w:t>
      </w:r>
      <w:proofErr w:type="spellEnd"/>
      <w:r>
        <w:t xml:space="preserve"> и рассеянный склероз.  В отношении раковых заболеваний система национального мониторинга и научных исследований была установлена в соответствии с Системой регистрации раковых заболеваний в Норвегии.  Начиная с 1 июля 2003 года действуют новые положения, касающиеся Системы отчетности по инфекционным болезням (</w:t>
      </w:r>
      <w:proofErr w:type="spellStart"/>
      <w:r>
        <w:rPr>
          <w:lang w:val="en-US"/>
        </w:rPr>
        <w:t>MSIS</w:t>
      </w:r>
      <w:proofErr w:type="spellEnd"/>
      <w:r>
        <w:t>) и Системы регистрации случаев заболевания туберкулезом.  Эти системы регистрации вносят свой вклад в процесс контроля за инфекционными болезнями, включая туберкулез, и используются в научных исследованиях относительно распространенности и причин этих болезней.  В рамках усилий по усилению контроля за инфекционными болезнями новые положения включают дополнительные обязанности по отчетности о таких болезнях.  Закон о системах заполнения личных данных, касающихся здоровья, и об обработке личных медицинских данных, а также связанные с ними положения могут также способствовать углублению знаний относительно многих болезней.</w:t>
      </w:r>
    </w:p>
    <w:p w:rsidR="00000000" w:rsidRDefault="00000000"/>
    <w:p w:rsidR="00000000" w:rsidRDefault="00000000">
      <w:r>
        <w:rPr>
          <w:i/>
          <w:iCs/>
        </w:rPr>
        <w:t>Заболевания и травмы</w:t>
      </w:r>
    </w:p>
    <w:p w:rsidR="00000000" w:rsidRDefault="00000000"/>
    <w:p w:rsidR="00000000" w:rsidRDefault="00000000">
      <w:r>
        <w:t>293.</w:t>
      </w:r>
      <w:r>
        <w:tab/>
        <w:t>За последние 30 лет в Норвегии сократилось количество смертей от сердечно-сосудистых заболеваний, однако они по</w:t>
      </w:r>
      <w:r>
        <w:noBreakHyphen/>
        <w:t xml:space="preserve">прежнему являются наиболее распространенной причиной смертности.  Сократилось количество инфарктов и инсультов.  С 1991 по 2000 годы число больных, госпитализированных с сердечными приступами, снизилось на </w:t>
      </w:r>
      <w:proofErr w:type="spellStart"/>
      <w:r>
        <w:t>18%</w:t>
      </w:r>
      <w:proofErr w:type="spellEnd"/>
      <w:r>
        <w:t xml:space="preserve">.  Поскольку национальная система регистрации сердечно-сосудистых заболеваний отсутствует, невозможно с точностью установить, какими причинами обусловлено такое снижение уровней смертности в результате этих заболеваний, т.е. в какой степени это объясняется реальным уменьшением распространенности этих заболеваний, а в какой - улучшением лечения и повышением коэффициента выживаемости.  В 2001 году объем продаж медикаментов от сердечно-сосудистых заболеваний составил 2,5 млрд. нор. крон.  Уровни смертности от сердечно-сосудистых заболеваний значительно различаются в зависимости от географических и социально-экономических факторов.  Смертность от сердечных приступов в Норвегии различается по регионам.  </w:t>
      </w:r>
      <w:proofErr w:type="spellStart"/>
      <w:r>
        <w:t>Финнмарк</w:t>
      </w:r>
      <w:proofErr w:type="spellEnd"/>
      <w:r>
        <w:t xml:space="preserve"> (север Норвегии) лидирует по этому показателю для мужчин, в то время как </w:t>
      </w:r>
      <w:proofErr w:type="spellStart"/>
      <w:r>
        <w:t>Акерхус</w:t>
      </w:r>
      <w:proofErr w:type="spellEnd"/>
      <w:r>
        <w:t xml:space="preserve"> (юго-восточная Норвегия) отличается самым низким показателем для обоих полов.  С другой стороны, уровни смертности женщин в </w:t>
      </w:r>
      <w:proofErr w:type="spellStart"/>
      <w:r>
        <w:t>Финнмарке</w:t>
      </w:r>
      <w:proofErr w:type="spellEnd"/>
      <w:r>
        <w:t xml:space="preserve"> ниже среднего уровня по стране.  Различия между районами в Осло также являются значительными.  В 1994-1998 годах уровень смертности от сердечно-сосудистых заболеваний был на </w:t>
      </w:r>
      <w:proofErr w:type="spellStart"/>
      <w:r>
        <w:t>50%</w:t>
      </w:r>
      <w:proofErr w:type="spellEnd"/>
      <w:r>
        <w:t xml:space="preserve"> выше во внутреннем восточном округе Осло, чем во внешнем западном округе.</w:t>
      </w:r>
    </w:p>
    <w:p w:rsidR="00000000" w:rsidRDefault="00000000"/>
    <w:p w:rsidR="00000000" w:rsidRDefault="00000000">
      <w:r>
        <w:t>294.</w:t>
      </w:r>
      <w:r>
        <w:tab/>
        <w:t>Более 21 000 женщин и мужчин в Норвегии ежегодно заболевают раком.  В 1955 году этот показатель составлял 7 500.  Сегодня гораздо больше людей выздоравливают после рака, чем в 1955 году.  Значительное увеличение количества раковых заболеваний объясняется повышением доли пожилых людей в составе населения.  Некоторые разновидности рака сокращаются, в то время как другие возрастают.  Наиболее важными профилактическими мерами являются:  отказ от курения, увеличение физической активности и более здоровый рацион питания.</w:t>
      </w:r>
    </w:p>
    <w:p w:rsidR="00000000" w:rsidRDefault="00000000"/>
    <w:p w:rsidR="00000000" w:rsidRDefault="00000000">
      <w:r>
        <w:t>295.</w:t>
      </w:r>
      <w:r>
        <w:tab/>
        <w:t>Ряд новых раковых заболеваний частично связан с размерами и возрастом населения.  Заболеваемость раком будет увеличиваться по мере роста средней ожидаемой продолжительности жизни.  Повышенное воздействие факторов риска может также привести к увеличению распространенности рака.  Наиболее серьезными факторами риска являются:  табак, рацион питания взрослых, низкая физическая активность, инфекции, гормонально-репродуктивные факторы, ионизирующая радиация и ультрафиолетовое облучение, алкоголь, наследственность, загрязнение окружающей среды и профессиональные факторы.</w:t>
      </w:r>
    </w:p>
    <w:p w:rsidR="00000000" w:rsidRDefault="00000000"/>
    <w:p w:rsidR="00000000" w:rsidRDefault="00000000">
      <w:r>
        <w:t>296.</w:t>
      </w:r>
      <w:r>
        <w:tab/>
        <w:t xml:space="preserve">Кроме того, увеличение раковых заболеваний также объясняется новыми методами ранней диагностики и программами массового обследования населения, такими, как </w:t>
      </w:r>
      <w:proofErr w:type="spellStart"/>
      <w:r>
        <w:t>маммография</w:t>
      </w:r>
      <w:proofErr w:type="spellEnd"/>
      <w:r>
        <w:t xml:space="preserve"> и массовое обследование на наличие рака шейки матки.  </w:t>
      </w:r>
    </w:p>
    <w:p w:rsidR="00000000" w:rsidRDefault="00000000"/>
    <w:p w:rsidR="00000000" w:rsidRDefault="00000000">
      <w:r>
        <w:t>297.</w:t>
      </w:r>
      <w:r>
        <w:tab/>
        <w:t xml:space="preserve">За последние десятилетия значительно сократилось число случаев рака желудка.  Аналогичный спад был отмечен во всем западном мире.  Распространенность рака легких среди мужчин стабилизировалась, в то время как за тот же период наблюдался резкий рост этого заболевания среди женщин.  Рак толстой кишки входит в число пяти наиболее часто встречающихся разновидностей рака для обоих полов.  Рост числа случаев этого вида рака за последние годы в Норвегии необъяснимо выше, чем в остальной части региона северных стран.  За последние годы также наблюдался значительный рост числа случаев </w:t>
      </w:r>
      <w:proofErr w:type="spellStart"/>
      <w:r>
        <w:t>меланомы</w:t>
      </w:r>
      <w:proofErr w:type="spellEnd"/>
      <w:r>
        <w:t>.  Увеличение числа случаев этого заболевания является наиболее значительным среди всех раковых заболеваний и затрагивает приблизительно в одинаковой степени как женщин, так и мужчин, причем наибольший рост наблюдается в южной части Норвегии.  Возрастает распространенность рака предстательной железы.  Это также касается рака молочной железы, в то время как распространенность рака шейки матки сократилась.</w:t>
      </w:r>
    </w:p>
    <w:p w:rsidR="00000000" w:rsidRDefault="00000000"/>
    <w:p w:rsidR="00000000" w:rsidRDefault="00000000">
      <w:r>
        <w:t>298.</w:t>
      </w:r>
      <w:r>
        <w:tab/>
        <w:t xml:space="preserve">В Норвегии, согласно оценкам, насчитывается приблизительно 140 000 больных диабетом, однако эти оценки являются неточными.  Наблюдается гораздо более высокая распространенность диабета среди ряда крупных иммигрантских групп, чем среди лиц, родившихся в Норвегии.  Например, среди лиц, родившихся на индийском </w:t>
      </w:r>
      <w:proofErr w:type="spellStart"/>
      <w:r>
        <w:t>субконтиненте</w:t>
      </w:r>
      <w:proofErr w:type="spellEnd"/>
      <w:r>
        <w:t xml:space="preserve">, </w:t>
      </w:r>
      <w:proofErr w:type="spellStart"/>
      <w:r>
        <w:t>21%</w:t>
      </w:r>
      <w:proofErr w:type="spellEnd"/>
      <w:r>
        <w:t xml:space="preserve"> мужчин и </w:t>
      </w:r>
      <w:proofErr w:type="spellStart"/>
      <w:r>
        <w:t>36%</w:t>
      </w:r>
      <w:proofErr w:type="spellEnd"/>
      <w:r>
        <w:t xml:space="preserve"> женщин в возрастной группе 40-59 лет больны диабетом.  </w:t>
      </w:r>
      <w:proofErr w:type="spellStart"/>
      <w:r>
        <w:t>Инсулиннезависимый</w:t>
      </w:r>
      <w:proofErr w:type="spellEnd"/>
      <w:r>
        <w:t xml:space="preserve"> диабет поддается эффективной профилактике за счет снижения избыточного веса и увеличения физической активности.</w:t>
      </w:r>
    </w:p>
    <w:p w:rsidR="00000000" w:rsidRDefault="00000000"/>
    <w:p w:rsidR="00000000" w:rsidRDefault="00000000">
      <w:r>
        <w:t>299.</w:t>
      </w:r>
      <w:r>
        <w:tab/>
        <w:t xml:space="preserve">Мышечные и костные боли являются причиной многочисленных медицинских консультаций, и на их долю приходится значительная часть </w:t>
      </w:r>
      <w:proofErr w:type="spellStart"/>
      <w:r>
        <w:t>отсутствий</w:t>
      </w:r>
      <w:proofErr w:type="spellEnd"/>
      <w:r>
        <w:t xml:space="preserve"> по болезни и пенсий по инвалидности.  В 1970 году на их долю приходилось </w:t>
      </w:r>
      <w:proofErr w:type="spellStart"/>
      <w:r>
        <w:t>17%</w:t>
      </w:r>
      <w:proofErr w:type="spellEnd"/>
      <w:r>
        <w:t xml:space="preserve"> от общего числа лиц, получавших пособия по инвалидности, в то время как в 1997 году эта доля возросла до </w:t>
      </w:r>
      <w:proofErr w:type="spellStart"/>
      <w:r>
        <w:t>33%</w:t>
      </w:r>
      <w:proofErr w:type="spellEnd"/>
      <w:r>
        <w:t xml:space="preserve">.  Согласно анализу данных, полученных в результате обследования 200 000 взрослых, входящих в "Норвежскую когорту", приблизительно </w:t>
      </w:r>
      <w:proofErr w:type="spellStart"/>
      <w:r>
        <w:t>40%</w:t>
      </w:r>
      <w:proofErr w:type="spellEnd"/>
      <w:r>
        <w:t xml:space="preserve"> мужчин и </w:t>
      </w:r>
      <w:proofErr w:type="spellStart"/>
      <w:r>
        <w:t>60%</w:t>
      </w:r>
      <w:proofErr w:type="spellEnd"/>
      <w:r>
        <w:t xml:space="preserve"> женщин страдали от боли/ригидности в мышцах и суставах по меньшей мере в течение трех месяцев подряд.</w:t>
      </w:r>
    </w:p>
    <w:p w:rsidR="00000000" w:rsidRDefault="00000000"/>
    <w:p w:rsidR="00000000" w:rsidRDefault="00000000">
      <w:r>
        <w:t>300.</w:t>
      </w:r>
      <w:r>
        <w:tab/>
        <w:t xml:space="preserve">В Норвегии приблизительно 7 500 человек ежегодно умирают от заболеваний, связанных с курением, и, согласно оценкам, еще 500 человек умирают в результате пассивного курения.  Причиной трети всех случаев рака является курение.  Оно представляет более серьезную опасность для женщин, чем для мужчин.  В 2001 году ежедневно курило приблизительно </w:t>
      </w:r>
      <w:proofErr w:type="spellStart"/>
      <w:r>
        <w:t>30%</w:t>
      </w:r>
      <w:proofErr w:type="spellEnd"/>
      <w:r>
        <w:t xml:space="preserve"> взрослого населения Норвегии:  </w:t>
      </w:r>
      <w:proofErr w:type="spellStart"/>
      <w:r>
        <w:t>30%</w:t>
      </w:r>
      <w:proofErr w:type="spellEnd"/>
      <w:r>
        <w:t xml:space="preserve"> мужчин и </w:t>
      </w:r>
      <w:proofErr w:type="spellStart"/>
      <w:r>
        <w:t>29%</w:t>
      </w:r>
      <w:proofErr w:type="spellEnd"/>
      <w:r>
        <w:t xml:space="preserve"> женщин.  Помимо ежедневных курильщиков насчитывается </w:t>
      </w:r>
      <w:proofErr w:type="spellStart"/>
      <w:r>
        <w:t>11%</w:t>
      </w:r>
      <w:proofErr w:type="spellEnd"/>
      <w:r>
        <w:t xml:space="preserve"> лиц, являющихся нерегулярными курильщиками.  Основная часть курящих приходится на лиц в возрасте от 35 до 54 лет, тогда как среди лиц более молодого и более старшего возраста их число несколько ниже.  Доля курящих является самой низкой среди самых пожилых женщин;  среди остальных возрастных групп </w:t>
      </w:r>
      <w:proofErr w:type="spellStart"/>
      <w:r>
        <w:t>гендерные</w:t>
      </w:r>
      <w:proofErr w:type="spellEnd"/>
      <w:r>
        <w:t xml:space="preserve"> различия почти отсутствуют.</w:t>
      </w:r>
    </w:p>
    <w:p w:rsidR="00000000" w:rsidRDefault="00000000"/>
    <w:p w:rsidR="00000000" w:rsidRDefault="00000000">
      <w:r>
        <w:t>301.</w:t>
      </w:r>
      <w:r>
        <w:tab/>
        <w:t xml:space="preserve">За последние 30 лет доля мужчин, которые курят ежедневно, значительно сократилась, в то время как доля ежедневно курящих женщин осталась относительно неизменной.  </w:t>
      </w:r>
    </w:p>
    <w:p w:rsidR="00000000" w:rsidRDefault="00000000"/>
    <w:p w:rsidR="00000000" w:rsidRDefault="00000000">
      <w:r>
        <w:t>302.</w:t>
      </w:r>
      <w:r>
        <w:tab/>
        <w:t>В докладе № 16 (2002-2003 годы), который был представлен в стортинг, правительство отмечает, что оно осуществит ряд мер по созданию среды, свободной от табачного дыма, для предупреждения пассивного курения, сокращения количества новых курильщиков, сокращения количества ежедневных курильщиков и осуществления деятельности в рамках международных соглашений и стратегий.  В результате поправок к Закону о вредных последствиях табака рестораны, бары и кафе станут свободными от табачного дыма начиная с 1 июня 2004 года.  Основной целью этих поправок является улучшение условий труда работников, занятых в гостиничном и ресторанном секторе.  Данные за 2002 год показывают, что 29% взрослого населения Норвегии курит ежедневно.</w:t>
      </w:r>
    </w:p>
    <w:p w:rsidR="00000000" w:rsidRDefault="00000000"/>
    <w:p w:rsidR="00000000" w:rsidRDefault="00000000">
      <w:pPr>
        <w:rPr>
          <w:b/>
          <w:bCs/>
        </w:rPr>
      </w:pPr>
      <w:r>
        <w:rPr>
          <w:b/>
          <w:bCs/>
        </w:rPr>
        <w:t>Пункт 2 руководящих принципов (национальная политика в области здравоохранения)</w:t>
      </w:r>
    </w:p>
    <w:p w:rsidR="00000000" w:rsidRDefault="00000000">
      <w:pPr>
        <w:rPr>
          <w:u w:val="single"/>
        </w:rPr>
      </w:pPr>
    </w:p>
    <w:p w:rsidR="00000000" w:rsidRDefault="00000000">
      <w:r>
        <w:t>303.</w:t>
      </w:r>
      <w:r>
        <w:tab/>
        <w:t>Основу ценностей и целей правительства для проведения последовательной политики в области здравоохранения составляют уважение человеческой жизни и человеческого достоинства, забота о слабых, уделение основного внимания профилактике и личная ответственность каждого за свое здоровье.  Цель состоит в предоставлении равного медицинского обслуживания независимо от места жительства, финансового положения и стадии жизни каждого человека.</w:t>
      </w:r>
    </w:p>
    <w:p w:rsidR="00000000" w:rsidRDefault="00000000"/>
    <w:p w:rsidR="00000000" w:rsidRDefault="00000000">
      <w:pPr>
        <w:ind w:left="561" w:hanging="561"/>
      </w:pPr>
      <w:r>
        <w:t>304.</w:t>
      </w:r>
      <w:r>
        <w:tab/>
        <w:t>Приоритетами правительства являются следующие:</w:t>
      </w:r>
    </w:p>
    <w:p w:rsidR="00000000" w:rsidRDefault="00000000">
      <w:pPr>
        <w:ind w:left="561" w:hanging="561"/>
      </w:pPr>
    </w:p>
    <w:p w:rsidR="00000000" w:rsidRDefault="00000000">
      <w:pPr>
        <w:numPr>
          <w:ilvl w:val="0"/>
          <w:numId w:val="6"/>
        </w:numPr>
        <w:tabs>
          <w:tab w:val="clear" w:pos="567"/>
          <w:tab w:val="clear" w:pos="1134"/>
          <w:tab w:val="left" w:pos="1122"/>
        </w:tabs>
        <w:ind w:left="1122" w:hanging="561"/>
      </w:pPr>
      <w:r>
        <w:t>уделение первостепенного внимания наиболее нуждающимся лицам:  будет осуществляться Национальная программа в области психического здоровья (см. ниже) и обеспечиваться уход за раковыми больными, особое внимание будет уделяться детям и подросткам.  Будет уделяться первоочередное внимание профилактике заболеваний и укреплению муниципальных служб здравоохранения.  Будут укреплены службы по борьбе с токсикоманией.  Инвалиды и хронические больные будут защищены от расходов, которые не покрываются существующей системой бесплатных карт, посредством введения второго предельного уровня для личных взносов.  Серьезно больным и умирающим пациентам будет обеспечена система поддержания жизни.  Будет улучшено медицинское обслуживание заключенных благодаря Национальной программе в области психического здоровья.</w:t>
      </w:r>
    </w:p>
    <w:p w:rsidR="00000000" w:rsidRDefault="00000000">
      <w:pPr>
        <w:tabs>
          <w:tab w:val="clear" w:pos="1134"/>
          <w:tab w:val="left" w:pos="1122"/>
        </w:tabs>
      </w:pPr>
    </w:p>
    <w:p w:rsidR="00000000" w:rsidRDefault="00000000">
      <w:pPr>
        <w:numPr>
          <w:ilvl w:val="0"/>
          <w:numId w:val="6"/>
        </w:numPr>
        <w:tabs>
          <w:tab w:val="clear" w:pos="567"/>
          <w:tab w:val="clear" w:pos="1134"/>
          <w:tab w:val="left" w:pos="1122"/>
        </w:tabs>
        <w:ind w:left="1122" w:hanging="561"/>
      </w:pPr>
      <w:r>
        <w:t>Основанный на принципе осторожности подход к биотехнологии и генной технологии.</w:t>
      </w:r>
    </w:p>
    <w:p w:rsidR="00000000" w:rsidRDefault="00000000">
      <w:pPr>
        <w:tabs>
          <w:tab w:val="clear" w:pos="1134"/>
          <w:tab w:val="left" w:pos="1122"/>
        </w:tabs>
      </w:pPr>
    </w:p>
    <w:p w:rsidR="00000000" w:rsidRDefault="00000000">
      <w:pPr>
        <w:numPr>
          <w:ilvl w:val="0"/>
          <w:numId w:val="6"/>
        </w:numPr>
        <w:tabs>
          <w:tab w:val="clear" w:pos="567"/>
          <w:tab w:val="clear" w:pos="1134"/>
          <w:tab w:val="left" w:pos="1122"/>
        </w:tabs>
        <w:ind w:left="1122" w:hanging="561"/>
      </w:pPr>
      <w:r>
        <w:t>Осуществление больничной реформы.</w:t>
      </w:r>
    </w:p>
    <w:p w:rsidR="00000000" w:rsidRDefault="00000000">
      <w:pPr>
        <w:tabs>
          <w:tab w:val="clear" w:pos="1134"/>
          <w:tab w:val="left" w:pos="1122"/>
        </w:tabs>
      </w:pPr>
    </w:p>
    <w:p w:rsidR="00000000" w:rsidRDefault="00000000">
      <w:pPr>
        <w:numPr>
          <w:ilvl w:val="0"/>
          <w:numId w:val="6"/>
        </w:numPr>
        <w:tabs>
          <w:tab w:val="clear" w:pos="567"/>
          <w:tab w:val="clear" w:pos="1134"/>
          <w:tab w:val="left" w:pos="1122"/>
        </w:tabs>
        <w:ind w:left="1122" w:hanging="561"/>
      </w:pPr>
      <w:r>
        <w:t>Уделение первоочередного внимания профилактике.</w:t>
      </w:r>
    </w:p>
    <w:p w:rsidR="00000000" w:rsidRDefault="00000000">
      <w:pPr>
        <w:tabs>
          <w:tab w:val="clear" w:pos="1134"/>
          <w:tab w:val="left" w:pos="1122"/>
        </w:tabs>
      </w:pPr>
    </w:p>
    <w:p w:rsidR="00000000" w:rsidRDefault="00000000">
      <w:pPr>
        <w:tabs>
          <w:tab w:val="clear" w:pos="1134"/>
          <w:tab w:val="left" w:pos="1122"/>
        </w:tabs>
        <w:rPr>
          <w:i/>
          <w:iCs/>
        </w:rPr>
      </w:pPr>
      <w:r>
        <w:rPr>
          <w:i/>
          <w:iCs/>
        </w:rPr>
        <w:t>Система выбора постоянного врача общей практики</w:t>
      </w:r>
    </w:p>
    <w:p w:rsidR="00000000" w:rsidRDefault="00000000">
      <w:pPr>
        <w:tabs>
          <w:tab w:val="clear" w:pos="1134"/>
          <w:tab w:val="left" w:pos="1122"/>
        </w:tabs>
        <w:rPr>
          <w:i/>
          <w:iCs/>
        </w:rPr>
      </w:pPr>
    </w:p>
    <w:p w:rsidR="00000000" w:rsidRDefault="00000000">
      <w:pPr>
        <w:tabs>
          <w:tab w:val="clear" w:pos="1134"/>
          <w:tab w:val="left" w:pos="1122"/>
        </w:tabs>
      </w:pPr>
      <w:r>
        <w:t>305.</w:t>
      </w:r>
      <w:r>
        <w:tab/>
        <w:t>1 июня 2001 года Норвегия сделала предложение всему населению в отношении выбора постоянного врача общей практики.  Целью Системы выбора постоянного врача общей практики является улучшение качества услуг общепрактикующего врача посредством предоставления каждому желающему возможности обратиться за помощью к одному постоянному врачу общей практики.</w:t>
      </w:r>
    </w:p>
    <w:p w:rsidR="00000000" w:rsidRDefault="00000000">
      <w:pPr>
        <w:tabs>
          <w:tab w:val="clear" w:pos="1134"/>
          <w:tab w:val="left" w:pos="1122"/>
        </w:tabs>
      </w:pPr>
    </w:p>
    <w:p w:rsidR="00000000" w:rsidRDefault="00000000">
      <w:pPr>
        <w:tabs>
          <w:tab w:val="clear" w:pos="1134"/>
          <w:tab w:val="left" w:pos="1122"/>
        </w:tabs>
      </w:pPr>
      <w:r>
        <w:t>306.</w:t>
      </w:r>
      <w:r>
        <w:tab/>
        <w:t>Согласно одному из принципов системы обращения к постоянному врачу общей практики пациент должен иметь возможность попасть на прием к своему лечащему врачу в течение разумного срока, а также обратиться по телефону в приемную врача за советом или консультацией.  Кроме того, пациент имеет право менять своего постоянного лечащего врача дважды в год и получать альтернативное мнение другого врача, связанного с Системой выбора постоянного врача общей практики.  Для гарантии этих прав граждан муниципалитеты должны обеспечить наличие свободных часов в графике работы других регулярно практикующих врачей в соответствующем муниципалитете или в сотрудничающих с ним муниципалитетах.</w:t>
      </w:r>
    </w:p>
    <w:p w:rsidR="00000000" w:rsidRDefault="00000000">
      <w:pPr>
        <w:tabs>
          <w:tab w:val="clear" w:pos="1134"/>
          <w:tab w:val="left" w:pos="1122"/>
        </w:tabs>
      </w:pPr>
    </w:p>
    <w:p w:rsidR="00000000" w:rsidRDefault="00000000">
      <w:pPr>
        <w:tabs>
          <w:tab w:val="clear" w:pos="1134"/>
          <w:tab w:val="left" w:pos="1122"/>
        </w:tabs>
        <w:rPr>
          <w:i/>
          <w:iCs/>
        </w:rPr>
      </w:pPr>
      <w:r>
        <w:rPr>
          <w:i/>
          <w:iCs/>
        </w:rPr>
        <w:t>Ответственность за специализированные службы здравоохранения</w:t>
      </w:r>
    </w:p>
    <w:p w:rsidR="00000000" w:rsidRDefault="00000000">
      <w:pPr>
        <w:tabs>
          <w:tab w:val="clear" w:pos="1134"/>
          <w:tab w:val="left" w:pos="1122"/>
        </w:tabs>
        <w:rPr>
          <w:i/>
          <w:iCs/>
        </w:rPr>
      </w:pPr>
    </w:p>
    <w:p w:rsidR="00000000" w:rsidRDefault="00000000">
      <w:pPr>
        <w:tabs>
          <w:tab w:val="clear" w:pos="1134"/>
          <w:tab w:val="left" w:pos="1122"/>
        </w:tabs>
      </w:pPr>
      <w:r>
        <w:t>307.</w:t>
      </w:r>
      <w:r>
        <w:tab/>
        <w:t>С 1 января 2002 года ответственность за специализированные службы здравоохранения была передана от губернских властей государству.  Все государственные больницы в настоящее время организованы как предприятия здравоохранения, принадлежащие пяти региональным предприятиям здравоохранения.  Региональные предприятия здравоохранения принадлежат государству.</w:t>
      </w:r>
    </w:p>
    <w:p w:rsidR="00000000" w:rsidRDefault="00000000">
      <w:pPr>
        <w:tabs>
          <w:tab w:val="clear" w:pos="1134"/>
          <w:tab w:val="left" w:pos="1122"/>
        </w:tabs>
      </w:pPr>
    </w:p>
    <w:p w:rsidR="00000000" w:rsidRDefault="00000000">
      <w:pPr>
        <w:tabs>
          <w:tab w:val="clear" w:pos="1134"/>
          <w:tab w:val="left" w:pos="1122"/>
        </w:tabs>
        <w:rPr>
          <w:i/>
          <w:iCs/>
        </w:rPr>
      </w:pPr>
      <w:r>
        <w:rPr>
          <w:i/>
          <w:iCs/>
        </w:rPr>
        <w:t>Национальная программа в области психического здоровья на 1999-2006 годы</w:t>
      </w:r>
    </w:p>
    <w:p w:rsidR="00000000" w:rsidRDefault="00000000">
      <w:pPr>
        <w:tabs>
          <w:tab w:val="clear" w:pos="1134"/>
          <w:tab w:val="left" w:pos="1122"/>
        </w:tabs>
        <w:rPr>
          <w:i/>
          <w:iCs/>
        </w:rPr>
      </w:pPr>
    </w:p>
    <w:p w:rsidR="00000000" w:rsidRDefault="00000000">
      <w:pPr>
        <w:tabs>
          <w:tab w:val="clear" w:pos="1134"/>
          <w:tab w:val="left" w:pos="1122"/>
        </w:tabs>
      </w:pPr>
      <w:r>
        <w:t>308.</w:t>
      </w:r>
      <w:r>
        <w:tab/>
        <w:t>Был разработан специальный план по расширению и реструктуризации служб охраны психического здоровья, который осуществляется на основе следующих базовых принципов:</w:t>
      </w:r>
    </w:p>
    <w:p w:rsidR="00000000" w:rsidRDefault="00000000">
      <w:pPr>
        <w:tabs>
          <w:tab w:val="clear" w:pos="1134"/>
          <w:tab w:val="left" w:pos="1122"/>
        </w:tabs>
      </w:pPr>
    </w:p>
    <w:p w:rsidR="00000000" w:rsidRDefault="00000000">
      <w:pPr>
        <w:numPr>
          <w:ilvl w:val="0"/>
          <w:numId w:val="7"/>
        </w:numPr>
        <w:tabs>
          <w:tab w:val="clear" w:pos="567"/>
          <w:tab w:val="clear" w:pos="720"/>
          <w:tab w:val="clear" w:pos="1134"/>
          <w:tab w:val="left" w:pos="561"/>
          <w:tab w:val="left" w:pos="1122"/>
        </w:tabs>
        <w:ind w:left="1122" w:hanging="548"/>
      </w:pPr>
      <w:r>
        <w:t>Профилактика заболеваний в тех случаях, когда это является возможным, а в случае появления заболевания - принятие мер в целях воздействия на прогресс, уровень серьезности и последствия психического заболевания.</w:t>
      </w:r>
    </w:p>
    <w:p w:rsidR="00000000" w:rsidRDefault="00000000">
      <w:pPr>
        <w:tabs>
          <w:tab w:val="clear" w:pos="1134"/>
          <w:tab w:val="left" w:pos="1122"/>
        </w:tabs>
      </w:pPr>
    </w:p>
    <w:p w:rsidR="00000000" w:rsidRDefault="00000000">
      <w:pPr>
        <w:numPr>
          <w:ilvl w:val="0"/>
          <w:numId w:val="7"/>
        </w:numPr>
        <w:tabs>
          <w:tab w:val="clear" w:pos="720"/>
          <w:tab w:val="clear" w:pos="1134"/>
          <w:tab w:val="left" w:pos="1122"/>
        </w:tabs>
        <w:ind w:left="1122" w:hanging="548"/>
      </w:pPr>
      <w:r>
        <w:t>Ответственность за обслуживание должна соответствовать принципам распределения ответственности в других частях сектора здравоохранения и социальных услуг.</w:t>
      </w:r>
    </w:p>
    <w:p w:rsidR="00000000" w:rsidRDefault="00000000">
      <w:pPr>
        <w:tabs>
          <w:tab w:val="clear" w:pos="1134"/>
          <w:tab w:val="left" w:pos="1122"/>
        </w:tabs>
      </w:pPr>
    </w:p>
    <w:p w:rsidR="00000000" w:rsidRDefault="00000000">
      <w:pPr>
        <w:numPr>
          <w:ilvl w:val="0"/>
          <w:numId w:val="7"/>
        </w:numPr>
        <w:tabs>
          <w:tab w:val="clear" w:pos="720"/>
          <w:tab w:val="clear" w:pos="1134"/>
          <w:tab w:val="left" w:pos="1122"/>
        </w:tabs>
        <w:ind w:left="1122" w:hanging="548"/>
      </w:pPr>
      <w:r>
        <w:t>Приоритет отдается интересам пациента:  выбор соответствующих услуг определяется потребностями и участием на основе общего представления о гуманности.</w:t>
      </w:r>
    </w:p>
    <w:p w:rsidR="00000000" w:rsidRDefault="00000000">
      <w:pPr>
        <w:numPr>
          <w:ilvl w:val="0"/>
          <w:numId w:val="7"/>
        </w:numPr>
        <w:tabs>
          <w:tab w:val="clear" w:pos="720"/>
          <w:tab w:val="clear" w:pos="1134"/>
          <w:tab w:val="left" w:pos="1122"/>
        </w:tabs>
        <w:ind w:left="1122" w:hanging="548"/>
      </w:pPr>
      <w:r>
        <w:t>Лечение должно быть как можно более добровольным - оно должно осуществляться в таких формах, которые являются максимально открытыми, общепринятыми и добровольными.</w:t>
      </w:r>
    </w:p>
    <w:p w:rsidR="00000000" w:rsidRDefault="00000000">
      <w:pPr>
        <w:tabs>
          <w:tab w:val="clear" w:pos="1134"/>
          <w:tab w:val="left" w:pos="1122"/>
        </w:tabs>
      </w:pPr>
    </w:p>
    <w:p w:rsidR="00000000" w:rsidRDefault="00000000">
      <w:pPr>
        <w:numPr>
          <w:ilvl w:val="0"/>
          <w:numId w:val="7"/>
        </w:numPr>
        <w:tabs>
          <w:tab w:val="clear" w:pos="720"/>
          <w:tab w:val="clear" w:pos="1134"/>
          <w:tab w:val="left" w:pos="1122"/>
        </w:tabs>
        <w:ind w:left="1122" w:hanging="548"/>
      </w:pPr>
      <w:r>
        <w:t>Обеспечение как можно более нормального образа жизни - социальное обеспечение, повышение качества жизни и участие в жизни общества на основе независимости, самодостаточности и способности самостоятельно решать возникающие проблемы.</w:t>
      </w:r>
    </w:p>
    <w:p w:rsidR="00000000" w:rsidRDefault="00000000">
      <w:pPr>
        <w:tabs>
          <w:tab w:val="clear" w:pos="1134"/>
          <w:tab w:val="left" w:pos="1122"/>
        </w:tabs>
      </w:pPr>
    </w:p>
    <w:p w:rsidR="00000000" w:rsidRDefault="00000000">
      <w:pPr>
        <w:tabs>
          <w:tab w:val="clear" w:pos="1134"/>
          <w:tab w:val="left" w:pos="1122"/>
        </w:tabs>
      </w:pPr>
      <w:r>
        <w:t>309.</w:t>
      </w:r>
      <w:r>
        <w:tab/>
        <w:t xml:space="preserve">Одной из основных целей является улучшение доступа к услугам.  Для этого необходимо предоставлять услуги с учетом предъявляемых пользователями требований при наличии адекватного потенциала, коротких сроков ожидания и высокого качества.  Министерство здравоохранения разъяснит основные принципы, а также то, что именно ожидается от различных подразделений службы здравоохранения и взаимодействующих служб, с тем чтобы они могли содействовать повышению качества услуг в своих сферах деятельности.  В этой связи основными инструментами будут являться контроль за использованием ассигнованных средств, руководство, информация и содействие программам подготовки кадров.  </w:t>
      </w:r>
    </w:p>
    <w:p w:rsidR="00000000" w:rsidRDefault="00000000">
      <w:pPr>
        <w:tabs>
          <w:tab w:val="clear" w:pos="1134"/>
          <w:tab w:val="left" w:pos="1122"/>
        </w:tabs>
      </w:pPr>
    </w:p>
    <w:p w:rsidR="00000000" w:rsidRDefault="00000000">
      <w:pPr>
        <w:tabs>
          <w:tab w:val="clear" w:pos="1134"/>
          <w:tab w:val="left" w:pos="1122"/>
        </w:tabs>
      </w:pPr>
      <w:r>
        <w:t>310.</w:t>
      </w:r>
      <w:r>
        <w:tab/>
        <w:t xml:space="preserve">Национальная программа в области психического здоровья определяет следующие основные группы мер:  </w:t>
      </w:r>
    </w:p>
    <w:p w:rsidR="00000000" w:rsidRDefault="00000000">
      <w:pPr>
        <w:tabs>
          <w:tab w:val="clear" w:pos="1134"/>
          <w:tab w:val="left" w:pos="1122"/>
        </w:tabs>
        <w:ind w:left="1122" w:hanging="561"/>
      </w:pPr>
    </w:p>
    <w:p w:rsidR="00000000" w:rsidRDefault="00000000">
      <w:pPr>
        <w:numPr>
          <w:ilvl w:val="0"/>
          <w:numId w:val="8"/>
        </w:numPr>
        <w:tabs>
          <w:tab w:val="clear" w:pos="720"/>
          <w:tab w:val="clear" w:pos="1134"/>
          <w:tab w:val="left" w:pos="1122"/>
        </w:tabs>
        <w:ind w:left="1122" w:hanging="561"/>
      </w:pPr>
      <w:r>
        <w:t>Укрепление прав и повышение степени информированности потребителей.</w:t>
      </w:r>
    </w:p>
    <w:p w:rsidR="00000000" w:rsidRDefault="00000000">
      <w:pPr>
        <w:tabs>
          <w:tab w:val="clear" w:pos="1134"/>
          <w:tab w:val="left" w:pos="1122"/>
        </w:tabs>
        <w:ind w:left="1122" w:hanging="561"/>
      </w:pPr>
    </w:p>
    <w:p w:rsidR="00000000" w:rsidRDefault="00000000">
      <w:pPr>
        <w:numPr>
          <w:ilvl w:val="0"/>
          <w:numId w:val="8"/>
        </w:numPr>
        <w:tabs>
          <w:tab w:val="clear" w:pos="720"/>
          <w:tab w:val="clear" w:pos="1134"/>
          <w:tab w:val="left" w:pos="1122"/>
        </w:tabs>
        <w:ind w:left="1122" w:hanging="561"/>
      </w:pPr>
      <w:r>
        <w:t>Укрепление муниципальных служб при уделении особого внимания профилактике, оказанию помощи на ранних стадиях и реабилитации.</w:t>
      </w:r>
    </w:p>
    <w:p w:rsidR="00000000" w:rsidRDefault="00000000">
      <w:pPr>
        <w:tabs>
          <w:tab w:val="clear" w:pos="1134"/>
          <w:tab w:val="left" w:pos="1122"/>
        </w:tabs>
        <w:ind w:left="1122" w:hanging="561"/>
      </w:pPr>
    </w:p>
    <w:p w:rsidR="00000000" w:rsidRDefault="00000000">
      <w:pPr>
        <w:numPr>
          <w:ilvl w:val="0"/>
          <w:numId w:val="8"/>
        </w:numPr>
        <w:tabs>
          <w:tab w:val="clear" w:pos="720"/>
          <w:tab w:val="clear" w:pos="1134"/>
          <w:tab w:val="left" w:pos="1122"/>
        </w:tabs>
        <w:ind w:left="1122" w:hanging="561"/>
      </w:pPr>
      <w:r>
        <w:t>Реструктуризация и развитие служб охраны психического здоровья для взрослых - уделение основного внимания районным психиатрическим центрам, осуществляющим тесное сотрудничество с муниципальными властями.</w:t>
      </w:r>
    </w:p>
    <w:p w:rsidR="00000000" w:rsidRDefault="00000000">
      <w:pPr>
        <w:tabs>
          <w:tab w:val="clear" w:pos="1134"/>
          <w:tab w:val="left" w:pos="1122"/>
        </w:tabs>
        <w:ind w:left="1122" w:hanging="561"/>
      </w:pPr>
    </w:p>
    <w:p w:rsidR="00000000" w:rsidRDefault="00000000">
      <w:pPr>
        <w:numPr>
          <w:ilvl w:val="0"/>
          <w:numId w:val="8"/>
        </w:numPr>
        <w:tabs>
          <w:tab w:val="clear" w:pos="720"/>
          <w:tab w:val="clear" w:pos="1134"/>
          <w:tab w:val="left" w:pos="1122"/>
        </w:tabs>
        <w:ind w:left="1122" w:hanging="561"/>
      </w:pPr>
      <w:r>
        <w:t>Развитие служб психического здоровья для детей и подростков.</w:t>
      </w:r>
    </w:p>
    <w:p w:rsidR="00000000" w:rsidRDefault="00000000">
      <w:pPr>
        <w:tabs>
          <w:tab w:val="clear" w:pos="1134"/>
          <w:tab w:val="left" w:pos="1122"/>
        </w:tabs>
        <w:ind w:left="1122" w:hanging="561"/>
      </w:pPr>
    </w:p>
    <w:p w:rsidR="00000000" w:rsidRDefault="00000000">
      <w:pPr>
        <w:numPr>
          <w:ilvl w:val="0"/>
          <w:numId w:val="8"/>
        </w:numPr>
        <w:tabs>
          <w:tab w:val="clear" w:pos="720"/>
          <w:tab w:val="clear" w:pos="1134"/>
          <w:tab w:val="left" w:pos="1122"/>
        </w:tabs>
        <w:ind w:left="1122" w:hanging="561"/>
      </w:pPr>
      <w:r>
        <w:t>Поощрение подготовки специалистов и проведения научных исследований.</w:t>
      </w:r>
    </w:p>
    <w:p w:rsidR="00000000" w:rsidRDefault="00000000">
      <w:pPr>
        <w:tabs>
          <w:tab w:val="clear" w:pos="1134"/>
          <w:tab w:val="left" w:pos="1122"/>
        </w:tabs>
        <w:ind w:left="1122" w:hanging="561"/>
      </w:pPr>
    </w:p>
    <w:p w:rsidR="00000000" w:rsidRDefault="00000000">
      <w:pPr>
        <w:numPr>
          <w:ilvl w:val="0"/>
          <w:numId w:val="8"/>
        </w:numPr>
        <w:tabs>
          <w:tab w:val="clear" w:pos="720"/>
          <w:tab w:val="clear" w:pos="1134"/>
          <w:tab w:val="left" w:pos="1122"/>
        </w:tabs>
        <w:ind w:left="1122" w:hanging="561"/>
      </w:pPr>
      <w:r>
        <w:t>Меры, связанные с работой и наймом.</w:t>
      </w:r>
    </w:p>
    <w:p w:rsidR="00000000" w:rsidRDefault="00000000">
      <w:pPr>
        <w:tabs>
          <w:tab w:val="clear" w:pos="567"/>
          <w:tab w:val="clear" w:pos="1134"/>
          <w:tab w:val="left" w:pos="1122"/>
        </w:tabs>
      </w:pPr>
    </w:p>
    <w:p w:rsidR="00000000" w:rsidRDefault="00000000">
      <w:pPr>
        <w:tabs>
          <w:tab w:val="clear" w:pos="567"/>
          <w:tab w:val="clear" w:pos="1134"/>
          <w:tab w:val="left" w:pos="561"/>
          <w:tab w:val="left" w:pos="1122"/>
        </w:tabs>
      </w:pPr>
      <w:r>
        <w:t>311.</w:t>
      </w:r>
      <w:r>
        <w:tab/>
        <w:t>Недостаточное внимание уделялось мерам в интересах детей и подростков.  В настоящее время разработан стратегический план по охране психического здоровья детей и подростков с целью разъяснения необходимости в комплексном осмыслении задачи по укреплению психического здоровья детей и подростков и разработки соответствующих руководящих принципов.  План рассчитан на старших сотрудников, работающих на всех уровнях в различных службах, занимающихся детьми и подростками.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312.</w:t>
      </w:r>
      <w:r>
        <w:tab/>
        <w:t>Единственным имеющимся на английском языке официальным документом, касающимся данного сектора, является прилагаемая брошюра "Службы охраны психического здоровья в Норвегии:  профилактика, лечение, уход" (приложение 34).</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i/>
          <w:iCs/>
        </w:rPr>
      </w:pPr>
      <w:r>
        <w:rPr>
          <w:i/>
          <w:iCs/>
        </w:rPr>
        <w:t>Охрана здоровья посредством контроля состояния окружающей среды</w:t>
      </w:r>
    </w:p>
    <w:p w:rsidR="00000000" w:rsidRDefault="00000000">
      <w:pPr>
        <w:tabs>
          <w:tab w:val="clear" w:pos="567"/>
          <w:tab w:val="clear" w:pos="1134"/>
          <w:tab w:val="left" w:pos="561"/>
          <w:tab w:val="left" w:pos="1122"/>
        </w:tabs>
        <w:rPr>
          <w:i/>
          <w:iCs/>
        </w:rPr>
      </w:pPr>
    </w:p>
    <w:p w:rsidR="00000000" w:rsidRDefault="00000000">
      <w:pPr>
        <w:tabs>
          <w:tab w:val="clear" w:pos="567"/>
          <w:tab w:val="clear" w:pos="1134"/>
          <w:tab w:val="left" w:pos="561"/>
          <w:tab w:val="left" w:pos="1122"/>
        </w:tabs>
      </w:pPr>
      <w:r>
        <w:t>313.</w:t>
      </w:r>
      <w:r>
        <w:tab/>
        <w:t>Охрана здоровья посредством контроля состояния окружающей среды является одной из задач, которая была поручена муниципалитетам на основании Закона о муниципальных службах здравоохранения.  Охрана здоровья посредством контроля состояния окружающей среды касается экологических факторов, включая биологические, химические, физические и социальные факторы окружающей среды, которые могут оказать воздействие на состояние здоровья.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314.</w:t>
      </w:r>
      <w:r>
        <w:tab/>
        <w:t>1 июля 2003 года вступили в силу нормативные положения от 25 апреля 2003 года, касающиеся охраны здоровья за счет контроля состояния окружающей среды.  Новые положения заменяют восемь различных предыдущих национальных положений, а также все местные положения об охране здоровья, за исключением одного.  Эти положения направлены на укрепление здоровья населения и его защиту от экологических факторов, которые могут оказывать отрицательное воздействие на состояние здоровья.  В положениях предусмотрено, что предприятия и хозяйства должны планироваться, строиться, оснащаться, управляться и закрываться таким образом, чтобы это соответствовало охране здоровья и не создавало связанных со здоровьем опасностей и проблем.  Лицо, ответственное за предприятие или хозяйство, должно обеспечивать организацию и проведение внутренних инспекций в целях соблюдения изложенных в положениях требований.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315.</w:t>
      </w:r>
      <w:r>
        <w:tab/>
        <w:t>Муниципалитетам следует содействовать укреплению здоровья и защите населения от экологических факторов, которые могут иметь негативные последствия для здоровья, в частности, посредством учета вопросов охраны здоровья и благополучия людей в процессах планирования и принятия решений.  Кроме того, муниципалитетам следует проводить инспекции для обеспечения соблюдения указанных положений.</w:t>
      </w:r>
    </w:p>
    <w:p w:rsidR="00000000" w:rsidRDefault="00000000">
      <w:pPr>
        <w:tabs>
          <w:tab w:val="clear" w:pos="567"/>
          <w:tab w:val="clear" w:pos="1134"/>
          <w:tab w:val="left" w:pos="561"/>
          <w:tab w:val="left" w:pos="1122"/>
        </w:tabs>
      </w:pPr>
    </w:p>
    <w:p w:rsidR="00000000" w:rsidRDefault="00000000">
      <w:pPr>
        <w:keepNext/>
        <w:tabs>
          <w:tab w:val="clear" w:pos="1134"/>
          <w:tab w:val="left" w:pos="1122"/>
        </w:tabs>
        <w:rPr>
          <w:i/>
          <w:iCs/>
        </w:rPr>
      </w:pPr>
      <w:r>
        <w:rPr>
          <w:i/>
          <w:iCs/>
        </w:rPr>
        <w:t>Наркомания и алкоголизм</w:t>
      </w:r>
    </w:p>
    <w:p w:rsidR="00000000" w:rsidRDefault="00000000">
      <w:pPr>
        <w:keepNext/>
        <w:tabs>
          <w:tab w:val="clear" w:pos="1134"/>
          <w:tab w:val="left" w:pos="1122"/>
        </w:tabs>
        <w:rPr>
          <w:i/>
          <w:iCs/>
        </w:rPr>
      </w:pPr>
    </w:p>
    <w:p w:rsidR="00000000" w:rsidRDefault="00000000">
      <w:pPr>
        <w:tabs>
          <w:tab w:val="clear" w:pos="1134"/>
          <w:tab w:val="left" w:pos="1122"/>
        </w:tabs>
      </w:pPr>
      <w:r>
        <w:t>316.</w:t>
      </w:r>
      <w:r>
        <w:tab/>
        <w:t xml:space="preserve">Правительство представило План действий по борьбе с токсикоманией на период 2003-2005 годов, который включает в себя стратегии и меры, касающиеся политики в отношении алкоголя и наркотиков.  Основными целевыми группами этого плана являются лица, которые в наибольшей степени злоупотребляют наркотиками и алкоголем.  Правительство хотело бы предусмотреть, чтобы критерии получения помощи являлись низкими, а ситуации, в которых помощь прекращается, - исключительными.  В частности, это означает, что будут предприняты особые усилия в целях увеличения </w:t>
      </w:r>
      <w:r>
        <w:rPr>
          <w:i/>
          <w:iCs/>
        </w:rPr>
        <w:t xml:space="preserve">количества общедоступных медицинских служб </w:t>
      </w:r>
      <w:r>
        <w:t>(оказание помощи на местах, медицинское обслуживание в отдаленных районах и т.д.) и дальнейшего расширения возможностей для оказания на местах</w:t>
      </w:r>
      <w:r>
        <w:rPr>
          <w:i/>
          <w:iCs/>
        </w:rPr>
        <w:t xml:space="preserve"> реабилитационных медицинских услуг</w:t>
      </w:r>
      <w:r>
        <w:t>.</w:t>
      </w:r>
    </w:p>
    <w:p w:rsidR="00000000" w:rsidRDefault="00000000">
      <w:pPr>
        <w:tabs>
          <w:tab w:val="clear" w:pos="1134"/>
          <w:tab w:val="left" w:pos="1122"/>
        </w:tabs>
      </w:pPr>
    </w:p>
    <w:p w:rsidR="00000000" w:rsidRDefault="00000000">
      <w:pPr>
        <w:tabs>
          <w:tab w:val="clear" w:pos="1134"/>
          <w:tab w:val="left" w:pos="1122"/>
        </w:tabs>
      </w:pPr>
      <w:r>
        <w:t>317.</w:t>
      </w:r>
      <w:r>
        <w:tab/>
        <w:t>Кроме того, проводится комплексная реорганизация служб оказания помощи наркоманам, и значительная часть ответственности передается от органов здравоохранения в губерниях недавно созданным государственным предприятиям здравоохранения, т.е. больницам и специализированным учреждениям для лиц, злоупотребляющих алкоголем и наркотиками.  Одна из целей заключается в том, чтобы улучшить доступ этой уязвимой группы к высококачественному соматическому и психиатрическому медицинскому обслуживанию.</w:t>
      </w:r>
    </w:p>
    <w:p w:rsidR="00000000" w:rsidRDefault="00000000">
      <w:pPr>
        <w:tabs>
          <w:tab w:val="clear" w:pos="1134"/>
          <w:tab w:val="left" w:pos="1122"/>
        </w:tabs>
      </w:pPr>
    </w:p>
    <w:p w:rsidR="00000000" w:rsidRDefault="00000000">
      <w:pPr>
        <w:rPr>
          <w:i/>
          <w:iCs/>
        </w:rPr>
      </w:pPr>
      <w:r>
        <w:rPr>
          <w:i/>
          <w:iCs/>
        </w:rPr>
        <w:t>Законодательство по вопросам здравоохранения</w:t>
      </w:r>
    </w:p>
    <w:p w:rsidR="00000000" w:rsidRDefault="00000000">
      <w:pPr>
        <w:rPr>
          <w:i/>
          <w:iCs/>
        </w:rPr>
      </w:pPr>
    </w:p>
    <w:p w:rsidR="00000000" w:rsidRDefault="00000000">
      <w:r>
        <w:t>318.</w:t>
      </w:r>
      <w:r>
        <w:tab/>
        <w:t>2 июля 1999</w:t>
      </w:r>
      <w:r>
        <w:rPr>
          <w:lang w:val="en-US"/>
        </w:rPr>
        <w:t> </w:t>
      </w:r>
      <w:r>
        <w:t>года были приняты четыре новых закона в области здравоохранения:  Закон о специализированной медицинской помощи и т.д. (№ 61), Закон об учреждении и предоставлении психиатрической помощи (№ 62), Закон о правах и обязанностях пациентов (№ 63) и Закон о правах и обязанностях медицинского персонала и т.д. (№ 64).  Новое законодательство направлено на обеспечение такой организации медицинского обслуживания, при которой осуществляется более эффективная координация ресурсов и уделяется повышенное внимание нуждам пациентов.</w:t>
      </w:r>
    </w:p>
    <w:p w:rsidR="00000000" w:rsidRDefault="00000000"/>
    <w:p w:rsidR="00000000" w:rsidRDefault="00000000">
      <w:r>
        <w:t>319.</w:t>
      </w:r>
      <w:r>
        <w:tab/>
        <w:t>Закон о специализированных службах здравоохранения заменил Закон о больницах и организационные положения в предыдущем Законе о психиатрической помощи.  В соответствии с последним законом ответственность за оказание специализированной медицинской помощи была возложена на власти губерний.  15 июня 2001 года в Закон о специализированных службах здравоохранения были внесены поправки в связи с принятием Закона о предприятиях здравоохранения.  Закон о предприятиях здравоохранения возлагает ответственность за деятельность специализированных служб здравоохранения на государство.  Закон о предприятиях здравоохранения и поправки к Закону о специализированных службах здравоохранения вступили в силу 1 января 2002 года.</w:t>
      </w:r>
    </w:p>
    <w:p w:rsidR="00000000" w:rsidRDefault="00000000"/>
    <w:p w:rsidR="00000000" w:rsidRDefault="00000000">
      <w:r>
        <w:t>320.</w:t>
      </w:r>
      <w:r>
        <w:tab/>
        <w:t>Закон о психиатрической помощи касается вопросов, которые требуют специального регулирования в данном секторе.  В нем, в частности, содержатся нормы, касающиеся процедур и условий в связи с введением системы обязательной психиатрической помощи, а также нормы, касающиеся проверки и повторного рассмотрения административных решений, принятых психиатрическими службами.  Пересмотр Закона о психиатрической помощи начнется в 2003 году.  Этот процесс будет осуществляться в тесном сотрудничестве с организациями специалистов и пациентов на основе опыта, приобретенного за время применения этого Закона.</w:t>
      </w:r>
    </w:p>
    <w:p w:rsidR="00000000" w:rsidRDefault="00000000"/>
    <w:p w:rsidR="00000000" w:rsidRDefault="00000000">
      <w:r>
        <w:t>321.</w:t>
      </w:r>
      <w:r>
        <w:tab/>
        <w:t>Закон № 63 от 2 июля 1996 года о правах и обязанностях пациентов является первым законом о правах пациентов в Норвегии.  Цель Закона состоит в обеспечении того, чтобы население имело равный доступ к высококачественному медицинскому обслуживанию посредством наделения пациентов правами в отношении к службам здравоохранения.  Его положения направлены на поощрение доверительных отношений между пациентом и службой здравоохранения, а также на обеспечение уважения жизни, личной неприкосновенности и человеческого достоинства пациентов.</w:t>
      </w:r>
    </w:p>
    <w:p w:rsidR="00000000" w:rsidRDefault="00000000"/>
    <w:p w:rsidR="00000000" w:rsidRDefault="00000000">
      <w:r>
        <w:t>322.</w:t>
      </w:r>
      <w:r>
        <w:tab/>
        <w:t>11 апреля 2003 года правительство представило в стортинг предложение о поправках к Закону о правах пациентов.  В частности, предлагается расширить право на свободный выбор лечебного учреждения и распространить его на частные клиники, которые заключили соглашения с региональными предприятиями здравоохранения о свободном выборе лечебных учреждений, а также предусмотреть, чтобы пациенты, которым положено оказывать необходимую медицинскую помощь в соответствии с Законом о правах пациентов, имели возможность на осуществление такого права в течение конкретного максимального срока, определяемого на индивидуальной основе.  В предложении также предусматривается обеспечение информирования пациента об установленном сроке.  Если право пациента не будет реализовано в истечение установленного срока, предлагается предоставить пациенту право на получение необходимой медицинской помощи в частной или зарубежной клинике.</w:t>
      </w:r>
    </w:p>
    <w:p w:rsidR="00000000" w:rsidRDefault="00000000"/>
    <w:p w:rsidR="00000000" w:rsidRDefault="00000000">
      <w:r>
        <w:t>323.</w:t>
      </w:r>
      <w:r>
        <w:tab/>
        <w:t>Закон № 64 от 2 июля 1999</w:t>
      </w:r>
      <w:r>
        <w:rPr>
          <w:lang w:val="en-US"/>
        </w:rPr>
        <w:t> </w:t>
      </w:r>
      <w:r>
        <w:t>года о правах и обязанностях медицинского персонала и т.д. заменил девять предыдущих законов в области здравоохранения.  Помимо категорий медицинских работников, деятельность которых ранее регулировалась отдельными законами, касавшимися конкретных специальностей, новый Закон о медицинском персонале регламентирует деятельность 11 новых категорий, имеющих право на получение разрешения заниматься медицинской практикой при соблюдении определенных условий, а также персонала медицинских служб или аптек и учащихся/студентов, оказывающих медицинские услуги в рамках проходимой ими подготовки.  Новый Закон направлен на обеспечение пациентам большей безопасности и повышение качества медицинских услуг, а также на укрепление доверия к медицинскому персоналу и службам здравоохранения.</w:t>
      </w:r>
    </w:p>
    <w:p w:rsidR="00000000" w:rsidRDefault="00000000"/>
    <w:p w:rsidR="00000000" w:rsidRDefault="00000000">
      <w:r>
        <w:t>324.</w:t>
      </w:r>
      <w:r>
        <w:tab/>
        <w:t>1 января 2002 года вступил в силу Закон о системах регистрации персональных медицинских данных и об обращении с такими данными.  Одной из целей этого Закона является обеспечение того, чтобы обращение с медицинской информацией осуществлялось в соответствии с основными требованиями, предъявляемыми к защите личности, включая необходимость соблюдать неприкосновенность личности, конфиденциальность и надлежащий уровень качества медицинских данных.</w:t>
      </w:r>
    </w:p>
    <w:p w:rsidR="00000000" w:rsidRDefault="00000000"/>
    <w:p w:rsidR="00000000" w:rsidRDefault="00000000">
      <w:r>
        <w:t>325.</w:t>
      </w:r>
      <w:r>
        <w:tab/>
        <w:t>1 июля 2003 года вступил в силу Закон № 12 от 21 февраля 2003 года, касающийся биобанков, преследующий цель обеспечения того, чтобы сбор, хранение, обработка и уничтожение материалов, хранящихся в биобанках, осуществлялись этически приемлемым образом и чтобы биобанки использовались на благо человека и общества.</w:t>
      </w:r>
    </w:p>
    <w:p w:rsidR="00000000" w:rsidRDefault="00000000"/>
    <w:p w:rsidR="00000000" w:rsidRDefault="00000000">
      <w:r>
        <w:t>326.</w:t>
      </w:r>
      <w:r>
        <w:tab/>
        <w:t>1 января 2003 года для государственных служб здравоохранения вступил в силу Закон № 53 от 15 июня 2001 года о компенсации за причиненный пациентам ущерб и т.д. (Закон об ущербе пациентам).  Ожидается, что в полном объеме этот Закон вступит в силу 1 января 2004 года.</w:t>
      </w:r>
    </w:p>
    <w:p w:rsidR="00000000" w:rsidRDefault="00000000"/>
    <w:p w:rsidR="00000000" w:rsidRDefault="00000000">
      <w:r>
        <w:t>327.</w:t>
      </w:r>
      <w:r>
        <w:tab/>
        <w:t>27 июня 2003 года был принят Закон об альтернативных методах лечения, направленный на повышение безопасности для пациентов, желающих пройти или проходящих альтернативное лечение, а также регулирование права осуществлять такое лечение.  Ожидается, что этот Закон вступит в силу 1 января 2004 года.</w:t>
      </w:r>
    </w:p>
    <w:p w:rsidR="00000000" w:rsidRDefault="00000000"/>
    <w:p w:rsidR="00000000" w:rsidRDefault="00000000">
      <w:pPr>
        <w:rPr>
          <w:b/>
          <w:bCs/>
        </w:rPr>
      </w:pPr>
      <w:r>
        <w:rPr>
          <w:b/>
          <w:bCs/>
        </w:rPr>
        <w:t>Пункт 3 руководящих принципов (расходы на здравоохранение)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23"/>
        <w:gridCol w:w="714"/>
        <w:gridCol w:w="714"/>
        <w:gridCol w:w="760"/>
      </w:tblGrid>
      <w:tr w:rsidR="00000000">
        <w:tblPrEx>
          <w:tblCellMar>
            <w:top w:w="0" w:type="dxa"/>
            <w:bottom w:w="0" w:type="dxa"/>
          </w:tblCellMar>
        </w:tblPrEx>
        <w:trPr>
          <w:cantSplit/>
        </w:trPr>
        <w:tc>
          <w:tcPr>
            <w:tcW w:w="7223" w:type="dxa"/>
          </w:tcPr>
          <w:p w:rsidR="00000000" w:rsidRDefault="00000000">
            <w:pPr>
              <w:jc w:val="center"/>
            </w:pPr>
            <w:r>
              <w:t>Год</w:t>
            </w:r>
          </w:p>
        </w:tc>
        <w:tc>
          <w:tcPr>
            <w:tcW w:w="714" w:type="dxa"/>
          </w:tcPr>
          <w:p w:rsidR="00000000" w:rsidRDefault="00000000">
            <w:pPr>
              <w:jc w:val="center"/>
            </w:pPr>
            <w:r>
              <w:t>1990</w:t>
            </w:r>
          </w:p>
        </w:tc>
        <w:tc>
          <w:tcPr>
            <w:tcW w:w="714" w:type="dxa"/>
          </w:tcPr>
          <w:p w:rsidR="00000000" w:rsidRDefault="00000000">
            <w:pPr>
              <w:jc w:val="center"/>
            </w:pPr>
            <w:r>
              <w:t>1995</w:t>
            </w:r>
          </w:p>
        </w:tc>
        <w:tc>
          <w:tcPr>
            <w:tcW w:w="760" w:type="dxa"/>
          </w:tcPr>
          <w:p w:rsidR="00000000" w:rsidRDefault="00000000">
            <w:pPr>
              <w:jc w:val="center"/>
            </w:pPr>
            <w:r>
              <w:t>2000</w:t>
            </w:r>
          </w:p>
        </w:tc>
      </w:tr>
      <w:tr w:rsidR="00000000">
        <w:tblPrEx>
          <w:tblCellMar>
            <w:top w:w="0" w:type="dxa"/>
            <w:bottom w:w="0" w:type="dxa"/>
          </w:tblCellMar>
        </w:tblPrEx>
        <w:trPr>
          <w:cantSplit/>
        </w:trPr>
        <w:tc>
          <w:tcPr>
            <w:tcW w:w="7223" w:type="dxa"/>
          </w:tcPr>
          <w:p w:rsidR="00000000" w:rsidRDefault="00000000">
            <w:r>
              <w:t>Доля ВНП, израсходованная на государственное здравоохранение</w:t>
            </w:r>
          </w:p>
        </w:tc>
        <w:tc>
          <w:tcPr>
            <w:tcW w:w="714" w:type="dxa"/>
          </w:tcPr>
          <w:p w:rsidR="00000000" w:rsidRDefault="00000000">
            <w:pPr>
              <w:tabs>
                <w:tab w:val="clear" w:pos="567"/>
              </w:tabs>
              <w:jc w:val="right"/>
            </w:pPr>
            <w:r>
              <w:t>5,0%</w:t>
            </w:r>
          </w:p>
        </w:tc>
        <w:tc>
          <w:tcPr>
            <w:tcW w:w="714" w:type="dxa"/>
          </w:tcPr>
          <w:p w:rsidR="00000000" w:rsidRDefault="00000000">
            <w:pPr>
              <w:jc w:val="right"/>
            </w:pPr>
            <w:r>
              <w:t>5,0%</w:t>
            </w:r>
          </w:p>
        </w:tc>
        <w:tc>
          <w:tcPr>
            <w:tcW w:w="760" w:type="dxa"/>
          </w:tcPr>
          <w:p w:rsidR="00000000" w:rsidRDefault="00000000">
            <w:pPr>
              <w:jc w:val="right"/>
            </w:pPr>
            <w:r>
              <w:t>5,0%</w:t>
            </w:r>
          </w:p>
        </w:tc>
      </w:tr>
      <w:tr w:rsidR="00000000">
        <w:tblPrEx>
          <w:tblCellMar>
            <w:top w:w="0" w:type="dxa"/>
            <w:bottom w:w="0" w:type="dxa"/>
          </w:tblCellMar>
        </w:tblPrEx>
        <w:trPr>
          <w:cantSplit/>
        </w:trPr>
        <w:tc>
          <w:tcPr>
            <w:tcW w:w="7223" w:type="dxa"/>
          </w:tcPr>
          <w:p w:rsidR="00000000" w:rsidRDefault="00000000">
            <w:r>
              <w:t>Доля средств, израсходованных на первичную медико-санитарную помощь по сравнению со специализированной медицинской помощью</w:t>
            </w:r>
          </w:p>
        </w:tc>
        <w:tc>
          <w:tcPr>
            <w:tcW w:w="714" w:type="dxa"/>
          </w:tcPr>
          <w:p w:rsidR="00000000" w:rsidRDefault="00000000">
            <w:pPr>
              <w:tabs>
                <w:tab w:val="clear" w:pos="567"/>
              </w:tabs>
              <w:jc w:val="right"/>
            </w:pPr>
            <w:r>
              <w:t>41,7%</w:t>
            </w:r>
          </w:p>
        </w:tc>
        <w:tc>
          <w:tcPr>
            <w:tcW w:w="714" w:type="dxa"/>
          </w:tcPr>
          <w:p w:rsidR="00000000" w:rsidRDefault="00000000">
            <w:pPr>
              <w:jc w:val="right"/>
            </w:pPr>
            <w:r>
              <w:t>50%</w:t>
            </w:r>
          </w:p>
        </w:tc>
        <w:tc>
          <w:tcPr>
            <w:tcW w:w="760" w:type="dxa"/>
          </w:tcPr>
          <w:p w:rsidR="00000000" w:rsidRDefault="00000000">
            <w:pPr>
              <w:jc w:val="right"/>
            </w:pPr>
            <w:r>
              <w:t>49,2%</w:t>
            </w:r>
          </w:p>
        </w:tc>
      </w:tr>
    </w:tbl>
    <w:p w:rsidR="00000000" w:rsidRDefault="00000000"/>
    <w:p w:rsidR="00000000" w:rsidRDefault="00000000">
      <w:pPr>
        <w:keepNext/>
        <w:rPr>
          <w:b/>
          <w:bCs/>
        </w:rPr>
      </w:pPr>
      <w:r>
        <w:rPr>
          <w:b/>
          <w:bCs/>
        </w:rPr>
        <w:t>Пункт 4 руководящих принципов (различные статистические данные)</w:t>
      </w:r>
    </w:p>
    <w:p w:rsidR="00000000" w:rsidRDefault="00000000">
      <w:pPr>
        <w:keepNext/>
        <w:rPr>
          <w:b/>
          <w:bCs/>
        </w:rPr>
      </w:pPr>
    </w:p>
    <w:p w:rsidR="00000000" w:rsidRDefault="00000000">
      <w:r>
        <w:t>328.</w:t>
      </w:r>
      <w:r>
        <w:tab/>
        <w:t>В отношении нижеприведенной информации различия между городскими и сельскими районами отсутствуют.</w:t>
      </w:r>
    </w:p>
    <w:p w:rsidR="00000000" w:rsidRDefault="00000000"/>
    <w:p w:rsidR="00000000" w:rsidRDefault="00000000">
      <w:pPr>
        <w:rPr>
          <w:i/>
          <w:iCs/>
        </w:rPr>
      </w:pPr>
      <w:r>
        <w:rPr>
          <w:i/>
          <w:iCs/>
        </w:rPr>
        <w:t>Смертность новорожденных</w:t>
      </w:r>
    </w:p>
    <w:p w:rsidR="00000000" w:rsidRDefault="00000000">
      <w:pPr>
        <w:rPr>
          <w:i/>
          <w:iCs/>
        </w:rPr>
      </w:pPr>
    </w:p>
    <w:p w:rsidR="00000000" w:rsidRDefault="00000000">
      <w:r>
        <w:t>329.</w:t>
      </w:r>
      <w:r>
        <w:tab/>
        <w:t>В Норвегии риск мертворождения и смертность в течение первой недели жизни являются одними из самых низких в мире.  В 2000 году в Норвегии этот показатель смертности составил 3,9 на 1 000.  Количество случаев внезапной младенческой смертности сократилось с 2,6 на 1 000 в 1988 году до 0,5 на 1 000 в 2000 году, после того как родители перестали класть в кровать своих младенцев на живот.  Дети матерей с низким уровнем образования и курящих матерей подвергаются более значительной опасности умереть на эмбриональной стадии или в течение первой недели после рождения.  У недоношенных детей появилось значительно больше шансов на выживание, чем это было прежде.</w:t>
      </w:r>
    </w:p>
    <w:p w:rsidR="00000000" w:rsidRDefault="00000000"/>
    <w:p w:rsidR="00000000" w:rsidRDefault="00000000">
      <w:r>
        <w:t>330.</w:t>
      </w:r>
      <w:r>
        <w:tab/>
        <w:t>Коэффициент младенческой смертности (0-5 лет) в настоящее время составляет приблизительно четыре случая на 1 000, который является одним из самых низких в мире.  В первые годы детского возраста - вплоть до 15 лет - детская смертность также является одной из самых низких на протяжении всего жизненного цикла (25,2 на 100 000 в возрастной группе от одного года до шести лет и 11,4 - в возрастной группе от 7 до 14 лет).</w:t>
      </w:r>
    </w:p>
    <w:p w:rsidR="00000000" w:rsidRDefault="00000000"/>
    <w:p w:rsidR="00000000" w:rsidRDefault="00000000">
      <w:pPr>
        <w:rPr>
          <w:i/>
          <w:iCs/>
          <w:lang w:val="en-US"/>
        </w:rPr>
      </w:pPr>
      <w:proofErr w:type="spellStart"/>
      <w:r>
        <w:rPr>
          <w:i/>
          <w:iCs/>
          <w:lang w:val="en-US"/>
        </w:rPr>
        <w:t>Питьевая</w:t>
      </w:r>
      <w:proofErr w:type="spellEnd"/>
      <w:r>
        <w:rPr>
          <w:i/>
          <w:iCs/>
          <w:lang w:val="en-US"/>
        </w:rPr>
        <w:t xml:space="preserve"> </w:t>
      </w:r>
      <w:proofErr w:type="spellStart"/>
      <w:r>
        <w:rPr>
          <w:i/>
          <w:iCs/>
          <w:lang w:val="en-US"/>
        </w:rPr>
        <w:t>вода</w:t>
      </w:r>
      <w:proofErr w:type="spellEnd"/>
    </w:p>
    <w:p w:rsidR="00000000" w:rsidRDefault="00000000"/>
    <w:p w:rsidR="00000000" w:rsidRDefault="00000000">
      <w:r>
        <w:t>331.</w:t>
      </w:r>
      <w:r>
        <w:tab/>
        <w:t xml:space="preserve">В целом качество воды в Норвегии считается хорошим.  В последние годы осуществляется специальная программа по улучшению качества воды, поставляемой норвежскими водопроводными системами.  В 2001 году было выполнено новое положение в отношении питьевой воды. </w:t>
      </w:r>
    </w:p>
    <w:p w:rsidR="00000000" w:rsidRDefault="00000000"/>
    <w:p w:rsidR="00000000" w:rsidRDefault="00000000">
      <w:pPr>
        <w:rPr>
          <w:i/>
          <w:iCs/>
        </w:rPr>
      </w:pPr>
      <w:r>
        <w:rPr>
          <w:i/>
          <w:iCs/>
        </w:rPr>
        <w:t>Средства ассенизации</w:t>
      </w:r>
    </w:p>
    <w:p w:rsidR="00000000" w:rsidRDefault="00000000">
      <w:pPr>
        <w:rPr>
          <w:i/>
          <w:iCs/>
        </w:rPr>
      </w:pPr>
    </w:p>
    <w:p w:rsidR="00000000" w:rsidRDefault="00000000">
      <w:r>
        <w:t>332.</w:t>
      </w:r>
      <w:r>
        <w:tab/>
        <w:t xml:space="preserve">Согласно статистическим данным за 2001 год, только </w:t>
      </w:r>
      <w:proofErr w:type="spellStart"/>
      <w:r>
        <w:t>0,9%</w:t>
      </w:r>
      <w:proofErr w:type="spellEnd"/>
      <w:r>
        <w:t xml:space="preserve"> домашних хозяйств не имели ни ванной комнаты, ни туалета.  По оценкам органов здравоохранения, </w:t>
      </w:r>
      <w:proofErr w:type="spellStart"/>
      <w:r>
        <w:t>100%</w:t>
      </w:r>
      <w:proofErr w:type="spellEnd"/>
      <w:r>
        <w:t xml:space="preserve"> населения имеют доступ к средствам ассенизации.</w:t>
      </w:r>
    </w:p>
    <w:p w:rsidR="00000000" w:rsidRDefault="00000000"/>
    <w:p w:rsidR="00000000" w:rsidRDefault="00000000">
      <w:pPr>
        <w:keepNext/>
        <w:rPr>
          <w:i/>
          <w:iCs/>
        </w:rPr>
      </w:pPr>
      <w:r>
        <w:rPr>
          <w:i/>
          <w:iCs/>
        </w:rPr>
        <w:t>Иммунизация</w:t>
      </w:r>
    </w:p>
    <w:p w:rsidR="00000000" w:rsidRDefault="00000000">
      <w:pPr>
        <w:keepNext/>
        <w:rPr>
          <w:i/>
          <w:iCs/>
        </w:rPr>
      </w:pPr>
    </w:p>
    <w:p w:rsidR="00000000" w:rsidRDefault="00000000">
      <w:r>
        <w:t>333.</w:t>
      </w:r>
      <w:r>
        <w:tab/>
        <w:t>В Нормативных положениях № 450 от 3 апреля 2003 года, касающихся деятельности муниципальных властей по укреплению здоровья и профилактике заболеваний в больницах и школьных медицинских службах, которые вступили в силу 1 июля 2003 года, содержится раздел, касающийся Программы вакцинации детей и обязанностей по составлению отчетности.  Муниципалитеты должны проводить вакцинацию в соответствии с Программой вакцинации детей.</w:t>
      </w:r>
    </w:p>
    <w:p w:rsidR="00000000" w:rsidRDefault="00000000"/>
    <w:p w:rsidR="00000000" w:rsidRDefault="00000000">
      <w:r>
        <w:t>334.</w:t>
      </w:r>
      <w:r>
        <w:tab/>
        <w:t xml:space="preserve">Эта программа должна охватывать всех детей дошкольного возраста и детей начальных и средних классов школ.  Больницы и школьные медицинские службы должны предоставлять информацию по этому вопросу и проводить вакцинацию в соответствии с вышеупомянутой программой.  Медицинский персонал, осуществляющий прививки, должен представлять соответствующую информацию в Систему </w:t>
      </w:r>
      <w:proofErr w:type="spellStart"/>
      <w:r>
        <w:t>вакцинационного</w:t>
      </w:r>
      <w:proofErr w:type="spellEnd"/>
      <w:r>
        <w:t xml:space="preserve"> контроля (</w:t>
      </w:r>
      <w:proofErr w:type="spellStart"/>
      <w:r>
        <w:t>СИСВАК</w:t>
      </w:r>
      <w:proofErr w:type="spellEnd"/>
      <w:r>
        <w:t xml:space="preserve">) согласно Нормативным положениям № 739 от 20 июня 2003 года, касающимся сбора и обработки персональных медицинских данных в соответствии с Системой </w:t>
      </w:r>
      <w:proofErr w:type="spellStart"/>
      <w:r>
        <w:t>вакцинационного</w:t>
      </w:r>
      <w:proofErr w:type="spellEnd"/>
      <w:r>
        <w:t xml:space="preserve"> контроля.  Программа вакцинации детей в настоящее время включает прививки от дифтерии, коклюша, столбняка, </w:t>
      </w:r>
      <w:proofErr w:type="spellStart"/>
      <w:r>
        <w:t>гемофилического</w:t>
      </w:r>
      <w:proofErr w:type="spellEnd"/>
      <w:r>
        <w:t xml:space="preserve"> гриппа типа Б, полиомиелита, кори, эпидемического паротита, краснухи и туберкулеза.</w:t>
      </w:r>
    </w:p>
    <w:p w:rsidR="00000000" w:rsidRDefault="00000000"/>
    <w:p w:rsidR="00000000" w:rsidRDefault="00000000">
      <w:r>
        <w:t>335.</w:t>
      </w:r>
      <w:r>
        <w:tab/>
        <w:t xml:space="preserve">По состоянию на 31 декабря 2002 года процентные доли привитых от </w:t>
      </w:r>
      <w:proofErr w:type="spellStart"/>
      <w:r>
        <w:t>нижеперечисленных</w:t>
      </w:r>
      <w:proofErr w:type="spellEnd"/>
      <w:r>
        <w:t xml:space="preserve"> заболеваний двухгодовалых детей (родившихся в 2000 году) являлись следующими:</w:t>
      </w:r>
    </w:p>
    <w:p w:rsidR="00000000" w:rsidRDefault="00000000"/>
    <w:p w:rsidR="00000000" w:rsidRDefault="00000000">
      <w:r>
        <w:tab/>
        <w:t xml:space="preserve">коклюш:  </w:t>
      </w:r>
      <w:proofErr w:type="spellStart"/>
      <w:r>
        <w:t>92%</w:t>
      </w:r>
      <w:proofErr w:type="spellEnd"/>
    </w:p>
    <w:p w:rsidR="00000000" w:rsidRDefault="00000000">
      <w:r>
        <w:tab/>
        <w:t xml:space="preserve">дифтерия:  </w:t>
      </w:r>
      <w:proofErr w:type="spellStart"/>
      <w:r>
        <w:t>93%</w:t>
      </w:r>
      <w:proofErr w:type="spellEnd"/>
    </w:p>
    <w:p w:rsidR="00000000" w:rsidRDefault="00000000">
      <w:r>
        <w:tab/>
        <w:t xml:space="preserve">столбняк:  </w:t>
      </w:r>
      <w:proofErr w:type="spellStart"/>
      <w:r>
        <w:t>93%</w:t>
      </w:r>
      <w:proofErr w:type="spellEnd"/>
    </w:p>
    <w:p w:rsidR="00000000" w:rsidRDefault="00000000">
      <w:r>
        <w:tab/>
        <w:t>корь, эпидемический паротит и краснуха (</w:t>
      </w:r>
      <w:proofErr w:type="spellStart"/>
      <w:r>
        <w:t>КПК</w:t>
      </w:r>
      <w:proofErr w:type="spellEnd"/>
      <w:r>
        <w:t xml:space="preserve">):  </w:t>
      </w:r>
      <w:proofErr w:type="spellStart"/>
      <w:r>
        <w:t>86%</w:t>
      </w:r>
      <w:proofErr w:type="spellEnd"/>
    </w:p>
    <w:p w:rsidR="00000000" w:rsidRDefault="00000000">
      <w:r>
        <w:tab/>
        <w:t xml:space="preserve">полиомиелит:  </w:t>
      </w:r>
      <w:proofErr w:type="spellStart"/>
      <w:r>
        <w:t>93%</w:t>
      </w:r>
      <w:proofErr w:type="spellEnd"/>
    </w:p>
    <w:p w:rsidR="00000000" w:rsidRDefault="00000000">
      <w:r>
        <w:tab/>
      </w:r>
      <w:proofErr w:type="spellStart"/>
      <w:r>
        <w:t>гемофилический</w:t>
      </w:r>
      <w:proofErr w:type="spellEnd"/>
      <w:r>
        <w:t xml:space="preserve"> грипп типа Б:  </w:t>
      </w:r>
      <w:proofErr w:type="spellStart"/>
      <w:r>
        <w:t>94%</w:t>
      </w:r>
      <w:proofErr w:type="spellEnd"/>
    </w:p>
    <w:p w:rsidR="00000000" w:rsidRDefault="00000000"/>
    <w:p w:rsidR="00000000" w:rsidRDefault="00000000">
      <w:r>
        <w:t>336.</w:t>
      </w:r>
      <w:r>
        <w:tab/>
        <w:t>Среди детей шестилетнего возраста (родившихся в 1996 году) эти показатели составили:</w:t>
      </w:r>
    </w:p>
    <w:p w:rsidR="00000000" w:rsidRDefault="00000000"/>
    <w:p w:rsidR="00000000" w:rsidRDefault="00000000">
      <w:r>
        <w:tab/>
        <w:t xml:space="preserve">коклюш:  </w:t>
      </w:r>
      <w:proofErr w:type="spellStart"/>
      <w:r>
        <w:t>91%</w:t>
      </w:r>
      <w:proofErr w:type="spellEnd"/>
    </w:p>
    <w:p w:rsidR="00000000" w:rsidRDefault="00000000">
      <w:r>
        <w:tab/>
        <w:t xml:space="preserve">дифтерия:  </w:t>
      </w:r>
      <w:proofErr w:type="spellStart"/>
      <w:r>
        <w:t>93%</w:t>
      </w:r>
      <w:proofErr w:type="spellEnd"/>
    </w:p>
    <w:p w:rsidR="00000000" w:rsidRDefault="00000000">
      <w:r>
        <w:tab/>
        <w:t xml:space="preserve">столбняк:  </w:t>
      </w:r>
      <w:proofErr w:type="spellStart"/>
      <w:r>
        <w:t>93%</w:t>
      </w:r>
      <w:proofErr w:type="spellEnd"/>
    </w:p>
    <w:p w:rsidR="00000000" w:rsidRDefault="00000000">
      <w:r>
        <w:tab/>
      </w:r>
      <w:proofErr w:type="spellStart"/>
      <w:r>
        <w:t>КПК</w:t>
      </w:r>
      <w:proofErr w:type="spellEnd"/>
      <w:r>
        <w:t xml:space="preserve">:  </w:t>
      </w:r>
      <w:proofErr w:type="spellStart"/>
      <w:r>
        <w:t>93%</w:t>
      </w:r>
      <w:proofErr w:type="spellEnd"/>
    </w:p>
    <w:p w:rsidR="00000000" w:rsidRDefault="00000000">
      <w:r>
        <w:tab/>
        <w:t xml:space="preserve">полиомиелит:  </w:t>
      </w:r>
      <w:proofErr w:type="spellStart"/>
      <w:r>
        <w:t>91%</w:t>
      </w:r>
      <w:proofErr w:type="spellEnd"/>
    </w:p>
    <w:p w:rsidR="00000000" w:rsidRDefault="00000000">
      <w:r>
        <w:t>337.</w:t>
      </w:r>
      <w:r>
        <w:tab/>
        <w:t>Показатели охвата 16-летних детей (родившихся в 1986 году) по состоянию на 31 декабря 2002 года являлись следующими:</w:t>
      </w:r>
    </w:p>
    <w:p w:rsidR="00000000" w:rsidRDefault="00000000"/>
    <w:p w:rsidR="00000000" w:rsidRDefault="00000000">
      <w:r>
        <w:tab/>
        <w:t xml:space="preserve">дифтерия:  </w:t>
      </w:r>
      <w:proofErr w:type="spellStart"/>
      <w:r>
        <w:t>91%</w:t>
      </w:r>
      <w:proofErr w:type="spellEnd"/>
    </w:p>
    <w:p w:rsidR="00000000" w:rsidRDefault="00000000">
      <w:r>
        <w:tab/>
        <w:t xml:space="preserve">столбняк:  </w:t>
      </w:r>
      <w:proofErr w:type="spellStart"/>
      <w:r>
        <w:t>91%</w:t>
      </w:r>
      <w:proofErr w:type="spellEnd"/>
    </w:p>
    <w:p w:rsidR="00000000" w:rsidRDefault="00000000">
      <w:r>
        <w:tab/>
      </w:r>
      <w:proofErr w:type="spellStart"/>
      <w:r>
        <w:t>КПК</w:t>
      </w:r>
      <w:proofErr w:type="spellEnd"/>
      <w:r>
        <w:t xml:space="preserve">:  </w:t>
      </w:r>
      <w:proofErr w:type="spellStart"/>
      <w:r>
        <w:t>90%</w:t>
      </w:r>
      <w:proofErr w:type="spellEnd"/>
    </w:p>
    <w:p w:rsidR="00000000" w:rsidRDefault="00000000">
      <w:r>
        <w:tab/>
        <w:t xml:space="preserve">полиомиелит:  </w:t>
      </w:r>
      <w:proofErr w:type="spellStart"/>
      <w:r>
        <w:t>88%</w:t>
      </w:r>
      <w:proofErr w:type="spellEnd"/>
    </w:p>
    <w:p w:rsidR="00000000" w:rsidRDefault="00000000">
      <w:r>
        <w:tab/>
      </w:r>
      <w:proofErr w:type="spellStart"/>
      <w:r>
        <w:t>БЦЖ</w:t>
      </w:r>
      <w:proofErr w:type="spellEnd"/>
      <w:r>
        <w:t xml:space="preserve">:  </w:t>
      </w:r>
      <w:proofErr w:type="spellStart"/>
      <w:r>
        <w:t>91%</w:t>
      </w:r>
      <w:proofErr w:type="spellEnd"/>
    </w:p>
    <w:p w:rsidR="00000000" w:rsidRDefault="00000000"/>
    <w:p w:rsidR="00000000" w:rsidRDefault="00000000">
      <w:r>
        <w:t>338.</w:t>
      </w:r>
      <w:r>
        <w:tab/>
        <w:t xml:space="preserve">Сопоставляя статистические данные в отношении 16-летних, а также двух - и шестилетних, можно увидеть, что охват вакцинацией в Норвегии увеличился в отношении всех вакцин, которые применяются сегодня, за исключением </w:t>
      </w:r>
      <w:proofErr w:type="spellStart"/>
      <w:r>
        <w:t>КПК</w:t>
      </w:r>
      <w:proofErr w:type="spellEnd"/>
      <w:r>
        <w:t xml:space="preserve">.  Вакцинация </w:t>
      </w:r>
      <w:proofErr w:type="spellStart"/>
      <w:r>
        <w:t>БЦЖ</w:t>
      </w:r>
      <w:proofErr w:type="spellEnd"/>
      <w:r>
        <w:t xml:space="preserve"> обычно проводится среди подростков.</w:t>
      </w:r>
    </w:p>
    <w:p w:rsidR="00000000" w:rsidRDefault="00000000"/>
    <w:p w:rsidR="00000000" w:rsidRDefault="00000000">
      <w:r>
        <w:t>339.</w:t>
      </w:r>
      <w:r>
        <w:tab/>
        <w:t>Охват вакцинацией в основных городах в целом является удовлетворительным, хотя между муниципалитетами существуют значительные различия в отношении охвата тривакциной против кори, эпидемического паротита и краснухи (</w:t>
      </w:r>
      <w:proofErr w:type="spellStart"/>
      <w:r>
        <w:t>КПК</w:t>
      </w:r>
      <w:proofErr w:type="spellEnd"/>
      <w:r>
        <w:t>).</w:t>
      </w:r>
    </w:p>
    <w:p w:rsidR="00000000" w:rsidRDefault="00000000"/>
    <w:p w:rsidR="00000000" w:rsidRDefault="00000000">
      <w:r>
        <w:t>340.</w:t>
      </w:r>
      <w:r>
        <w:tab/>
        <w:t xml:space="preserve">Начиная с 1992 года всем детям предлагается вакцинация против бактерии </w:t>
      </w:r>
      <w:proofErr w:type="spellStart"/>
      <w:r>
        <w:t>гемофилического</w:t>
      </w:r>
      <w:proofErr w:type="spellEnd"/>
      <w:r>
        <w:t xml:space="preserve"> гриппа типа Б, которая может стать причиной менингита.  С тех пор эта болезнь была более или менее искоренена среди детей, и в 2001 году не было зарегистрировано ни одного случая по сравнению с более чем 100 случаями ежегодно в течение 80-х годов.</w:t>
      </w:r>
    </w:p>
    <w:p w:rsidR="00000000" w:rsidRDefault="00000000"/>
    <w:p w:rsidR="00000000" w:rsidRDefault="00000000">
      <w:r>
        <w:t>341.</w:t>
      </w:r>
      <w:r>
        <w:tab/>
        <w:t>Вакцинация всех детей против коклюша предназначена для защиты детей в возрасте до двух лет.  С 1997 года распространенность этой болезни возросла, несмотря на высокий охват вакцинацией, и в настоящее время она затрагивает более 50 младенцев ежегодно.</w:t>
      </w:r>
    </w:p>
    <w:p w:rsidR="00000000" w:rsidRDefault="00000000"/>
    <w:p w:rsidR="00000000" w:rsidRDefault="00000000">
      <w:pPr>
        <w:rPr>
          <w:i/>
          <w:iCs/>
        </w:rPr>
      </w:pPr>
      <w:r>
        <w:rPr>
          <w:i/>
          <w:iCs/>
        </w:rPr>
        <w:t>Средняя продолжительность жизни</w:t>
      </w:r>
    </w:p>
    <w:p w:rsidR="00000000" w:rsidRDefault="00000000">
      <w:pPr>
        <w:rPr>
          <w:i/>
          <w:iCs/>
        </w:rPr>
      </w:pPr>
    </w:p>
    <w:p w:rsidR="00000000" w:rsidRDefault="00000000">
      <w:r>
        <w:t>342.</w:t>
      </w:r>
      <w:r>
        <w:tab/>
        <w:t xml:space="preserve">Численность населения Норвегии составляет 4 525 000 человек, что на </w:t>
      </w:r>
      <w:proofErr w:type="spellStart"/>
      <w:r>
        <w:t>27%</w:t>
      </w:r>
      <w:proofErr w:type="spellEnd"/>
      <w:r>
        <w:t xml:space="preserve"> выше, чем в 1960 году.  За последние 20 лет доля иммигрантов увеличилась с </w:t>
      </w:r>
      <w:proofErr w:type="spellStart"/>
      <w:r>
        <w:t>2,3%</w:t>
      </w:r>
      <w:proofErr w:type="spellEnd"/>
      <w:r>
        <w:t xml:space="preserve"> до </w:t>
      </w:r>
      <w:proofErr w:type="spellStart"/>
      <w:r>
        <w:t>6,3%</w:t>
      </w:r>
      <w:proofErr w:type="spellEnd"/>
      <w:r>
        <w:t xml:space="preserve">.  </w:t>
      </w:r>
      <w:proofErr w:type="spellStart"/>
      <w:r>
        <w:t>65%</w:t>
      </w:r>
      <w:proofErr w:type="spellEnd"/>
      <w:r>
        <w:t xml:space="preserve"> населения трудоустроены, и в целом население является более высокообразованным, чем когда-либо ранее.  Из числа приблизительно 2 млн. домашних хозяйств </w:t>
      </w:r>
      <w:proofErr w:type="spellStart"/>
      <w:r>
        <w:t>40%</w:t>
      </w:r>
      <w:proofErr w:type="spellEnd"/>
      <w:r>
        <w:t xml:space="preserve"> состоят из одиноких лиц.  В 2002 году население стало старше, чем в 1960 году.  За этот период средний возраст увеличился на 3,1 года в случае мужчин и на 4,0 года в случае женщин.</w:t>
      </w:r>
    </w:p>
    <w:p w:rsidR="00000000" w:rsidRDefault="00000000"/>
    <w:p w:rsidR="00000000" w:rsidRDefault="00000000">
      <w:r>
        <w:t>343.</w:t>
      </w:r>
      <w:r>
        <w:tab/>
        <w:t>Ожидаемая продолжительность жизни увеличилась как в случае женщин (81,4 года), так и в случае мужчин (76 лет).  Продолжительность жизни является неодинаковой в различных губерниях, городах или районах.  Норвежские обследования показали, что региональные различия в отношении состояния здоровья между самыми бедными и самыми богатыми районами Осло, измеренные с точки зрения смертности и продолжительности жизни, в период с 1981 по 1990 год являлись такими же, что и в период с 1971 по 1980 год.  В то время как продолжительность жизни в наиболее богатом районе Осло на пять лет выше общенационального среднего показателя в случае мужчин и почти на три года выше в случае женщин, продолжительность жизни в наибеднейших частях Осло на пять-шесть лет ниже в случае мужчин и приблизительно на четыре года ниже в случае женщин.  Географические различия в отношении коэффициентов смертности в Осло являются такими же, что и различия между богатыми и бедными районами в Соединенном Королевстве и в Соединенных Штатах Америки.  Наиболее распространенной причиной смертности как для женщин, так и для мужчин являются сердечно-сосудистые заболевания, однако риск таких заболеваний постоянно снижается.  Второй наиболее распространенной причиной смертности для обоих полов является рак.  Риск раковых заболеваний возрастает, однако довольно медленно.  По другим вопросам предлагается ознакомиться с нижеприведенной информацией, касающейся гражданского статуса и различий в состоянии здоровья и коэффициенте смертности, а также в отношении более значительных социально-экономических различий в связи с состоянием здоровья.</w:t>
      </w:r>
    </w:p>
    <w:p w:rsidR="00000000" w:rsidRDefault="00000000"/>
    <w:p w:rsidR="00000000" w:rsidRDefault="00000000">
      <w:pPr>
        <w:rPr>
          <w:i/>
          <w:iCs/>
        </w:rPr>
      </w:pPr>
      <w:r>
        <w:rPr>
          <w:i/>
          <w:iCs/>
        </w:rPr>
        <w:t>Доступ к медицинскому персоналу</w:t>
      </w:r>
    </w:p>
    <w:p w:rsidR="00000000" w:rsidRDefault="00000000">
      <w:pPr>
        <w:rPr>
          <w:i/>
          <w:iCs/>
        </w:rPr>
      </w:pPr>
    </w:p>
    <w:p w:rsidR="00000000" w:rsidRDefault="00000000">
      <w:r>
        <w:t>344.</w:t>
      </w:r>
      <w:r>
        <w:tab/>
      </w:r>
      <w:proofErr w:type="spellStart"/>
      <w:r>
        <w:t>100%</w:t>
      </w:r>
      <w:proofErr w:type="spellEnd"/>
      <w:r>
        <w:t xml:space="preserve"> населения имеет доступ к медицинскому персоналу.</w:t>
      </w:r>
    </w:p>
    <w:p w:rsidR="00000000" w:rsidRDefault="00000000"/>
    <w:p w:rsidR="00000000" w:rsidRDefault="00000000">
      <w:pPr>
        <w:keepNext/>
        <w:rPr>
          <w:i/>
          <w:iCs/>
        </w:rPr>
      </w:pPr>
      <w:r>
        <w:rPr>
          <w:i/>
          <w:iCs/>
        </w:rPr>
        <w:t>Доля беременных женщин, имеющих доступ к медицинскому персоналу, и т.п.</w:t>
      </w:r>
    </w:p>
    <w:p w:rsidR="00000000" w:rsidRDefault="00000000">
      <w:pPr>
        <w:keepNext/>
        <w:rPr>
          <w:i/>
          <w:iCs/>
        </w:rPr>
      </w:pPr>
    </w:p>
    <w:p w:rsidR="00000000" w:rsidRDefault="00000000">
      <w:r>
        <w:t>345.</w:t>
      </w:r>
      <w:r>
        <w:tab/>
      </w:r>
      <w:proofErr w:type="spellStart"/>
      <w:r>
        <w:t>100%</w:t>
      </w:r>
      <w:proofErr w:type="spellEnd"/>
      <w:r>
        <w:t xml:space="preserve"> беременных женщин имеют доступ к медицинскому персоналу.  Согласно статистическим данным за 2001 год, уровень материнской смертности составил 0,1 случая на 100 000 родов.  В целом количество случаев смерти во время родов обычно составляет от 0 до 2 в масштабах всей страны ежегодно.</w:t>
      </w:r>
    </w:p>
    <w:p w:rsidR="00000000" w:rsidRDefault="00000000"/>
    <w:p w:rsidR="00000000" w:rsidRDefault="00000000">
      <w:pPr>
        <w:rPr>
          <w:i/>
          <w:iCs/>
        </w:rPr>
      </w:pPr>
      <w:r>
        <w:rPr>
          <w:i/>
          <w:iCs/>
        </w:rPr>
        <w:t>Доля детей, имеющих доступ к медицинскому персоналу</w:t>
      </w:r>
    </w:p>
    <w:p w:rsidR="00000000" w:rsidRDefault="00000000">
      <w:pPr>
        <w:rPr>
          <w:i/>
          <w:iCs/>
        </w:rPr>
      </w:pPr>
    </w:p>
    <w:p w:rsidR="00000000" w:rsidRDefault="00000000">
      <w:r>
        <w:t>346.</w:t>
      </w:r>
      <w:r>
        <w:tab/>
      </w:r>
      <w:proofErr w:type="spellStart"/>
      <w:r>
        <w:t>100%</w:t>
      </w:r>
      <w:proofErr w:type="spellEnd"/>
      <w:r>
        <w:t xml:space="preserve"> детей имеют доступ к медицинскому персоналу.</w:t>
      </w:r>
    </w:p>
    <w:p w:rsidR="00000000" w:rsidRDefault="00000000"/>
    <w:p w:rsidR="00000000" w:rsidRDefault="00000000">
      <w:pPr>
        <w:rPr>
          <w:b/>
          <w:bCs/>
        </w:rPr>
      </w:pPr>
      <w:r>
        <w:rPr>
          <w:u w:val="single"/>
        </w:rPr>
        <w:br w:type="page"/>
      </w:r>
      <w:r>
        <w:rPr>
          <w:b/>
          <w:bCs/>
        </w:rPr>
        <w:t>Пункт 5 руководящих принципов (различные группы населения)</w:t>
      </w:r>
    </w:p>
    <w:p w:rsidR="00000000" w:rsidRDefault="00000000"/>
    <w:p w:rsidR="00000000" w:rsidRDefault="00000000">
      <w:pPr>
        <w:rPr>
          <w:i/>
          <w:iCs/>
        </w:rPr>
      </w:pPr>
      <w:r>
        <w:rPr>
          <w:i/>
          <w:iCs/>
        </w:rPr>
        <w:t>Состояние здоровья различных групп населения</w:t>
      </w:r>
    </w:p>
    <w:p w:rsidR="00000000" w:rsidRDefault="00000000">
      <w:pPr>
        <w:rPr>
          <w:i/>
          <w:iCs/>
        </w:rPr>
      </w:pPr>
    </w:p>
    <w:p w:rsidR="00000000" w:rsidRDefault="00000000">
      <w:r>
        <w:t>347.</w:t>
      </w:r>
      <w:r>
        <w:tab/>
        <w:t>Как показывают многочисленные исследования, существует взаимосвязь между образованием и смертностью.  То же самое является справедливым в отношении профессиональной деятельности и смертности, а также в отношении уровня доходов и смертности.  В целом коэффициент смертности ниже среди групп, занимающих более низком социальное положение</w:t>
      </w:r>
      <w:r>
        <w:rPr>
          <w:lang w:val="en-US"/>
        </w:rPr>
        <w:t>,</w:t>
      </w:r>
      <w:r>
        <w:t xml:space="preserve"> чем среди групп с более высоким социальным статусом.  Хорошо образованные женщины, занимающие высокое социальное положение и имеющие хорошие доходы, имеют самые лучшие перспективы для наиболее продолжительной жизни.  Одинокие лица имеют менее благоприятные перспективы в отношении долгой жизни, чем лица, состоящие в браке, и сожители.  Определенная доля научных исследований по этому вопросу проводится, в частности, Норвежским институтом здравоохранения.</w:t>
      </w:r>
    </w:p>
    <w:p w:rsidR="00000000" w:rsidRDefault="00000000"/>
    <w:p w:rsidR="00000000" w:rsidRDefault="00000000">
      <w:r>
        <w:t>348.</w:t>
      </w:r>
      <w:r>
        <w:tab/>
        <w:t>1 января 2001 года при Институте социальной медицины Университета Тромсё был создан новый Центр изучения состояния здоровья народа саами.  Центр был учрежден для сбора научных данных о состоянии здоровья и условиях жизни народа саами в Норвегии.  Один из важных принципов состоит в том, что коренные народы должны сами представлять данные, касающиеся их собственного здоровья и социального положения.  До сих пор мы располагаем небольшим объемом конкретных знаний относительно состояния здоровья, качества жизни и социальных условий населения саами.  Министерство здравоохранения финансировало Обследование состояния здоровья и условий проживания в районе Норвегии, заселенном саами, которое было осуществлено в 2003 году.</w:t>
      </w:r>
    </w:p>
    <w:p w:rsidR="00000000" w:rsidRDefault="00000000"/>
    <w:p w:rsidR="00000000" w:rsidRDefault="00000000">
      <w:r>
        <w:t>349.</w:t>
      </w:r>
      <w:r>
        <w:tab/>
        <w:t xml:space="preserve">Исследования о состоянии здоровья иммигрантов в целом свидетельствуют о наличии более значительных расхождений между различными группами иммигрантов, чем между конкретными группами иммигрантов и этническим населением Норвегии.  Поэтому было бы ошибочным рассуждать о том, в какой степени состояние здоровья иммигрантского населения в целом лучше или хуже, чем состояние здоровья этнического населения Норвегии.  </w:t>
      </w:r>
    </w:p>
    <w:p w:rsidR="00000000" w:rsidRDefault="00000000"/>
    <w:p w:rsidR="00000000" w:rsidRDefault="00000000">
      <w:r>
        <w:t>350.</w:t>
      </w:r>
      <w:r>
        <w:tab/>
        <w:t xml:space="preserve">Исследования, посвященные состоянию здоровья иммигрантов, немногочисленны, однако в недавно опубликованном исследовании "Основные параметры состояния здоровья населения Осло" содержатся первые результаты обследований состояния здоровья в отдельных районах Осло и в регионах.  Будут также получены данные обследования по иммигрантам, которое в настоящее время проводится в Осло.  На настоящий момент нам известно, что: </w:t>
      </w:r>
    </w:p>
    <w:p w:rsidR="00000000" w:rsidRDefault="00000000"/>
    <w:p w:rsidR="00000000" w:rsidRDefault="00000000">
      <w:pPr>
        <w:numPr>
          <w:ilvl w:val="0"/>
          <w:numId w:val="9"/>
        </w:numPr>
      </w:pPr>
      <w:r>
        <w:t>Имеются более значительные различия с точки зрения состояния здоровья между различными иммигрантскими группами, чем между отдельными иммигрантскими группами и этническим населением Норвегии.</w:t>
      </w:r>
    </w:p>
    <w:p w:rsidR="00000000" w:rsidRDefault="00000000">
      <w:pPr>
        <w:tabs>
          <w:tab w:val="clear" w:pos="567"/>
        </w:tabs>
      </w:pPr>
    </w:p>
    <w:p w:rsidR="00000000" w:rsidRDefault="00000000">
      <w:pPr>
        <w:numPr>
          <w:ilvl w:val="0"/>
          <w:numId w:val="9"/>
        </w:numPr>
      </w:pPr>
      <w:r>
        <w:t xml:space="preserve">Мертворождения и смертность в течение первой недели жизни являются менее распространенными среди детей, родившихся у матерей из Вьетнама (8,2 на </w:t>
      </w:r>
      <w:r>
        <w:rPr>
          <w:lang w:val="en-US"/>
        </w:rPr>
        <w:t>1 000</w:t>
      </w:r>
      <w:r>
        <w:t xml:space="preserve"> рождений), и более частыми среди детей, родившихся у матерей из Пакистана (14,9 на </w:t>
      </w:r>
      <w:r>
        <w:rPr>
          <w:lang w:val="en-US"/>
        </w:rPr>
        <w:t>1 000</w:t>
      </w:r>
      <w:r>
        <w:t xml:space="preserve"> рождений), чем среди детей, родившихся у этнических норвежских матерей (9,5 на </w:t>
      </w:r>
      <w:r>
        <w:rPr>
          <w:lang w:val="en-US"/>
        </w:rPr>
        <w:t>1 000</w:t>
      </w:r>
      <w:r>
        <w:t xml:space="preserve"> рождений), и детей, родившихся у матерей из северной Африки (9,6 на </w:t>
      </w:r>
      <w:r>
        <w:rPr>
          <w:lang w:val="en-US"/>
        </w:rPr>
        <w:t>1 000</w:t>
      </w:r>
      <w:r>
        <w:t xml:space="preserve"> рождений).  Доля людей, которые считают свое состояние здоровья удовлетворительным или очень хорошим, заметно ниже среди иммигрантов из незападных стран, чем среди этнических норвежцев.</w:t>
      </w:r>
    </w:p>
    <w:p w:rsidR="00000000" w:rsidRDefault="00000000">
      <w:pPr>
        <w:tabs>
          <w:tab w:val="clear" w:pos="567"/>
        </w:tabs>
      </w:pPr>
    </w:p>
    <w:p w:rsidR="00000000" w:rsidRDefault="00000000">
      <w:pPr>
        <w:numPr>
          <w:ilvl w:val="0"/>
          <w:numId w:val="9"/>
        </w:numPr>
      </w:pPr>
      <w:r>
        <w:t>Диабет, сердечные приступы, а также мышечные и костные боли чаще отмечаются среди лиц в возрасте 59-60 лет из числа иммигрантов из незападных стран.</w:t>
      </w:r>
    </w:p>
    <w:p w:rsidR="00000000" w:rsidRDefault="00000000">
      <w:pPr>
        <w:tabs>
          <w:tab w:val="clear" w:pos="567"/>
        </w:tabs>
      </w:pPr>
    </w:p>
    <w:p w:rsidR="00000000" w:rsidRDefault="00000000">
      <w:pPr>
        <w:numPr>
          <w:ilvl w:val="0"/>
          <w:numId w:val="9"/>
        </w:numPr>
      </w:pPr>
      <w:r>
        <w:t>Лишь 7% женщин в возрасте 59-60 лет из незападных стран курят ежедневно, по сравнению с 24% этнических норвежских женщин в той же возрастной группе.</w:t>
      </w:r>
    </w:p>
    <w:p w:rsidR="00000000" w:rsidRDefault="00000000">
      <w:pPr>
        <w:tabs>
          <w:tab w:val="clear" w:pos="1134"/>
        </w:tabs>
        <w:rPr>
          <w:lang w:val="en-US"/>
        </w:rPr>
      </w:pPr>
    </w:p>
    <w:p w:rsidR="00000000" w:rsidRDefault="00000000">
      <w:r>
        <w:t>351.</w:t>
      </w:r>
      <w:r>
        <w:tab/>
        <w:t>Недавно опубликованная статья в журнале Медицинской ассоциации Норвегии, содержит заключение о том, что чрезмерная смертность среди одиноких людей, очевидно, является возрастающей проблемой общественного здравоохранения среди лиц, в возрасте 45-59 лет.  За период с 70-х по 90-е годы доля одиноких людей в этой возрастной группе возросла.  Такие одинокие люди находятся в относительно менее благоприятном финансовом положении, и коэффициент их высокой смертности увеличился.  Это не относится к лицам в возрасте от 60 до 69 лет.  Социальные различия в отношении коэффициента смертности гораздо выше среди одиноких лиц, чем среди "неодиноких" лиц.</w:t>
      </w:r>
    </w:p>
    <w:p w:rsidR="00000000" w:rsidRDefault="00000000"/>
    <w:p w:rsidR="00000000" w:rsidRDefault="00000000">
      <w:pPr>
        <w:rPr>
          <w:i/>
          <w:iCs/>
        </w:rPr>
      </w:pPr>
      <w:r>
        <w:rPr>
          <w:i/>
          <w:iCs/>
        </w:rPr>
        <w:t>Более значительные социально-экономические различия в отношении состояния здоровья</w:t>
      </w:r>
    </w:p>
    <w:p w:rsidR="00000000" w:rsidRDefault="00000000">
      <w:pPr>
        <w:rPr>
          <w:i/>
          <w:iCs/>
        </w:rPr>
      </w:pPr>
    </w:p>
    <w:p w:rsidR="00000000" w:rsidRDefault="00000000">
      <w:pPr>
        <w:rPr>
          <w:lang w:val="en-US"/>
        </w:rPr>
      </w:pPr>
      <w:r>
        <w:t>352.</w:t>
      </w:r>
      <w:r>
        <w:tab/>
        <w:t>Анализ того, каким образом доход, образование и размеры домашнего хозяйства оказывали воздействие на показатель смертности среди населения в периоды 1970</w:t>
      </w:r>
      <w:r>
        <w:noBreakHyphen/>
        <w:t>1977 годов, 1980-1987 годов и 1990-1997 годов, явно свидетельствует о том, что различия в уровне смертности возросли в связи с социально-экономическими факторами, такими, как доход и образование.  Анализ показывает, что с течением времени здоровье норвежцев улучшилось, однако при этом увеличились социально-экономические различия.  Основные выводы являются следующими:</w:t>
      </w:r>
    </w:p>
    <w:p w:rsidR="00000000" w:rsidRDefault="00000000">
      <w:pPr>
        <w:rPr>
          <w:lang w:val="en-US"/>
        </w:rPr>
      </w:pPr>
    </w:p>
    <w:p w:rsidR="00000000" w:rsidRDefault="00000000">
      <w:pPr>
        <w:numPr>
          <w:ilvl w:val="0"/>
          <w:numId w:val="10"/>
        </w:numPr>
        <w:tabs>
          <w:tab w:val="clear" w:pos="1134"/>
          <w:tab w:val="clear" w:pos="1701"/>
          <w:tab w:val="clear" w:pos="2268"/>
          <w:tab w:val="clear" w:pos="6237"/>
        </w:tabs>
      </w:pPr>
      <w:r>
        <w:rPr>
          <w:lang w:val="en-US"/>
        </w:rPr>
        <w:tab/>
      </w:r>
      <w:r>
        <w:t>Различия в смертности увеличились в большей степени между группами с разными доходами, чем между группами с разным уровнем образования.</w:t>
      </w:r>
    </w:p>
    <w:p w:rsidR="00000000" w:rsidRDefault="00000000">
      <w:pPr>
        <w:tabs>
          <w:tab w:val="clear" w:pos="567"/>
        </w:tabs>
      </w:pPr>
    </w:p>
    <w:p w:rsidR="00000000" w:rsidRDefault="00000000">
      <w:pPr>
        <w:numPr>
          <w:ilvl w:val="0"/>
          <w:numId w:val="10"/>
        </w:numPr>
        <w:tabs>
          <w:tab w:val="clear" w:pos="1701"/>
          <w:tab w:val="left" w:pos="1134"/>
        </w:tabs>
      </w:pPr>
      <w:r>
        <w:t>Наибольший рост различий в уровнях смертности между группами с различными доходами наблюдался в период с 80-х по 90-е годы, а в 90-е годы различия в уровнях смертности являются более значительными среди групп с разными доходами, чем среди групп с разным уровнем образования.</w:t>
      </w:r>
    </w:p>
    <w:p w:rsidR="00000000" w:rsidRDefault="00000000">
      <w:pPr>
        <w:tabs>
          <w:tab w:val="clear" w:pos="567"/>
        </w:tabs>
      </w:pPr>
    </w:p>
    <w:p w:rsidR="00000000" w:rsidRDefault="00000000">
      <w:pPr>
        <w:numPr>
          <w:ilvl w:val="0"/>
          <w:numId w:val="10"/>
        </w:numPr>
        <w:tabs>
          <w:tab w:val="clear" w:pos="1701"/>
          <w:tab w:val="left" w:pos="1134"/>
        </w:tabs>
      </w:pPr>
      <w:r>
        <w:t>Уровни смертности сократились ненамного в течение этого периода среди групп населения с наименьшими доходами и с наиболее низким уровнем образования.  С другой стороны, уровни смертности среди остальной части населения в период с 70</w:t>
      </w:r>
      <w:r>
        <w:noBreakHyphen/>
        <w:t>х по 90-е годы сократились значительно.</w:t>
      </w:r>
    </w:p>
    <w:p w:rsidR="00000000" w:rsidRDefault="00000000">
      <w:pPr>
        <w:tabs>
          <w:tab w:val="clear" w:pos="567"/>
        </w:tabs>
      </w:pPr>
    </w:p>
    <w:p w:rsidR="00000000" w:rsidRDefault="00000000">
      <w:pPr>
        <w:numPr>
          <w:ilvl w:val="0"/>
          <w:numId w:val="10"/>
        </w:numPr>
        <w:tabs>
          <w:tab w:val="clear" w:pos="1701"/>
          <w:tab w:val="left" w:pos="1134"/>
        </w:tabs>
      </w:pPr>
      <w:r>
        <w:t>Смертность среди одиноких лиц намного выше смертности среди населения в целом.  Различия в отношении уровней смертности между группами с разными доходами намного выше среди одиноких лиц, чем среди лиц, проживающих в домашних хозяйствах, состоящих из двух или более лиц.</w:t>
      </w:r>
    </w:p>
    <w:p w:rsidR="00000000" w:rsidRDefault="00000000">
      <w:pPr>
        <w:tabs>
          <w:tab w:val="clear" w:pos="567"/>
        </w:tabs>
      </w:pPr>
    </w:p>
    <w:p w:rsidR="00000000" w:rsidRDefault="00000000">
      <w:pPr>
        <w:rPr>
          <w:i/>
          <w:iCs/>
        </w:rPr>
      </w:pPr>
      <w:r>
        <w:rPr>
          <w:i/>
          <w:iCs/>
        </w:rPr>
        <w:t>Проблемы, оказавшие негативное воздействие на ситуацию в отношении здоровья</w:t>
      </w:r>
    </w:p>
    <w:p w:rsidR="00000000" w:rsidRDefault="00000000">
      <w:pPr>
        <w:rPr>
          <w:i/>
          <w:iCs/>
        </w:rPr>
      </w:pPr>
    </w:p>
    <w:p w:rsidR="00000000" w:rsidRDefault="00000000">
      <w:r>
        <w:t>353.</w:t>
      </w:r>
      <w:r>
        <w:tab/>
        <w:t>Анализ последствий является обязательным в связи с деятельностью по официальным отчетам, нормативным положениям, предложениям и докладам, представляемым в стортинг.  В представленном в стортинг докладе № 16 (2002</w:t>
      </w:r>
      <w:r>
        <w:noBreakHyphen/>
        <w:t>2003 годы) "Рекомендации по укреплению состояния здоровья жителей Норвегии" правительство объявило, что будут приняты меры для обеспечения того, чтобы результаты анализа положения, имеющие отношение к здоровью, использовались в качестве важных механизмов как на местном, так и на центральном уровнях.  В частности, на уровне центрального правительства будет создана группа экспертов, а в связи с Законом о планировании и строительстве и Законом о муниципальных службах здравоохранения будут опубликованы руководящие принципы.  Норвежские власти не располагают информацией о каких-либо изменениях, которые оказали негативное воздействие на ситуацию в отношении здоровья.</w:t>
      </w:r>
    </w:p>
    <w:p w:rsidR="00000000" w:rsidRDefault="00000000"/>
    <w:p w:rsidR="00000000" w:rsidRDefault="00000000">
      <w:pPr>
        <w:rPr>
          <w:i/>
          <w:iCs/>
        </w:rPr>
      </w:pPr>
      <w:r>
        <w:rPr>
          <w:i/>
          <w:iCs/>
        </w:rPr>
        <w:t>Меры по борьбе с эпидемиями и т.д.</w:t>
      </w:r>
    </w:p>
    <w:p w:rsidR="00000000" w:rsidRDefault="00000000">
      <w:pPr>
        <w:rPr>
          <w:i/>
          <w:iCs/>
        </w:rPr>
      </w:pPr>
    </w:p>
    <w:p w:rsidR="00000000" w:rsidRDefault="00000000">
      <w:r>
        <w:t>354.</w:t>
      </w:r>
      <w:r>
        <w:tab/>
        <w:t xml:space="preserve">Готовность к чрезвычайным ситуациям в секторе здравоохранения включает в себя службу первичной медицинской помощи, службу специализированной медицины, связь, профилактику инфекций, снабжение продовольствием и питьевой водой, ядерные аварии, психиатрическую помощь, службы снабжения и персонал. </w:t>
      </w:r>
    </w:p>
    <w:p w:rsidR="00000000" w:rsidRDefault="00000000"/>
    <w:p w:rsidR="00000000" w:rsidRDefault="00000000">
      <w:r>
        <w:t>355.</w:t>
      </w:r>
      <w:r>
        <w:tab/>
        <w:t>Муниципальными властями и специализированными медицинскими службами разрабатываются планы по предотвращению распространения инфекционных болезней, которые обеспечивают основу для решения проблем, связанных с инфекционными болезнями.</w:t>
      </w:r>
    </w:p>
    <w:p w:rsidR="00000000" w:rsidRDefault="00000000"/>
    <w:p w:rsidR="00000000" w:rsidRDefault="00000000">
      <w:r>
        <w:t>356.</w:t>
      </w:r>
      <w:r>
        <w:tab/>
        <w:t>На национальном уровне Норвежский институт здравоохранения учредил общенациональную мобильную полевую эпидемиологическую бригаду для обеспечения профессионального консультирования и поддержки муниципалитетов в деятельности по ликвидации эпидемий.  Кроме того, была создана круглосуточная чрезвычайная телефонная служба для предотвращения распространения инфекционных болезней.</w:t>
      </w:r>
    </w:p>
    <w:p w:rsidR="00000000" w:rsidRDefault="00000000">
      <w:pPr>
        <w:ind w:left="561" w:hanging="561"/>
        <w:rPr>
          <w:lang w:val="en-US"/>
        </w:rPr>
      </w:pPr>
    </w:p>
    <w:p w:rsidR="00000000" w:rsidRDefault="00000000">
      <w:r>
        <w:t>357.</w:t>
      </w:r>
      <w:r>
        <w:tab/>
        <w:t>Исключительно важное значение для недопущения распространения инфекционных болезней имеет фактор времени.  Поэтому было приобретено оборудование для анализа химических, биологических и вирусологических возбудителей, и в настоящее время ведутся работы над созданием системы электронной регистрации инфекционных болезней, для того чтобы можно было гораздо быстрее обнаруживать эпидемии и вспышки болезней, чем это делалось до этого.  Кроме того, были ужесточены нормативные положения, касающиеся защиты от инфекционных болезней, за счет расширения обязанностей по отчетности.  Среди прочего, если врач подозревает или устанавливает случаи инфекционных болезней, которые могут быть вызваны преднамеренным распространением возбудителей инфекции, то он обязан сообщать о таких случаях.</w:t>
      </w:r>
    </w:p>
    <w:p w:rsidR="00000000" w:rsidRDefault="00000000"/>
    <w:p w:rsidR="00000000" w:rsidRDefault="00000000">
      <w:r>
        <w:t>358.</w:t>
      </w:r>
      <w:r>
        <w:tab/>
        <w:t xml:space="preserve">В 2001 году министерство здравоохранения опубликовало первый общенациональный План готовности к пандемии гриппа и назначило Национальный комитет по борьбе с пандемией этой болезни.  В июле 2003 года был опубликован обновленный План обеспечения готовности.  Национальный комитет был привлечен к работе, связанной с эпидемией </w:t>
      </w:r>
      <w:proofErr w:type="spellStart"/>
      <w:r>
        <w:t>атипичной</w:t>
      </w:r>
      <w:proofErr w:type="spellEnd"/>
      <w:r>
        <w:t xml:space="preserve"> пневмонии, и приступил к выполнению тех частей Плана по борьбе с пандемией, которые являлись необходимыми в этой связи.  Накопленный в результате этой работы опыт предоставил центральным медицинским органам и чрезвычайным службам полезный материал для реализации усилий по укреплению готовности к чрезвычайным ситуациям в целях предотвращения распространения инфекционных болезней.  Национальный комитет по борьбе с пандемией возглавляется Генеральным директором Управления здравоохранения и социальных дел, а его секретариат находится в Норвежском институте здравоохранения, который также связан с расположенным в Норвегии Центром ВОЗ по борьбе с гриппом.  </w:t>
      </w:r>
    </w:p>
    <w:p w:rsidR="00000000" w:rsidRDefault="00000000"/>
    <w:p w:rsidR="00000000" w:rsidRDefault="00000000">
      <w:r>
        <w:t>359.</w:t>
      </w:r>
      <w:r>
        <w:tab/>
        <w:t>Было внесено предложение о составлении национального плана готовности по предупреждению оспы, и в настоящее время ведется дальнейшая работа в этом направлении.</w:t>
      </w:r>
    </w:p>
    <w:p w:rsidR="00000000" w:rsidRDefault="00000000"/>
    <w:p w:rsidR="00000000" w:rsidRDefault="00000000">
      <w:r>
        <w:t>360.</w:t>
      </w:r>
      <w:r>
        <w:tab/>
        <w:t>Инфекционные болезни и биологические явления представляют собой одну из глобальных проблем, которая должна решаться при помощи национальных мер на основе эффективного регионального и глобального сотрудничества.  Норвегия активно участвует в международной деятельности по предупреждению инфекций вместе с другими Северными странами, ЕС/ЕЭЗ и ВОЗ.</w:t>
      </w:r>
    </w:p>
    <w:p w:rsidR="00000000" w:rsidRDefault="00000000"/>
    <w:p w:rsidR="00000000" w:rsidRDefault="00000000">
      <w:r>
        <w:t>361.</w:t>
      </w:r>
      <w:r>
        <w:tab/>
        <w:t>Распространенность инфекционных болезней в Норвегии менее значительна, чем в большинстве других стран.  Вместе с тем, это положение может быстро измениться в результате расширения международной торговли и путешествий, изменений в свойствах возбудителей инфекций и угрозы преднамеренного распространения возбудителей опасных инфекций.  В Норвегии имеются определенные группы, которые особо уязвимы в отношении серьезных инфекционных болезней.  К их числу относятся внутривенные наркоманы, иммигранты, пожилые люди и пациенты, находящиеся в медицинских учреждениях:</w:t>
      </w:r>
    </w:p>
    <w:p w:rsidR="00000000" w:rsidRDefault="00000000"/>
    <w:p w:rsidR="00000000" w:rsidRDefault="00000000">
      <w:pPr>
        <w:numPr>
          <w:ilvl w:val="0"/>
          <w:numId w:val="11"/>
        </w:numPr>
        <w:tabs>
          <w:tab w:val="clear" w:pos="567"/>
        </w:tabs>
      </w:pPr>
      <w:r>
        <w:t xml:space="preserve">В любое время от </w:t>
      </w:r>
      <w:proofErr w:type="spellStart"/>
      <w:r>
        <w:t>5%</w:t>
      </w:r>
      <w:proofErr w:type="spellEnd"/>
      <w:r>
        <w:t xml:space="preserve"> до </w:t>
      </w:r>
      <w:proofErr w:type="spellStart"/>
      <w:r>
        <w:t>6%</w:t>
      </w:r>
      <w:proofErr w:type="spellEnd"/>
      <w:r>
        <w:t xml:space="preserve"> пациентов норвежских больниц оказываются жертвами инфекций, которыми они заразились, находясь в больнице.  Наиболее распространенными инфекциями являются инфекции мочевыводящих путей и пневмония.  Наиболее уязвимыми являются пожилые и слабые пациенты.  Считается, что по меньшей мере треть этих инфекций можно предупредить за счет улучшения выполнения мер по профилактике инфекций в больницах.  Распространенность инфекций несколько выше в муниципальных медицинских учреждениях, таких как дома престарелых или инвалидов с медицинским обслуживанием и т.п.  Проведение обследований распространенности инфекций в лечебных стационарах было улучшено в 2002 году благодаря установлению общенациональной системы, предусматривающей два компонента, один - для домов престарелых или инвалидов с медицинским обслуживанием и другой - для больниц.  В течение 2003 года Норвежскому институту здравоохранения предстоит разработать и предложить больницам общую систему для измерения инфекций после определенных видов хирургического вмешательства.  Недавно созданная система электронной регистрации больничных инфекций будет использована в больницах страны.  В 2003 году министерство здравоохранения назначило проектную бригаду, на которую будет возложена ответственность за разработку мер по предупреждению больничных инфекций.  В соответствии с проектом был представлен предлагаемый план действий по предупреждению больничных инфекций.  </w:t>
      </w:r>
    </w:p>
    <w:p w:rsidR="00000000" w:rsidRDefault="00000000">
      <w:pPr>
        <w:tabs>
          <w:tab w:val="clear" w:pos="1134"/>
        </w:tabs>
      </w:pPr>
    </w:p>
    <w:p w:rsidR="00000000" w:rsidRDefault="00000000">
      <w:pPr>
        <w:numPr>
          <w:ilvl w:val="0"/>
          <w:numId w:val="11"/>
        </w:numPr>
        <w:tabs>
          <w:tab w:val="clear" w:pos="567"/>
        </w:tabs>
      </w:pPr>
      <w:r>
        <w:t>Исключительно заразной болезнью является грипп, который ежегодно вызывает эпидемии.  В 2001 году Норвегия подготовила свой первый план чрезвычайных действий на случай пандемии гриппа, который в настоящее время пересматривается.</w:t>
      </w:r>
    </w:p>
    <w:p w:rsidR="00000000" w:rsidRDefault="00000000">
      <w:pPr>
        <w:tabs>
          <w:tab w:val="clear" w:pos="1134"/>
        </w:tabs>
      </w:pPr>
    </w:p>
    <w:p w:rsidR="00000000" w:rsidRDefault="00000000">
      <w:pPr>
        <w:numPr>
          <w:ilvl w:val="0"/>
          <w:numId w:val="11"/>
        </w:numPr>
        <w:tabs>
          <w:tab w:val="clear" w:pos="567"/>
        </w:tabs>
      </w:pPr>
      <w:r>
        <w:t xml:space="preserve">Норвегия входит в число европейских стран с самой низкой распространенностью туберкулеза (семь случаев на 100 000 жителей).  Три четверти больных являются иммигрантами, средний возраст которых составляет 30 лет.  Норвежские больные в среднем старше 70 лет и были инфицированы в молодости, когда туберкулез являлся распространенной болезнью в Норвегии.  В 2001 году 2% больных, все из которых являлись иммигрантами, были больны туберкулезом, вызываемым резистентной бактерией.  </w:t>
      </w:r>
    </w:p>
    <w:p w:rsidR="00000000" w:rsidRDefault="00000000">
      <w:pPr>
        <w:tabs>
          <w:tab w:val="clear" w:pos="1134"/>
        </w:tabs>
      </w:pPr>
    </w:p>
    <w:p w:rsidR="00000000" w:rsidRDefault="00000000">
      <w:pPr>
        <w:numPr>
          <w:ilvl w:val="0"/>
          <w:numId w:val="11"/>
        </w:numPr>
        <w:tabs>
          <w:tab w:val="clear" w:pos="567"/>
        </w:tabs>
      </w:pPr>
      <w:r>
        <w:t xml:space="preserve">По состоянию на конец 2001 года в Норвегии количество </w:t>
      </w:r>
      <w:proofErr w:type="spellStart"/>
      <w:r>
        <w:t>ВИЧ-инфицированных</w:t>
      </w:r>
      <w:proofErr w:type="spellEnd"/>
      <w:r>
        <w:t xml:space="preserve"> лиц составило 2 351.  Наибольшая группа новых случаев за последние годы была диагностирована среди просителей убежища, которые недавно прибыли в страну, а также среди других лиц, прибывших из стран с высоким уровнем распространенности ВИЧ.  В других инфицированных группах распространенность ВИЧ является стабильной, либо сокращается.  Данные за 2002 год показывают, что количество новых выявленных случаев составило 205, а прогнозы на 2003 год указывают на то, что этот показатель будет выше, чем в 2002 году.</w:t>
      </w:r>
    </w:p>
    <w:p w:rsidR="00000000" w:rsidRDefault="00000000">
      <w:pPr>
        <w:tabs>
          <w:tab w:val="clear" w:pos="1134"/>
        </w:tabs>
      </w:pPr>
    </w:p>
    <w:p w:rsidR="00000000" w:rsidRDefault="00000000">
      <w:pPr>
        <w:numPr>
          <w:ilvl w:val="0"/>
          <w:numId w:val="11"/>
        </w:numPr>
        <w:tabs>
          <w:tab w:val="clear" w:pos="567"/>
        </w:tabs>
      </w:pPr>
      <w:r>
        <w:t xml:space="preserve">В Норвегии проживает приблизительно 15 000 лиц с гепатитом </w:t>
      </w:r>
      <w:r>
        <w:rPr>
          <w:lang w:val="en-US"/>
        </w:rPr>
        <w:t>B</w:t>
      </w:r>
      <w:r>
        <w:t xml:space="preserve">, и большинство из них являются иммигрантами.  Среди граждан Норвегии гепатит </w:t>
      </w:r>
      <w:r>
        <w:rPr>
          <w:lang w:val="en-US"/>
        </w:rPr>
        <w:t>B</w:t>
      </w:r>
      <w:r>
        <w:t xml:space="preserve"> преимущественно распространяется среди внутривенных наркоманов.  В Норвегии приблизительно три четверти внутривенных наркоманов заражены гепатитом С, в то время как за пределами этой группы инфицированными являются лишь немногие лица.  Согласно оценкам инфицировано приблизительно 20 000 человек.</w:t>
      </w:r>
    </w:p>
    <w:p w:rsidR="00000000" w:rsidRDefault="00000000">
      <w:pPr>
        <w:numPr>
          <w:ilvl w:val="0"/>
          <w:numId w:val="11"/>
        </w:numPr>
        <w:tabs>
          <w:tab w:val="clear" w:pos="567"/>
        </w:tabs>
      </w:pPr>
      <w:r>
        <w:t xml:space="preserve">К числу других инфекций, передающихся половым путем, относятся хламидии, сифилис и гонорея.  В 2001 году было диагностировано 15 000 случаев </w:t>
      </w:r>
      <w:proofErr w:type="spellStart"/>
      <w:r>
        <w:t>хламидиоза</w:t>
      </w:r>
      <w:proofErr w:type="spellEnd"/>
      <w:r>
        <w:t xml:space="preserve">, причем большинство больных являлись молодыми людьми в возрасте до 25 лет.  В 2002 году пока зарегистрировано 226 случаев гонореи, что значительно ниже чем в 2001 году.  В 2002 году зарегистрировано 60 случаев сифилиса:  58 - среди мужчин и 2 - среди женщин. </w:t>
      </w:r>
    </w:p>
    <w:p w:rsidR="00000000" w:rsidRDefault="00000000">
      <w:pPr>
        <w:tabs>
          <w:tab w:val="clear" w:pos="1134"/>
        </w:tabs>
      </w:pPr>
    </w:p>
    <w:p w:rsidR="00000000" w:rsidRDefault="00000000">
      <w:pPr>
        <w:tabs>
          <w:tab w:val="clear" w:pos="1134"/>
        </w:tabs>
      </w:pPr>
      <w:r>
        <w:t>362.</w:t>
      </w:r>
      <w:r>
        <w:tab/>
        <w:t xml:space="preserve">В дополнение к Национальному плану обеспечения готовности к пандемии гриппа органы здравоохранения Норвегии подготовили новый Стратегический план профилактики ВИЧ и заболеваний, передающихся половым путем (2002 год), а также План действий по борьбе с резистентностью к антибиотикам (2000-2004 годы).  </w:t>
      </w:r>
    </w:p>
    <w:p w:rsidR="00000000" w:rsidRDefault="00000000">
      <w:pPr>
        <w:tabs>
          <w:tab w:val="clear" w:pos="1134"/>
        </w:tabs>
      </w:pPr>
    </w:p>
    <w:p w:rsidR="00000000" w:rsidRDefault="00000000">
      <w:pPr>
        <w:tabs>
          <w:tab w:val="clear" w:pos="1134"/>
        </w:tabs>
        <w:rPr>
          <w:b/>
          <w:bCs/>
        </w:rPr>
      </w:pPr>
      <w:r>
        <w:rPr>
          <w:b/>
          <w:bCs/>
        </w:rPr>
        <w:t>Пункт 6 руководящих принципов (лица пожилого возраста)</w:t>
      </w:r>
    </w:p>
    <w:p w:rsidR="00000000" w:rsidRDefault="00000000">
      <w:pPr>
        <w:tabs>
          <w:tab w:val="clear" w:pos="1134"/>
        </w:tabs>
      </w:pPr>
    </w:p>
    <w:p w:rsidR="00000000" w:rsidRDefault="00000000">
      <w:pPr>
        <w:tabs>
          <w:tab w:val="clear" w:pos="1134"/>
        </w:tabs>
      </w:pPr>
      <w:r>
        <w:t>363.</w:t>
      </w:r>
      <w:r>
        <w:tab/>
        <w:t>Без комментариев.</w:t>
      </w:r>
    </w:p>
    <w:p w:rsidR="00000000" w:rsidRDefault="00000000">
      <w:pPr>
        <w:tabs>
          <w:tab w:val="clear" w:pos="1134"/>
        </w:tabs>
      </w:pPr>
    </w:p>
    <w:p w:rsidR="00000000" w:rsidRDefault="00000000">
      <w:pPr>
        <w:tabs>
          <w:tab w:val="clear" w:pos="1134"/>
        </w:tabs>
        <w:rPr>
          <w:b/>
          <w:bCs/>
        </w:rPr>
      </w:pPr>
      <w:r>
        <w:rPr>
          <w:b/>
          <w:bCs/>
        </w:rPr>
        <w:t>Пункт 7 руководящих принципов (участие общественности)</w:t>
      </w:r>
    </w:p>
    <w:p w:rsidR="00000000" w:rsidRDefault="00000000">
      <w:pPr>
        <w:tabs>
          <w:tab w:val="clear" w:pos="1134"/>
        </w:tabs>
      </w:pPr>
    </w:p>
    <w:p w:rsidR="00000000" w:rsidRDefault="00000000">
      <w:pPr>
        <w:tabs>
          <w:tab w:val="clear" w:pos="1134"/>
        </w:tabs>
      </w:pPr>
      <w:r>
        <w:t>364.</w:t>
      </w:r>
      <w:r>
        <w:tab/>
        <w:t xml:space="preserve">С 1 января 2002 года специализированные службы здравоохранения стали являться государственными.  Были учреждены пять региональных предприятий здравоохранения, на которые возложена ответственность за обеспечение получения надлежащего медицинского обслуживания населением их регионов.  Кроме того, им принадлежат и ими управляются специализированные службы здравоохранения в регионах, которые являются местными предприятиями.  </w:t>
      </w:r>
    </w:p>
    <w:p w:rsidR="00000000" w:rsidRDefault="00000000">
      <w:pPr>
        <w:tabs>
          <w:tab w:val="clear" w:pos="1134"/>
        </w:tabs>
      </w:pPr>
    </w:p>
    <w:p w:rsidR="00000000" w:rsidRDefault="00000000">
      <w:pPr>
        <w:tabs>
          <w:tab w:val="clear" w:pos="1134"/>
        </w:tabs>
      </w:pPr>
      <w:r>
        <w:t>365.</w:t>
      </w:r>
      <w:r>
        <w:tab/>
        <w:t xml:space="preserve">В министерстве здравоохранения был создан Комитет по связям с общественностью, учрежденный по рекомендации основных ассоциаций потребителей.  Региональные предприятия здравоохранения также учредили свои собственные комитеты по связям с общественностью на региональном уровне.  Основная функция этих комитетов состоит в предоставлении информации по конкретным случаям.  С ними также следует проводить консультации в отношении случаев, предположительно имеющих особый интерес для представляемых ими групп.  Целью всех этих предприятий является создание к 2003 году местных комитетов по связям с общественностью.  </w:t>
      </w:r>
    </w:p>
    <w:p w:rsidR="00000000" w:rsidRDefault="00000000">
      <w:pPr>
        <w:tabs>
          <w:tab w:val="clear" w:pos="1134"/>
        </w:tabs>
      </w:pPr>
    </w:p>
    <w:p w:rsidR="00000000" w:rsidRDefault="00000000">
      <w:pPr>
        <w:tabs>
          <w:tab w:val="clear" w:pos="1134"/>
        </w:tabs>
      </w:pPr>
      <w:r>
        <w:t>366.</w:t>
      </w:r>
      <w:r>
        <w:tab/>
        <w:t>В области охраны психического здоровья существует много различных групп, объединенных общими интересами, и организаций потребителей.  Крупнейшими из них являются "Психическое здоровье Норвегии" и "Национальная ассоциация родственников лиц, страдающих психическими заболеваниями" (</w:t>
      </w:r>
      <w:r>
        <w:rPr>
          <w:lang w:val="en-US"/>
        </w:rPr>
        <w:t>LPP</w:t>
      </w:r>
      <w:r>
        <w:t>).  Органы здравоохранения поддерживают тесные связи с этими организациями.</w:t>
      </w:r>
    </w:p>
    <w:p w:rsidR="00000000" w:rsidRDefault="00000000">
      <w:pPr>
        <w:tabs>
          <w:tab w:val="clear" w:pos="1134"/>
        </w:tabs>
      </w:pPr>
      <w:r>
        <w:t>367.</w:t>
      </w:r>
      <w:r>
        <w:tab/>
        <w:t xml:space="preserve">Предусмотренный законом институт Уполномоченного по делам пациентов, созданный в результате принятия Закона о правах пациентов, начал действовать 1 января 2001 года.  Мандат Уполномоченного по делам пациентов состоит в защите потребностей, интересов и юридических прав пациентов по отношению к службе здравоохранения, а также в улучшении качества оказания медицинской помощи службами здравоохранения.  </w:t>
      </w:r>
    </w:p>
    <w:p w:rsidR="00000000" w:rsidRDefault="00000000">
      <w:pPr>
        <w:tabs>
          <w:tab w:val="clear" w:pos="1134"/>
        </w:tabs>
      </w:pPr>
    </w:p>
    <w:p w:rsidR="00000000" w:rsidRDefault="00000000">
      <w:pPr>
        <w:tabs>
          <w:tab w:val="clear" w:pos="1134"/>
        </w:tabs>
      </w:pPr>
      <w:r>
        <w:t>368.</w:t>
      </w:r>
      <w:r>
        <w:tab/>
        <w:t>Все новые законодательные акты, нормативные положения, реформы, меры, предложения и доклады, представляемые в стортинг, должны распространяться для проведения консультаций среди всех соответствующих государственных и частных учреждений и организаций.  Крайний срок для ответа обычно составляет три месяца, но не менее шести недель.</w:t>
      </w:r>
    </w:p>
    <w:p w:rsidR="00000000" w:rsidRDefault="00000000">
      <w:pPr>
        <w:tabs>
          <w:tab w:val="clear" w:pos="1134"/>
        </w:tabs>
      </w:pPr>
    </w:p>
    <w:p w:rsidR="00000000" w:rsidRDefault="00000000">
      <w:pPr>
        <w:tabs>
          <w:tab w:val="clear" w:pos="1134"/>
        </w:tabs>
        <w:rPr>
          <w:b/>
          <w:bCs/>
        </w:rPr>
      </w:pPr>
      <w:r>
        <w:rPr>
          <w:b/>
          <w:bCs/>
        </w:rPr>
        <w:t>Пункт 8 руководящих принципов (образование в области существующих проблем здравоохранения)</w:t>
      </w:r>
    </w:p>
    <w:p w:rsidR="00000000" w:rsidRDefault="00000000">
      <w:pPr>
        <w:tabs>
          <w:tab w:val="clear" w:pos="1134"/>
        </w:tabs>
      </w:pPr>
    </w:p>
    <w:p w:rsidR="00000000" w:rsidRDefault="00000000">
      <w:pPr>
        <w:tabs>
          <w:tab w:val="clear" w:pos="1134"/>
        </w:tabs>
      </w:pPr>
      <w:r>
        <w:t>369.</w:t>
      </w:r>
      <w:r>
        <w:tab/>
        <w:t xml:space="preserve">Норвегия будет укреплять свою базу знаний посредством научных исследований и включения интересов общественного здравоохранения в систему образования.  Правительство будет предлагать медицинским колледжам расширить в программах изучаемых предметов тематику, связанную с общественным здравоохранением, пересмотреть существующие концептуальные планы подготовки в области общественного здравоохранения, включая подготовку медицинских сестер, разработать общий междисциплинарный концептуальный план для дальнейшего образования в области общественного здравоохранения с </w:t>
      </w:r>
      <w:proofErr w:type="spellStart"/>
      <w:r>
        <w:t>уделением</w:t>
      </w:r>
      <w:proofErr w:type="spellEnd"/>
      <w:r>
        <w:t xml:space="preserve"> особого внимания здоровью детей и подростков, а также разработать программу подготовки для получения звания магистра в области общественного здравоохранения, которое будут получать выпускники медицинских учебных заведений.</w:t>
      </w:r>
    </w:p>
    <w:p w:rsidR="00000000" w:rsidRDefault="00000000">
      <w:pPr>
        <w:tabs>
          <w:tab w:val="clear" w:pos="1134"/>
        </w:tabs>
      </w:pPr>
    </w:p>
    <w:p w:rsidR="00000000" w:rsidRDefault="00000000">
      <w:pPr>
        <w:pStyle w:val="Heading1"/>
        <w:tabs>
          <w:tab w:val="clear" w:pos="1134"/>
        </w:tabs>
        <w:jc w:val="center"/>
        <w:rPr>
          <w:bCs/>
        </w:rPr>
      </w:pPr>
      <w:r>
        <w:rPr>
          <w:bCs/>
        </w:rPr>
        <w:t>Статья 13.  Право на образование</w:t>
      </w:r>
    </w:p>
    <w:p w:rsidR="00000000" w:rsidRDefault="00000000">
      <w:pPr>
        <w:pStyle w:val="Heading1"/>
        <w:tabs>
          <w:tab w:val="clear" w:pos="1134"/>
        </w:tabs>
        <w:rPr>
          <w:bCs/>
        </w:rPr>
      </w:pPr>
    </w:p>
    <w:p w:rsidR="00000000" w:rsidRDefault="00000000">
      <w:pPr>
        <w:tabs>
          <w:tab w:val="clear" w:pos="1134"/>
        </w:tabs>
      </w:pPr>
      <w:r>
        <w:t>370.</w:t>
      </w:r>
      <w:r>
        <w:tab/>
        <w:t>Общее описание проводившейся в 1990-е годы политики Норвегии в области образования содержится в докладе "Развитие образования, 1991-2000 годы" (Приложение 30), который был подготовлен для представления на сорок шестой сессии Международной конференции ЮНЕСКО по образованию.  Основные направления политики в области образования в период 2001-2003 годов включают в себя поощрение свободы действий на местах и повышение качества связанных с образованием услуг.  Предлагается также обратить внимание на брошюру "Образование в Норвегии" (приложение 31), в которой содержится общий обзор существующей в Норвегии системы образования.</w:t>
      </w:r>
    </w:p>
    <w:p w:rsidR="00000000" w:rsidRDefault="00000000"/>
    <w:p w:rsidR="00000000" w:rsidRDefault="00000000">
      <w:r>
        <w:t>371.</w:t>
      </w:r>
      <w:r>
        <w:tab/>
        <w:t>Право на образование обеспечивается законодательством, а также государственным финансированием обучения учащихся и студентов, направленным на предоставление каждому равного права на образование, независимо от социального и финансового положения, возраста, пола или места жительства.  В принципе образование в государственных учебных заведениях, обеспечивающих начальное, неполное среднее, полное среднее и высшее образование, является бесплатным.</w:t>
      </w:r>
    </w:p>
    <w:p w:rsidR="00000000" w:rsidRDefault="00000000"/>
    <w:p w:rsidR="00000000" w:rsidRDefault="00000000">
      <w:r>
        <w:t>372.</w:t>
      </w:r>
      <w:r>
        <w:tab/>
        <w:t xml:space="preserve">Субсидии и ссуды для учащихся и студентов выделяются в соответствии со специальным Законом об оказании финансовой поддержки в целях образования.  В 2001/02 учебном году право на получение такой финансовой поддержки имели 388 000 учащихся и студентов.  223 000 из них получали финансовую поддержку из Фонда кредитования государственного образования в форме сочетания субсидий и ссуд.  С 1 ноября 2002 года компонент субсидий был увеличен с </w:t>
      </w:r>
      <w:proofErr w:type="spellStart"/>
      <w:r>
        <w:t>30%</w:t>
      </w:r>
      <w:proofErr w:type="spellEnd"/>
      <w:r>
        <w:t xml:space="preserve"> до 40%.  Сама система оказания финансовой поддержки была также улучшена и сделана более гибкой с целью адаптации ее к различным группам учащихся и студентов и содействия обучению на протяжении всей жизни.  </w:t>
      </w:r>
    </w:p>
    <w:p w:rsidR="00000000" w:rsidRDefault="00000000"/>
    <w:p w:rsidR="00000000" w:rsidRDefault="00000000">
      <w:r>
        <w:t>373.</w:t>
      </w:r>
      <w:r>
        <w:tab/>
        <w:t>Новый Закон об образовании, который охватывает начальное, неполное среднее и полное среднее образование, был принят стортингом 17 июля 1998 года и вступил в силу 1 августа 1999</w:t>
      </w:r>
      <w:r>
        <w:rPr>
          <w:lang w:val="en-US"/>
        </w:rPr>
        <w:t> </w:t>
      </w:r>
      <w:r>
        <w:t xml:space="preserve">года.  Этот Закон сочетает в себе и заменяет три предыдущих закона, касавшихся соответственно начального образования, неполного среднего образования и полного среднего образования, а также профессионального обучения.  В новый Закон были также включены определенные разделы Закона об образовании для взрослых.  Закон охватывает все этапы образования начиная с момента поступления ребенка в школу в шестилетнем возрасте и вплоть до получения им полного среднего образования.  </w:t>
      </w:r>
    </w:p>
    <w:p w:rsidR="00000000" w:rsidRDefault="00000000"/>
    <w:p w:rsidR="00000000" w:rsidRDefault="00000000">
      <w:pPr>
        <w:rPr>
          <w:b/>
          <w:bCs/>
        </w:rPr>
      </w:pPr>
      <w:r>
        <w:rPr>
          <w:b/>
          <w:bCs/>
        </w:rPr>
        <w:t>Пункт 1 руководящих принципов (меры по обеспечению права на образование - начальное, неполное среднее и полное среднее образование)</w:t>
      </w:r>
    </w:p>
    <w:p w:rsidR="00000000" w:rsidRDefault="00000000"/>
    <w:p w:rsidR="00000000" w:rsidRDefault="00000000">
      <w:pPr>
        <w:rPr>
          <w:i/>
          <w:iCs/>
        </w:rPr>
      </w:pPr>
      <w:r>
        <w:rPr>
          <w:i/>
          <w:iCs/>
        </w:rPr>
        <w:t>Увеличение срока обязательного образования и новый Закон об образовании</w:t>
      </w:r>
    </w:p>
    <w:p w:rsidR="00000000" w:rsidRDefault="00000000">
      <w:pPr>
        <w:rPr>
          <w:i/>
          <w:iCs/>
        </w:rPr>
      </w:pPr>
    </w:p>
    <w:p w:rsidR="00000000" w:rsidRDefault="00000000">
      <w:r>
        <w:t>374.</w:t>
      </w:r>
      <w:r>
        <w:tab/>
        <w:t xml:space="preserve">Во второй половине 90-х годов была начата комплексная реформа норвежского начального и неполного среднего образования, озаглавленная Реформа 97.  В соответствии с этой реформой срок обязательного образования был увеличен с 9 до 10 лет начиная с 1997/98 учебного года.  Одновременно возраст зачисления детей в школу был снижен с 7 до 6 лет. </w:t>
      </w:r>
    </w:p>
    <w:p w:rsidR="00000000" w:rsidRDefault="00000000"/>
    <w:p w:rsidR="00000000" w:rsidRDefault="00000000">
      <w:pPr>
        <w:keepNext/>
        <w:rPr>
          <w:i/>
          <w:iCs/>
        </w:rPr>
      </w:pPr>
      <w:r>
        <w:rPr>
          <w:i/>
          <w:iCs/>
        </w:rPr>
        <w:t>Учреждения по обеспечению дневного ухода за детьми школьного возраста</w:t>
      </w:r>
    </w:p>
    <w:p w:rsidR="00000000" w:rsidRDefault="00000000">
      <w:pPr>
        <w:keepNext/>
        <w:rPr>
          <w:i/>
          <w:iCs/>
        </w:rPr>
      </w:pPr>
    </w:p>
    <w:p w:rsidR="00000000" w:rsidRDefault="00000000">
      <w:r>
        <w:t>375.</w:t>
      </w:r>
      <w:r>
        <w:tab/>
        <w:t>С 1 января 1999</w:t>
      </w:r>
      <w:r>
        <w:rPr>
          <w:lang w:val="en-US"/>
        </w:rPr>
        <w:t> </w:t>
      </w:r>
      <w:r>
        <w:t>года вступило в силу предусмотренное законом требование о том, чтобы все муниципалитеты обеспечивали уход в дневное время за учащимися с первого по четвертый класс до и после школьных занятий.  Почти все муниципалитеты в Норвегии в настоящее время приняли меры по обеспечению такого ухода.  Эта система призвана предоставить возможности для игр, культурных мероприятий и досуга, соответствующих возрасту ребенка, его функциональным способностям и интересам.  Кроме того, в соответствии с системой дневного ухода адекватные возможности для развития должны быть также предоставлены детям-инвалидам.</w:t>
      </w:r>
    </w:p>
    <w:p w:rsidR="00000000" w:rsidRDefault="00000000"/>
    <w:p w:rsidR="00000000" w:rsidRDefault="00000000">
      <w:r>
        <w:rPr>
          <w:i/>
          <w:iCs/>
        </w:rPr>
        <w:t>Дети с особыми потребностями в области образования</w:t>
      </w:r>
    </w:p>
    <w:p w:rsidR="00000000" w:rsidRDefault="00000000"/>
    <w:p w:rsidR="00000000" w:rsidRDefault="00000000">
      <w:r>
        <w:t>376.</w:t>
      </w:r>
      <w:r>
        <w:tab/>
        <w:t>Большинство детей с особыми потребностями в области образования в настоящее время обучаются в обычных классах по различных программам специального обучения, основанным на индивидуальных подходах и учебных планах.  В целом, приблизительно 6% учащихся начальных школ и школ, обеспечивающих неполное среднее образование, а также 4-5% учащихся школ, обеспечивающих полное среднее образование, получают специальное образование по индивидуальной программе.  Учащиеся, нуждающиеся в специальном образовании, имеют право на пятилетний срок обучения в системе полного среднего образования.  Иными словами, они имеют право на продление до двух лет срока обучения в старших классах для получения полного среднего образования при сохранении права на посещение всех занятий.</w:t>
      </w:r>
    </w:p>
    <w:p w:rsidR="00000000" w:rsidRDefault="00000000"/>
    <w:p w:rsidR="00000000" w:rsidRDefault="00000000">
      <w:r>
        <w:t>377.</w:t>
      </w:r>
      <w:r>
        <w:tab/>
        <w:t>В 1996 году менее 0,5% учащихся в системе начального, неполного среднего и полного среднего образования, в общей сложности приблизительно 3 100 учеников, обучались в специализированных школах или по специально организованным программам за пределами обычных школ.  В это число входили все категории учащихся-инвалидов (включая обучающихся в детских учреждениях социального обеспечения, в психиатрических заведениях и в центрах реабилитации наркоманов).  Кроме того, 600 учащихся обучались по программам получения образования в системе пенитенциарных учреждений.</w:t>
      </w:r>
    </w:p>
    <w:p w:rsidR="00000000" w:rsidRDefault="00000000"/>
    <w:p w:rsidR="00000000" w:rsidRDefault="00000000">
      <w:r>
        <w:t>378.</w:t>
      </w:r>
      <w:r>
        <w:tab/>
        <w:t xml:space="preserve">Государство финансирует специальную систему содействия специализированному образованию, основной целью которой является представление рекомендаций и поддержки муниципалитетам и губерниям для сохранения качества услуг в сфере образования для детей, молодежи и взрослых, имеющих особые потребности в области образования.  В рамках этой системы поддержки в настоящее время действуют 17 специальных центров, призванных удовлетворять особые потребности, связанные с проблемами зрения, слуха, комплексными трудностями с обучением, поведенческими проблемами, а также языковыми и речевыми трудностями.  Кроме того, эта система оказания помощи включает в себя государственные службы образования на уровне губерний для слепых и слабовидящих, а также для глухих и ряд менее крупных служб, которые обеспечивают услуги для более малочисленных групп инвалидов. </w:t>
      </w:r>
    </w:p>
    <w:p w:rsidR="00000000" w:rsidRDefault="00000000"/>
    <w:p w:rsidR="00000000" w:rsidRDefault="00000000">
      <w:pPr>
        <w:rPr>
          <w:i/>
          <w:iCs/>
        </w:rPr>
      </w:pPr>
      <w:r>
        <w:rPr>
          <w:i/>
          <w:iCs/>
        </w:rPr>
        <w:t>Языковые меньшинства/просители убежища</w:t>
      </w:r>
    </w:p>
    <w:p w:rsidR="00000000" w:rsidRDefault="00000000">
      <w:pPr>
        <w:rPr>
          <w:i/>
          <w:iCs/>
        </w:rPr>
      </w:pPr>
    </w:p>
    <w:p w:rsidR="00000000" w:rsidRDefault="00000000">
      <w:r>
        <w:t>379.</w:t>
      </w:r>
      <w:r>
        <w:tab/>
        <w:t xml:space="preserve">В соответствии с Законом об образовании право на начальное и среднее образование становится применимым в тех случаях, когда существует вероятность того, что ребенок будет находиться в Норвегии в течение более трех месяцев.  Обязанность посещать школу появляется после пребывания ребенка в стране в течение трех месяцев.  Это новое положение в Законе об образовании, которое также распространяется на детей-просителей убежища, если существует вероятность того, что им будет предоставлен вид на жительство, или если ожидается, что для рассмотрения их ходатайств о предоставлении убежища потребуется более трех месяцев.  В соответствии с Законом право и обязанность ребенка на охват системой начального и неполного среднего образования не зависят от того, находится ли ребенок в стране на законных основаниях.  </w:t>
      </w:r>
    </w:p>
    <w:p w:rsidR="00000000" w:rsidRDefault="00000000"/>
    <w:p w:rsidR="00000000" w:rsidRDefault="00000000">
      <w:r>
        <w:t>380.</w:t>
      </w:r>
      <w:r>
        <w:tab/>
        <w:t xml:space="preserve">Детям, принадлежащим к языковым меньшинствам, как правило, предлагается образование на их родном языке, который используется в качестве инструмента для изучения норвежского языка.  Дети могут проходить раннее обучение чтению и письму на своем родном языке, а также обучаться другим предметам как на норвежском, так и на своем родном языке.  В 2002/03 учебном году </w:t>
      </w:r>
      <w:proofErr w:type="spellStart"/>
      <w:r>
        <w:t>3,1%</w:t>
      </w:r>
      <w:proofErr w:type="spellEnd"/>
      <w:r>
        <w:t xml:space="preserve"> всех детей в системе начального и неполного среднего образования обучались не на норвежском, а на родном языке.  Согласно программе специального обучения норвежскому языку ученики, чей родной язык не является норвежским или саами, имеют право на специальное обучение норвежскому языку вплоть до достаточного овладения ими норвежским языком для получения на нем общего образования.  Учащиеся могут либо изучать норвежский в качестве второго языка, либо получать специальное обучение на норвежском языке в зависимости от их потребностей.  </w:t>
      </w:r>
    </w:p>
    <w:p w:rsidR="00000000" w:rsidRDefault="00000000"/>
    <w:p w:rsidR="00000000" w:rsidRDefault="00000000">
      <w:r>
        <w:t>381.</w:t>
      </w:r>
      <w:r>
        <w:tab/>
        <w:t xml:space="preserve">В 2002/03 учебном году 5,5% учеников в системе начального и неполного среднего образования (33 999 учеников) прошли курс специального обучения норвежскому языку.  3,1% учеников (18 727 учеников) получали образование на родном языке и/или на двух языках.  На 1 октября 2000 года в системе школ полного среднего образования насчитывалось более 10 400 иммигрантов, что составляет 6,4% от всех учащихся.  </w:t>
      </w:r>
    </w:p>
    <w:p w:rsidR="00000000" w:rsidRDefault="00000000"/>
    <w:p w:rsidR="00000000" w:rsidRDefault="00000000">
      <w:pPr>
        <w:rPr>
          <w:i/>
          <w:iCs/>
        </w:rPr>
      </w:pPr>
      <w:r>
        <w:rPr>
          <w:i/>
          <w:iCs/>
        </w:rPr>
        <w:br w:type="page"/>
        <w:t>Обучение на языке саами</w:t>
      </w:r>
    </w:p>
    <w:p w:rsidR="00000000" w:rsidRDefault="00000000">
      <w:pPr>
        <w:rPr>
          <w:i/>
          <w:iCs/>
        </w:rPr>
      </w:pPr>
    </w:p>
    <w:p w:rsidR="00000000" w:rsidRDefault="00000000">
      <w:r>
        <w:t>382.</w:t>
      </w:r>
      <w:r>
        <w:tab/>
        <w:t>Закон об образовании 1999</w:t>
      </w:r>
      <w:r>
        <w:rPr>
          <w:lang w:val="en-US"/>
        </w:rPr>
        <w:t> </w:t>
      </w:r>
      <w:r>
        <w:t>года укрепил право учащихся учиться и получать образование на языке саами.  Все учащиеся начальных и неполных средних школ в районах, которые определены в Законе как районы компактного проживания саами, имеют право учиться и получать образование на языке саами.  Ученики из числа саами имеют право изучать язык саами на территории всей страны.  За пределами районов компактного проживания саами любая группа из 10 учеников, независимо от их происхождения, имеет право потребовать изучать язык саами и получать образование на этом языке.  Данное право сохраняется за ними до тех пор, пока в группе остается по крайней мере шесть учеников.  В соответствии с Законом об образовании учащиеся старших классов средних школ имеют право на изучение языка саами.</w:t>
      </w:r>
    </w:p>
    <w:p w:rsidR="00000000" w:rsidRDefault="00000000"/>
    <w:p w:rsidR="00000000" w:rsidRDefault="00000000">
      <w:r>
        <w:t>383.</w:t>
      </w:r>
      <w:r>
        <w:tab/>
        <w:t xml:space="preserve">В 2001/02 учебном году в общей сложности 2 627 учеников начальных и неполных средних школ изучали язык саами на трех уровнях в тех районах, в которых обеспечивалось такое обучение.  В 15 школах 1 204 ребенка из числа саами проходили обучение на языке саами, изучая при этом норвежский в качестве второго языка.  </w:t>
      </w:r>
    </w:p>
    <w:p w:rsidR="00000000" w:rsidRDefault="00000000"/>
    <w:p w:rsidR="00000000" w:rsidRDefault="00000000">
      <w:pPr>
        <w:rPr>
          <w:i/>
          <w:iCs/>
        </w:rPr>
      </w:pPr>
      <w:r>
        <w:rPr>
          <w:i/>
          <w:iCs/>
        </w:rPr>
        <w:t>Упор на качество образования</w:t>
      </w:r>
    </w:p>
    <w:p w:rsidR="00000000" w:rsidRDefault="00000000">
      <w:pPr>
        <w:rPr>
          <w:i/>
          <w:iCs/>
        </w:rPr>
      </w:pPr>
    </w:p>
    <w:p w:rsidR="00000000" w:rsidRDefault="00000000">
      <w:r>
        <w:t>384.</w:t>
      </w:r>
      <w:r>
        <w:tab/>
        <w:t>Начиная с 2000 года одной из основных целей политики в области образования является улучшение его качества.</w:t>
      </w:r>
    </w:p>
    <w:p w:rsidR="00000000" w:rsidRDefault="00000000"/>
    <w:p w:rsidR="00000000" w:rsidRDefault="00000000">
      <w:r>
        <w:t>385.</w:t>
      </w:r>
      <w:r>
        <w:tab/>
        <w:t>В связи с обсуждением государственного бюджета на 2000 год стортинг утвердил решение о выделении 900 млн. норвежских крон на поддержку предпринимаемых школами усилий, направленных на повышение качества образования в период 2000</w:t>
      </w:r>
      <w:r>
        <w:noBreakHyphen/>
        <w:t>2003 годов.  Эти инвестиции преследовали цели поощрения новаторства, развития, разнообразия и гибкости, адаптации содержания учебных программ и методов обучения и оценки к изменениям в трудовой и социальной жизни, переключения основного внимания с центрального на местные уровни и укрепления сотрудничества между школами, трудовой деятельностью и обществом в целом.</w:t>
      </w:r>
    </w:p>
    <w:p w:rsidR="00000000" w:rsidRDefault="00000000"/>
    <w:p w:rsidR="00000000" w:rsidRDefault="00000000">
      <w:r>
        <w:t>386.</w:t>
      </w:r>
      <w:r>
        <w:tab/>
        <w:t>Эти усилия были сосредоточены на использовании ИКТ в сфере образования, развития людских ресурсов, программ развития и экспериментальных проектов и были в значительной степени сосредоточены на системе начального и неполного среднего образования.  Средства на повышение качества начального и неполного среднего образования в основном предоставлялись тем, в чьем ведении находятся школы, т.е. прежде всего муниципальным властям, для их использования в соответствии с приоритетами центрального правительства и местными потребностями.</w:t>
      </w:r>
    </w:p>
    <w:p w:rsidR="00000000" w:rsidRDefault="00000000">
      <w:r>
        <w:t>387.</w:t>
      </w:r>
      <w:r>
        <w:tab/>
        <w:t>В системе полного среднего образования ресурсы в целях повышения качества в основном расходовались на осуществление проекта по более полному учету потребностей учащихся и адаптации образования.  В этом проекте приняли участие все полные средние школы.</w:t>
      </w:r>
    </w:p>
    <w:p w:rsidR="00000000" w:rsidRDefault="00000000"/>
    <w:p w:rsidR="00000000" w:rsidRDefault="00000000">
      <w:r>
        <w:t>388.</w:t>
      </w:r>
      <w:r>
        <w:tab/>
        <w:t>В настоящее время проводится оценка усилий, направленных на повышение качества образования, и в апреле 2004 года будет представлен окончательный доклад.</w:t>
      </w:r>
    </w:p>
    <w:p w:rsidR="00000000" w:rsidRDefault="00000000"/>
    <w:p w:rsidR="00000000" w:rsidRDefault="00000000">
      <w:r>
        <w:t>389.</w:t>
      </w:r>
      <w:r>
        <w:tab/>
        <w:t>Кроме того, в 2002 году в целях повышения качества был начат проект комплексной модернизации базового образования в Норвегии, т.е. начального, неполного среднего и полного среднего образования.  Среди прочего, участники проекта подготовили доклад о состоянии дел в сфере образования в 2002 году, в котором отмечалось, что в системе школьного образования Норвегии имеются значительные потенциальные возможности для расширения возможностей учащихся для получения знаний благодаря выделяемым на нужды образования средствам.</w:t>
      </w:r>
    </w:p>
    <w:p w:rsidR="00000000" w:rsidRDefault="00000000"/>
    <w:p w:rsidR="00000000" w:rsidRDefault="00000000">
      <w:pPr>
        <w:rPr>
          <w:i/>
          <w:iCs/>
        </w:rPr>
      </w:pPr>
      <w:r>
        <w:rPr>
          <w:i/>
          <w:iCs/>
        </w:rPr>
        <w:t>Реформа полного среднего образования</w:t>
      </w:r>
    </w:p>
    <w:p w:rsidR="00000000" w:rsidRDefault="00000000">
      <w:pPr>
        <w:rPr>
          <w:i/>
          <w:iCs/>
        </w:rPr>
      </w:pPr>
    </w:p>
    <w:p w:rsidR="00000000" w:rsidRDefault="00000000">
      <w:r>
        <w:t>390.</w:t>
      </w:r>
      <w:r>
        <w:tab/>
        <w:t>В соответствии с реформой полного среднего образования, получившей название Реформа 94, которая осуществляется, начиная с 1994 года, все молодые люди в возрасте от 16 до 19 лет имеют установленное законом право на трехлетнее полное среднее образование, являющееся предпосылкой для получения высшего образования, профессиональной квалификации или квалификации на более низком уровне.  Молодые люди имеют право пройти обучение по одному из трех базовых курсов по их усмотрению.  Учащимся, выбравшим профессиональное образование, стало проще соответствовать требованиям, предъявляемым университетами и колледжами.</w:t>
      </w:r>
    </w:p>
    <w:p w:rsidR="00000000" w:rsidRDefault="00000000"/>
    <w:p w:rsidR="00000000" w:rsidRDefault="00000000">
      <w:r>
        <w:t>391.</w:t>
      </w:r>
      <w:r>
        <w:tab/>
        <w:t>Власти губерний выполняют предусмотренную законом обязанность следить за судьбой молодых людей в возрасте от 16 до 19 лет, которые не посещают школу и не работают.  Продолжительность обучения учащихся, которые имеют право на специальное образование, может достигать пяти лет вместо предусмотренных законом трех лет.</w:t>
      </w:r>
    </w:p>
    <w:p w:rsidR="00000000" w:rsidRDefault="00000000"/>
    <w:p w:rsidR="00000000" w:rsidRDefault="00000000">
      <w:r>
        <w:t>392.</w:t>
      </w:r>
      <w:r>
        <w:tab/>
        <w:t>Возможность получения полного среднего образования была обеспечена на всей территории страны, с тем чтобы всем молодым людям предоставлялись одинаковые услуги в области образования.  В течение первого года обучения в последних классах средней школы предлагается 15 различных базовых курсов.  Специализация происходит в рамках продвинутых курсов </w:t>
      </w:r>
      <w:r>
        <w:rPr>
          <w:lang w:val="en-US"/>
        </w:rPr>
        <w:t>I</w:t>
      </w:r>
      <w:r>
        <w:t xml:space="preserve"> и </w:t>
      </w:r>
      <w:r>
        <w:rPr>
          <w:lang w:val="en-US"/>
        </w:rPr>
        <w:t>II</w:t>
      </w:r>
      <w:r>
        <w:t>, а также в ходе обучения специальности на рабочем месте.  Профессиональное образование является составной частью полного среднего образования и обычно состоит из двух лет школьного образования и одного года обучения специальности на рабочем месте.  Если обучение специальности сочетается с трудовой деятельностью на рабочем месте, то его срок может быть увеличен до двух лет.</w:t>
      </w:r>
    </w:p>
    <w:p w:rsidR="00000000" w:rsidRDefault="00000000"/>
    <w:p w:rsidR="00000000" w:rsidRDefault="00000000">
      <w:r>
        <w:t>393.</w:t>
      </w:r>
      <w:r>
        <w:tab/>
        <w:t xml:space="preserve">В 2001/02 учебном году обучение для получения полного среднего образования проходило более </w:t>
      </w:r>
      <w:proofErr w:type="spellStart"/>
      <w:r>
        <w:t>95%</w:t>
      </w:r>
      <w:proofErr w:type="spellEnd"/>
      <w:r>
        <w:t xml:space="preserve"> среди всех 16-летних и </w:t>
      </w:r>
      <w:proofErr w:type="spellStart"/>
      <w:r>
        <w:t>82%</w:t>
      </w:r>
      <w:proofErr w:type="spellEnd"/>
      <w:r>
        <w:t xml:space="preserve"> среди всех 18-летних.  Соответствующие показатели в 1995 году составляли 94,1% и 83,6%.  Служба по осуществлению контроля (см. ниже) отвечает за подростков, которые не желают продолжать обучение после окончания неполной средней школы или были отчислены из школы досрочно.  </w:t>
      </w:r>
    </w:p>
    <w:p w:rsidR="00000000" w:rsidRDefault="00000000"/>
    <w:p w:rsidR="00000000" w:rsidRDefault="00000000">
      <w:r>
        <w:t>394.</w:t>
      </w:r>
      <w:r>
        <w:tab/>
        <w:t xml:space="preserve">Доля учащихся, относящихся к языковым меньшинствам, которые получают полное среднее образование, является относительно небольшой.  Лишь 39% учащихся первого поколения, относящихся к группам языковых меньшинств, завершили курс обучения и успешно сдали экзамены за весь курс полного среднего образования в 1999 году, в то время как соответствующий показатель для учащихся, относящихся к числу носителей основного языка, составил </w:t>
      </w:r>
      <w:proofErr w:type="spellStart"/>
      <w:r>
        <w:t>76%</w:t>
      </w:r>
      <w:proofErr w:type="spellEnd"/>
      <w:r>
        <w:t>.</w:t>
      </w:r>
    </w:p>
    <w:p w:rsidR="00000000" w:rsidRDefault="00000000"/>
    <w:p w:rsidR="00000000" w:rsidRDefault="00000000">
      <w:r>
        <w:t>395.</w:t>
      </w:r>
      <w:r>
        <w:tab/>
        <w:t>В 2001/02 году договор об ученичестве имели 29 680 учащихся.  571 учащийся проходил практическую профессиональную подготовку в школе из-за отсутствия достаточного количества мест для стажеров.</w:t>
      </w:r>
    </w:p>
    <w:p w:rsidR="00000000" w:rsidRDefault="00000000"/>
    <w:p w:rsidR="00000000" w:rsidRDefault="00000000">
      <w:r>
        <w:t>396.</w:t>
      </w:r>
      <w:r>
        <w:tab/>
        <w:t xml:space="preserve">В связи с Реформой 94 была создана подчиняющаяся губернским властям Служба по осуществлению контроля за молодыми людьми, которые имеют право на получение полного среднего образования, однако не обучаются в школе и не имеют постоянной работы.  Служба по осуществлению контроля должна обеспечивать, чтобы все молодые люди, относящиеся к целевой группе, получали предложения об образовании, работе или о каком-либо ином виде занятости.  Такие предложения прежде всего направлены на обеспечение предпосылки для получения высшего образования, профессиональной квалификации или квалификации на более низком уровне.  Оценка Реформы 94 показывает, что Служба по осуществлению контроля в целом неплохо справляется со своими функциями.  Служба помогла обратить внимание на проблему отсева учащихся и обеспечить, чтобы школы прилагали более активные усилия с целью предотвращения отсева.  В рамках Плана действий по борьбе с нищетой правительство приступило к реализации трехлетнего проекта по содействию деятельности Службы по осуществлению контроля в целях предотвращения прекращения подростками обучения, ведущего к получению полного среднего образования.  </w:t>
      </w:r>
    </w:p>
    <w:p w:rsidR="00000000" w:rsidRDefault="00000000"/>
    <w:p w:rsidR="00000000" w:rsidRDefault="00000000">
      <w:pPr>
        <w:keepNext/>
        <w:rPr>
          <w:i/>
          <w:iCs/>
        </w:rPr>
      </w:pPr>
      <w:r>
        <w:rPr>
          <w:i/>
          <w:iCs/>
        </w:rPr>
        <w:t>Высшее образование</w:t>
      </w:r>
    </w:p>
    <w:p w:rsidR="00000000" w:rsidRDefault="00000000">
      <w:pPr>
        <w:keepNext/>
        <w:rPr>
          <w:i/>
          <w:iCs/>
        </w:rPr>
      </w:pPr>
    </w:p>
    <w:p w:rsidR="00000000" w:rsidRDefault="00000000">
      <w:r>
        <w:t>397.</w:t>
      </w:r>
      <w:r>
        <w:tab/>
        <w:t>Высшее образование включает в себя обучение в университетах и колледжах.  Как правило, для его получения необходимо сдать экзамены после трех лет обучения в старших классах средней школы, однако с осени 2001 года лица старше 25 лет могут подавать заявления в вузы на основе всех (формальных и неформальных) квалификаций, т.е. всех знаний, навыков и опыта, которые они приобрели в результате обучения, оплачиваемой и добровольной работы и т.д.  Каждое учебное заведение самостоятельно решает вопрос об оценке общего объема подготовки, а также о том, какой уровень подготовки необходим для обучения по соответствующей программе.  Осенью 2002 года приблизительно 2 700 студентов были зачислены в вузы с учетом их общей подготовки.</w:t>
      </w:r>
    </w:p>
    <w:p w:rsidR="00000000" w:rsidRDefault="00000000"/>
    <w:p w:rsidR="00000000" w:rsidRDefault="00000000">
      <w:r>
        <w:t>398.</w:t>
      </w:r>
      <w:r>
        <w:tab/>
        <w:t xml:space="preserve">Большинство высших учебных заведений финансируются государством, но при этом имеют значительную профессиональную и административную независимость.  В 38 государственных высших учебных заведениях обучается </w:t>
      </w:r>
      <w:proofErr w:type="spellStart"/>
      <w:r>
        <w:t>88%</w:t>
      </w:r>
      <w:proofErr w:type="spellEnd"/>
      <w:r>
        <w:t> студентов.  Кроме того, имеется 20 частных колледжей, которые были утверждены в соответствии с Законом о частном высшем образовании.</w:t>
      </w:r>
    </w:p>
    <w:p w:rsidR="00000000" w:rsidRDefault="00000000"/>
    <w:p w:rsidR="00000000" w:rsidRDefault="00000000">
      <w:pPr>
        <w:rPr>
          <w:i/>
          <w:iCs/>
        </w:rPr>
      </w:pPr>
      <w:r>
        <w:rPr>
          <w:i/>
          <w:iCs/>
        </w:rPr>
        <w:t>Реформа качества - реформа высшего образования в Норвегии</w:t>
      </w:r>
    </w:p>
    <w:p w:rsidR="00000000" w:rsidRDefault="00000000">
      <w:pPr>
        <w:rPr>
          <w:i/>
          <w:iCs/>
        </w:rPr>
      </w:pPr>
    </w:p>
    <w:p w:rsidR="00000000" w:rsidRDefault="00000000">
      <w:r>
        <w:t>399.</w:t>
      </w:r>
      <w:r>
        <w:tab/>
        <w:t xml:space="preserve">В июне 2001 года стортингом было принято решение о комплексной реформе высшего образования в Норвегии (Реформа качества).  Учебные заведения должны были осуществить эту реформу не позднее начала 2003/04 учебного года.  Предлагается обратить внимание на брошюру "Реформа качества" (приложение 32).  </w:t>
      </w:r>
    </w:p>
    <w:p w:rsidR="00000000" w:rsidRDefault="00000000"/>
    <w:p w:rsidR="00000000" w:rsidRDefault="00000000">
      <w:r>
        <w:t>400.</w:t>
      </w:r>
      <w:r>
        <w:tab/>
        <w:t>Целями Реформы качества являются улучшение качества образования и научных исследований, повышение интенсивности образования и укрепление степени интернационализации.</w:t>
      </w:r>
    </w:p>
    <w:p w:rsidR="00000000" w:rsidRDefault="00000000"/>
    <w:p w:rsidR="00000000" w:rsidRDefault="00000000">
      <w:r>
        <w:t>401.</w:t>
      </w:r>
      <w:r>
        <w:tab/>
        <w:t>Студенты получат право на более эффективное использование учебного года, обязательные учебные планы и более совершенную консультативную помощь.  В то же время на нужды высшего образования будет выделяться больше средств, а достижения будут вознаграждаться.  Учебные заведения будут пользоваться гораздо большей свободой в отношении организации своей деятельности, но при этом в большей степени отвечать за достигнутые ими результаты.</w:t>
      </w:r>
    </w:p>
    <w:p w:rsidR="00000000" w:rsidRDefault="00000000"/>
    <w:p w:rsidR="00000000" w:rsidRDefault="00000000">
      <w:r>
        <w:t>402.</w:t>
      </w:r>
      <w:r>
        <w:tab/>
        <w:t>Введение новой структуры ученых степеней является важной частью Реформы качества.  Степень бакалавра, которую можно получить после трех лет обучения, и более высокая степень магистра, получаемая после следующих двух лет обучения, заменят большинство из бывших степеней и профессиональных квалификаций.  Новая структура степеней не будет распространяться на некоторые специальности, такие, как медицина, психология, ветеринарные науки, теология и общая педагогика (квалификация преподавателя в начальных и неполных средних школах).</w:t>
      </w:r>
    </w:p>
    <w:p w:rsidR="00000000" w:rsidRDefault="00000000"/>
    <w:p w:rsidR="00000000" w:rsidRDefault="00000000">
      <w:r>
        <w:t>403.</w:t>
      </w:r>
      <w:r>
        <w:tab/>
        <w:t>Хотя частные колледжи не обязаны проводить эту реформу таким же образом, как и государственные учебные заведения, большинство из них предпочли это сделать.</w:t>
      </w:r>
    </w:p>
    <w:p w:rsidR="00000000" w:rsidRDefault="00000000"/>
    <w:p w:rsidR="00000000" w:rsidRDefault="00000000">
      <w:r>
        <w:t>404.</w:t>
      </w:r>
      <w:r>
        <w:tab/>
        <w:t>В целях повышения степени мобильности через национальные границы и достижения большего равенства в области образования в настоящее время осуществляется процесс гармонизации (</w:t>
      </w:r>
      <w:proofErr w:type="spellStart"/>
      <w:r>
        <w:t>Болонский</w:t>
      </w:r>
      <w:proofErr w:type="spellEnd"/>
      <w:r>
        <w:t xml:space="preserve"> процесс) всей системы высшего образования в Европе, и проводится работа по увеличению количества студенческих обменов и по разработке </w:t>
      </w:r>
      <w:proofErr w:type="spellStart"/>
      <w:r>
        <w:t>международно</w:t>
      </w:r>
      <w:proofErr w:type="spellEnd"/>
      <w:r>
        <w:t xml:space="preserve"> признанных систем для оценки качества.  Благодаря своей Реформе качества Норвегия стала одной из ведущих стран в осуществлении этого процесса.</w:t>
      </w:r>
    </w:p>
    <w:p w:rsidR="00000000" w:rsidRDefault="00000000"/>
    <w:p w:rsidR="00000000" w:rsidRDefault="00000000">
      <w:pPr>
        <w:rPr>
          <w:i/>
          <w:iCs/>
        </w:rPr>
      </w:pPr>
      <w:r>
        <w:rPr>
          <w:i/>
          <w:iCs/>
        </w:rPr>
        <w:t>Интернационализация</w:t>
      </w:r>
    </w:p>
    <w:p w:rsidR="00000000" w:rsidRDefault="00000000">
      <w:pPr>
        <w:rPr>
          <w:i/>
          <w:iCs/>
        </w:rPr>
      </w:pPr>
    </w:p>
    <w:p w:rsidR="00000000" w:rsidRDefault="00000000">
      <w:r>
        <w:t>405.</w:t>
      </w:r>
      <w:r>
        <w:tab/>
        <w:t>Обеспечивая всестороннее участие студентов в международном обмене знаниями, норвежские университеты и колледжи добиваются повышения качества высшего образования в Норвегии.  Возрастает международное значение образования, и расширяется степень культурного, социального и языкового понимания, а конкретным студентам предоставляется возможность приобретения уникального опыта.</w:t>
      </w:r>
    </w:p>
    <w:p w:rsidR="00000000" w:rsidRDefault="00000000"/>
    <w:p w:rsidR="00000000" w:rsidRDefault="00000000">
      <w:r>
        <w:t>406.</w:t>
      </w:r>
      <w:r>
        <w:tab/>
        <w:t>Реформа качества преследует цель оказания содействия университетам и колледжам в том, чтобы они могли предоставлять своим студентам возможность обучения за рубежом в рамках их учебных курсов для получения ученой степени, поощрять их участие в международных программах, расширять обмен учащимися по таким соглашениям как "</w:t>
      </w:r>
      <w:r>
        <w:rPr>
          <w:lang w:val="en-US"/>
        </w:rPr>
        <w:t>Socrates</w:t>
      </w:r>
      <w:r>
        <w:t>/</w:t>
      </w:r>
      <w:r>
        <w:rPr>
          <w:lang w:val="en-US"/>
        </w:rPr>
        <w:t>Erasmus</w:t>
      </w:r>
      <w:r>
        <w:t xml:space="preserve">", "Норд плюс" и двухсторонние соглашения между Норвегией и зарубежными учебными заведениями, способствовать расширению обмена студентами со странами третьего мира, принимать больше иностранных студентов в Норвегию и увеличивать число курсов обучения на английском языке для поощрения международной студенческой среды в университетах и колледжах, а также выдавать вкладыши к дипломам для облегчения перевода в иностранные учебные заведения. </w:t>
      </w:r>
    </w:p>
    <w:p w:rsidR="00000000" w:rsidRDefault="00000000"/>
    <w:p w:rsidR="00000000" w:rsidRDefault="00000000">
      <w:pPr>
        <w:rPr>
          <w:i/>
          <w:iCs/>
        </w:rPr>
      </w:pPr>
      <w:r>
        <w:rPr>
          <w:i/>
          <w:iCs/>
        </w:rPr>
        <w:t>Контроль качества и признание зарубежных квалификаций</w:t>
      </w:r>
    </w:p>
    <w:p w:rsidR="00000000" w:rsidRDefault="00000000">
      <w:pPr>
        <w:rPr>
          <w:i/>
          <w:iCs/>
        </w:rPr>
      </w:pPr>
    </w:p>
    <w:p w:rsidR="00000000" w:rsidRDefault="00000000">
      <w:r>
        <w:t>407.</w:t>
      </w:r>
      <w:r>
        <w:tab/>
        <w:t>1 января 2003 года было создано независимое правительственное учреждение, получившее название Норвежское агентство по контролю качества в сфере образования (</w:t>
      </w:r>
      <w:proofErr w:type="spellStart"/>
      <w:r>
        <w:rPr>
          <w:lang w:val="en-US"/>
        </w:rPr>
        <w:t>NOKUT</w:t>
      </w:r>
      <w:proofErr w:type="spellEnd"/>
      <w:r>
        <w:t xml:space="preserve">), для обеспечения того, чтобы программы обучения во всех учебных заведениях являлись высококачественными и чтобы в них имелись эффективные системы внутреннего контроля качества собственных программ.  Кроме того, </w:t>
      </w:r>
      <w:proofErr w:type="spellStart"/>
      <w:r>
        <w:rPr>
          <w:lang w:val="en-US"/>
        </w:rPr>
        <w:t>NOKUT</w:t>
      </w:r>
      <w:proofErr w:type="spellEnd"/>
      <w:r>
        <w:t xml:space="preserve"> уполномочено рассматривать индивидуальные ходатайства, касающиеся общего признания иностранных квалификаций.  Признание </w:t>
      </w:r>
      <w:proofErr w:type="spellStart"/>
      <w:r>
        <w:rPr>
          <w:lang w:val="en-US"/>
        </w:rPr>
        <w:t>NOKUT</w:t>
      </w:r>
      <w:proofErr w:type="spellEnd"/>
      <w:r>
        <w:t xml:space="preserve"> послужит ориентиром для университетов и колледжей для прямого признания квалификаций в качестве эквивалентных их собственным ученым степеням, а также для включения зарубежных квалификаций в их учебные программы.</w:t>
      </w:r>
    </w:p>
    <w:p w:rsidR="00000000" w:rsidRDefault="00000000"/>
    <w:p w:rsidR="00000000" w:rsidRDefault="00000000">
      <w:r>
        <w:t>408.</w:t>
      </w:r>
      <w:r>
        <w:tab/>
        <w:t>С весны 2002 года введена в действие Национальная база данных для признания зарубежного высшего образования (</w:t>
      </w:r>
      <w:r>
        <w:rPr>
          <w:lang w:val="en-US"/>
        </w:rPr>
        <w:t>NAG</w:t>
      </w:r>
      <w:r>
        <w:t>).  Эта база данных была разработана в качестве одной из мер по выполнению Конвенции о признании квалификаций, относящихся к высшему образованию в европейском регионе, известной под названием Лиссабонская конвенция, которую Норвегия ратифицировала в 1999 году. Целью базы данных является рационализация административных процедур для оценки зарубежного высшего образования (содействие большему равенству обращения, улучшение информации для заявителей и административных работников и т.п.).</w:t>
      </w:r>
    </w:p>
    <w:p w:rsidR="00000000" w:rsidRDefault="00000000"/>
    <w:p w:rsidR="00000000" w:rsidRDefault="00000000">
      <w:pPr>
        <w:rPr>
          <w:i/>
          <w:iCs/>
        </w:rPr>
      </w:pPr>
      <w:r>
        <w:rPr>
          <w:i/>
          <w:iCs/>
        </w:rPr>
        <w:t>Среда обучения для студентов</w:t>
      </w:r>
    </w:p>
    <w:p w:rsidR="00000000" w:rsidRDefault="00000000">
      <w:pPr>
        <w:rPr>
          <w:i/>
          <w:iCs/>
        </w:rPr>
      </w:pPr>
    </w:p>
    <w:p w:rsidR="00000000" w:rsidRDefault="00000000">
      <w:r>
        <w:t>409.</w:t>
      </w:r>
      <w:r>
        <w:tab/>
        <w:t>Новая статья 44 Закона об университетах и колледжах определяет и закрепляет более строгие нормы, касающиеся ответственности университетов и колледжей за создание для своих студентов надлежащей среды обучения.  В Законе указано, что заведения отвечают за физические и психологические аспекты среды обучения.  Требования, касающиеся физических аспектов, уточнены в Законе в виде функциональных требований.  Закон подчеркивает право студентов с особыми потребностями на соответствующие условия обучения.  Одна из целей состоит в том, чтобы учебные заведения уделяли больше внимания своим студентам.  Теперь у всех студентов имеется предусмотренное законом право на индивидуальный учебный план.  Учебный план должен содержать нормы, касающиеся обязанностей учебного заведения по отношению к студенту, а также обязанности студента по отношению к учебному заведению и соученикам.  Министерство по делам образования и научных исследований подчеркивает важность контроля за деятельностью учебных заведений по созданию благоприятной среды обучения для студентов, особенно для студентов-инвалидов.</w:t>
      </w:r>
    </w:p>
    <w:p w:rsidR="00000000" w:rsidRDefault="00000000"/>
    <w:p w:rsidR="00000000" w:rsidRDefault="00000000">
      <w:r>
        <w:t>410.</w:t>
      </w:r>
      <w:r>
        <w:tab/>
        <w:t xml:space="preserve">Весной 2002 года были внесены подробные поправки в Закон об университетах и колледжах и в Закон о частном высшем образовании, способствующие осуществлению Реформы качества в системе высшего образования.  </w:t>
      </w:r>
    </w:p>
    <w:p w:rsidR="00000000" w:rsidRDefault="00000000"/>
    <w:p w:rsidR="00000000" w:rsidRDefault="00000000">
      <w:r>
        <w:t>411.</w:t>
      </w:r>
      <w:r>
        <w:tab/>
        <w:t xml:space="preserve">Хотя Закон об университетах и колледжах и Закон о частном высшем образовании имеют много общего, формулировки их положений во многом отличаются.  Для изучения существующего положения и подготовки предложений в отношении общего законодательства по вопросам высшего образования был создан отдельный комитет.  Этот комитет проведет более принципиальный обзор того, каким образом может быть сформулировано общее законодательство для высших учебных заведений.  Одной из важных задач общего законодательства для государственного и частного высшего образования является содействие достижению большего равенства между государственными и частными учебными заведениями.  Кроме того, общее законодательство будет более доступным для потребителей и разъяснит, какие механизмы будет использовать государство для управления высшими учебными заведениями.  </w:t>
      </w:r>
    </w:p>
    <w:p w:rsidR="00000000" w:rsidRDefault="00000000"/>
    <w:p w:rsidR="00000000" w:rsidRDefault="00000000">
      <w:pPr>
        <w:rPr>
          <w:i/>
          <w:iCs/>
        </w:rPr>
      </w:pPr>
      <w:r>
        <w:rPr>
          <w:i/>
          <w:iCs/>
        </w:rPr>
        <w:t>Количество студентов в системе высшего образования</w:t>
      </w:r>
    </w:p>
    <w:p w:rsidR="00000000" w:rsidRDefault="00000000">
      <w:pPr>
        <w:rPr>
          <w:i/>
          <w:iCs/>
        </w:rPr>
      </w:pPr>
    </w:p>
    <w:p w:rsidR="00000000" w:rsidRDefault="00000000">
      <w:r>
        <w:t>412.</w:t>
      </w:r>
      <w:r>
        <w:tab/>
        <w:t>В 90-е годы количество студентов в системе высшего образования неуклонно возрастало вплоть до 1997 года, когда было зарегистрировано приблизительно 180</w:t>
      </w:r>
      <w:r>
        <w:rPr>
          <w:lang w:val="en-US"/>
        </w:rPr>
        <w:t> </w:t>
      </w:r>
      <w:r>
        <w:t>000</w:t>
      </w:r>
      <w:r>
        <w:rPr>
          <w:lang w:val="en-US"/>
        </w:rPr>
        <w:t> </w:t>
      </w:r>
      <w:r>
        <w:t>студентов.  В 1998 году количество студентов сократилось до приблизительно 175</w:t>
      </w:r>
      <w:r>
        <w:rPr>
          <w:lang w:val="en-US"/>
        </w:rPr>
        <w:t> </w:t>
      </w:r>
      <w:r>
        <w:t>000 и в 1999 году - до приблизительно 174</w:t>
      </w:r>
      <w:r>
        <w:rPr>
          <w:lang w:val="en-US"/>
        </w:rPr>
        <w:t> </w:t>
      </w:r>
      <w:r>
        <w:t xml:space="preserve">000.  В 2000 году количество студентов возросло до примерно 177 000 и в 2001 году - до примерно 180 000.  </w:t>
      </w:r>
    </w:p>
    <w:p w:rsidR="00000000" w:rsidRDefault="00000000"/>
    <w:p w:rsidR="00000000" w:rsidRDefault="00000000">
      <w:r>
        <w:t>413.</w:t>
      </w:r>
      <w:r>
        <w:tab/>
        <w:t>В 1998 году в частных колледжах было зарегистрировано 12 111 студентов, что составляет приблизительно 7% от общего числа студентов в системе высшего образования.  В 2001 году этот показатель увеличился до 21 903, что составило 12% общего числа студентов.</w:t>
      </w:r>
    </w:p>
    <w:p w:rsidR="00000000" w:rsidRDefault="00000000"/>
    <w:p w:rsidR="00000000" w:rsidRDefault="00000000">
      <w:r>
        <w:t>414.</w:t>
      </w:r>
      <w:r>
        <w:tab/>
        <w:t>В 2002 году был представлен специальный доклад об укреплении системы высшего образования и научных исследований для саами.  На ряд учебных заведений была возложена ответственность за предоставление саами возможности получения высшего образования и проведение научных исследований, касающихся саами.  Наиболее всестороннюю деятельность в этой области в настоящее время проводит университет города Тромсё, в то время как колледжу саами, выступающему в качестве общенационального учебного заведения, было поручено обеспечение подготовки учителей из числа саами.  Колледжи в Бодио, Норд-Тренделаге и Финнмарке также предлагают учебные курсы, специально предназначенные для студентов из числа саами.</w:t>
      </w:r>
    </w:p>
    <w:p w:rsidR="00000000" w:rsidRDefault="00000000"/>
    <w:p w:rsidR="00000000" w:rsidRDefault="00000000">
      <w:r>
        <w:t>415.</w:t>
      </w:r>
      <w:r>
        <w:tab/>
        <w:t xml:space="preserve">Основной целью университета в </w:t>
      </w:r>
      <w:proofErr w:type="spellStart"/>
      <w:r>
        <w:t>Тромсё</w:t>
      </w:r>
      <w:proofErr w:type="spellEnd"/>
      <w:r>
        <w:t xml:space="preserve"> является содействие образованию и научным исследованиям в интересах населения саами.  Была определена последовательность изучения такого предмета, как язык и литература саами:  </w:t>
      </w:r>
      <w:r>
        <w:rPr>
          <w:lang w:val="en-US"/>
        </w:rPr>
        <w:t>grunnfag</w:t>
      </w:r>
      <w:r>
        <w:t xml:space="preserve"> (рассчитанный на два семестра учебный курс в университете или университетском колледже, необходимый для получения звания кандидата на степень магистра и обеспечивающий получение 20 зачетных баллов), </w:t>
      </w:r>
      <w:r>
        <w:rPr>
          <w:lang w:val="en-US"/>
        </w:rPr>
        <w:t>mellomfag</w:t>
      </w:r>
      <w:r>
        <w:t xml:space="preserve"> (рассчитанный на три семестра учебный курс в университете или университетском колледже, также необходимый для получения звания кандидата на степень магистра и дающий студенту 30 зачетных баллов), </w:t>
      </w:r>
      <w:proofErr w:type="spellStart"/>
      <w:r>
        <w:rPr>
          <w:lang w:val="en-US"/>
        </w:rPr>
        <w:t>hovedfag</w:t>
      </w:r>
      <w:proofErr w:type="spellEnd"/>
      <w:r>
        <w:t xml:space="preserve"> (экзамен, сдаваемый после полутора-двух лет занятий в аспирантуре после получения звания кандидата на степень магистра;  аспирантам, сдавшим экзамен, присваивается степень магистра), а также </w:t>
      </w:r>
      <w:proofErr w:type="spellStart"/>
      <w:r>
        <w:rPr>
          <w:lang w:val="en-US"/>
        </w:rPr>
        <w:t>doktorgrad</w:t>
      </w:r>
      <w:proofErr w:type="spellEnd"/>
      <w:r>
        <w:t xml:space="preserve"> (степень доктора).  В 1990 году был создан Научно-исследовательский центр саами, основной целью которого являлось развитие в университетах образования и научных исследований по вопросам саами.  В 2001 году был учрежден Центр научных исследований в области охраны здоровья саами, занимающийся научными исследованиями по вопросам общественного здравоохранения и условий жизни в районах проживания саами.  Университет в Тромсё также является общенациональным центром проведения научных исследований, организации обучения и распространения информации по вопросам, связанным с коренными народами.</w:t>
      </w:r>
    </w:p>
    <w:p w:rsidR="00000000" w:rsidRDefault="00000000"/>
    <w:p w:rsidR="00000000" w:rsidRDefault="00000000">
      <w:r>
        <w:t>416.</w:t>
      </w:r>
      <w:r>
        <w:tab/>
        <w:t>В 1989 году был открыт колледж саами, рассчитанный на 165 студентов.  Число преподавателей составляет около 60.  С момента своего создания колледж выполняет особую задачу по удовлетворению потребностей саами в образовании.  Это единственное учебное заведение в системе высшего образования Норвегии, где язык саами используется в повседневной деятельности администрацией колледжа, а также в процессе обучения и проведения научных исследований.  Основная задача колледжа состоит в подготовке преподавателей саами.  Вместе с тем число предметов постепенно расширилось, и в настоящее время колледж готовит, в частности, журналистов на языке саами.</w:t>
      </w:r>
    </w:p>
    <w:p w:rsidR="00000000" w:rsidRDefault="00000000"/>
    <w:p w:rsidR="00000000" w:rsidRDefault="00000000">
      <w:r>
        <w:t>417.</w:t>
      </w:r>
      <w:r>
        <w:tab/>
        <w:t xml:space="preserve">В специальном докладе, представленном в стортинг по вопросам высшего образования и научных исследований саами, который обсуждался в стортинге в 2002 году, правительство предложило обеспечить дальнейшее развитие колледжа, с тем чтобы в будущем он мог осуществлять подготовку для получения степени магистра на языках саами и дуоджи. </w:t>
      </w:r>
    </w:p>
    <w:p w:rsidR="00000000" w:rsidRDefault="00000000"/>
    <w:p w:rsidR="00000000" w:rsidRDefault="00000000">
      <w:r>
        <w:t>418.</w:t>
      </w:r>
      <w:r>
        <w:tab/>
        <w:t>В 2003 году будет разработана специальная рамочная учебная программа для подготовки учителей саами, которая позволит обеспечить большую гибкость при организации обучения.  Парламенту саами предстоит сыграть важную роль в определении содержания рамочной учебной программы.  При рассмотрении местных учебных программ колледж саами должен принять решение о том, каким образом такие соответствующие области, как социальные исследования саами и курсы подготовки по культуре и традициям саами могут быть отражены в рамочной учебной программе.</w:t>
      </w:r>
    </w:p>
    <w:p w:rsidR="00000000" w:rsidRDefault="00000000"/>
    <w:p w:rsidR="00000000" w:rsidRDefault="00000000">
      <w:pPr>
        <w:rPr>
          <w:i/>
          <w:iCs/>
        </w:rPr>
      </w:pPr>
      <w:r>
        <w:rPr>
          <w:i/>
          <w:iCs/>
        </w:rPr>
        <w:t>Образование для лиц, не завершивших начальное и неполное среднее образование</w:t>
      </w:r>
    </w:p>
    <w:p w:rsidR="00000000" w:rsidRDefault="00000000">
      <w:pPr>
        <w:rPr>
          <w:i/>
          <w:iCs/>
        </w:rPr>
      </w:pPr>
    </w:p>
    <w:p w:rsidR="00000000" w:rsidRDefault="00000000">
      <w:r>
        <w:t>419.</w:t>
      </w:r>
      <w:r>
        <w:tab/>
        <w:t xml:space="preserve">Предусмотренное законом право на получение начального и неполного среднего образования, а также полного среднего образования для взрослых вступило в силу соответственно 1 августа 2002 года и 1 августа 2000 года.  На 1 октября 2002 года 3 686 взрослых (1 592 мужчины и 2 094 женщины) посещали курсы начального и неполного среднего образования.  Из них 2 137 человек принадлежали к языковым меньшинствам.  Еще 6 855 человек получали специальное образование в зданиях начальных и неполных средних школ. </w:t>
      </w:r>
    </w:p>
    <w:p w:rsidR="00000000" w:rsidRDefault="00000000"/>
    <w:p w:rsidR="00000000" w:rsidRDefault="00000000">
      <w:r>
        <w:t>420.</w:t>
      </w:r>
      <w:r>
        <w:tab/>
        <w:t xml:space="preserve">В 2001/02 учебном году 1 500 взрослых получали начальное и неполное среднего образование.  Еще 1 869 иммигрантов в возрасте 16-20 лет получали эти виды образования за счет целевых ссуд.  </w:t>
      </w:r>
    </w:p>
    <w:p w:rsidR="00000000" w:rsidRDefault="00000000"/>
    <w:p w:rsidR="00000000" w:rsidRDefault="00000000">
      <w:r>
        <w:t>421.</w:t>
      </w:r>
      <w:r>
        <w:tab/>
        <w:t xml:space="preserve">В 2001 году 3 000 учащихся пытались сдать итоговые экзамены по одному или двум предметам.  Некоторые взрослые не участвуют в организованных программах обучения, однако пытаются сдать экзамены экстерном.  </w:t>
      </w:r>
    </w:p>
    <w:p w:rsidR="00000000" w:rsidRDefault="00000000"/>
    <w:p w:rsidR="00000000" w:rsidRDefault="00000000">
      <w:r>
        <w:t>422.</w:t>
      </w:r>
      <w:r>
        <w:tab/>
        <w:t>До 1 августа 2002 году государство предоставляло целевые ссуды на начальное и неполное среднее образование иммигрантам в возрасте от 16 до 20 лет, которые не получили такого образования в своих странах происхождения.  Предусмотренное законом право на получение начального и неполного среднего образования для взрослых также распространяется на иммигрантов в возрасте старше 16 лет, однако не охватывает просителей убежища.  Несовершеннолетние просители убежища (в возрасте от 16 до 18 лет) могут получать начальное и неполное среднее образование за счет государственных ссуд, эквивалентных тем, которые предоставляются на образование просителей убежища, относящихся по возрасту к категории лиц, для которых школьное образование является обязательным.</w:t>
      </w:r>
    </w:p>
    <w:p w:rsidR="00000000" w:rsidRDefault="00000000"/>
    <w:p w:rsidR="00000000" w:rsidRDefault="00000000">
      <w:r>
        <w:t>423.</w:t>
      </w:r>
      <w:r>
        <w:tab/>
        <w:t>На 1 октября 2002 года 30 431 иммигрант (включая беженцев и просителей убежища) посещали курсы норвежского языка и обществоведения.  Среди них насчитывалось 14 571 мужчина и 15 860 женщин.  В целом 13 723 иммигранта получили меньше образования в своих странах происхождения, чем на курсах соответствующих начальному и среднему образованию в Норвегии.</w:t>
      </w:r>
    </w:p>
    <w:p w:rsidR="00000000" w:rsidRDefault="00000000"/>
    <w:p w:rsidR="00000000" w:rsidRDefault="00000000">
      <w:r>
        <w:t>424.</w:t>
      </w:r>
      <w:r>
        <w:tab/>
        <w:t>Иммигранты, беженцы и лица, получившие вид на жительство по гуманитарным соображениям, бесплатно обучаются норвежскому языку и обществоведению.  Вместе с тем с 1 января 2003 года целевые ссуды на такое образование не предоставляются просителям убежища в возрасте старше 18 лет.</w:t>
      </w:r>
    </w:p>
    <w:p w:rsidR="00000000" w:rsidRDefault="00000000">
      <w:pPr>
        <w:rPr>
          <w:i/>
          <w:iCs/>
        </w:rPr>
      </w:pPr>
      <w:r>
        <w:rPr>
          <w:i/>
          <w:iCs/>
        </w:rPr>
        <w:t>Программа по интеграции вновь прибывших иммигрантов</w:t>
      </w:r>
    </w:p>
    <w:p w:rsidR="00000000" w:rsidRDefault="00000000">
      <w:pPr>
        <w:rPr>
          <w:i/>
          <w:iCs/>
        </w:rPr>
      </w:pPr>
    </w:p>
    <w:p w:rsidR="00000000" w:rsidRDefault="00000000">
      <w:r>
        <w:t>425.</w:t>
      </w:r>
      <w:r>
        <w:tab/>
        <w:t>В декабре 2002 года правительство представило предложение в отношении законодательства, касающегося программы по интеграции вновь прибывших иммигрантов.  В соответствии с этим законопроектом выплачиваемые муниципалитетами пособия на проживание для вновь прибывших иммигрантов будут юридически увязаны с активным участием в программе получения квалификации.  Задача состоит в замене пособий, не требующих никакого участия бенефициаров, активными мерами, направленными на получение ими квалификации, которые будут реально способствовать их привлечению к трудовой деятельности и/или образованию.</w:t>
      </w:r>
    </w:p>
    <w:p w:rsidR="00000000" w:rsidRDefault="00000000"/>
    <w:p w:rsidR="00000000" w:rsidRDefault="00000000">
      <w:r>
        <w:t>426.</w:t>
      </w:r>
      <w:r>
        <w:tab/>
        <w:t>Указанный законопроект охватывает вновь прибывших иммигрантов, нуждающихся в базовых знаниях.  Основной группой являются вновь прибывшие беженцы и лица, получившие вид на жительство по гуманитарным соображениям на основе ходатайства о предоставлении убежища, и члены их семей.</w:t>
      </w:r>
    </w:p>
    <w:p w:rsidR="00000000" w:rsidRDefault="00000000"/>
    <w:p w:rsidR="00000000" w:rsidRDefault="00000000">
      <w:r>
        <w:t>427.</w:t>
      </w:r>
      <w:r>
        <w:tab/>
        <w:t>В соответствии с законопроектом лица, нуждающиеся в базовых знаниях, будут иметь предусмотренное законом право и обязанность участвовать в одной из индивидуально разработанных программ по интеграции.  Как правило, продолжительность такой программы не будет превышать двух лет.  Цель программы по интеграции будет состоять в обучении вновь прибывших основам норвежского языка и ознакомлении их с укладом жизни в Норвегии, а также в подготовке иммигрантов к участию в трудовой жизни и/или образовании.  Лица, участвующие в программе, будут иметь право на получение установленного пособия, обеспечивающего прожиточный минимум, известного под названием "пособие для интеграции".  Предлагается, чтобы его размер составлял 2</w:t>
      </w:r>
      <w:r>
        <w:rPr>
          <w:lang w:val="en-US"/>
        </w:rPr>
        <w:t>G</w:t>
      </w:r>
      <w:r>
        <w:t xml:space="preserve"> в год.  По состоянию на 1 мая 2002 года эта сумма равнялась 108 340 нор. кронам в год.  Кроме того, участники программы по интеграции будут также иметь право на получение жилищного пособия.  В случае непосещения предусмотренных программой занятий без уважительной причины размер пособия будет сокращаться пропорционально продолжительности отсутствия.  В соответствии с законопроектом любой кандидат, который отказывается участвовать в программе по интеграции, не может рассчитывать на получение пособий по социальному обеспечению в соответствии с Законом о социальных услугах.  </w:t>
      </w:r>
    </w:p>
    <w:p w:rsidR="00000000" w:rsidRDefault="00000000"/>
    <w:p w:rsidR="00000000" w:rsidRDefault="00000000">
      <w:pPr>
        <w:rPr>
          <w:i/>
          <w:iCs/>
        </w:rPr>
      </w:pPr>
      <w:r>
        <w:rPr>
          <w:i/>
          <w:iCs/>
        </w:rPr>
        <w:t>Реформа в целях повышения уровня образованности населения</w:t>
      </w:r>
    </w:p>
    <w:p w:rsidR="00000000" w:rsidRDefault="00000000">
      <w:pPr>
        <w:rPr>
          <w:i/>
          <w:iCs/>
        </w:rPr>
      </w:pPr>
    </w:p>
    <w:p w:rsidR="00000000" w:rsidRDefault="00000000">
      <w:r>
        <w:t>428.</w:t>
      </w:r>
      <w:r>
        <w:tab/>
        <w:t>В 1998 году правительство приступило к реализации реформы подготовки без отрыва от производства и системы дальнейшего образования, получившей название Реформы в целях повышения уровня образованности населения, цель которой заключается в создании прочной основы для продолжения обучения на протяжении всей жизни и повышении общего уровня образованности населения.  Реформа отвечает потребностям общества в образованности, а также потребностям, связанным с трудовой деятельностью, и потребностям отдельных лиц.  Она касается всего взрослого населения, основана на широкой интерпретации концепции знаний и рассчитана долгосрочную перспективу.  Реформа призвана расширить возможности всех взрослых для развития и обучения на протяжении всей жизни, а также обеспечить норвежские коммерческие и промышленные предприятия более квалифицированными кадрами, необходимыми для производства материальных ценностей и оказания услуг как в частном, так и в государственном секторах.  Предусматривается, что эти меры будут носить универсальный характер, с тем чтобы они в максимально возможной степени отвечали потребностям лиц с различными способностями и впоследствии не нуждались в корректировке.</w:t>
      </w:r>
    </w:p>
    <w:p w:rsidR="00000000" w:rsidRDefault="00000000"/>
    <w:p w:rsidR="00000000" w:rsidRDefault="00000000">
      <w:r>
        <w:t>429.</w:t>
      </w:r>
      <w:r>
        <w:tab/>
        <w:t>Основными элементами Реформы в целях повышения уровня образованности населения - в дополнение к праву взрослых лиц на начальное, неполное среднее и полное среднее образование, как уже отмечалось выше, - являются:</w:t>
      </w:r>
    </w:p>
    <w:p w:rsidR="00000000" w:rsidRDefault="00000000"/>
    <w:p w:rsidR="00000000" w:rsidRDefault="00000000">
      <w:pPr>
        <w:numPr>
          <w:ilvl w:val="0"/>
          <w:numId w:val="12"/>
        </w:numPr>
        <w:tabs>
          <w:tab w:val="clear" w:pos="567"/>
          <w:tab w:val="clear" w:pos="720"/>
        </w:tabs>
        <w:ind w:left="1122" w:hanging="561"/>
      </w:pPr>
      <w:r>
        <w:t>Введение с 1 августа 2002 года системы регистрации и оценки общей (академической и неакадемической) квалификации.</w:t>
      </w:r>
    </w:p>
    <w:p w:rsidR="00000000" w:rsidRDefault="00000000">
      <w:pPr>
        <w:tabs>
          <w:tab w:val="clear" w:pos="567"/>
          <w:tab w:val="num" w:pos="561"/>
        </w:tabs>
        <w:ind w:left="1122" w:hanging="561"/>
      </w:pPr>
    </w:p>
    <w:p w:rsidR="00000000" w:rsidRDefault="00000000">
      <w:pPr>
        <w:numPr>
          <w:ilvl w:val="0"/>
          <w:numId w:val="12"/>
        </w:numPr>
        <w:tabs>
          <w:tab w:val="clear" w:pos="567"/>
          <w:tab w:val="clear" w:pos="720"/>
        </w:tabs>
        <w:ind w:left="1122" w:hanging="561"/>
      </w:pPr>
      <w:r>
        <w:t>Право на отпуск в связи с учебой для работающих лиц.  Такие лица должны иметь трудовой стаж не менее трех лет и стаж работы у одного и того же работодателя не менее двух лет.</w:t>
      </w:r>
    </w:p>
    <w:p w:rsidR="00000000" w:rsidRDefault="00000000">
      <w:pPr>
        <w:tabs>
          <w:tab w:val="clear" w:pos="567"/>
          <w:tab w:val="num" w:pos="561"/>
        </w:tabs>
        <w:ind w:left="1122" w:hanging="561"/>
      </w:pPr>
    </w:p>
    <w:p w:rsidR="00000000" w:rsidRDefault="00000000">
      <w:pPr>
        <w:numPr>
          <w:ilvl w:val="0"/>
          <w:numId w:val="12"/>
        </w:numPr>
        <w:tabs>
          <w:tab w:val="clear" w:pos="567"/>
          <w:tab w:val="clear" w:pos="720"/>
        </w:tabs>
        <w:ind w:left="1122" w:hanging="561"/>
      </w:pPr>
      <w:r>
        <w:t>Увеличение размера средств, выделяемых на обучение.  В частности, учащиеся могут зарабатывать до 100 000 нор. крон в год без сокращения размера выделяемых на обучение средств.  Размер предоставляемых на эти цели субсидий и ссуд был увеличен до 80 000 нор. крон в год.</w:t>
      </w:r>
    </w:p>
    <w:p w:rsidR="00000000" w:rsidRDefault="00000000">
      <w:pPr>
        <w:tabs>
          <w:tab w:val="clear" w:pos="567"/>
          <w:tab w:val="num" w:pos="561"/>
        </w:tabs>
        <w:ind w:left="1122" w:hanging="561"/>
      </w:pPr>
    </w:p>
    <w:p w:rsidR="00000000" w:rsidRDefault="00000000">
      <w:pPr>
        <w:numPr>
          <w:ilvl w:val="0"/>
          <w:numId w:val="12"/>
        </w:numPr>
        <w:tabs>
          <w:tab w:val="clear" w:pos="567"/>
          <w:tab w:val="clear" w:pos="720"/>
        </w:tabs>
        <w:ind w:left="1122" w:hanging="561"/>
      </w:pPr>
      <w:r>
        <w:t>Освобождение от налогообложения сумм, выделяемых на обучение работников работодателем.</w:t>
      </w:r>
    </w:p>
    <w:p w:rsidR="00000000" w:rsidRDefault="00000000">
      <w:pPr>
        <w:tabs>
          <w:tab w:val="clear" w:pos="567"/>
          <w:tab w:val="num" w:pos="561"/>
        </w:tabs>
        <w:ind w:left="1122" w:hanging="561"/>
      </w:pPr>
    </w:p>
    <w:p w:rsidR="00000000" w:rsidRDefault="00000000">
      <w:pPr>
        <w:numPr>
          <w:ilvl w:val="0"/>
          <w:numId w:val="12"/>
        </w:numPr>
        <w:tabs>
          <w:tab w:val="clear" w:pos="567"/>
          <w:tab w:val="clear" w:pos="720"/>
        </w:tabs>
        <w:ind w:left="1122" w:hanging="561"/>
      </w:pPr>
      <w:r>
        <w:t>Введение специальной программы развития людских ресурсов.</w:t>
      </w:r>
    </w:p>
    <w:p w:rsidR="00000000" w:rsidRDefault="00000000">
      <w:pPr>
        <w:tabs>
          <w:tab w:val="clear" w:pos="567"/>
          <w:tab w:val="num" w:pos="561"/>
        </w:tabs>
        <w:ind w:left="1122" w:hanging="561"/>
      </w:pPr>
    </w:p>
    <w:p w:rsidR="00000000" w:rsidRDefault="00000000">
      <w:pPr>
        <w:numPr>
          <w:ilvl w:val="0"/>
          <w:numId w:val="12"/>
        </w:numPr>
        <w:tabs>
          <w:tab w:val="clear" w:pos="567"/>
          <w:tab w:val="clear" w:pos="720"/>
        </w:tabs>
        <w:ind w:left="1122" w:hanging="561"/>
      </w:pPr>
      <w:r>
        <w:t>Различные изменения в системе государственного образования, с тем чтобы она полнее соответствовала потребностям в обучении на протяжении всей жизни.</w:t>
      </w:r>
    </w:p>
    <w:p w:rsidR="00000000" w:rsidRDefault="00000000">
      <w:pPr>
        <w:tabs>
          <w:tab w:val="clear" w:pos="567"/>
        </w:tabs>
      </w:pPr>
    </w:p>
    <w:p w:rsidR="00000000" w:rsidRDefault="00000000">
      <w:pPr>
        <w:tabs>
          <w:tab w:val="clear" w:pos="567"/>
          <w:tab w:val="left" w:pos="561"/>
        </w:tabs>
      </w:pPr>
      <w:r>
        <w:t>430.</w:t>
      </w:r>
      <w:r>
        <w:tab/>
        <w:t>Реформа в целях повышения уровня образованности населения является процессом, требующим взаимодействия между многими различными учреждениями и заинтересованными сторонами.  Основная ответственность возложена на министерство по делам образования и научных исследований, однако в этот процесс также вовлечены многие другие министерства, социальные партнеры, учреждения и организации, предлагающие образование для взрослых.</w:t>
      </w:r>
    </w:p>
    <w:p w:rsidR="00000000" w:rsidRDefault="00000000">
      <w:pPr>
        <w:tabs>
          <w:tab w:val="clear" w:pos="567"/>
          <w:tab w:val="left" w:pos="561"/>
        </w:tabs>
      </w:pPr>
    </w:p>
    <w:p w:rsidR="00000000" w:rsidRDefault="00000000">
      <w:pPr>
        <w:tabs>
          <w:tab w:val="clear" w:pos="567"/>
          <w:tab w:val="left" w:pos="561"/>
        </w:tabs>
      </w:pPr>
      <w:r>
        <w:t>431.</w:t>
      </w:r>
      <w:r>
        <w:tab/>
        <w:t>В 2002 году в соответствии с осуществленным губернскими властями проектом более 15 000 человек прошли оценку всех имеющихся у них (академических и неакадемических) знаний в сравнении со знаниями, получаемыми по завершении полного среднего образования.  Была отмечена возросшая степень признания социальными партнерами, учебными заведениями и добровольными организациями результатов оценки всей совокупности имеющихся у кандидатов навыков и знаний.  По данным колледжей, учащиеся, которые были приняты на основе всех имеющихся у них знаний, сознательно относятся к учебе и добиваются хороших результатов.</w:t>
      </w:r>
    </w:p>
    <w:p w:rsidR="00000000" w:rsidRDefault="00000000">
      <w:pPr>
        <w:tabs>
          <w:tab w:val="clear" w:pos="567"/>
          <w:tab w:val="left" w:pos="561"/>
        </w:tabs>
      </w:pPr>
    </w:p>
    <w:p w:rsidR="00000000" w:rsidRDefault="00000000">
      <w:pPr>
        <w:tabs>
          <w:tab w:val="clear" w:pos="567"/>
          <w:tab w:val="left" w:pos="561"/>
        </w:tabs>
      </w:pPr>
      <w:r>
        <w:t>432.</w:t>
      </w:r>
      <w:r>
        <w:tab/>
        <w:t>Государство оказало содействие в осуществлении около 500 проектов в соответствии с Программой углубления знаний.  С инициативами по осуществлению проектов по обучению взрослых выступили предприятия, муниципалитеты, учебные заведения, компании, отраслевые организации и социальные партнеры.  В 2002 году приоритетное внимание уделялось проектам, способствующим активизации обучения на рабочих местах.  Оценка осуществления этой программы показывает, что эти проекты в значительной мере отражают потребности рынка труда.  Были разработаны новые программы обучения, носящие более специализированный характер, и была обеспечена бо</w:t>
      </w:r>
      <w:r>
        <w:rPr>
          <w:rFonts w:ascii="Tahoma" w:hAnsi="Tahoma" w:cs="Tahoma"/>
        </w:rPr>
        <w:t></w:t>
      </w:r>
      <w:r>
        <w:t>льшая доступность уже существующих учебных курсов и программ на местном уровне и на рабочих местах.</w:t>
      </w:r>
    </w:p>
    <w:p w:rsidR="00000000" w:rsidRDefault="00000000"/>
    <w:p w:rsidR="00000000" w:rsidRDefault="00000000">
      <w:pPr>
        <w:rPr>
          <w:i/>
          <w:iCs/>
        </w:rPr>
      </w:pPr>
      <w:r>
        <w:rPr>
          <w:i/>
          <w:iCs/>
        </w:rPr>
        <w:t>Международное сотрудничество в области права на образование</w:t>
      </w:r>
    </w:p>
    <w:p w:rsidR="00000000" w:rsidRDefault="00000000">
      <w:pPr>
        <w:rPr>
          <w:i/>
          <w:iCs/>
        </w:rPr>
      </w:pPr>
    </w:p>
    <w:p w:rsidR="00000000" w:rsidRDefault="00000000">
      <w:r>
        <w:t>433.</w:t>
      </w:r>
      <w:r>
        <w:tab/>
        <w:t>В соответствии с принятой в апреле 2000 года в Дакаре Декларацией об образовании для всех (ОДВ) мировое сообщество взяло на себя обязательство приложить усилия для обеспечения того, чтобы к 2015 году каждый имел доступ к базовому образованию и чтобы к 2005 году девочкам и мальчикам были предоставлены равные возможности и обеспечено подлинно равное участие в сфере образования.  Основная ответственность за последующие меры и координацию действий по выполнению Дакарской декларации, в которой, среди прочего, предусмотрена подготовка национальных планов действий в области ОДВ всеми государствами-членами, была возложена на ЮНЕСКО.  В соответствии с этим положением национальный план действий в области ОДВ Норвегии будет завершен и представлен ЮНЕСКО весной 2003 года.  Норвегия принимает активное участие в сотрудничестве в рамках ЮНЕСКО и вносит значительные внебюджетные средства на осуществление связанных с ЮНЕСКО проектов и на деятельность учреждений в сфере образования.</w:t>
      </w:r>
    </w:p>
    <w:p w:rsidR="00000000" w:rsidRDefault="00000000"/>
    <w:p w:rsidR="00000000" w:rsidRDefault="00000000">
      <w:r>
        <w:t>434.</w:t>
      </w:r>
      <w:r>
        <w:tab/>
        <w:t xml:space="preserve">Развитию сотрудничества в области образования в целом уделяется возрастающее внимание.  Образование является жизненно необходимым для демократического развития, укрепления здоровья, охраны окружающей среды, повышения производительности, развития торговли и экономического роста.  К 2005 году правительство намерено увеличить приблизительно на </w:t>
      </w:r>
      <w:proofErr w:type="spellStart"/>
      <w:r>
        <w:t>10-15%</w:t>
      </w:r>
      <w:proofErr w:type="spellEnd"/>
      <w:r>
        <w:t xml:space="preserve"> долю, выделяемую на нужды образования в бюджете по программам развития.</w:t>
      </w:r>
    </w:p>
    <w:p w:rsidR="00000000" w:rsidRDefault="00000000"/>
    <w:p w:rsidR="00000000" w:rsidRDefault="00000000">
      <w:r>
        <w:t>435.</w:t>
      </w:r>
      <w:r>
        <w:tab/>
        <w:t>В течение многих десятилетий норвежские университеты и колледжи осуществляют сотрудничество в области образования и научных исследований с развивающимися странами, в частности в рамках специальной программы связанных с развитием научных исследований и образования.</w:t>
      </w:r>
    </w:p>
    <w:p w:rsidR="00000000" w:rsidRDefault="00000000"/>
    <w:p w:rsidR="00000000" w:rsidRDefault="00000000">
      <w:r>
        <w:t>436.</w:t>
      </w:r>
      <w:r>
        <w:tab/>
        <w:t>В 2000 году министерство по делам образования и научных исследований подписало рамочное соглашение с Норвежским агентством по международному развитию (НОРАД).  В соответствии с данным соглашением министерство будет осуществлять функции справочно-информационного центра для НОРАД, особенно в отношении развития систем государственного образования и проведения реформ в области образования.</w:t>
      </w:r>
    </w:p>
    <w:p w:rsidR="00000000" w:rsidRDefault="00000000"/>
    <w:p w:rsidR="00000000" w:rsidRDefault="00000000">
      <w:r>
        <w:t>437.</w:t>
      </w:r>
      <w:r>
        <w:tab/>
        <w:t>С 2001 по 2002 год бюджетные ассигнования по соглашению между министерством и НОРАД возросли с 1,7 млн. нор. крон до 2 млн. нор. крон.  Помимо деятельности, осуществляемой в рамках соглашения с НОРАД, министерство установило прямое сотрудничество с министерствами образования Непала и Замбии.  Бюджетные ассигнования на проекты развития в Непале и Замбии составляют соответственно 3 млн. нор. крон и 2,6 млн. нор. крон.</w:t>
      </w:r>
    </w:p>
    <w:p w:rsidR="00000000" w:rsidRDefault="00000000"/>
    <w:p w:rsidR="00000000" w:rsidRDefault="00000000">
      <w:pPr>
        <w:rPr>
          <w:b/>
          <w:bCs/>
        </w:rPr>
      </w:pPr>
      <w:r>
        <w:rPr>
          <w:b/>
          <w:bCs/>
        </w:rPr>
        <w:t>Пункт 2 руководящих принципов (трудности, возникшие при осуществлении права на образование)</w:t>
      </w:r>
    </w:p>
    <w:p w:rsidR="00000000" w:rsidRDefault="00000000">
      <w:pPr>
        <w:rPr>
          <w:sz w:val="16"/>
        </w:rPr>
      </w:pPr>
    </w:p>
    <w:p w:rsidR="00000000" w:rsidRDefault="00000000">
      <w:r>
        <w:t>438.</w:t>
      </w:r>
      <w:r>
        <w:tab/>
        <w:t xml:space="preserve">Предлагается обратить внимание на пункт 1.4 доклада "Развитие образования в 1990-2000 годах".  </w:t>
      </w:r>
    </w:p>
    <w:p w:rsidR="00000000" w:rsidRDefault="00000000"/>
    <w:p w:rsidR="00000000" w:rsidRDefault="00000000">
      <w:pPr>
        <w:rPr>
          <w:b/>
          <w:bCs/>
        </w:rPr>
      </w:pPr>
      <w:r>
        <w:rPr>
          <w:b/>
          <w:bCs/>
        </w:rPr>
        <w:t>Пункт 3 руководящих принципов (грамотность и т.д.)</w:t>
      </w:r>
    </w:p>
    <w:p w:rsidR="00000000" w:rsidRDefault="00000000">
      <w:pPr>
        <w:rPr>
          <w:sz w:val="16"/>
        </w:rPr>
      </w:pPr>
    </w:p>
    <w:p w:rsidR="00000000" w:rsidRDefault="00000000">
      <w:r>
        <w:t>439.</w:t>
      </w:r>
      <w:r>
        <w:tab/>
        <w:t>В период 2000-2002 годов навыки чтения среди учащихся стали объектом ряда обследований, в том числе обследования в рамках ПМОУ, проведенного под эгидой ОЭСР.</w:t>
      </w:r>
    </w:p>
    <w:p w:rsidR="00000000" w:rsidRDefault="00000000">
      <w:r>
        <w:t>440.</w:t>
      </w:r>
      <w:r>
        <w:tab/>
        <w:t>Результаты этих обследований показывают, что навыки чтения норвежских учащихся ниже желаемого стандартного уровня и что в данной области Норвегия соответствует среднему уровню стран ОЭСР.  Норвежские учащиеся читают меньше учащихся из других Северных стран.  Что касается чтения художественной литературы, то норвежские учащиеся не достигают среднего показателя по ОЭСР и находятся среди тех, кто наименее часто берет книги в библиотеках.  Особое беспокойство вызывают читательские привычки и интересы мальчиков.  Стратегия по поощрению любви к чтению и развитию навыков чтения была разработана на период 2003-2007 годов.</w:t>
      </w:r>
    </w:p>
    <w:p w:rsidR="00000000" w:rsidRDefault="00000000"/>
    <w:p w:rsidR="00000000" w:rsidRDefault="00000000">
      <w:pPr>
        <w:rPr>
          <w:b/>
          <w:bCs/>
        </w:rPr>
      </w:pPr>
      <w:r>
        <w:rPr>
          <w:b/>
          <w:bCs/>
        </w:rPr>
        <w:t>Пункт 4 руководящих принципов (расходы на образование)</w:t>
      </w:r>
    </w:p>
    <w:p w:rsidR="00000000" w:rsidRDefault="00000000"/>
    <w:p w:rsidR="00000000" w:rsidRDefault="00000000">
      <w:r>
        <w:t>441.</w:t>
      </w:r>
      <w:r>
        <w:tab/>
        <w:t>В 1999 году общие расходы на одного учащегося в Норвегии на 43% превышали средний уровень по странам ОЭСР (в измерении с точки зрения покупательной способности) и на 42% - средний показатель в неполных средних школах.</w:t>
      </w:r>
    </w:p>
    <w:p w:rsidR="00000000" w:rsidRDefault="00000000"/>
    <w:p w:rsidR="00000000" w:rsidRDefault="00000000">
      <w:r>
        <w:t>442.</w:t>
      </w:r>
      <w:r>
        <w:tab/>
        <w:t>Учебный год составляет 38 недель для учащихся и 39 недель для учителей.  В</w:t>
      </w:r>
      <w:r>
        <w:rPr>
          <w:lang w:val="en-US"/>
        </w:rPr>
        <w:t> </w:t>
      </w:r>
      <w:r>
        <w:t>2000</w:t>
      </w:r>
      <w:r>
        <w:noBreakHyphen/>
        <w:t xml:space="preserve">2001 году насчитывалось 3 260 начальных и неполных средних школ, в которых обучалось примерно 590 500 учащихся при трудозатратах, составивших 51 200 преподавательских </w:t>
      </w:r>
      <w:proofErr w:type="spellStart"/>
      <w:r>
        <w:t>человеко-лет</w:t>
      </w:r>
      <w:proofErr w:type="spellEnd"/>
      <w:r>
        <w:t xml:space="preserve">;  на один преподавательский </w:t>
      </w:r>
      <w:proofErr w:type="spellStart"/>
      <w:r>
        <w:t>человеко-год</w:t>
      </w:r>
      <w:proofErr w:type="spellEnd"/>
      <w:r>
        <w:t xml:space="preserve"> приходилось 10,8 учащегося.</w:t>
      </w:r>
    </w:p>
    <w:p w:rsidR="00000000" w:rsidRDefault="00000000"/>
    <w:p w:rsidR="00000000" w:rsidRDefault="00000000">
      <w:r>
        <w:t>443.</w:t>
      </w:r>
      <w:r>
        <w:tab/>
        <w:t>Информация, касающаяся изучаемых предметов и количества уроков, проведенных в начальных и неполных средних школах, содержится в докладе "Развитие системы образования, 1991-2000 годы", стр. 38 (англ. текста) и последующие страницы.</w:t>
      </w:r>
    </w:p>
    <w:p w:rsidR="00000000" w:rsidRDefault="00000000"/>
    <w:p w:rsidR="00000000" w:rsidRDefault="00000000">
      <w:r>
        <w:t>444.</w:t>
      </w:r>
      <w:r>
        <w:tab/>
        <w:t>Ответственность за предоставление и эксплуатацию школьных зданий для обучения в системе начального, неполного среднего и полного среднего образования возложена соответственно на муниципальные и губернские власти.  Охват школьным образованием является удовлетворительным во всех частях страны.  Приблизительно половина норвежских начальных и неполных средних школа имеют менее 100 учащихся, а в некоторых населенных пунктах существуют даже школы, насчитывающие менее 10 учащихся.</w:t>
      </w:r>
    </w:p>
    <w:p w:rsidR="00000000" w:rsidRDefault="00000000"/>
    <w:p w:rsidR="00000000" w:rsidRDefault="00000000">
      <w:r>
        <w:t>445.</w:t>
      </w:r>
      <w:r>
        <w:tab/>
        <w:t xml:space="preserve">Поскольку многие школы являются небольшими, детей разного возраста приходится обучать в одной классной комнате.  В 1999/2000 учебном году </w:t>
      </w:r>
      <w:proofErr w:type="spellStart"/>
      <w:r>
        <w:t>39%</w:t>
      </w:r>
      <w:proofErr w:type="spellEnd"/>
      <w:r>
        <w:t xml:space="preserve"> начальных и неполных средних школ в Норвегии имели классы с учащимися различных возрастов.  Многие начальные и неполные средние школы являются смешанными, т.е. они охватывают как начальное, так и неполное среднее образование.</w:t>
      </w:r>
    </w:p>
    <w:p w:rsidR="00000000" w:rsidRDefault="00000000"/>
    <w:p w:rsidR="00000000" w:rsidRDefault="00000000">
      <w:r>
        <w:t>446.</w:t>
      </w:r>
      <w:r>
        <w:tab/>
        <w:t>По данным доклада, упомянутого в пункте 442 выше, в 435 населенных пунктах Норвегии имеется в общей сложности 3 260 начальных и неполных средних школ.</w:t>
      </w:r>
    </w:p>
    <w:p w:rsidR="00000000" w:rsidRDefault="00000000"/>
    <w:p w:rsidR="00000000" w:rsidRDefault="00000000">
      <w:r>
        <w:t>447.</w:t>
      </w:r>
      <w:r>
        <w:tab/>
        <w:t>В соответствии с Законом об образовании ученики 2-10 классов, проживающие на расстоянии более четырех километров от школы, имеют право на школьный транспорт.  Для учеников первого класса и детей, посещающих дошкольные учреждения, максимальное расстояние составляет два километра.  Ученики, чья дорога в школу является особо опасной или трудной, имеют право на бесплатный транспорт независимо от расстояния.</w:t>
      </w:r>
    </w:p>
    <w:p w:rsidR="00000000" w:rsidRDefault="00000000"/>
    <w:p w:rsidR="00000000" w:rsidRDefault="00000000">
      <w:pPr>
        <w:rPr>
          <w:b/>
          <w:bCs/>
        </w:rPr>
      </w:pPr>
      <w:r>
        <w:rPr>
          <w:b/>
          <w:bCs/>
        </w:rPr>
        <w:t>Пункт 5 руководящих принципов (равный доступ к образованию и т.д.)</w:t>
      </w:r>
    </w:p>
    <w:p w:rsidR="00000000" w:rsidRDefault="00000000"/>
    <w:p w:rsidR="00000000" w:rsidRDefault="00000000">
      <w:r>
        <w:t>448.</w:t>
      </w:r>
      <w:r>
        <w:tab/>
        <w:t>Предлагается обратить внимание на информацию, приведенную выше.</w:t>
      </w:r>
    </w:p>
    <w:p w:rsidR="00000000" w:rsidRDefault="00000000"/>
    <w:p w:rsidR="00000000" w:rsidRDefault="00000000">
      <w:pPr>
        <w:rPr>
          <w:b/>
          <w:bCs/>
        </w:rPr>
      </w:pPr>
      <w:r>
        <w:rPr>
          <w:b/>
          <w:bCs/>
        </w:rPr>
        <w:t>Пункт 6 руководящих принципов (условия труда преподавательского состава и т.д.)</w:t>
      </w:r>
    </w:p>
    <w:p w:rsidR="00000000" w:rsidRDefault="00000000"/>
    <w:p w:rsidR="00000000" w:rsidRDefault="00000000">
      <w:pPr>
        <w:rPr>
          <w:i/>
          <w:iCs/>
        </w:rPr>
      </w:pPr>
      <w:r>
        <w:rPr>
          <w:i/>
          <w:iCs/>
        </w:rPr>
        <w:t>Уровни заработной платы преподавателей</w:t>
      </w:r>
    </w:p>
    <w:p w:rsidR="00000000" w:rsidRDefault="00000000">
      <w:pPr>
        <w:rPr>
          <w:i/>
          <w:iCs/>
        </w:rPr>
      </w:pPr>
    </w:p>
    <w:p w:rsidR="00000000" w:rsidRDefault="00000000">
      <w:r>
        <w:t>449.</w:t>
      </w:r>
      <w:r>
        <w:tab/>
        <w:t>В целом уровни заработной платы преподавателей в Норвегии являются достаточно умеренными по сравнению с покупательной способностью.  В 2000 году стартовая зарплата преподавателей в начальных и неполных средних школах была несколько выше, чем в среднем по странам ОЭСР, и более или менее соответствовала стартовой заработной плате в полных средних школах.  С другой стороны, зарплаты преподавателей с 15</w:t>
      </w:r>
      <w:r>
        <w:noBreakHyphen/>
        <w:t>летним стажем и самые высокие заработные платы были соответственно значительно (на 10-25%) ниже, чем в среднем по странам ОЭСР.</w:t>
      </w:r>
    </w:p>
    <w:p w:rsidR="00000000" w:rsidRDefault="00000000"/>
    <w:p w:rsidR="00000000" w:rsidRDefault="00000000">
      <w:r>
        <w:t>450.</w:t>
      </w:r>
      <w:r>
        <w:tab/>
        <w:t xml:space="preserve">Вместе с тем в период 2000-2002 годов зарплаты значительно возросли в результате специальных государственных дотаций и общих надбавок к заработной плате.  В 2001 году средняя заработная плата была на 14,4% выше уровня 1999 года, а после соглашения о заработной плате 2002 года зарплата учителей возросла еще на 7,7%.  Поэтому в настоящее время заработная плата преподавателей значительно превышает среднюю заработную плату промышленных рабочих.  </w:t>
      </w:r>
    </w:p>
    <w:p w:rsidR="00000000" w:rsidRDefault="00000000"/>
    <w:p w:rsidR="00000000" w:rsidRDefault="00000000">
      <w:pPr>
        <w:rPr>
          <w:b/>
          <w:bCs/>
        </w:rPr>
      </w:pPr>
      <w:r>
        <w:rPr>
          <w:b/>
          <w:bCs/>
        </w:rPr>
        <w:t>Пункт 7 руководящих принципов (частные школы и т.д.)</w:t>
      </w:r>
    </w:p>
    <w:p w:rsidR="00000000" w:rsidRDefault="00000000"/>
    <w:p w:rsidR="00000000" w:rsidRDefault="00000000">
      <w:pPr>
        <w:rPr>
          <w:i/>
          <w:iCs/>
        </w:rPr>
      </w:pPr>
      <w:r>
        <w:rPr>
          <w:i/>
          <w:iCs/>
        </w:rPr>
        <w:t>Частные или независимые школы</w:t>
      </w:r>
    </w:p>
    <w:p w:rsidR="00000000" w:rsidRDefault="00000000">
      <w:pPr>
        <w:rPr>
          <w:i/>
          <w:iCs/>
        </w:rPr>
      </w:pPr>
    </w:p>
    <w:p w:rsidR="00000000" w:rsidRDefault="00000000">
      <w:r>
        <w:t>451.</w:t>
      </w:r>
      <w:r>
        <w:tab/>
        <w:t>Частных школ в Норвегии всегда было относительно мало.  Вместе с тем ожидается, что количество частных школ возрастет, отчасти в результате нового законопроекта о независимых школах, который обсуждался в стортинге весной 2003 года.  Новый закон заменяет предыдущий Закон 1985 года о субсидировании частных школ.  Независимые школы, которые хотели бы получить этот статус в соответствии с новым законом, должны соблюдать определенные требования, касающиеся содержания и качества образования.  Предыдущее требование в отношении задачи образования было расширено, и теперь частные школы более не должны являться лишь религиозной, этической или педагогической альтернативой начальным и неполным средним школам, управляемым местными властями.  Правительство считает услуги, предоставляемые независимыми школами, важным дополнением и альтернативой услугам государственных школ и хотело бы увеличить их количество, тем самым обеспечив большее разнообразие в секторе образования, в частности, допуская предоставление лицензий частным школам на основе критериев качества образования.  Будет также разрешено создание международных школ.</w:t>
      </w:r>
    </w:p>
    <w:p w:rsidR="00000000" w:rsidRDefault="00000000"/>
    <w:p w:rsidR="00000000" w:rsidRDefault="00000000">
      <w:r>
        <w:t>452.</w:t>
      </w:r>
      <w:r>
        <w:tab/>
        <w:t>В 2001/02 учебном году в Норвегии насчитывалось 218 начальных и неполных средних частных школ, в которых обучалось около 22 000 учащихся.  Кроме того, 23 начальных, неполных средних и полных средних частных норвежских школ имелось за границей, и в них обучалось около 1 000 учащихся.  В 2001/02 учебном году доля учащихся, получавших начальное и неполное среднее образование в частных школах, составила 1,8%.  Наблюдается устойчивый рост числа учащихся, посещающих частные школы.  Для сравнения в 1990/91 учебном году этот показатель составлял 1,3%, что означает увеличение количества таких учащихся на 0,5% за 10 лет.</w:t>
      </w:r>
    </w:p>
    <w:p w:rsidR="00000000" w:rsidRDefault="00000000"/>
    <w:p w:rsidR="00000000" w:rsidRDefault="00000000">
      <w:r>
        <w:t>453.</w:t>
      </w:r>
      <w:r>
        <w:tab/>
        <w:t>Осенью 2001 года имелось 20 частных колледжей, зарегистрированных в соответствии с Законом о частном высшем образовании.  В них обучалось 21 393 студента, что составило 12% от всего количества студентов.</w:t>
      </w:r>
    </w:p>
    <w:p w:rsidR="00000000" w:rsidRDefault="00000000"/>
    <w:p w:rsidR="00000000" w:rsidRDefault="00000000">
      <w:pPr>
        <w:rPr>
          <w:b/>
          <w:bCs/>
        </w:rPr>
      </w:pPr>
      <w:r>
        <w:rPr>
          <w:b/>
          <w:bCs/>
        </w:rPr>
        <w:t>Пункт 8 руководящих принципов (изменения, отрицательно повлиявшие на осуществление права на образование)</w:t>
      </w:r>
    </w:p>
    <w:p w:rsidR="00000000" w:rsidRDefault="00000000"/>
    <w:p w:rsidR="00000000" w:rsidRDefault="00000000">
      <w:r>
        <w:t>454.</w:t>
      </w:r>
      <w:r>
        <w:tab/>
        <w:t>Без комментариев.</w:t>
      </w:r>
    </w:p>
    <w:p w:rsidR="00000000" w:rsidRDefault="00000000"/>
    <w:p w:rsidR="00000000" w:rsidRDefault="00000000">
      <w:pPr>
        <w:jc w:val="center"/>
        <w:rPr>
          <w:b/>
          <w:bCs/>
        </w:rPr>
      </w:pPr>
      <w:r>
        <w:rPr>
          <w:b/>
          <w:bCs/>
        </w:rPr>
        <w:t>Статья 14.  Бесплатное обязательное образование</w:t>
      </w:r>
    </w:p>
    <w:p w:rsidR="00000000" w:rsidRDefault="00000000">
      <w:pPr>
        <w:rPr>
          <w:b/>
          <w:bCs/>
        </w:rPr>
      </w:pPr>
    </w:p>
    <w:p w:rsidR="00000000" w:rsidRDefault="00000000">
      <w:r>
        <w:t>455.</w:t>
      </w:r>
      <w:r>
        <w:tab/>
        <w:t>Положения неприменимы.</w:t>
      </w:r>
    </w:p>
    <w:p w:rsidR="00000000" w:rsidRDefault="00000000"/>
    <w:p w:rsidR="00000000" w:rsidRDefault="00000000">
      <w:pPr>
        <w:jc w:val="center"/>
        <w:rPr>
          <w:b/>
          <w:bCs/>
        </w:rPr>
      </w:pPr>
      <w:r>
        <w:rPr>
          <w:b/>
          <w:bCs/>
        </w:rPr>
        <w:t>Статья 15.  Культура и наука</w:t>
      </w:r>
    </w:p>
    <w:p w:rsidR="00000000" w:rsidRDefault="00000000">
      <w:pPr>
        <w:rPr>
          <w:b/>
          <w:bCs/>
        </w:rPr>
      </w:pPr>
    </w:p>
    <w:p w:rsidR="00000000" w:rsidRDefault="00000000">
      <w:r>
        <w:t>456.</w:t>
      </w:r>
      <w:r>
        <w:tab/>
        <w:t>Предлагается обратить внимание на третий периодический доклад Норвегии, пункты 463-517.</w:t>
      </w:r>
    </w:p>
    <w:p w:rsidR="00000000" w:rsidRDefault="00000000">
      <w:pPr>
        <w:rPr>
          <w:b/>
          <w:bCs/>
        </w:rPr>
      </w:pPr>
      <w:r>
        <w:rPr>
          <w:b/>
          <w:bCs/>
        </w:rPr>
        <w:t>Пункт 1 руководящих принципов (меры, принятые в целях осуществления права каждого человека на участие в культурной жизни)</w:t>
      </w:r>
    </w:p>
    <w:p w:rsidR="00000000" w:rsidRDefault="00000000"/>
    <w:p w:rsidR="00000000" w:rsidRDefault="00000000">
      <w:r>
        <w:t>457.</w:t>
      </w:r>
      <w:r>
        <w:tab/>
        <w:t>Демократия и децентрализация культурной жизни являются ключевыми элементами проводимой в Норвегии культурной политики, которая предусматривает активное участие местных и региональных органов в процессе принятия решений.  Кроме того, уделяется особое внимание предоставлению возможности всему населению иметь доступ к культурной деятельности.</w:t>
      </w:r>
    </w:p>
    <w:p w:rsidR="00000000" w:rsidRDefault="00000000"/>
    <w:p w:rsidR="00000000" w:rsidRDefault="00000000">
      <w:r>
        <w:t>458.</w:t>
      </w:r>
      <w:r>
        <w:tab/>
        <w:t>Политика Норвегии в области культуры преследует три основные цели:</w:t>
      </w:r>
    </w:p>
    <w:p w:rsidR="00000000" w:rsidRDefault="00000000"/>
    <w:p w:rsidR="00000000" w:rsidRDefault="00000000">
      <w:pPr>
        <w:numPr>
          <w:ilvl w:val="0"/>
          <w:numId w:val="13"/>
        </w:numPr>
        <w:tabs>
          <w:tab w:val="clear" w:pos="567"/>
          <w:tab w:val="clear" w:pos="720"/>
        </w:tabs>
        <w:ind w:left="1134" w:hanging="567"/>
      </w:pPr>
      <w:r>
        <w:t>обеспечение доступности высокохудожественных произведений искусства и культуры для как можно большего числа людей;</w:t>
      </w:r>
    </w:p>
    <w:p w:rsidR="00000000" w:rsidRDefault="00000000">
      <w:pPr>
        <w:tabs>
          <w:tab w:val="clear" w:pos="567"/>
        </w:tabs>
      </w:pPr>
    </w:p>
    <w:p w:rsidR="00000000" w:rsidRDefault="00000000">
      <w:pPr>
        <w:numPr>
          <w:ilvl w:val="0"/>
          <w:numId w:val="13"/>
        </w:numPr>
        <w:tabs>
          <w:tab w:val="clear" w:pos="567"/>
          <w:tab w:val="clear" w:pos="720"/>
        </w:tabs>
        <w:ind w:left="1134" w:hanging="567"/>
      </w:pPr>
      <w:r>
        <w:t xml:space="preserve">поощрение различных способов оказания поддержки деятелям искусства в целях развития творчества и культуры; </w:t>
      </w:r>
    </w:p>
    <w:p w:rsidR="00000000" w:rsidRDefault="00000000">
      <w:pPr>
        <w:tabs>
          <w:tab w:val="clear" w:pos="567"/>
        </w:tabs>
      </w:pPr>
    </w:p>
    <w:p w:rsidR="00000000" w:rsidRDefault="00000000">
      <w:pPr>
        <w:numPr>
          <w:ilvl w:val="0"/>
          <w:numId w:val="13"/>
        </w:numPr>
        <w:tabs>
          <w:tab w:val="clear" w:pos="567"/>
          <w:tab w:val="clear" w:pos="720"/>
        </w:tabs>
        <w:ind w:left="1134" w:hanging="567"/>
      </w:pPr>
      <w:r>
        <w:t>принятие мер в целях сбора, сохранения и обеспечения доступности материалов, свидетельствующих о важности нашего культурного наследия и делающих его наглядным.</w:t>
      </w:r>
    </w:p>
    <w:p w:rsidR="00000000" w:rsidRDefault="00000000">
      <w:pPr>
        <w:tabs>
          <w:tab w:val="clear" w:pos="567"/>
        </w:tabs>
      </w:pPr>
    </w:p>
    <w:p w:rsidR="00000000" w:rsidRDefault="00000000">
      <w:pPr>
        <w:tabs>
          <w:tab w:val="clear" w:pos="567"/>
          <w:tab w:val="left" w:pos="561"/>
        </w:tabs>
      </w:pPr>
      <w:r>
        <w:t>459.</w:t>
      </w:r>
      <w:r>
        <w:tab/>
        <w:t xml:space="preserve">Поскольку население Норвегии рассредоточено на большой территории, большое внимание уделяется поощрению участия населения в культурной жизни во всех частях страны.  Поэтому выделяются необходимые средства на организацию гастролей признанных культурных учреждений в каждом регионе.  Имеются специальные учреждения, которым государство оплачивает организацию гастролей театральных, музыкальных, оперных и танцевальных коллективов и проведение художественных выставок в отдаленных районах страны, в которых возможности для осуществления культурной деятельности являются ограниченными.  Кроме того,  учрежденный в 1964 году Норвежский совет по делам культуры стремится децентрализовать поддержку культурным мероприятиям посредством расширения возможностей для содействия культурной жизни с учетом местных потребностей и приоритетов.  Норвежский совет по делам культуры получает финансовую помощь от государства.  Используются новые информационные и коммуникационные технологии.  В 1997 году была создана культурная сеть Kulturnett Norge, объединяющая отдельные ассоциации, охватывающие библиотеки, музеи, архивы и выставки. </w:t>
      </w:r>
    </w:p>
    <w:p w:rsidR="00000000" w:rsidRDefault="00000000">
      <w:pPr>
        <w:tabs>
          <w:tab w:val="clear" w:pos="567"/>
          <w:tab w:val="left" w:pos="561"/>
        </w:tabs>
      </w:pPr>
    </w:p>
    <w:p w:rsidR="00000000" w:rsidRDefault="00000000">
      <w:pPr>
        <w:tabs>
          <w:tab w:val="clear" w:pos="567"/>
          <w:tab w:val="left" w:pos="561"/>
        </w:tabs>
      </w:pPr>
      <w:r>
        <w:t>460.</w:t>
      </w:r>
      <w:r>
        <w:tab/>
        <w:t>В осуществлении культурной политики основную роль играют 12 законов. Целью следующих двух законов является обеспечение участия в культурной жизни всего населения:</w:t>
      </w:r>
    </w:p>
    <w:p w:rsidR="00000000" w:rsidRDefault="00000000">
      <w:pPr>
        <w:tabs>
          <w:tab w:val="clear" w:pos="567"/>
          <w:tab w:val="left" w:pos="561"/>
        </w:tabs>
      </w:pPr>
    </w:p>
    <w:p w:rsidR="00000000" w:rsidRDefault="00000000">
      <w:pPr>
        <w:numPr>
          <w:ilvl w:val="0"/>
          <w:numId w:val="14"/>
        </w:numPr>
        <w:tabs>
          <w:tab w:val="clear" w:pos="567"/>
          <w:tab w:val="clear" w:pos="720"/>
          <w:tab w:val="num" w:pos="1134"/>
        </w:tabs>
        <w:ind w:left="1134" w:hanging="567"/>
      </w:pPr>
      <w:r>
        <w:t>Закон № 5 от 13 декабря 1949 года о создании Национального гастролирующего театра;</w:t>
      </w:r>
    </w:p>
    <w:p w:rsidR="00000000" w:rsidRDefault="00000000">
      <w:pPr>
        <w:tabs>
          <w:tab w:val="clear" w:pos="567"/>
          <w:tab w:val="num" w:pos="1134"/>
        </w:tabs>
        <w:ind w:left="1134" w:hanging="567"/>
      </w:pPr>
    </w:p>
    <w:p w:rsidR="00000000" w:rsidRDefault="00000000">
      <w:pPr>
        <w:numPr>
          <w:ilvl w:val="0"/>
          <w:numId w:val="14"/>
        </w:numPr>
        <w:tabs>
          <w:tab w:val="clear" w:pos="567"/>
          <w:tab w:val="clear" w:pos="720"/>
          <w:tab w:val="num" w:pos="1134"/>
        </w:tabs>
        <w:ind w:left="1134" w:hanging="567"/>
      </w:pPr>
      <w:r>
        <w:t>Закон  № 108 от 20 декабря 1985 года о публичных библиотеках.</w:t>
      </w:r>
    </w:p>
    <w:p w:rsidR="00000000" w:rsidRDefault="00000000">
      <w:pPr>
        <w:tabs>
          <w:tab w:val="clear" w:pos="567"/>
          <w:tab w:val="num" w:pos="1134"/>
        </w:tabs>
        <w:ind w:left="1134" w:hanging="567"/>
      </w:pPr>
    </w:p>
    <w:p w:rsidR="00000000" w:rsidRDefault="00000000">
      <w:pPr>
        <w:tabs>
          <w:tab w:val="clear" w:pos="567"/>
          <w:tab w:val="left" w:pos="561"/>
        </w:tabs>
      </w:pPr>
      <w:r>
        <w:tab/>
        <w:t>В нижеперечисленных законах содержатся положения, касающиеся защиты норвежской культуры:</w:t>
      </w:r>
    </w:p>
    <w:p w:rsidR="00000000" w:rsidRDefault="00000000">
      <w:pPr>
        <w:tabs>
          <w:tab w:val="clear" w:pos="567"/>
          <w:tab w:val="left" w:pos="561"/>
        </w:tabs>
      </w:pPr>
    </w:p>
    <w:p w:rsidR="00000000" w:rsidRDefault="00000000">
      <w:pPr>
        <w:numPr>
          <w:ilvl w:val="0"/>
          <w:numId w:val="15"/>
        </w:numPr>
        <w:tabs>
          <w:tab w:val="clear" w:pos="567"/>
          <w:tab w:val="clear" w:pos="720"/>
          <w:tab w:val="num" w:pos="1134"/>
        </w:tabs>
        <w:ind w:left="1134" w:hanging="567"/>
      </w:pPr>
      <w:r>
        <w:t>Закон № 50 от 9 июня 1978 года о культурном наследии;</w:t>
      </w:r>
    </w:p>
    <w:p w:rsidR="00000000" w:rsidRDefault="00000000">
      <w:pPr>
        <w:tabs>
          <w:tab w:val="clear" w:pos="567"/>
          <w:tab w:val="num" w:pos="1134"/>
        </w:tabs>
        <w:ind w:left="1134" w:hanging="567"/>
      </w:pPr>
    </w:p>
    <w:p w:rsidR="00000000" w:rsidRDefault="00000000">
      <w:pPr>
        <w:numPr>
          <w:ilvl w:val="0"/>
          <w:numId w:val="15"/>
        </w:numPr>
        <w:tabs>
          <w:tab w:val="clear" w:pos="567"/>
          <w:tab w:val="clear" w:pos="720"/>
          <w:tab w:val="num" w:pos="1134"/>
        </w:tabs>
        <w:ind w:left="1134" w:hanging="567"/>
      </w:pPr>
      <w:r>
        <w:t>Закон № 79 от 18 июня 1971 года о Совете по вопросам норвежского языка;</w:t>
      </w:r>
    </w:p>
    <w:p w:rsidR="00000000" w:rsidRDefault="00000000">
      <w:pPr>
        <w:tabs>
          <w:tab w:val="clear" w:pos="567"/>
          <w:tab w:val="num" w:pos="1134"/>
        </w:tabs>
        <w:ind w:left="1134" w:hanging="567"/>
      </w:pPr>
    </w:p>
    <w:p w:rsidR="00000000" w:rsidRDefault="00000000">
      <w:pPr>
        <w:numPr>
          <w:ilvl w:val="0"/>
          <w:numId w:val="15"/>
        </w:numPr>
        <w:tabs>
          <w:tab w:val="clear" w:pos="567"/>
          <w:tab w:val="clear" w:pos="720"/>
          <w:tab w:val="num" w:pos="1134"/>
        </w:tabs>
        <w:ind w:left="1134" w:hanging="567"/>
      </w:pPr>
      <w:r>
        <w:t>Закон № 5 от 11 апреля 1980 года о языке, используемом в государственных учреждениях;</w:t>
      </w:r>
    </w:p>
    <w:p w:rsidR="00000000" w:rsidRDefault="00000000">
      <w:pPr>
        <w:tabs>
          <w:tab w:val="clear" w:pos="567"/>
          <w:tab w:val="num" w:pos="1134"/>
        </w:tabs>
        <w:ind w:left="1134" w:hanging="567"/>
      </w:pPr>
    </w:p>
    <w:p w:rsidR="00000000" w:rsidRDefault="00000000">
      <w:pPr>
        <w:numPr>
          <w:ilvl w:val="0"/>
          <w:numId w:val="15"/>
        </w:numPr>
        <w:tabs>
          <w:tab w:val="clear" w:pos="567"/>
          <w:tab w:val="clear" w:pos="720"/>
          <w:tab w:val="num" w:pos="1134"/>
        </w:tabs>
        <w:ind w:left="1134" w:hanging="567"/>
      </w:pPr>
      <w:r>
        <w:t>Закон № 11 от 18 мая 1990 года о географических названиях;</w:t>
      </w:r>
    </w:p>
    <w:p w:rsidR="00000000" w:rsidRDefault="00000000">
      <w:pPr>
        <w:tabs>
          <w:tab w:val="clear" w:pos="567"/>
          <w:tab w:val="num" w:pos="1134"/>
        </w:tabs>
        <w:ind w:left="1134" w:hanging="567"/>
      </w:pPr>
    </w:p>
    <w:p w:rsidR="00000000" w:rsidRDefault="00000000">
      <w:pPr>
        <w:numPr>
          <w:ilvl w:val="0"/>
          <w:numId w:val="15"/>
        </w:numPr>
        <w:tabs>
          <w:tab w:val="clear" w:pos="567"/>
          <w:tab w:val="clear" w:pos="720"/>
          <w:tab w:val="num" w:pos="1134"/>
        </w:tabs>
        <w:ind w:left="1134" w:hanging="567"/>
      </w:pPr>
      <w:r>
        <w:t>Закон № 126 от 4 декабря 1992 года об архивах;</w:t>
      </w:r>
    </w:p>
    <w:p w:rsidR="00000000" w:rsidRDefault="00000000">
      <w:pPr>
        <w:tabs>
          <w:tab w:val="clear" w:pos="567"/>
          <w:tab w:val="num" w:pos="1134"/>
        </w:tabs>
        <w:ind w:left="1134" w:hanging="567"/>
      </w:pPr>
    </w:p>
    <w:p w:rsidR="00000000" w:rsidRDefault="00000000">
      <w:pPr>
        <w:numPr>
          <w:ilvl w:val="0"/>
          <w:numId w:val="15"/>
        </w:numPr>
        <w:tabs>
          <w:tab w:val="clear" w:pos="567"/>
          <w:tab w:val="clear" w:pos="720"/>
          <w:tab w:val="num" w:pos="1134"/>
        </w:tabs>
        <w:ind w:left="1134" w:hanging="567"/>
      </w:pPr>
      <w:r>
        <w:t>Закон № 32 от 9 июня 1989 года о сдаче на хранение общедоступных документов;</w:t>
      </w:r>
    </w:p>
    <w:p w:rsidR="00000000" w:rsidRDefault="00000000">
      <w:pPr>
        <w:tabs>
          <w:tab w:val="clear" w:pos="567"/>
        </w:tabs>
      </w:pPr>
    </w:p>
    <w:p w:rsidR="00000000" w:rsidRDefault="00000000">
      <w:pPr>
        <w:numPr>
          <w:ilvl w:val="0"/>
          <w:numId w:val="15"/>
        </w:numPr>
        <w:tabs>
          <w:tab w:val="clear" w:pos="567"/>
          <w:tab w:val="clear" w:pos="720"/>
          <w:tab w:val="num" w:pos="1134"/>
        </w:tabs>
        <w:ind w:left="1134" w:hanging="567"/>
      </w:pPr>
      <w:r>
        <w:t>Закон № 56 от 12 июня 1987 года о парламенте саами и других касающихся саами правовых вопросов.  Глава 3 содержит положения, касающиеся языковых прав.</w:t>
      </w:r>
    </w:p>
    <w:p w:rsidR="00000000" w:rsidRDefault="00000000">
      <w:pPr>
        <w:tabs>
          <w:tab w:val="clear" w:pos="567"/>
        </w:tabs>
      </w:pPr>
    </w:p>
    <w:p w:rsidR="00000000" w:rsidRDefault="00000000">
      <w:pPr>
        <w:tabs>
          <w:tab w:val="clear" w:pos="567"/>
          <w:tab w:val="left" w:pos="561"/>
        </w:tabs>
      </w:pPr>
      <w:r>
        <w:t>461.</w:t>
      </w:r>
      <w:r>
        <w:tab/>
        <w:t>Следующие три закона были разработаны на основе культурной политики в целях заключения коллективных соглашений о перечислении в фонды различных организаций, занимающихся охраной авторских прав, средств из государственного бюджета.</w:t>
      </w:r>
    </w:p>
    <w:p w:rsidR="00000000" w:rsidRDefault="00000000">
      <w:pPr>
        <w:tabs>
          <w:tab w:val="clear" w:pos="567"/>
          <w:tab w:val="left" w:pos="561"/>
        </w:tabs>
      </w:pPr>
    </w:p>
    <w:p w:rsidR="00000000" w:rsidRDefault="00000000">
      <w:pPr>
        <w:numPr>
          <w:ilvl w:val="0"/>
          <w:numId w:val="16"/>
        </w:numPr>
        <w:tabs>
          <w:tab w:val="clear" w:pos="567"/>
          <w:tab w:val="clear" w:pos="720"/>
          <w:tab w:val="num" w:pos="1134"/>
        </w:tabs>
        <w:ind w:left="1134" w:hanging="567"/>
      </w:pPr>
      <w:r>
        <w:t>Закон № 23 от 29 мая 1987 года об оплате библиотечных услуг;</w:t>
      </w:r>
    </w:p>
    <w:p w:rsidR="00000000" w:rsidRDefault="00000000">
      <w:pPr>
        <w:tabs>
          <w:tab w:val="clear" w:pos="567"/>
          <w:tab w:val="num" w:pos="1134"/>
        </w:tabs>
        <w:ind w:left="1134" w:hanging="567"/>
      </w:pPr>
    </w:p>
    <w:p w:rsidR="00000000" w:rsidRDefault="00000000">
      <w:pPr>
        <w:numPr>
          <w:ilvl w:val="0"/>
          <w:numId w:val="16"/>
        </w:numPr>
        <w:tabs>
          <w:tab w:val="clear" w:pos="567"/>
          <w:tab w:val="clear" w:pos="720"/>
          <w:tab w:val="num" w:pos="1134"/>
        </w:tabs>
        <w:ind w:left="1134" w:hanging="567"/>
      </w:pPr>
      <w:r>
        <w:t>Закон № 1 от 4 ноября 1948 года, касающийся налога с продажи произведений изобразительного искусства;</w:t>
      </w:r>
    </w:p>
    <w:p w:rsidR="00000000" w:rsidRDefault="00000000">
      <w:pPr>
        <w:tabs>
          <w:tab w:val="clear" w:pos="567"/>
          <w:tab w:val="num" w:pos="1134"/>
        </w:tabs>
        <w:ind w:left="1134" w:hanging="567"/>
      </w:pPr>
    </w:p>
    <w:p w:rsidR="00000000" w:rsidRDefault="00000000">
      <w:pPr>
        <w:numPr>
          <w:ilvl w:val="0"/>
          <w:numId w:val="16"/>
        </w:numPr>
        <w:tabs>
          <w:tab w:val="clear" w:pos="567"/>
          <w:tab w:val="clear" w:pos="720"/>
        </w:tabs>
        <w:ind w:left="1134" w:hanging="567"/>
      </w:pPr>
      <w:r>
        <w:t>Закон № 52 от 28 мая 1993 года о вознаграждении за показ произведений изобразительного и прикладного искусства и т.д.</w:t>
      </w:r>
    </w:p>
    <w:p w:rsidR="00000000" w:rsidRDefault="00000000">
      <w:pPr>
        <w:tabs>
          <w:tab w:val="clear" w:pos="567"/>
        </w:tabs>
      </w:pPr>
    </w:p>
    <w:p w:rsidR="00000000" w:rsidRDefault="00000000">
      <w:pPr>
        <w:tabs>
          <w:tab w:val="clear" w:pos="567"/>
        </w:tabs>
        <w:rPr>
          <w:i/>
          <w:iCs/>
        </w:rPr>
      </w:pPr>
      <w:r>
        <w:rPr>
          <w:i/>
          <w:iCs/>
        </w:rPr>
        <w:t>Фонды и системы оказания поддержки</w:t>
      </w:r>
    </w:p>
    <w:p w:rsidR="00000000" w:rsidRDefault="00000000">
      <w:pPr>
        <w:tabs>
          <w:tab w:val="clear" w:pos="567"/>
        </w:tabs>
        <w:rPr>
          <w:i/>
          <w:iCs/>
        </w:rPr>
      </w:pPr>
    </w:p>
    <w:p w:rsidR="00000000" w:rsidRDefault="00000000">
      <w:pPr>
        <w:tabs>
          <w:tab w:val="clear" w:pos="567"/>
          <w:tab w:val="left" w:pos="561"/>
        </w:tabs>
      </w:pPr>
      <w:r>
        <w:t>462.</w:t>
      </w:r>
      <w:r>
        <w:tab/>
        <w:t>Стремясь к достижению целей своей культурной политики, министерство по делам культуры и церкви оказывает значительную поддержку в виде субсидий различным видам искусства и другим культурным мероприятиям, осуществляемым на местном и региональном уровнях.  Кроме того, финансовая поддержка предоставляется национальным учреждениям, которые организуют культурную деятельность в городских районах и местных общинах.  Существуют также специальные государственные фонды, предназначенные для организации культурных мероприятий, которыми могут воспользоваться потенциальные организаторы в любых районах страны.  Также имеются стипендии и субсидии для деятелей искусства, такие, как стипендии на осуществление творческой деятельности, стипендии на поездки, пособия на обустройство и т.д.  Приблизительно 500 деятелей искусства получают гарантированный доход от государства.  Также выделяются средства на выплату стипендий деятелям культуры из числа саами.</w:t>
      </w:r>
    </w:p>
    <w:p w:rsidR="00000000" w:rsidRDefault="00000000">
      <w:pPr>
        <w:tabs>
          <w:tab w:val="clear" w:pos="567"/>
          <w:tab w:val="left" w:pos="561"/>
        </w:tabs>
      </w:pPr>
    </w:p>
    <w:p w:rsidR="00000000" w:rsidRDefault="00000000">
      <w:pPr>
        <w:tabs>
          <w:tab w:val="clear" w:pos="567"/>
          <w:tab w:val="left" w:pos="561"/>
        </w:tabs>
      </w:pPr>
      <w:r>
        <w:t>463.</w:t>
      </w:r>
      <w:r>
        <w:tab/>
        <w:t>Ссуды предоставляются ежегодно из государственного бюджета.  В 2002 году общий объем средств, имевшихся в распоряжении министерства по делам культуры и церкви, составил 4,1 млрд. нор. крон, а размер средств, израсходованных министерством на развитие культуры, составил 3,2 млрд. нор. крон.  В 2003 году средства, потраченные на выплату стипендий, обеспечение гарантированных доходов и пополнение соответствующих фондов, предусмотренных для выплаты вознаграждения отдельным деятелям искусства, распределились следующим образом:</w:t>
      </w:r>
    </w:p>
    <w:p w:rsidR="00000000" w:rsidRDefault="00000000">
      <w:pPr>
        <w:tabs>
          <w:tab w:val="clear" w:pos="567"/>
          <w:tab w:val="left" w:pos="561"/>
        </w:tabs>
      </w:pPr>
    </w:p>
    <w:tbl>
      <w:tblPr>
        <w:tblW w:w="0" w:type="auto"/>
        <w:tblInd w:w="674" w:type="dxa"/>
        <w:tblLook w:val="0000" w:firstRow="0" w:lastRow="0" w:firstColumn="0" w:lastColumn="0" w:noHBand="0" w:noVBand="0"/>
      </w:tblPr>
      <w:tblGrid>
        <w:gridCol w:w="5529"/>
        <w:gridCol w:w="3367"/>
      </w:tblGrid>
      <w:tr w:rsidR="00000000">
        <w:tblPrEx>
          <w:tblCellMar>
            <w:top w:w="0" w:type="dxa"/>
            <w:bottom w:w="0" w:type="dxa"/>
          </w:tblCellMar>
        </w:tblPrEx>
        <w:tc>
          <w:tcPr>
            <w:tcW w:w="5529" w:type="dxa"/>
          </w:tcPr>
          <w:p w:rsidR="00000000" w:rsidRDefault="00000000">
            <w:pPr>
              <w:tabs>
                <w:tab w:val="clear" w:pos="567"/>
                <w:tab w:val="left" w:pos="561"/>
              </w:tabs>
            </w:pPr>
            <w:r>
              <w:t>Государственные стипендии:</w:t>
            </w:r>
          </w:p>
        </w:tc>
        <w:tc>
          <w:tcPr>
            <w:tcW w:w="3367" w:type="dxa"/>
          </w:tcPr>
          <w:p w:rsidR="00000000" w:rsidRDefault="00000000">
            <w:pPr>
              <w:tabs>
                <w:tab w:val="clear" w:pos="567"/>
                <w:tab w:val="left" w:pos="561"/>
              </w:tabs>
            </w:pPr>
            <w:r>
              <w:t>12 млн. нор. крон</w:t>
            </w:r>
          </w:p>
        </w:tc>
      </w:tr>
      <w:tr w:rsidR="00000000">
        <w:tblPrEx>
          <w:tblCellMar>
            <w:top w:w="0" w:type="dxa"/>
            <w:bottom w:w="0" w:type="dxa"/>
          </w:tblCellMar>
        </w:tblPrEx>
        <w:tc>
          <w:tcPr>
            <w:tcW w:w="5529" w:type="dxa"/>
          </w:tcPr>
          <w:p w:rsidR="00000000" w:rsidRDefault="00000000">
            <w:pPr>
              <w:tabs>
                <w:tab w:val="clear" w:pos="567"/>
                <w:tab w:val="left" w:pos="561"/>
              </w:tabs>
            </w:pPr>
            <w:r>
              <w:t>Стипендии для лиц, завершивших обучение:</w:t>
            </w:r>
          </w:p>
        </w:tc>
        <w:tc>
          <w:tcPr>
            <w:tcW w:w="3367" w:type="dxa"/>
          </w:tcPr>
          <w:p w:rsidR="00000000" w:rsidRDefault="00000000">
            <w:pPr>
              <w:tabs>
                <w:tab w:val="clear" w:pos="567"/>
                <w:tab w:val="left" w:pos="561"/>
              </w:tabs>
            </w:pPr>
            <w:r>
              <w:t>11 млн. нор. крон</w:t>
            </w:r>
          </w:p>
        </w:tc>
      </w:tr>
      <w:tr w:rsidR="00000000">
        <w:tblPrEx>
          <w:tblCellMar>
            <w:top w:w="0" w:type="dxa"/>
            <w:bottom w:w="0" w:type="dxa"/>
          </w:tblCellMar>
        </w:tblPrEx>
        <w:tc>
          <w:tcPr>
            <w:tcW w:w="5529" w:type="dxa"/>
          </w:tcPr>
          <w:p w:rsidR="00000000" w:rsidRDefault="00000000">
            <w:pPr>
              <w:tabs>
                <w:tab w:val="clear" w:pos="567"/>
                <w:tab w:val="left" w:pos="561"/>
              </w:tabs>
            </w:pPr>
            <w:r>
              <w:t>Стипендии деятелям искусства:</w:t>
            </w:r>
          </w:p>
        </w:tc>
        <w:tc>
          <w:tcPr>
            <w:tcW w:w="3367" w:type="dxa"/>
          </w:tcPr>
          <w:p w:rsidR="00000000" w:rsidRDefault="00000000">
            <w:pPr>
              <w:tabs>
                <w:tab w:val="clear" w:pos="567"/>
                <w:tab w:val="left" w:pos="561"/>
              </w:tabs>
            </w:pPr>
            <w:r>
              <w:t>88 млн. нор. крон</w:t>
            </w:r>
          </w:p>
        </w:tc>
      </w:tr>
      <w:tr w:rsidR="00000000">
        <w:tblPrEx>
          <w:tblCellMar>
            <w:top w:w="0" w:type="dxa"/>
            <w:bottom w:w="0" w:type="dxa"/>
          </w:tblCellMar>
        </w:tblPrEx>
        <w:tc>
          <w:tcPr>
            <w:tcW w:w="5529" w:type="dxa"/>
          </w:tcPr>
          <w:p w:rsidR="00000000" w:rsidRDefault="00000000">
            <w:pPr>
              <w:tabs>
                <w:tab w:val="clear" w:pos="567"/>
                <w:tab w:val="left" w:pos="561"/>
              </w:tabs>
            </w:pPr>
            <w:r>
              <w:t>Гарантируемые доходы:</w:t>
            </w:r>
          </w:p>
        </w:tc>
        <w:tc>
          <w:tcPr>
            <w:tcW w:w="3367" w:type="dxa"/>
          </w:tcPr>
          <w:p w:rsidR="00000000" w:rsidRDefault="00000000">
            <w:pPr>
              <w:tabs>
                <w:tab w:val="clear" w:pos="567"/>
                <w:tab w:val="left" w:pos="561"/>
              </w:tabs>
            </w:pPr>
            <w:r>
              <w:t>83 млн. нор. крон</w:t>
            </w:r>
          </w:p>
        </w:tc>
      </w:tr>
      <w:tr w:rsidR="00000000">
        <w:tblPrEx>
          <w:tblCellMar>
            <w:top w:w="0" w:type="dxa"/>
            <w:bottom w:w="0" w:type="dxa"/>
          </w:tblCellMar>
        </w:tblPrEx>
        <w:tc>
          <w:tcPr>
            <w:tcW w:w="5529" w:type="dxa"/>
          </w:tcPr>
          <w:p w:rsidR="00000000" w:rsidRDefault="00000000">
            <w:pPr>
              <w:tabs>
                <w:tab w:val="clear" w:pos="567"/>
                <w:tab w:val="left" w:pos="561"/>
              </w:tabs>
            </w:pPr>
            <w:r>
              <w:t>Различие системы вознаграждения:</w:t>
            </w:r>
          </w:p>
        </w:tc>
        <w:tc>
          <w:tcPr>
            <w:tcW w:w="3367" w:type="dxa"/>
          </w:tcPr>
          <w:p w:rsidR="00000000" w:rsidRDefault="00000000">
            <w:pPr>
              <w:tabs>
                <w:tab w:val="clear" w:pos="567"/>
                <w:tab w:val="left" w:pos="561"/>
              </w:tabs>
            </w:pPr>
            <w:r>
              <w:t>93 млн. нор. крон</w:t>
            </w:r>
          </w:p>
        </w:tc>
      </w:tr>
    </w:tbl>
    <w:p w:rsidR="00000000" w:rsidRDefault="00000000">
      <w:pPr>
        <w:tabs>
          <w:tab w:val="clear" w:pos="567"/>
          <w:tab w:val="left" w:pos="561"/>
        </w:tabs>
      </w:pPr>
    </w:p>
    <w:p w:rsidR="00000000" w:rsidRDefault="00000000">
      <w:pPr>
        <w:tabs>
          <w:tab w:val="clear" w:pos="567"/>
          <w:tab w:val="left" w:pos="561"/>
        </w:tabs>
        <w:rPr>
          <w:i/>
          <w:iCs/>
        </w:rPr>
      </w:pPr>
      <w:r>
        <w:rPr>
          <w:i/>
          <w:iCs/>
        </w:rPr>
        <w:t>Институциональная инфраструктура</w:t>
      </w:r>
    </w:p>
    <w:p w:rsidR="00000000" w:rsidRDefault="00000000">
      <w:pPr>
        <w:tabs>
          <w:tab w:val="clear" w:pos="567"/>
          <w:tab w:val="left" w:pos="561"/>
        </w:tabs>
        <w:rPr>
          <w:i/>
          <w:iCs/>
        </w:rPr>
      </w:pPr>
    </w:p>
    <w:p w:rsidR="00000000" w:rsidRDefault="00000000">
      <w:r>
        <w:t>464.</w:t>
      </w:r>
      <w:r>
        <w:tab/>
        <w:t xml:space="preserve">Как отмечалось в пункте 474 третьего периодического доклада Норвегии, страна осуществляет свою культурную политику посредством сети национальных, региональных и местных культурных учреждений на всей ее территории.  Одним из новых явлений стало создание в 2002 году гастролирующего театра для глухонемых.  На отдельных представлениях в постоянно действующих театрах также оплачиваются услуги по </w:t>
      </w:r>
      <w:proofErr w:type="spellStart"/>
      <w:r>
        <w:t>сурдопереводу</w:t>
      </w:r>
      <w:proofErr w:type="spellEnd"/>
      <w:r>
        <w:t>.</w:t>
      </w:r>
    </w:p>
    <w:p w:rsidR="00000000" w:rsidRDefault="00000000"/>
    <w:p w:rsidR="00000000" w:rsidRDefault="00000000">
      <w:pPr>
        <w:keepNext/>
      </w:pPr>
      <w:r>
        <w:rPr>
          <w:i/>
          <w:iCs/>
        </w:rPr>
        <w:t>Поощрение культурной самобытности</w:t>
      </w:r>
    </w:p>
    <w:p w:rsidR="00000000" w:rsidRDefault="00000000">
      <w:pPr>
        <w:keepNext/>
      </w:pPr>
    </w:p>
    <w:p w:rsidR="00000000" w:rsidRDefault="00000000">
      <w:r>
        <w:t>465.</w:t>
      </w:r>
      <w:r>
        <w:tab/>
        <w:t>Одной из целей политики Норвегии в области культуры является поощрение культурной самобытности в мультикультурном обществе.  Норвежская культура, история и традиции изучаются в норвежских школах.</w:t>
      </w:r>
    </w:p>
    <w:p w:rsidR="00000000" w:rsidRDefault="00000000"/>
    <w:p w:rsidR="00000000" w:rsidRDefault="00000000">
      <w:pPr>
        <w:keepNext/>
      </w:pPr>
      <w:r>
        <w:rPr>
          <w:i/>
          <w:iCs/>
        </w:rPr>
        <w:t>Меньшинства и коренные народы</w:t>
      </w:r>
    </w:p>
    <w:p w:rsidR="00000000" w:rsidRDefault="00000000">
      <w:pPr>
        <w:keepNext/>
      </w:pPr>
    </w:p>
    <w:p w:rsidR="00000000" w:rsidRDefault="00000000">
      <w:r>
        <w:t>466.</w:t>
      </w:r>
      <w:r>
        <w:tab/>
        <w:t>Культуре народа саами уделяется особое внимание.  Закон о народе саами наделяет его правом использовать свой родной язык при обращении в местные и региональные органы власти.</w:t>
      </w:r>
    </w:p>
    <w:p w:rsidR="00000000" w:rsidRDefault="00000000"/>
    <w:p w:rsidR="00000000" w:rsidRDefault="00000000">
      <w:r>
        <w:t>467.</w:t>
      </w:r>
      <w:r>
        <w:tab/>
        <w:t>Норвегия была первым государством, ратифицировавшим Европейскую хартию местных языков и языков меньшинств.  Предлагается обратить внимание на второй периодический доклад Норвегии об осуществлении положений данной Хартии, представленный в марте 2002 года (приложение 33).</w:t>
      </w:r>
    </w:p>
    <w:p w:rsidR="00000000" w:rsidRDefault="00000000"/>
    <w:p w:rsidR="00000000" w:rsidRDefault="00000000">
      <w:r>
        <w:t>468.</w:t>
      </w:r>
      <w:r>
        <w:tab/>
        <w:t>В целях повышения роли народа саами и расширение его полномочий в процессе принятия решений, непосредственно затрагивающих интересы саами, парламенту саами было поручено распределение ссуд среди организаций саами на цели развития культуры и языка, а также самостоятельное решение многочисленных вопросов, находившихся ранее в ведении центрального правительства, которые имеют особую важность для культуры саами.  Тем не менее общая ответственность за проводимую в отношении саами политику возложена на центральное правительство.  Размер средств, выделяемых на деятельность парламента саами, возрос с 31,7 млн. нор. крон в 1990 году, когда парламент саами только приступил к выполнению своих обязанностей, до 225 млн. нор. крон в 2004 году.</w:t>
      </w:r>
    </w:p>
    <w:p w:rsidR="00000000" w:rsidRDefault="00000000"/>
    <w:p w:rsidR="00000000" w:rsidRDefault="00000000">
      <w:r>
        <w:t>469.</w:t>
      </w:r>
      <w:r>
        <w:tab/>
        <w:t>Информация о создании Фонда для народа саами содержится в пункте 66 шестнадцатого периодического доклада Норвегии, представленного Комитету Организации Объединенных Наций по ликвидации расовой дискриминации (CERD/C/430/Add.2).  В мае 2002 года парламент саами согласился с созданием такого фонда при условии, что правительство попытается удовлетворить претензии в отношении компенсации, поступившие от представителей саами, которые были лишены возможности школьного образования в ходе второй мировой войны.  В настоящее время правительство занимается разработкой общего подхода к решению данного вопроса и других аналогичных претензий.  Дальнейшее рассмотрение вопроса о том, каким образом следует реагировать на претензии представителей народа саами, лишившихся возможности получить школьное образование, будет продолжено после проведения общей оценки сложившейся ситуации.  В силу этих причин Фонд для народа саами до сих пор не использовался.</w:t>
      </w:r>
    </w:p>
    <w:p w:rsidR="00000000" w:rsidRDefault="00000000"/>
    <w:p w:rsidR="00000000" w:rsidRDefault="00000000">
      <w:r>
        <w:t>470.</w:t>
      </w:r>
      <w:r>
        <w:tab/>
        <w:t>Само правительство также управляет системами выплаты ссуд народу саами и другим национальным меньшинствам.  Система выделения ссуд на нужды населения саами преследует цель сохранения, развития и поощрения самобытности, культуры и социальной жизни саами.  В предстоящие годы одной из основных приоритетных областей для правительства будет являться язык народа саами и информация о положении саами.  В 2004 году на эти цели было выделено 3,7 млн. нор. крон.</w:t>
      </w:r>
    </w:p>
    <w:p w:rsidR="00000000" w:rsidRDefault="00000000"/>
    <w:p w:rsidR="00000000" w:rsidRDefault="00000000">
      <w:r>
        <w:t>471.</w:t>
      </w:r>
      <w:r>
        <w:tab/>
        <w:t>В целях осуществления Рамочной конвенции Совета Европы о защите национальных меньшинств была введена система выплаты специальных ссуд национальным меньшинствам Норвегии (в их число входят евреи, квены, рома/цыгане, рома/тревеллерс и финское меньшинство).  Оказывается содействие в осуществлении деятельности, которая способствует активному участию населения в жизни в обществе, мерам по борьбе с дискриминацией, самоорганизации и сохранению самобытности и культуры и может распространяться на добровольные организации и региональные органы власти.  В 2004 году на эти цели было выделено 2,9 млн. нор. крон.</w:t>
      </w:r>
    </w:p>
    <w:p w:rsidR="00000000" w:rsidRDefault="00000000"/>
    <w:p w:rsidR="00000000" w:rsidRDefault="00000000">
      <w:r>
        <w:t>472.</w:t>
      </w:r>
      <w:r>
        <w:tab/>
        <w:t>Одна из трудностей в связи с организацией культурных программ для определенных групп меньшинств заключается в часто возникающих дискуссиях по поводу того, кто является представителем данной группы и таким образом вправе принимать участие в консультативных группах и т.д.</w:t>
      </w:r>
    </w:p>
    <w:p w:rsidR="00000000" w:rsidRDefault="00000000"/>
    <w:p w:rsidR="00000000" w:rsidRDefault="00000000">
      <w:pPr>
        <w:keepNext/>
      </w:pPr>
      <w:r>
        <w:rPr>
          <w:i/>
          <w:iCs/>
        </w:rPr>
        <w:t>Средства массовой информации</w:t>
      </w:r>
    </w:p>
    <w:p w:rsidR="00000000" w:rsidRDefault="00000000">
      <w:pPr>
        <w:keepNext/>
      </w:pPr>
    </w:p>
    <w:p w:rsidR="00000000" w:rsidRDefault="00000000">
      <w:r>
        <w:t>473.</w:t>
      </w:r>
      <w:r>
        <w:tab/>
        <w:t>В Норвегии охват населения периодическими изданиями является чрезвычайно высоким.  Помимо общенациональных газет, в стране существует большое число местных и региональных органов печати.  Местные газеты и радиостанции содействуют участию населения в проведении культурных мероприятий на местах.  Для обеспечения многообразия национальных средств массовой информации многим норвежским периодическим изданиям выплачиваются официальные субсидии.  В 2002 году размеры таких субсидий составили 235 млн. нор. крон.</w:t>
      </w:r>
    </w:p>
    <w:p w:rsidR="00000000" w:rsidRDefault="00000000"/>
    <w:p w:rsidR="00000000" w:rsidRDefault="00000000">
      <w:pPr>
        <w:keepNext/>
      </w:pPr>
      <w:r>
        <w:rPr>
          <w:i/>
          <w:iCs/>
        </w:rPr>
        <w:t>Культурное наследие</w:t>
      </w:r>
    </w:p>
    <w:p w:rsidR="00000000" w:rsidRDefault="00000000">
      <w:pPr>
        <w:keepNext/>
      </w:pPr>
    </w:p>
    <w:p w:rsidR="00000000" w:rsidRDefault="00000000">
      <w:r>
        <w:t>474.</w:t>
      </w:r>
      <w:r>
        <w:tab/>
        <w:t>Закон о культурном наследии, о котором говорилось в пунктах 481 и 482 третьего периодического доклада Норвегии, обеспечивает правовую базу для сохранения культурного наследия.  Сохранение культурного наследия, являющееся одним из важнейших направлений в деятельности министерства по делам культуры и церкви, обеспечивается, среди прочего, посредством предоставления субсидий архивам, библиотекам и музеям.  Для осуществления общего управления в данном секторе был создан специальный административный орган - Норвежское управление по делам архивов, библиотек и музеев.</w:t>
      </w:r>
    </w:p>
    <w:p w:rsidR="00000000" w:rsidRDefault="00000000"/>
    <w:p w:rsidR="00000000" w:rsidRDefault="00000000">
      <w:r>
        <w:t>475.</w:t>
      </w:r>
      <w:r>
        <w:tab/>
        <w:t>Помимо этого, в настоящее время проводится работа с целью ратификации Конвенции Организации Объединенных Наций по вопросам образования, науки и культуры 1970 года о мерах, направленных на запрещение и предупреждение незаконного ввоза, вывоза и передачи права собственности на культурные ценности.</w:t>
      </w:r>
    </w:p>
    <w:p w:rsidR="00000000" w:rsidRDefault="00000000"/>
    <w:p w:rsidR="00000000" w:rsidRDefault="00000000">
      <w:pPr>
        <w:rPr>
          <w:i/>
          <w:iCs/>
        </w:rPr>
      </w:pPr>
      <w:r>
        <w:rPr>
          <w:i/>
          <w:iCs/>
        </w:rPr>
        <w:t>Свобода творческой деятельности</w:t>
      </w:r>
    </w:p>
    <w:p w:rsidR="00000000" w:rsidRDefault="00000000">
      <w:pPr>
        <w:rPr>
          <w:i/>
          <w:iCs/>
        </w:rPr>
      </w:pPr>
    </w:p>
    <w:p w:rsidR="00000000" w:rsidRDefault="00000000">
      <w:r>
        <w:t>476.</w:t>
      </w:r>
      <w:r>
        <w:tab/>
        <w:t>Как указано в третьем периодическом докладе Норвегии, свобода творческой деятельности охраняется статьей 100 Конституции.  В культурной политике используется принцип "вытянутой руки".  Это означает, что вопросы, касающиеся стипендий и оказания поддержки конкретным деятелям искусства, решаются советами и комитетами, которые в основном состоят из представителей соответствующих групп творческих деятелей.  Средства выделяются в соответствии с их профессиональными суждениями, которые не могут быть обжалованы в министерстве по делам культуры и церкви.  Соблюдение принципа "вытянутой руки" обеспечивается посредством нормативных положений и руководящих принципов, касающихся различных систем предоставления стипендий творческим работникам.</w:t>
      </w:r>
    </w:p>
    <w:p w:rsidR="00000000" w:rsidRDefault="00000000"/>
    <w:p w:rsidR="00000000" w:rsidRDefault="00000000">
      <w:pPr>
        <w:rPr>
          <w:b/>
          <w:bCs/>
        </w:rPr>
      </w:pPr>
      <w:r>
        <w:rPr>
          <w:b/>
          <w:bCs/>
        </w:rPr>
        <w:t>Пункт 2 руководящих принципов (право пользования результатами научного прогресса и их практического применения)</w:t>
      </w:r>
    </w:p>
    <w:p w:rsidR="00000000" w:rsidRDefault="00000000"/>
    <w:p w:rsidR="00000000" w:rsidRDefault="00000000">
      <w:pPr>
        <w:rPr>
          <w:i/>
          <w:iCs/>
        </w:rPr>
      </w:pPr>
      <w:r>
        <w:rPr>
          <w:i/>
          <w:iCs/>
        </w:rPr>
        <w:t>Применение и поощрение принципа распространения информации о научном прогрессе</w:t>
      </w:r>
    </w:p>
    <w:p w:rsidR="00000000" w:rsidRDefault="00000000">
      <w:pPr>
        <w:rPr>
          <w:i/>
          <w:iCs/>
        </w:rPr>
      </w:pPr>
    </w:p>
    <w:p w:rsidR="00000000" w:rsidRDefault="00000000">
      <w:r>
        <w:t>477.</w:t>
      </w:r>
      <w:r>
        <w:tab/>
        <w:t>Распространение информации о научных исследованиях и применении результатов научных исследований имеет большое значение.  Это было особо отмечено в докладах о политике в области научных исследований в 90-е годы (см. доклад № 36 (1992-1993 годы), представленный в стортинг по вопросу научных исследований и общества (резюме на английском языке прилагается к третьему периодическому докладу), и доклад № 39 (1998</w:t>
      </w:r>
      <w:r>
        <w:noBreakHyphen/>
        <w:t>1999 годы), представленный в стортинг по вопросу о научных исследованиях на пороге новой эры).  В последнем докладе подчеркивается основополагающая роль научных исследований в обществе, опирающемся на знания, в качестве исходного пункта для проведения общественной дискуссии и одного из факторов, способствующих развитию нашей культуры и обеспечению экономического роста.  Важно наладить эффективную связь между научными исследованиями и обществом посредством создания соответствующих сетей с участием государственных учреждений и организаций, укрепления сотрудничества с деловыми и промышленными кругами, а также обеспечения того, чтобы распространение информации стало неотъемлемой частью научной деятельности.  В докладе также подчеркивается важность соблюдения этических норм в области научных исследований.</w:t>
      </w:r>
    </w:p>
    <w:p w:rsidR="00000000" w:rsidRDefault="00000000"/>
    <w:p w:rsidR="00000000" w:rsidRDefault="00000000">
      <w:r>
        <w:t>478.</w:t>
      </w:r>
      <w:r>
        <w:tab/>
        <w:t xml:space="preserve">В 1999 году был создан </w:t>
      </w:r>
      <w:r>
        <w:rPr>
          <w:i/>
          <w:iCs/>
        </w:rPr>
        <w:t>Технологический совет</w:t>
      </w:r>
      <w:r>
        <w:t xml:space="preserve"> для поощрения </w:t>
      </w:r>
      <w:proofErr w:type="spellStart"/>
      <w:r>
        <w:t>транспарентности</w:t>
      </w:r>
      <w:proofErr w:type="spellEnd"/>
      <w:r>
        <w:t xml:space="preserve"> научных исследований и проведения публичных обсуждений по вопросам исследований.  Совету поручено проведение оценок технологий во всех сферах жизни общества и распространение информации о преимуществах и недостатках новых технологий.</w:t>
      </w:r>
    </w:p>
    <w:p w:rsidR="00000000" w:rsidRDefault="00000000"/>
    <w:p w:rsidR="00000000" w:rsidRDefault="00000000">
      <w:r>
        <w:t>479.</w:t>
      </w:r>
      <w:r>
        <w:tab/>
        <w:t xml:space="preserve">Рациональная организация норвежских научных исследований поможет обеспечить эффективное использование их результатов.  Этому способствовало объединение в 1992 году нескольких научно-исследовательских советов в Совет по научным исследованиям Норвегии.  В докладе за 1993 год изложены принципы информационной стратегии, в которой особое внимание уделяется детям и молодежи.  В этой связи ключевая роль была предоставлена Совету по научным исследованиям Норвегии, и он начал проводить ежегодные </w:t>
      </w:r>
      <w:r>
        <w:rPr>
          <w:i/>
          <w:iCs/>
        </w:rPr>
        <w:t>Дни науки</w:t>
      </w:r>
      <w:r>
        <w:t>.  Ежегодно в течение одной недели по всей стране организуются различные мероприятия, на которых научные исследования предлагаются вниманию широкой общественности посредством выставок, демонстрации исследовательских проектов, семинаров и т.п., а также проводится присуждение специальной премии в области информации.</w:t>
      </w:r>
    </w:p>
    <w:p w:rsidR="00000000" w:rsidRDefault="00000000"/>
    <w:p w:rsidR="00000000" w:rsidRDefault="00000000">
      <w:r>
        <w:t>480.</w:t>
      </w:r>
      <w:r>
        <w:tab/>
        <w:t xml:space="preserve">Правительство также учредило фонд для присуждения новой международной премии в области математики, </w:t>
      </w:r>
      <w:r>
        <w:rPr>
          <w:i/>
          <w:iCs/>
        </w:rPr>
        <w:t>Премии Абеля</w:t>
      </w:r>
      <w:r>
        <w:t xml:space="preserve">, которую можно сравнить с Нобелевской премией в других областях и которая была создана в память о норвежском математике </w:t>
      </w:r>
      <w:proofErr w:type="spellStart"/>
      <w:r>
        <w:t>Нильсе</w:t>
      </w:r>
      <w:proofErr w:type="spellEnd"/>
      <w:r>
        <w:t xml:space="preserve"> Хенрике Абеле.  Эта премия будет способствовать повышению статуса математики в обществе в целом и стимулировать интерес молодежи к научным исследованиям.</w:t>
      </w:r>
    </w:p>
    <w:p w:rsidR="00000000" w:rsidRDefault="00000000"/>
    <w:p w:rsidR="00000000" w:rsidRDefault="00000000">
      <w:r>
        <w:t>481.</w:t>
      </w:r>
      <w:r>
        <w:tab/>
        <w:t xml:space="preserve">На Совет по научным исследованиям Норвегии была возложена ключевая роль в области разработки мер по поощрению интереса к научным исследованиям среди школ и учеников.  В рамках этих усилий Совет по научным исследованиям отвечает за проведение программы, получившей название "Любознательный </w:t>
      </w:r>
      <w:proofErr w:type="spellStart"/>
      <w:r>
        <w:t>Джордж</w:t>
      </w:r>
      <w:proofErr w:type="spellEnd"/>
      <w:r>
        <w:t xml:space="preserve">".  Став участниками программы, школьные классы получают журнал, в котором представлены различные научные темы, а также описаны проблемы в качестве основы для работы над поиском решений.  Ежегодно присуждается премия "Любознательный </w:t>
      </w:r>
      <w:proofErr w:type="spellStart"/>
      <w:r>
        <w:t>Джордж</w:t>
      </w:r>
      <w:proofErr w:type="spellEnd"/>
      <w:r>
        <w:t xml:space="preserve">".  Количество классов, принимающих участие в этой программе, неуклонно возрастает, и "Любознательный </w:t>
      </w:r>
      <w:proofErr w:type="spellStart"/>
      <w:r>
        <w:t>Джордж</w:t>
      </w:r>
      <w:proofErr w:type="spellEnd"/>
      <w:r>
        <w:t xml:space="preserve">" рассматривается как одна из наиболее успешных инициатив, предназначенных для молодежи.  Среди школьников также проводятся викторины по математике, получившие название </w:t>
      </w:r>
      <w:proofErr w:type="spellStart"/>
      <w:r>
        <w:rPr>
          <w:lang w:val="en-US"/>
        </w:rPr>
        <w:t>KappAbel</w:t>
      </w:r>
      <w:proofErr w:type="spellEnd"/>
      <w:r>
        <w:t xml:space="preserve">.  Кроме того в 2003 году правительство приступило к осуществлению </w:t>
      </w:r>
      <w:r>
        <w:rPr>
          <w:i/>
          <w:iCs/>
        </w:rPr>
        <w:t>Плана действий по научным предметам</w:t>
      </w:r>
      <w:r>
        <w:t>, который включает в себя меры по поощрению развития интереса к математике и научным предметам в области образования и исследовательской деятельности.</w:t>
      </w:r>
    </w:p>
    <w:p w:rsidR="00000000" w:rsidRDefault="00000000"/>
    <w:p w:rsidR="00000000" w:rsidRDefault="00000000">
      <w:r>
        <w:t>482.</w:t>
      </w:r>
      <w:r>
        <w:tab/>
        <w:t>В число других общенациональных викторин для молодежи входит викторина "Молодые исследователи", победителям которой ежегодно присуждаются общенациональные призы.  Это мероприятие связано с проведением конкурса среди молодых исследователей из стран ЕС, победили которого награждаются общеевропейскими призами.  В рамках этого конкурса для молодых людей организуются летние лагеря и местные исследовательские клубы.</w:t>
      </w:r>
    </w:p>
    <w:p w:rsidR="00000000" w:rsidRDefault="00000000"/>
    <w:p w:rsidR="00000000" w:rsidRDefault="00000000">
      <w:r>
        <w:t>483.</w:t>
      </w:r>
      <w:r>
        <w:tab/>
        <w:t>Еще одним важным средством поощрения интереса к научным исследованиям является использование средств массовой информации.  Норвежская радиовещательная корпорация (</w:t>
      </w:r>
      <w:proofErr w:type="spellStart"/>
      <w:r>
        <w:t>НРК</w:t>
      </w:r>
      <w:proofErr w:type="spellEnd"/>
      <w:r>
        <w:t>) уже несколько лет регулярно передает посвященную вопросам научных исследований программу "</w:t>
      </w:r>
      <w:r>
        <w:rPr>
          <w:i/>
          <w:iCs/>
        </w:rPr>
        <w:t>Ньютон</w:t>
      </w:r>
      <w:r>
        <w:t>", которая ориентирована на молодежь.</w:t>
      </w:r>
    </w:p>
    <w:p w:rsidR="00000000" w:rsidRDefault="00000000"/>
    <w:p w:rsidR="00000000" w:rsidRDefault="00000000">
      <w:r>
        <w:t>484.</w:t>
      </w:r>
      <w:r>
        <w:tab/>
        <w:t>Одной из важных целей политики правительства является поощрение более активного сотрудничества между представителями науки, деловых и промышленных кругов.  Основное внимание уделяется новаторству, и в настоящее время осуществляется разработка национального плана действий в области новаторства.  В 2002 году была принята поправка к законодательству, позволяющая университетам и колледжам распоряжаться, если они этого пожелают, правом научных сотрудников патентовать и использовать изобретения.  Это было сделано с целью активизации распространения информации о результатах научных исследований среди коммерческих компаний и других заинтересованных сторон.</w:t>
      </w:r>
    </w:p>
    <w:p w:rsidR="00000000" w:rsidRDefault="00000000"/>
    <w:p w:rsidR="00000000" w:rsidRDefault="00000000">
      <w:pPr>
        <w:rPr>
          <w:i/>
          <w:iCs/>
        </w:rPr>
      </w:pPr>
      <w:r>
        <w:rPr>
          <w:i/>
          <w:iCs/>
        </w:rPr>
        <w:t>Экологические научные исследования</w:t>
      </w:r>
    </w:p>
    <w:p w:rsidR="00000000" w:rsidRDefault="00000000">
      <w:pPr>
        <w:rPr>
          <w:i/>
          <w:iCs/>
        </w:rPr>
      </w:pPr>
    </w:p>
    <w:p w:rsidR="00000000" w:rsidRDefault="00000000">
      <w:r>
        <w:t>485.</w:t>
      </w:r>
      <w:r>
        <w:tab/>
        <w:t>Экологическим научным исследованиям в Норвегии по</w:t>
      </w:r>
      <w:r>
        <w:noBreakHyphen/>
        <w:t xml:space="preserve">прежнему уделяется повышенное внимание.  Приоритетными направлениями проводимых в Норвегии научных исследований, а также основными областями исследований в целом являются исследования по вопросу о взаимодействии энергии и окружающей среды, а также исследования мирового океана с </w:t>
      </w:r>
      <w:proofErr w:type="spellStart"/>
      <w:r>
        <w:t>уделением</w:t>
      </w:r>
      <w:proofErr w:type="spellEnd"/>
      <w:r>
        <w:t xml:space="preserve"> особого внимания вопросам экологии.  Кроме того, в экологических научных исследованиях важную роль играют исследования, касающиеся полярных регионов.</w:t>
      </w:r>
    </w:p>
    <w:p w:rsidR="00000000" w:rsidRDefault="00000000"/>
    <w:p w:rsidR="00000000" w:rsidRDefault="00000000">
      <w:pPr>
        <w:rPr>
          <w:i/>
          <w:iCs/>
        </w:rPr>
      </w:pPr>
      <w:r>
        <w:rPr>
          <w:i/>
          <w:iCs/>
        </w:rPr>
        <w:t>Этика научных исследований</w:t>
      </w:r>
    </w:p>
    <w:p w:rsidR="00000000" w:rsidRDefault="00000000">
      <w:pPr>
        <w:rPr>
          <w:i/>
          <w:iCs/>
        </w:rPr>
      </w:pPr>
    </w:p>
    <w:p w:rsidR="00000000" w:rsidRDefault="00000000">
      <w:r>
        <w:t>486.</w:t>
      </w:r>
      <w:r>
        <w:tab/>
        <w:t>В 1987 году в каждом округе здравоохранения Норвегии были созданы региональные комитеты по вопросам этики медицинских научных исследований.  Эти комитеты производят оценку всех биомедицинских научно-исследовательских проектов, затрагивающих людей, и вносят рекомендации относительно утверждения или отклонения таких проектов.  Координирующим и консультативным органом для этих региональных комитетов является Национальный комитет по вопросам этики медицинских исследований (</w:t>
      </w:r>
      <w:proofErr w:type="spellStart"/>
      <w:r>
        <w:rPr>
          <w:lang w:val="en-US"/>
        </w:rPr>
        <w:t>NEM</w:t>
      </w:r>
      <w:proofErr w:type="spellEnd"/>
      <w:r>
        <w:t xml:space="preserve">).  Кроме того, </w:t>
      </w:r>
      <w:proofErr w:type="spellStart"/>
      <w:r>
        <w:rPr>
          <w:lang w:val="en-US"/>
        </w:rPr>
        <w:t>NEM</w:t>
      </w:r>
      <w:proofErr w:type="spellEnd"/>
      <w:r>
        <w:t xml:space="preserve"> принимает участие в информационных мероприятиях по этическим вопросам, связанным с результатами новых медицинских научных исследований.</w:t>
      </w:r>
    </w:p>
    <w:p w:rsidR="00000000" w:rsidRDefault="00000000"/>
    <w:p w:rsidR="00000000" w:rsidRDefault="00000000">
      <w:r>
        <w:t>487.</w:t>
      </w:r>
      <w:r>
        <w:tab/>
        <w:t>Были также созданы национальные комитеты по вопросам этики в науке и технике (</w:t>
      </w:r>
      <w:proofErr w:type="spellStart"/>
      <w:r>
        <w:rPr>
          <w:lang w:val="en-US"/>
        </w:rPr>
        <w:t>NENT</w:t>
      </w:r>
      <w:proofErr w:type="spellEnd"/>
      <w:r>
        <w:t>), а также в социальных и гуманитарных науках (</w:t>
      </w:r>
      <w:proofErr w:type="spellStart"/>
      <w:r>
        <w:rPr>
          <w:lang w:val="en-US"/>
        </w:rPr>
        <w:t>NESH</w:t>
      </w:r>
      <w:proofErr w:type="spellEnd"/>
      <w:r>
        <w:t xml:space="preserve">).  Как и </w:t>
      </w:r>
      <w:proofErr w:type="spellStart"/>
      <w:r>
        <w:rPr>
          <w:lang w:val="en-US"/>
        </w:rPr>
        <w:t>NEM</w:t>
      </w:r>
      <w:proofErr w:type="spellEnd"/>
      <w:r>
        <w:t>, эти комитеты представляют информацию и рекомендации по этическим проблемам, связанным с научной деятельностью в их профессиональных областях.</w:t>
      </w:r>
    </w:p>
    <w:p w:rsidR="00000000" w:rsidRDefault="00000000"/>
    <w:p w:rsidR="00000000" w:rsidRDefault="00000000">
      <w:r>
        <w:t>488.</w:t>
      </w:r>
      <w:r>
        <w:tab/>
        <w:t>Вопросы биотехнологии в основном регулируются двумя законодательными актами:  Законом 1993 года о генной технологии и Законом 1994 года о медицинском применении биотехнологии.  Последний Закон в настоящее время пересматривается.  Для представления рекомендаций и информации по вопросам биотехнологии для общества в целом, правительства и стортинга был образован Совет по биотехнологии.</w:t>
      </w:r>
    </w:p>
    <w:p w:rsidR="00000000" w:rsidRDefault="00000000"/>
    <w:p w:rsidR="00000000" w:rsidRDefault="00000000">
      <w:pPr>
        <w:rPr>
          <w:b/>
          <w:bCs/>
        </w:rPr>
      </w:pPr>
      <w:r>
        <w:rPr>
          <w:b/>
          <w:bCs/>
        </w:rPr>
        <w:t>Пункт 3 руководящих принципов (авторское право)</w:t>
      </w:r>
    </w:p>
    <w:p w:rsidR="00000000" w:rsidRDefault="00000000"/>
    <w:p w:rsidR="00000000" w:rsidRDefault="00000000">
      <w:r>
        <w:t>489.</w:t>
      </w:r>
      <w:r>
        <w:tab/>
        <w:t>Финансовые и моральные права авторов, ученых и деятелей культуры и искусства, а также смежных держателей прав (выступающих артистов, продюсеров фильмов и фонограмм) защищены Законом № 2 от 12 мая 1961 года об интеллектуальной собственности (Закон об авторском праве).  Компьютерные программы защищаются таким же образом, что и интеллектуальная собственность.  Базы данных защищаются либо как научные, литературные и художественные произведения, либо как специальные базы данных sui-generis.  Последняя поправка в Закон об авторском праве была внесена в 2000 году в связи с правом на вознаграждение держателей смежных прав в случае публичного исполнения звуковых записей.  До сих пор в связи с осуществлением прав, охраняемых Законом об авторском праве, каких-либо серьезных проблем не возникало.</w:t>
      </w:r>
    </w:p>
    <w:p w:rsidR="00000000" w:rsidRDefault="00000000"/>
    <w:p w:rsidR="00000000" w:rsidRDefault="00000000">
      <w:pPr>
        <w:rPr>
          <w:b/>
          <w:bCs/>
        </w:rPr>
      </w:pPr>
      <w:r>
        <w:rPr>
          <w:b/>
          <w:bCs/>
        </w:rPr>
        <w:t>Пункт 4 руководящих принципов (охрана, развитие и распространение науки и культуры)</w:t>
      </w:r>
    </w:p>
    <w:p w:rsidR="00000000" w:rsidRDefault="00000000"/>
    <w:p w:rsidR="00000000" w:rsidRDefault="00000000">
      <w:r>
        <w:t>490.</w:t>
      </w:r>
      <w:r>
        <w:tab/>
        <w:t>Предлагается обратить внимание на вышеизложенную информацию.  В 2001 году Норвегия затратила 24,5 млрд. нор. крон, что соответствует 1,65% от ВНП, на научные исследования.  Хотя доля этих средств в общем объеме ВНП несколько сократилась по сравнению с предыдущими годами, инвестиции в научные исследования за период с 1999 года значительно возросли.  В частности, был учрежден Специальный фонд научных исследований, который будет оказывать содействие в финансировании долгосрочных научных исследований.  В последние годы возрастает доля финансирования научных исследований, осуществляемого деловыми и промышленными кругами, и в 2001 году она составила 52% от всех инвестиций в научные исследования.  Правительство стремится достичь среднего показателя инвестиций в научные исследования, существующего в странах ОЭСР (2,2% от ВНП), к 2005 году.</w:t>
      </w:r>
    </w:p>
    <w:p w:rsidR="00000000" w:rsidRDefault="00000000"/>
    <w:p w:rsidR="00000000" w:rsidRDefault="00000000">
      <w:pPr>
        <w:rPr>
          <w:b/>
          <w:bCs/>
        </w:rPr>
      </w:pPr>
      <w:r>
        <w:rPr>
          <w:b/>
          <w:bCs/>
        </w:rPr>
        <w:t>Пункт 5 руководящих принципов (свобода научных исследований и творческой деятельности)</w:t>
      </w:r>
    </w:p>
    <w:p w:rsidR="00000000" w:rsidRDefault="00000000">
      <w:pPr>
        <w:rPr>
          <w:b/>
          <w:bCs/>
        </w:rPr>
      </w:pPr>
    </w:p>
    <w:p w:rsidR="00000000" w:rsidRDefault="00000000">
      <w:r>
        <w:t>491.</w:t>
      </w:r>
      <w:r>
        <w:tab/>
        <w:t>Предлагается обратить внимание на пункты 502-504 третьего периодического доклада Норвегии.</w:t>
      </w:r>
    </w:p>
    <w:p w:rsidR="00000000" w:rsidRDefault="00000000"/>
    <w:p w:rsidR="00000000" w:rsidRDefault="00000000">
      <w:pPr>
        <w:rPr>
          <w:b/>
          <w:bCs/>
        </w:rPr>
      </w:pPr>
      <w:r>
        <w:rPr>
          <w:b/>
          <w:bCs/>
        </w:rPr>
        <w:t>Пункт 6 руководящих принципов (международные контакты и сотрудничество в научной и культурной областях)</w:t>
      </w:r>
    </w:p>
    <w:p w:rsidR="00000000" w:rsidRDefault="00000000"/>
    <w:p w:rsidR="00000000" w:rsidRDefault="00000000">
      <w:r>
        <w:t>492.</w:t>
      </w:r>
      <w:r>
        <w:tab/>
        <w:t>Министерство по делам культуры и церкви отвечает за сотрудничество в области культуры с Северными странами и за многостороннее культурное сотрудничество.  Сюда входит сотрудничество с Советом министров Северных стран, ЮНЕСКО, Советом Европы, Международной сетью по вопросам политики и культуры и участие в программах ЕС в области культуры и средств массовой информации, предусмотренных Соглашением о ЕЭЗ.</w:t>
      </w:r>
    </w:p>
    <w:p w:rsidR="00000000" w:rsidRDefault="00000000"/>
    <w:p w:rsidR="00000000" w:rsidRDefault="00000000">
      <w:r>
        <w:t>493.</w:t>
      </w:r>
      <w:r>
        <w:tab/>
        <w:t>Официальное сотрудничество в области культуры на уровне Северных стран является частью их межправительственного сотрудничества.  Оно осуществляется в рамках Совета министров Северных стран и охватывает общие культурные мероприятия в широком смысле.  Внимание уделяется творческой деятельности, распространению культуры среди детей и молодежи, проблемам средств массовой информации, сотрудничеству с соседями из Северных стран, совместным культурным проектам Северных стран за рубежом и т.д.  Такое сотрудничество финансируется из бюджета Совета министров Северных стран.  Культурный фонд Северных стран оказывает поддержку совместным проектам Северных стран в области культуры.</w:t>
      </w:r>
    </w:p>
    <w:p w:rsidR="00000000" w:rsidRDefault="00000000"/>
    <w:p w:rsidR="00000000" w:rsidRDefault="00000000">
      <w:r>
        <w:t>494.</w:t>
      </w:r>
      <w:r>
        <w:tab/>
        <w:t>В рамках сотрудничества с ЮНЕСКО Норвегия вносит свой вклад в достижение цели поощрения культурного многообразия, понимания роли культуры для социального развития и международного сотрудничества в области культуры.</w:t>
      </w:r>
    </w:p>
    <w:p w:rsidR="00000000" w:rsidRDefault="00000000"/>
    <w:p w:rsidR="00000000" w:rsidRDefault="00000000">
      <w:r>
        <w:t>495.</w:t>
      </w:r>
      <w:r>
        <w:tab/>
        <w:t xml:space="preserve">Норвегия является членом </w:t>
      </w:r>
      <w:r>
        <w:rPr>
          <w:i/>
          <w:iCs/>
        </w:rPr>
        <w:t>Международной сети по культурной политике</w:t>
      </w:r>
      <w:r>
        <w:t xml:space="preserve"> (МСКП), которая представляет собой неофициальный форум для министров культуры из 53 стран.  Основной целью данной сети является оказание помощи в обеспечении того, чтобы вопросы культуры были включены в международные политические повестки дня, а также поощрение международного сотрудничества в сфере культурной политики.  Одним из важных элементов деятельности МСКП являются вопросы, связанные с культурным многообразием и глобализацией.</w:t>
      </w:r>
    </w:p>
    <w:p w:rsidR="00000000" w:rsidRDefault="00000000"/>
    <w:p w:rsidR="00000000" w:rsidRDefault="00000000">
      <w:r>
        <w:t>496.</w:t>
      </w:r>
      <w:r>
        <w:tab/>
        <w:t>В рамках Соглашения о ЕЭЗ Норвегия участвует в программах ЕС МЕДИА-II и "Культура-2000" (2000-2004 годы).  "Культура-2000" предоставляет возможность участникам культурной жизни Норвегии обращаться за средствами для финансирования проектов наравне с участниками из других государств-членов.  Программа МЕДИА преследует цель поощрения развития аудиовизуального сектора в ЕС и ЕЭЗ по таким направлениям, как образование, разработка и распространение.  Соглашение о ЕЭЗ также имеет важное значение для работы над новыми медийными технологиями.</w:t>
      </w:r>
    </w:p>
    <w:p w:rsidR="00000000" w:rsidRDefault="00000000"/>
    <w:p w:rsidR="00000000" w:rsidRDefault="00000000">
      <w:r>
        <w:t>497.</w:t>
      </w:r>
      <w:r>
        <w:tab/>
        <w:t>Приоритетными областями сотрудничества по вопросам культуры и средств массовой информации в Совете Европы являются информационные технологии и свобода выражения и информации.  К числу других важных приоритетных направлений культурного сотрудничества относятся обучение принципам демократического гражданства, сохранение культурного наследия и проведение исследований с целью развития культурной политики в государствах-членах.  В секторе средств массовой информации приоритетными областями являются авторское право и разнообразие медийных средств, преобразование данных в цифровую форму и международное телевизионное вещание.</w:t>
      </w:r>
    </w:p>
    <w:p w:rsidR="00000000" w:rsidRDefault="00000000"/>
    <w:p w:rsidR="00000000" w:rsidRDefault="00000000">
      <w:r>
        <w:t>498.</w:t>
      </w:r>
      <w:r>
        <w:tab/>
        <w:t xml:space="preserve">Распространение информации о научных исследованиях представляет собой один из основных компонентов в деятельности различных организаций, в которые входит Норвегия.  Основное внимание уделяется работе Научного комитета </w:t>
      </w:r>
      <w:proofErr w:type="spellStart"/>
      <w:r>
        <w:t>ОЭСР</w:t>
      </w:r>
      <w:proofErr w:type="spellEnd"/>
      <w:r>
        <w:t xml:space="preserve"> и ЕС, которые проводят деятельность, связанную с популяризацией науки.  Норвегия участвует в Рамочной программе научных исследований ЕС в соответствии с Соглашением о </w:t>
      </w:r>
      <w:proofErr w:type="spellStart"/>
      <w:r>
        <w:t>ЕЭЗ</w:t>
      </w:r>
      <w:proofErr w:type="spellEnd"/>
      <w:r>
        <w:t>.  Распространение информации о научных исследованиях и диалог между представителями науки и общества занимает центральное место в Шестой рамочной программе научных исследований и технических разработок (2002-2006 годы) и является частью плана действий.  Этот план включает в себя меры по поощрению интереса к образованию среди молодежи, меры по привлечению женщин и по поощрению этики научных исследований.  Норвегия принимает активное участие в мерах по осуществлению этого плана.</w:t>
      </w:r>
    </w:p>
    <w:p w:rsidR="00000000" w:rsidRDefault="00000000"/>
    <w:p w:rsidR="00000000" w:rsidRDefault="00000000">
      <w:r>
        <w:t>499.</w:t>
      </w:r>
      <w:r>
        <w:tab/>
        <w:t xml:space="preserve">Политика Норвегии предусматривает обеспечение широкого участия в международном научно-исследовательском сотрудничестве.  Помимо сотрудничества на индивидуальном уровне, которое проводится в рамках профессиональных ассоциаций, совещаний, публикаций и индивидуальных исследовательских поездок, за последние десять лет значительно расширилось официальное участие Норвегии в организованном международном научно-исследовательском сотрудничестве.  Инвестиции в такое сотрудничество почти удвоились за период с 1992 года по 2002 год (с 880 млн. </w:t>
      </w:r>
      <w:proofErr w:type="spellStart"/>
      <w:r>
        <w:t>норв</w:t>
      </w:r>
      <w:proofErr w:type="spellEnd"/>
      <w:r>
        <w:t xml:space="preserve">. крон до 1 670 млн. </w:t>
      </w:r>
      <w:proofErr w:type="spellStart"/>
      <w:r>
        <w:t>норв</w:t>
      </w:r>
      <w:proofErr w:type="spellEnd"/>
      <w:r>
        <w:t>. крон).  Данное увеличение в первую очередь объясняется участием Норвегии в Рамочной программе научных исследований и технических разработок ЕС.  В настоящее время Норвегия участвует в Шестой рамочной программе научных исследований и технических разработок (2002-2006 годы).  Рамочная программа допускает участие неевропейских стран, включая развивающиеся страны, и она стала наиболее важной международной ареной для проектов сотрудничества, осуществляемых норвежскими учеными.  Кроме того, эта программа имеет важное значение, поскольку она повышает мобильность ученых.  Норвегия также участвует в развитии Европейской научно-исследовательской зоны, которая является более всеобъемлющей, чем Рамочная программа, и связана с мерами по укреплению научных исследований в Европе в целом, среди прочего, посредством увеличения европейского вклада в деятельность, касающуюся инфраструктуры, новаторства, повышения качества научных исследований и поэтапного расширения доступности национальных программ.</w:t>
      </w:r>
    </w:p>
    <w:p w:rsidR="00000000" w:rsidRDefault="00000000"/>
    <w:p w:rsidR="00000000" w:rsidRDefault="00000000">
      <w:r>
        <w:t>500.</w:t>
      </w:r>
      <w:r>
        <w:tab/>
        <w:t xml:space="preserve">Помимо этого, Норвегия принимает участие в научно-исследовательском сотрудничестве в рамках Совета министров Северных стран, </w:t>
      </w:r>
      <w:proofErr w:type="spellStart"/>
      <w:r>
        <w:t>ОЭСР</w:t>
      </w:r>
      <w:proofErr w:type="spellEnd"/>
      <w:r>
        <w:t xml:space="preserve"> и основных международных научно-исследовательских организаций, таких, как Европейский центр ядерных исследований (</w:t>
      </w:r>
      <w:proofErr w:type="spellStart"/>
      <w:r>
        <w:t>ЦЕРН</w:t>
      </w:r>
      <w:proofErr w:type="spellEnd"/>
      <w:r>
        <w:t>), Европейская лаборатория молекулярной биологии (</w:t>
      </w:r>
      <w:proofErr w:type="spellStart"/>
      <w:r>
        <w:t>ЕЛМБ</w:t>
      </w:r>
      <w:proofErr w:type="spellEnd"/>
      <w:r>
        <w:t>), Европейская организация по синхротронной радиации (</w:t>
      </w:r>
      <w:proofErr w:type="spellStart"/>
      <w:r>
        <w:t>ЕСРФ</w:t>
      </w:r>
      <w:proofErr w:type="spellEnd"/>
      <w:r>
        <w:t>) и Международное агентство по изучению рака (</w:t>
      </w:r>
      <w:proofErr w:type="spellStart"/>
      <w:r>
        <w:t>МАИР</w:t>
      </w:r>
      <w:proofErr w:type="spellEnd"/>
      <w:r>
        <w:t>).</w:t>
      </w:r>
    </w:p>
    <w:p w:rsidR="00000000" w:rsidRDefault="00000000"/>
    <w:p w:rsidR="00000000" w:rsidRDefault="00000000">
      <w:r>
        <w:t>501.</w:t>
      </w:r>
      <w:r>
        <w:tab/>
        <w:t xml:space="preserve">Научно-исследовательское сотрудничество в рамках Северных стран под эгидой Совета министров Северных стран имеет региональный компонент, который является исключительно важным для Норвегии.  За последние десять лет в сотрудничестве участвовали в различной форме Балтийские государства.  Уделяется внимание усилиям по повышению мобильности и привлечению научных работников к академической и предпринимательской деятельности в Северном регионе, а также развитию Северной научно-исследовательской зоны параллельно Европейской научно-исследовательской зоне (см. документы </w:t>
      </w:r>
      <w:r>
        <w:rPr>
          <w:lang w:val="en-US"/>
        </w:rPr>
        <w:t>E</w:t>
      </w:r>
      <w:r>
        <w:t>С).</w:t>
      </w:r>
    </w:p>
    <w:p w:rsidR="00000000" w:rsidRDefault="00000000"/>
    <w:p w:rsidR="00000000" w:rsidRDefault="00000000">
      <w:r>
        <w:t>502.</w:t>
      </w:r>
      <w:r>
        <w:tab/>
        <w:t xml:space="preserve">Помимо многонационального сотрудничества внимание уделяется двустороннему сотрудничеству.  Правительство разработало общие стратегии сотрудничества с рядом крупных стран (включая Россию, США, Германию и Францию), в которых проводятся важные научные исследования.  Одним из важных компонентов двустороннего сотрудничества в данной области является поощрение прямых контактов и соглашений между научно-исследовательскими институтами.  В 90-е годы количество таких </w:t>
      </w:r>
      <w:proofErr w:type="spellStart"/>
      <w:r>
        <w:t>межучрежденческих</w:t>
      </w:r>
      <w:proofErr w:type="spellEnd"/>
      <w:r>
        <w:t xml:space="preserve"> соглашений удвоилось.  В основном они касаются сотрудничества с институтами в развивающихся странах, странах Центральной и Восточной Европы, а также США и Канады.</w:t>
      </w:r>
    </w:p>
    <w:p w:rsidR="00000000" w:rsidRDefault="00000000"/>
    <w:p w:rsidR="00000000" w:rsidRDefault="00000000">
      <w:r>
        <w:t>503.</w:t>
      </w:r>
      <w:r>
        <w:tab/>
        <w:t xml:space="preserve">Норвегия выделяет значительные средства на развитие сотрудничества в целях научно-исследовательской деятельности и в области научных исследований с развивающимися странами.  Выделяются средства в целях развития научных исследований в Норвегии и осуществления сотрудничества в области научных исследований между норвежскими институтами и институтами в развивающихся странах.  Кроме того, выделяются также средства в целях дальнейшего обучения студентов из развивающихся стран, развития людских ресурсов и институционального строительства в секторе научных исследований и высшего образования, а также создания региональных научно-исследовательских сетей в развивающихся странах. </w:t>
      </w:r>
    </w:p>
    <w:p w:rsidR="00000000" w:rsidRDefault="00000000"/>
    <w:p w:rsidR="00000000" w:rsidRDefault="00000000">
      <w:r>
        <w:t>504.</w:t>
      </w:r>
      <w:r>
        <w:tab/>
        <w:t xml:space="preserve">Норвежские научные исследования призваны содействовать демократизации и социальному развитию в странах-партнерах и одновременно укреплению научных исследований в этих странах.  Образование и научные исследования, как правило, рассматриваются в качестве факторов, имеющих ключевое значение для экономического, социального и культурного развития любой страны. </w:t>
      </w:r>
    </w:p>
    <w:p w:rsidR="00000000" w:rsidRDefault="00000000"/>
    <w:p w:rsidR="00000000" w:rsidRDefault="00000000">
      <w:r>
        <w:t>505.</w:t>
      </w:r>
      <w:r>
        <w:tab/>
        <w:t xml:space="preserve">Приоритетными областями в этом виде сотрудничества в целях развития являются права человека, демократическое развитие и благое управление.  Норвегия оказывает комплексную помощь на нужды развития научных исследований и высшего образования.  В 2002 году на эти цели из бюджета было выделено 252,5 млн. </w:t>
      </w:r>
      <w:proofErr w:type="spellStart"/>
      <w:r>
        <w:t>норв</w:t>
      </w:r>
      <w:proofErr w:type="spellEnd"/>
      <w:r>
        <w:t xml:space="preserve">. крон.  Кроме того, обеспечивалось финансирование проектов и программ по другим статьям бюджета, включая </w:t>
      </w:r>
      <w:proofErr w:type="spellStart"/>
      <w:r>
        <w:t>страновые</w:t>
      </w:r>
      <w:proofErr w:type="spellEnd"/>
      <w:r>
        <w:t xml:space="preserve"> программы и помощь в области научных исследований международным учреждениям, уделяющим основное внимание научным исследованиям и высшему образованию.  В 2002 году помощь Норвегии на научные исследования и высшее образование превысило 400 млн. </w:t>
      </w:r>
      <w:proofErr w:type="spellStart"/>
      <w:r>
        <w:t>норв</w:t>
      </w:r>
      <w:proofErr w:type="spellEnd"/>
      <w:r>
        <w:t xml:space="preserve">. крон.  </w:t>
      </w:r>
    </w:p>
    <w:p w:rsidR="00000000" w:rsidRDefault="00000000"/>
    <w:p w:rsidR="00000000" w:rsidRDefault="00000000">
      <w:r>
        <w:t>506.</w:t>
      </w:r>
      <w:r>
        <w:tab/>
        <w:t xml:space="preserve">В 2002 году самое крупное целевое ассигнование по бюджетной статье, касающейся оказания поддержки научным исследованиям и высшему образованию, было выделено Программе сотрудничества в области научных исследований между университетами Норвегии и научно-исследовательскими институтами Юга (Программа </w:t>
      </w:r>
      <w:proofErr w:type="spellStart"/>
      <w:r>
        <w:rPr>
          <w:lang w:val="en-US"/>
        </w:rPr>
        <w:t>NUFU</w:t>
      </w:r>
      <w:proofErr w:type="spellEnd"/>
      <w:r>
        <w:t xml:space="preserve">), которая была разработана в начале 90-х годов.  Программа </w:t>
      </w:r>
      <w:proofErr w:type="spellStart"/>
      <w:r>
        <w:rPr>
          <w:lang w:val="en-US"/>
        </w:rPr>
        <w:t>NUFU</w:t>
      </w:r>
      <w:proofErr w:type="spellEnd"/>
      <w:r>
        <w:t xml:space="preserve"> рассматривается в качестве исключительно успешного инструмента для развития учебных и научно-исследовательских заведений.  В настоящее время она осуществляется в течение третьего пятилетнего периода (2001-2006 годы), в ходе которого из бюджета министерства иностранных дел на ее осуществление будет ежегодно выделяться 60 млн. </w:t>
      </w:r>
      <w:proofErr w:type="spellStart"/>
      <w:r>
        <w:t>норв</w:t>
      </w:r>
      <w:proofErr w:type="spellEnd"/>
      <w:r>
        <w:t>. крон.</w:t>
      </w:r>
    </w:p>
    <w:p w:rsidR="00000000" w:rsidRDefault="00000000"/>
    <w:p w:rsidR="00000000" w:rsidRDefault="00000000">
      <w:r>
        <w:t>507.</w:t>
      </w:r>
      <w:r>
        <w:tab/>
        <w:t xml:space="preserve">В 90-е годы в Норвегии также осуществлялась специальная программа сотрудничества с Центральной и Восточной Европой, которая теперь разделена на несколько отдельных программ, рассчитанных на период 2000-2004 годов, для осуществления сотрудничества с Россией, странами-кандидатами на членство в ЕС и с Юго-Восточной Европой.  Основная цель заключается в оказании содействия устойчивому экономическому и социальному развитию в странах-партнерах при </w:t>
      </w:r>
      <w:proofErr w:type="spellStart"/>
      <w:r>
        <w:t>уделении</w:t>
      </w:r>
      <w:proofErr w:type="spellEnd"/>
      <w:r>
        <w:t xml:space="preserve"> особого внимания </w:t>
      </w:r>
      <w:proofErr w:type="spellStart"/>
      <w:r>
        <w:t>межучрежденческому</w:t>
      </w:r>
      <w:proofErr w:type="spellEnd"/>
      <w:r>
        <w:t xml:space="preserve"> сотрудничеству.</w:t>
      </w:r>
    </w:p>
    <w:p w:rsidR="00000000" w:rsidRDefault="00000000"/>
    <w:p w:rsidR="00000000" w:rsidRDefault="00000000">
      <w:r>
        <w:t>508.</w:t>
      </w:r>
      <w:r>
        <w:tab/>
        <w:t>Помимо этого, Норвегия способствует развитию сотрудничества с развивающимися странами в сфере научных исследований, особенно в области сельского хозяйства и здравоохранения, в рамках учреждений Организации Объединенных Наций, таких, как Консультативная группа по международным исследованиям в области сельского хозяйства (</w:t>
      </w:r>
      <w:proofErr w:type="spellStart"/>
      <w:r>
        <w:t>КГМИСХ</w:t>
      </w:r>
      <w:proofErr w:type="spellEnd"/>
      <w:r>
        <w:t>) и Всемирная организация здравоохранения (ВОЗ).</w:t>
      </w:r>
    </w:p>
    <w:p w:rsidR="00000000" w:rsidRDefault="00000000"/>
    <w:p w:rsidR="00000000" w:rsidRDefault="00000000">
      <w:r>
        <w:t>509.</w:t>
      </w:r>
      <w:r>
        <w:tab/>
        <w:t>В 2002 году было подписано соглашение о сотрудничестве в области научных исследований с Южной Африкой.  На основе этого соглашения была разработана специальная программа в целях сотрудничества по проектам в отдельных областях между научно-исследовательскими учреждениями в этих двух странах, которая первоначально продлится до 2004 года.  В настоящее время ведется работа над заключением соглашения о научно-исследовательском и технологическом сотрудничестве с Японией.</w:t>
      </w:r>
    </w:p>
    <w:p w:rsidR="00000000" w:rsidRDefault="00000000">
      <w:pPr>
        <w:jc w:val="center"/>
        <w:rPr>
          <w:b/>
          <w:bCs/>
        </w:rPr>
      </w:pPr>
      <w:r>
        <w:br w:type="page"/>
      </w:r>
      <w:r>
        <w:rPr>
          <w:b/>
          <w:bCs/>
        </w:rPr>
        <w:t>Перечень приложений</w:t>
      </w:r>
    </w:p>
    <w:p w:rsidR="00000000" w:rsidRDefault="00000000"/>
    <w:p w:rsidR="00000000" w:rsidRDefault="00000000">
      <w:pPr>
        <w:spacing w:line="360" w:lineRule="auto"/>
      </w:pPr>
      <w:r>
        <w:t xml:space="preserve">1. </w:t>
      </w:r>
      <w:r>
        <w:tab/>
      </w:r>
      <w:proofErr w:type="spellStart"/>
      <w:r>
        <w:t>Human</w:t>
      </w:r>
      <w:proofErr w:type="spellEnd"/>
      <w:r>
        <w:t xml:space="preserve"> </w:t>
      </w:r>
      <w:proofErr w:type="spellStart"/>
      <w:r>
        <w:t>Rights</w:t>
      </w:r>
      <w:proofErr w:type="spellEnd"/>
      <w:r>
        <w:t xml:space="preserve"> </w:t>
      </w:r>
      <w:proofErr w:type="spellStart"/>
      <w:r>
        <w:t>Act</w:t>
      </w:r>
      <w:proofErr w:type="spellEnd"/>
      <w:r>
        <w:t>, 1999</w:t>
      </w:r>
    </w:p>
    <w:p w:rsidR="00000000" w:rsidRDefault="00000000">
      <w:pPr>
        <w:spacing w:line="360" w:lineRule="auto"/>
        <w:rPr>
          <w:lang w:val="en-US"/>
        </w:rPr>
      </w:pPr>
      <w:r>
        <w:rPr>
          <w:lang w:val="en-US"/>
        </w:rPr>
        <w:t xml:space="preserve">2. </w:t>
      </w:r>
      <w:r>
        <w:rPr>
          <w:lang w:val="en-US"/>
        </w:rPr>
        <w:tab/>
        <w:t>Plan of Action for Human Rights, 1999</w:t>
      </w:r>
    </w:p>
    <w:p w:rsidR="00000000" w:rsidRDefault="00000000">
      <w:pPr>
        <w:spacing w:line="360" w:lineRule="auto"/>
        <w:rPr>
          <w:lang w:val="en-US"/>
        </w:rPr>
      </w:pPr>
      <w:r>
        <w:rPr>
          <w:lang w:val="en-US"/>
        </w:rPr>
        <w:t xml:space="preserve">3. </w:t>
      </w:r>
      <w:r>
        <w:rPr>
          <w:lang w:val="en-US"/>
        </w:rPr>
        <w:tab/>
        <w:t>Action Plan for Combating Poverty in the South towards 2015, 2002</w:t>
      </w:r>
    </w:p>
    <w:p w:rsidR="00000000" w:rsidRDefault="00000000">
      <w:pPr>
        <w:spacing w:line="360" w:lineRule="auto"/>
        <w:rPr>
          <w:lang w:val="en-US"/>
        </w:rPr>
      </w:pPr>
      <w:r>
        <w:rPr>
          <w:lang w:val="en-US"/>
        </w:rPr>
        <w:t xml:space="preserve">4. </w:t>
      </w:r>
      <w:r>
        <w:rPr>
          <w:lang w:val="en-US"/>
        </w:rPr>
        <w:tab/>
        <w:t>Handbook in Human Rights Assessment, 2001</w:t>
      </w:r>
    </w:p>
    <w:p w:rsidR="00000000" w:rsidRDefault="00000000">
      <w:pPr>
        <w:spacing w:line="360" w:lineRule="auto"/>
        <w:rPr>
          <w:lang w:val="en-US"/>
        </w:rPr>
      </w:pPr>
      <w:r>
        <w:rPr>
          <w:lang w:val="en-US"/>
        </w:rPr>
        <w:t xml:space="preserve">5. </w:t>
      </w:r>
      <w:r>
        <w:rPr>
          <w:lang w:val="en-US"/>
        </w:rPr>
        <w:tab/>
        <w:t xml:space="preserve">Report, implementation of </w:t>
      </w:r>
      <w:proofErr w:type="spellStart"/>
      <w:r>
        <w:rPr>
          <w:lang w:val="en-US"/>
        </w:rPr>
        <w:t>ILO</w:t>
      </w:r>
      <w:proofErr w:type="spellEnd"/>
      <w:r>
        <w:rPr>
          <w:lang w:val="en-US"/>
        </w:rPr>
        <w:t xml:space="preserve"> Convention No. 122, 2002</w:t>
      </w:r>
    </w:p>
    <w:p w:rsidR="00000000" w:rsidRDefault="00000000">
      <w:pPr>
        <w:spacing w:line="360" w:lineRule="auto"/>
        <w:rPr>
          <w:lang w:val="en-US"/>
        </w:rPr>
      </w:pPr>
      <w:r>
        <w:rPr>
          <w:lang w:val="en-US"/>
        </w:rPr>
        <w:t xml:space="preserve">6. </w:t>
      </w:r>
      <w:r>
        <w:rPr>
          <w:lang w:val="en-US"/>
        </w:rPr>
        <w:tab/>
        <w:t>Table, Employment and joblessness – key indicators, 2002</w:t>
      </w:r>
    </w:p>
    <w:p w:rsidR="00000000" w:rsidRDefault="00000000">
      <w:pPr>
        <w:spacing w:line="360" w:lineRule="auto"/>
        <w:rPr>
          <w:lang w:val="en-US"/>
        </w:rPr>
      </w:pPr>
      <w:r>
        <w:rPr>
          <w:lang w:val="en-US"/>
        </w:rPr>
        <w:t xml:space="preserve">7. </w:t>
      </w:r>
      <w:r>
        <w:rPr>
          <w:lang w:val="en-US"/>
        </w:rPr>
        <w:tab/>
        <w:t>Table, Regional differences in employment, 2002</w:t>
      </w:r>
    </w:p>
    <w:p w:rsidR="00000000" w:rsidRDefault="00000000">
      <w:pPr>
        <w:spacing w:line="360" w:lineRule="auto"/>
        <w:rPr>
          <w:lang w:val="en-US"/>
        </w:rPr>
      </w:pPr>
      <w:r>
        <w:rPr>
          <w:lang w:val="en-US"/>
        </w:rPr>
        <w:t xml:space="preserve">8. </w:t>
      </w:r>
      <w:r>
        <w:rPr>
          <w:lang w:val="en-US"/>
        </w:rPr>
        <w:tab/>
        <w:t xml:space="preserve">Tables, Persons on </w:t>
      </w:r>
      <w:proofErr w:type="spellStart"/>
      <w:r>
        <w:rPr>
          <w:lang w:val="en-US"/>
        </w:rPr>
        <w:t>labour</w:t>
      </w:r>
      <w:proofErr w:type="spellEnd"/>
      <w:r>
        <w:rPr>
          <w:lang w:val="en-US"/>
        </w:rPr>
        <w:t xml:space="preserve"> market measures and occupationally handicapped</w:t>
      </w:r>
    </w:p>
    <w:p w:rsidR="00000000" w:rsidRDefault="00000000">
      <w:pPr>
        <w:spacing w:line="360" w:lineRule="auto"/>
        <w:rPr>
          <w:lang w:val="en-US"/>
        </w:rPr>
      </w:pPr>
      <w:r>
        <w:rPr>
          <w:lang w:val="en-US"/>
        </w:rPr>
        <w:t xml:space="preserve">9. </w:t>
      </w:r>
      <w:r>
        <w:rPr>
          <w:lang w:val="en-US"/>
        </w:rPr>
        <w:tab/>
        <w:t xml:space="preserve">Report, </w:t>
      </w:r>
      <w:proofErr w:type="spellStart"/>
      <w:r>
        <w:rPr>
          <w:lang w:val="en-US"/>
        </w:rPr>
        <w:t>ILO</w:t>
      </w:r>
      <w:proofErr w:type="spellEnd"/>
      <w:r>
        <w:rPr>
          <w:lang w:val="en-US"/>
        </w:rPr>
        <w:t xml:space="preserve"> Recommendation No. 169, 2002</w:t>
      </w:r>
    </w:p>
    <w:p w:rsidR="00000000" w:rsidRDefault="00000000">
      <w:pPr>
        <w:spacing w:line="360" w:lineRule="auto"/>
        <w:rPr>
          <w:lang w:val="en-US"/>
        </w:rPr>
      </w:pPr>
      <w:r>
        <w:rPr>
          <w:lang w:val="en-US"/>
        </w:rPr>
        <w:t xml:space="preserve">10. </w:t>
      </w:r>
      <w:r>
        <w:rPr>
          <w:lang w:val="en-US"/>
        </w:rPr>
        <w:tab/>
        <w:t xml:space="preserve">Report, implementation of </w:t>
      </w:r>
      <w:proofErr w:type="spellStart"/>
      <w:r>
        <w:rPr>
          <w:lang w:val="en-US"/>
        </w:rPr>
        <w:t>ILO</w:t>
      </w:r>
      <w:proofErr w:type="spellEnd"/>
      <w:r>
        <w:rPr>
          <w:lang w:val="en-US"/>
        </w:rPr>
        <w:t xml:space="preserve"> Convention No. 132, 2000</w:t>
      </w:r>
    </w:p>
    <w:p w:rsidR="00000000" w:rsidRDefault="00000000">
      <w:pPr>
        <w:spacing w:line="360" w:lineRule="auto"/>
        <w:rPr>
          <w:lang w:val="en-US"/>
        </w:rPr>
      </w:pPr>
      <w:r>
        <w:rPr>
          <w:lang w:val="en-US"/>
        </w:rPr>
        <w:t>11.</w:t>
      </w:r>
      <w:r>
        <w:rPr>
          <w:lang w:val="en-US"/>
        </w:rPr>
        <w:tab/>
        <w:t xml:space="preserve">Report, implementation of </w:t>
      </w:r>
      <w:proofErr w:type="spellStart"/>
      <w:r>
        <w:rPr>
          <w:lang w:val="en-US"/>
        </w:rPr>
        <w:t>ILO</w:t>
      </w:r>
      <w:proofErr w:type="spellEnd"/>
      <w:r>
        <w:rPr>
          <w:lang w:val="en-US"/>
        </w:rPr>
        <w:t xml:space="preserve"> Convention No. 81, 2001</w:t>
      </w:r>
    </w:p>
    <w:p w:rsidR="00000000" w:rsidRDefault="00000000">
      <w:pPr>
        <w:spacing w:line="360" w:lineRule="auto"/>
        <w:rPr>
          <w:lang w:val="en-US"/>
        </w:rPr>
      </w:pPr>
      <w:r>
        <w:rPr>
          <w:lang w:val="en-US"/>
        </w:rPr>
        <w:t>12.</w:t>
      </w:r>
      <w:r>
        <w:rPr>
          <w:lang w:val="en-US"/>
        </w:rPr>
        <w:tab/>
        <w:t xml:space="preserve">Report, implementation of </w:t>
      </w:r>
      <w:proofErr w:type="spellStart"/>
      <w:r>
        <w:rPr>
          <w:lang w:val="en-US"/>
        </w:rPr>
        <w:t>ILO</w:t>
      </w:r>
      <w:proofErr w:type="spellEnd"/>
      <w:r>
        <w:rPr>
          <w:lang w:val="en-US"/>
        </w:rPr>
        <w:t xml:space="preserve"> Convention No. 129, 2002</w:t>
      </w:r>
    </w:p>
    <w:p w:rsidR="00000000" w:rsidRDefault="00000000">
      <w:pPr>
        <w:spacing w:line="360" w:lineRule="auto"/>
        <w:rPr>
          <w:lang w:val="en-US"/>
        </w:rPr>
      </w:pPr>
      <w:r>
        <w:rPr>
          <w:lang w:val="en-US"/>
        </w:rPr>
        <w:t>13.</w:t>
      </w:r>
      <w:r>
        <w:rPr>
          <w:lang w:val="en-US"/>
        </w:rPr>
        <w:tab/>
        <w:t xml:space="preserve">Report, implementation of </w:t>
      </w:r>
      <w:proofErr w:type="spellStart"/>
      <w:r>
        <w:rPr>
          <w:lang w:val="en-US"/>
        </w:rPr>
        <w:t>ILO</w:t>
      </w:r>
      <w:proofErr w:type="spellEnd"/>
      <w:r>
        <w:rPr>
          <w:lang w:val="en-US"/>
        </w:rPr>
        <w:t xml:space="preserve"> Convention No. 155, 1999</w:t>
      </w:r>
    </w:p>
    <w:p w:rsidR="00000000" w:rsidRDefault="00000000">
      <w:pPr>
        <w:spacing w:line="360" w:lineRule="auto"/>
        <w:rPr>
          <w:lang w:val="en-US"/>
        </w:rPr>
      </w:pPr>
      <w:r>
        <w:rPr>
          <w:lang w:val="en-US"/>
        </w:rPr>
        <w:t xml:space="preserve">14. </w:t>
      </w:r>
      <w:r>
        <w:rPr>
          <w:lang w:val="en-US"/>
        </w:rPr>
        <w:tab/>
        <w:t xml:space="preserve">Report, implementation of </w:t>
      </w:r>
      <w:proofErr w:type="spellStart"/>
      <w:r>
        <w:rPr>
          <w:lang w:val="en-US"/>
        </w:rPr>
        <w:t>ILO</w:t>
      </w:r>
      <w:proofErr w:type="spellEnd"/>
      <w:r>
        <w:rPr>
          <w:lang w:val="en-US"/>
        </w:rPr>
        <w:t xml:space="preserve"> Convention No. 100, 2002</w:t>
      </w:r>
    </w:p>
    <w:p w:rsidR="00000000" w:rsidRDefault="00000000">
      <w:pPr>
        <w:spacing w:line="360" w:lineRule="auto"/>
        <w:rPr>
          <w:lang w:val="en-US"/>
        </w:rPr>
      </w:pPr>
      <w:r>
        <w:rPr>
          <w:lang w:val="en-US"/>
        </w:rPr>
        <w:t>15.</w:t>
      </w:r>
      <w:r>
        <w:rPr>
          <w:lang w:val="en-US"/>
        </w:rPr>
        <w:tab/>
        <w:t xml:space="preserve">Report, implementation of </w:t>
      </w:r>
      <w:proofErr w:type="spellStart"/>
      <w:r>
        <w:rPr>
          <w:lang w:val="en-US"/>
        </w:rPr>
        <w:t>ILO</w:t>
      </w:r>
      <w:proofErr w:type="spellEnd"/>
      <w:r>
        <w:rPr>
          <w:lang w:val="en-US"/>
        </w:rPr>
        <w:t xml:space="preserve"> Convention No. 14, 2000</w:t>
      </w:r>
    </w:p>
    <w:p w:rsidR="00000000" w:rsidRDefault="00000000">
      <w:pPr>
        <w:spacing w:line="360" w:lineRule="auto"/>
        <w:rPr>
          <w:lang w:val="en-US"/>
        </w:rPr>
      </w:pPr>
      <w:r>
        <w:rPr>
          <w:lang w:val="en-US"/>
        </w:rPr>
        <w:t>16.</w:t>
      </w:r>
      <w:r>
        <w:rPr>
          <w:lang w:val="en-US"/>
        </w:rPr>
        <w:tab/>
        <w:t xml:space="preserve">Report, implementation of </w:t>
      </w:r>
      <w:proofErr w:type="spellStart"/>
      <w:r>
        <w:rPr>
          <w:lang w:val="en-US"/>
        </w:rPr>
        <w:t>ILO</w:t>
      </w:r>
      <w:proofErr w:type="spellEnd"/>
      <w:r>
        <w:rPr>
          <w:lang w:val="en-US"/>
        </w:rPr>
        <w:t xml:space="preserve"> Convention No. 87, 2002</w:t>
      </w:r>
    </w:p>
    <w:p w:rsidR="00000000" w:rsidRDefault="00000000">
      <w:pPr>
        <w:spacing w:line="360" w:lineRule="auto"/>
        <w:rPr>
          <w:lang w:val="en-US"/>
        </w:rPr>
      </w:pPr>
      <w:r>
        <w:rPr>
          <w:lang w:val="en-US"/>
        </w:rPr>
        <w:t>17.</w:t>
      </w:r>
      <w:r>
        <w:rPr>
          <w:lang w:val="en-US"/>
        </w:rPr>
        <w:tab/>
        <w:t xml:space="preserve">Report, implementation of </w:t>
      </w:r>
      <w:proofErr w:type="spellStart"/>
      <w:r>
        <w:rPr>
          <w:lang w:val="en-US"/>
        </w:rPr>
        <w:t>ILO</w:t>
      </w:r>
      <w:proofErr w:type="spellEnd"/>
      <w:r>
        <w:rPr>
          <w:lang w:val="en-US"/>
        </w:rPr>
        <w:t xml:space="preserve"> Convention No. 98, 2001</w:t>
      </w:r>
    </w:p>
    <w:p w:rsidR="00000000" w:rsidRDefault="00000000">
      <w:pPr>
        <w:spacing w:line="360" w:lineRule="auto"/>
        <w:rPr>
          <w:lang w:val="en-US"/>
        </w:rPr>
      </w:pPr>
      <w:r>
        <w:rPr>
          <w:lang w:val="en-US"/>
        </w:rPr>
        <w:t xml:space="preserve">18. </w:t>
      </w:r>
      <w:r>
        <w:rPr>
          <w:lang w:val="en-US"/>
        </w:rPr>
        <w:tab/>
        <w:t>Table,  Trade union members, 2002</w:t>
      </w:r>
    </w:p>
    <w:p w:rsidR="00000000" w:rsidRDefault="00000000">
      <w:pPr>
        <w:spacing w:line="360" w:lineRule="auto"/>
        <w:ind w:left="720" w:hanging="720"/>
        <w:rPr>
          <w:lang w:val="en-US"/>
        </w:rPr>
      </w:pPr>
      <w:r>
        <w:rPr>
          <w:lang w:val="en-US"/>
        </w:rPr>
        <w:t>19.</w:t>
      </w:r>
      <w:r>
        <w:rPr>
          <w:lang w:val="en-US"/>
        </w:rPr>
        <w:tab/>
        <w:t>Judgment, Supreme Court of Norway, OFS Case, 1997</w:t>
      </w:r>
    </w:p>
    <w:p w:rsidR="00000000" w:rsidRDefault="00000000">
      <w:pPr>
        <w:spacing w:line="360" w:lineRule="auto"/>
        <w:rPr>
          <w:lang w:val="en-US"/>
        </w:rPr>
      </w:pPr>
      <w:r>
        <w:rPr>
          <w:lang w:val="en-US"/>
        </w:rPr>
        <w:t xml:space="preserve">20. </w:t>
      </w:r>
      <w:r>
        <w:rPr>
          <w:lang w:val="en-US"/>
        </w:rPr>
        <w:tab/>
        <w:t xml:space="preserve">Decision, European Court of Human Rights, OFS Case, 2002 </w:t>
      </w:r>
    </w:p>
    <w:p w:rsidR="00000000" w:rsidRDefault="00000000">
      <w:pPr>
        <w:spacing w:line="360" w:lineRule="auto"/>
        <w:rPr>
          <w:lang w:val="en-US"/>
        </w:rPr>
      </w:pPr>
      <w:r>
        <w:rPr>
          <w:lang w:val="en-US"/>
        </w:rPr>
        <w:t>21.</w:t>
      </w:r>
      <w:r>
        <w:rPr>
          <w:lang w:val="en-US"/>
        </w:rPr>
        <w:tab/>
        <w:t xml:space="preserve">Report, implementation of </w:t>
      </w:r>
      <w:proofErr w:type="spellStart"/>
      <w:r>
        <w:rPr>
          <w:lang w:val="en-US"/>
        </w:rPr>
        <w:t>ILO</w:t>
      </w:r>
      <w:proofErr w:type="spellEnd"/>
      <w:r>
        <w:rPr>
          <w:lang w:val="en-US"/>
        </w:rPr>
        <w:t xml:space="preserve"> Convention No. 102, 2001</w:t>
      </w:r>
    </w:p>
    <w:p w:rsidR="00000000" w:rsidRDefault="00000000">
      <w:pPr>
        <w:spacing w:line="360" w:lineRule="auto"/>
        <w:rPr>
          <w:lang w:val="en-US"/>
        </w:rPr>
      </w:pPr>
      <w:r>
        <w:rPr>
          <w:lang w:val="en-US"/>
        </w:rPr>
        <w:t xml:space="preserve">22. </w:t>
      </w:r>
      <w:r>
        <w:rPr>
          <w:lang w:val="en-US"/>
        </w:rPr>
        <w:tab/>
        <w:t xml:space="preserve">Report, implementation of </w:t>
      </w:r>
      <w:proofErr w:type="spellStart"/>
      <w:r>
        <w:rPr>
          <w:lang w:val="en-US"/>
        </w:rPr>
        <w:t>ILO</w:t>
      </w:r>
      <w:proofErr w:type="spellEnd"/>
      <w:r>
        <w:rPr>
          <w:lang w:val="en-US"/>
        </w:rPr>
        <w:t xml:space="preserve"> Convention No. 128, 2001</w:t>
      </w:r>
    </w:p>
    <w:p w:rsidR="00000000" w:rsidRDefault="00000000">
      <w:pPr>
        <w:spacing w:line="360" w:lineRule="auto"/>
        <w:rPr>
          <w:lang w:val="en-US"/>
        </w:rPr>
      </w:pPr>
      <w:r>
        <w:rPr>
          <w:lang w:val="en-US"/>
        </w:rPr>
        <w:t>23.</w:t>
      </w:r>
      <w:r>
        <w:rPr>
          <w:lang w:val="en-US"/>
        </w:rPr>
        <w:tab/>
        <w:t xml:space="preserve">Report, implementation of </w:t>
      </w:r>
      <w:proofErr w:type="spellStart"/>
      <w:r>
        <w:rPr>
          <w:lang w:val="en-US"/>
        </w:rPr>
        <w:t>ILO</w:t>
      </w:r>
      <w:proofErr w:type="spellEnd"/>
      <w:r>
        <w:rPr>
          <w:lang w:val="en-US"/>
        </w:rPr>
        <w:t xml:space="preserve"> Convention No. 130, 1998</w:t>
      </w:r>
    </w:p>
    <w:p w:rsidR="00000000" w:rsidRDefault="00000000">
      <w:pPr>
        <w:spacing w:line="360" w:lineRule="auto"/>
        <w:rPr>
          <w:lang w:val="en-US"/>
        </w:rPr>
      </w:pPr>
      <w:r>
        <w:rPr>
          <w:lang w:val="en-US"/>
        </w:rPr>
        <w:t>24.</w:t>
      </w:r>
      <w:r>
        <w:rPr>
          <w:lang w:val="en-US"/>
        </w:rPr>
        <w:tab/>
        <w:t xml:space="preserve">Report, implementation of </w:t>
      </w:r>
      <w:proofErr w:type="spellStart"/>
      <w:r>
        <w:rPr>
          <w:lang w:val="en-US"/>
        </w:rPr>
        <w:t>ILO</w:t>
      </w:r>
      <w:proofErr w:type="spellEnd"/>
      <w:r>
        <w:rPr>
          <w:lang w:val="en-US"/>
        </w:rPr>
        <w:t xml:space="preserve"> Convention No. 168, 1999</w:t>
      </w:r>
    </w:p>
    <w:p w:rsidR="00000000" w:rsidRDefault="00000000">
      <w:pPr>
        <w:spacing w:line="360" w:lineRule="auto"/>
        <w:rPr>
          <w:lang w:val="en-US"/>
        </w:rPr>
      </w:pPr>
      <w:r>
        <w:rPr>
          <w:lang w:val="en-US"/>
        </w:rPr>
        <w:t>25.</w:t>
      </w:r>
      <w:r>
        <w:rPr>
          <w:lang w:val="en-US"/>
        </w:rPr>
        <w:tab/>
        <w:t>Brochure, The Norwegian Social Insurance Scheme, 2003</w:t>
      </w:r>
    </w:p>
    <w:p w:rsidR="00000000" w:rsidRDefault="00000000">
      <w:pPr>
        <w:spacing w:line="360" w:lineRule="auto"/>
        <w:rPr>
          <w:lang w:val="en-US"/>
        </w:rPr>
      </w:pPr>
      <w:r>
        <w:rPr>
          <w:lang w:val="en-US"/>
        </w:rPr>
        <w:t xml:space="preserve">26. </w:t>
      </w:r>
      <w:r>
        <w:rPr>
          <w:lang w:val="en-US"/>
        </w:rPr>
        <w:tab/>
        <w:t xml:space="preserve">Report, implementation of </w:t>
      </w:r>
      <w:proofErr w:type="spellStart"/>
      <w:r>
        <w:rPr>
          <w:lang w:val="en-US"/>
        </w:rPr>
        <w:t>ILO</w:t>
      </w:r>
      <w:proofErr w:type="spellEnd"/>
      <w:r>
        <w:rPr>
          <w:lang w:val="en-US"/>
        </w:rPr>
        <w:t xml:space="preserve"> Convention No. 138, 2002</w:t>
      </w:r>
    </w:p>
    <w:p w:rsidR="00000000" w:rsidRDefault="00000000">
      <w:pPr>
        <w:spacing w:line="360" w:lineRule="auto"/>
        <w:rPr>
          <w:lang w:val="en-US"/>
        </w:rPr>
      </w:pPr>
      <w:r>
        <w:rPr>
          <w:lang w:val="en-US"/>
        </w:rPr>
        <w:t xml:space="preserve">27. </w:t>
      </w:r>
      <w:r>
        <w:rPr>
          <w:lang w:val="en-US"/>
        </w:rPr>
        <w:tab/>
        <w:t>Summary of the Equitable Redistribution White Paper, 1999</w:t>
      </w:r>
    </w:p>
    <w:p w:rsidR="00000000" w:rsidRDefault="00000000">
      <w:pPr>
        <w:spacing w:line="360" w:lineRule="auto"/>
        <w:rPr>
          <w:lang w:val="en-US"/>
        </w:rPr>
      </w:pPr>
      <w:r>
        <w:rPr>
          <w:lang w:val="en-US"/>
        </w:rPr>
        <w:t>28.</w:t>
      </w:r>
      <w:r>
        <w:rPr>
          <w:lang w:val="en-US"/>
        </w:rPr>
        <w:tab/>
        <w:t>Human Development Report, statistical appendix on Norway, 2003</w:t>
      </w:r>
    </w:p>
    <w:p w:rsidR="00000000" w:rsidRDefault="00000000">
      <w:pPr>
        <w:spacing w:line="360" w:lineRule="auto"/>
        <w:rPr>
          <w:lang w:val="en-US"/>
        </w:rPr>
      </w:pPr>
      <w:r>
        <w:rPr>
          <w:lang w:val="en-US"/>
        </w:rPr>
        <w:t>29.</w:t>
      </w:r>
      <w:r>
        <w:rPr>
          <w:lang w:val="en-US"/>
        </w:rPr>
        <w:tab/>
        <w:t>Plan of Action for Combating Poverty, Summary, 2002</w:t>
      </w:r>
    </w:p>
    <w:p w:rsidR="00000000" w:rsidRDefault="00000000">
      <w:pPr>
        <w:spacing w:line="360" w:lineRule="auto"/>
        <w:rPr>
          <w:lang w:val="en-US"/>
        </w:rPr>
      </w:pPr>
      <w:r>
        <w:rPr>
          <w:lang w:val="en-US"/>
        </w:rPr>
        <w:t>30.</w:t>
      </w:r>
      <w:r>
        <w:rPr>
          <w:lang w:val="en-US"/>
        </w:rPr>
        <w:tab/>
        <w:t>Report, The Development of Education 1991-2000, 2001</w:t>
      </w:r>
    </w:p>
    <w:p w:rsidR="00000000" w:rsidRDefault="00000000">
      <w:pPr>
        <w:spacing w:line="360" w:lineRule="auto"/>
        <w:rPr>
          <w:lang w:val="en-US"/>
        </w:rPr>
      </w:pPr>
      <w:r>
        <w:rPr>
          <w:lang w:val="en-US"/>
        </w:rPr>
        <w:t xml:space="preserve">31. </w:t>
      </w:r>
      <w:r>
        <w:rPr>
          <w:lang w:val="en-US"/>
        </w:rPr>
        <w:tab/>
        <w:t>Brochure, Education in Norway, 2003</w:t>
      </w:r>
    </w:p>
    <w:p w:rsidR="00000000" w:rsidRDefault="00000000">
      <w:pPr>
        <w:spacing w:line="360" w:lineRule="auto"/>
        <w:rPr>
          <w:lang w:val="en-US"/>
        </w:rPr>
      </w:pPr>
      <w:r>
        <w:rPr>
          <w:lang w:val="en-US"/>
        </w:rPr>
        <w:t xml:space="preserve">32. </w:t>
      </w:r>
      <w:r>
        <w:rPr>
          <w:lang w:val="en-US"/>
        </w:rPr>
        <w:tab/>
        <w:t>Brochure, The Quality Reform, 2003</w:t>
      </w:r>
    </w:p>
    <w:p w:rsidR="00000000" w:rsidRDefault="00000000">
      <w:pPr>
        <w:spacing w:line="360" w:lineRule="auto"/>
        <w:rPr>
          <w:lang w:val="en-US"/>
        </w:rPr>
      </w:pPr>
      <w:r>
        <w:rPr>
          <w:lang w:val="en-US"/>
        </w:rPr>
        <w:t>33.</w:t>
      </w:r>
      <w:r>
        <w:rPr>
          <w:lang w:val="en-US"/>
        </w:rPr>
        <w:tab/>
        <w:t xml:space="preserve">Report, implementation of European charter for regional or minority languages, 2002 </w:t>
      </w:r>
    </w:p>
    <w:p w:rsidR="00000000" w:rsidRDefault="00000000">
      <w:pPr>
        <w:pStyle w:val="Footer"/>
        <w:tabs>
          <w:tab w:val="left" w:pos="567"/>
          <w:tab w:val="left" w:pos="1134"/>
          <w:tab w:val="left" w:pos="1701"/>
          <w:tab w:val="left" w:pos="2268"/>
        </w:tabs>
        <w:spacing w:line="360" w:lineRule="auto"/>
        <w:rPr>
          <w:lang w:val="en-US"/>
        </w:rPr>
      </w:pPr>
      <w:r>
        <w:rPr>
          <w:lang w:val="en-US"/>
        </w:rPr>
        <w:t xml:space="preserve">34. </w:t>
      </w:r>
      <w:r>
        <w:rPr>
          <w:lang w:val="en-US"/>
        </w:rPr>
        <w:tab/>
        <w:t>Brochure, Mental Health Services in Norway</w:t>
      </w:r>
    </w:p>
    <w:p w:rsidR="00000000" w:rsidRDefault="00000000">
      <w:pPr>
        <w:rPr>
          <w:lang w:val="en-US"/>
        </w:rPr>
      </w:pPr>
    </w:p>
    <w:p w:rsidR="00000000" w:rsidRDefault="00000000">
      <w:pPr>
        <w:jc w:val="center"/>
      </w:pPr>
      <w:r>
        <w:t>-----</w:t>
      </w:r>
    </w:p>
    <w:sectPr w:rsidR="00000000">
      <w:headerReference w:type="even" r:id="rId10"/>
      <w:head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E/C.12/4/Add.14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214"/>
      </w:tabs>
      <w:spacing w:line="240" w:lineRule="auto"/>
      <w:rPr>
        <w:lang w:val="en-US"/>
      </w:rPr>
    </w:pPr>
    <w:r>
      <w:rPr>
        <w:lang w:val="en-US"/>
      </w:rPr>
      <w:tab/>
    </w:r>
    <w:r>
      <w:rPr>
        <w:lang w:val="en-US"/>
      </w:rPr>
      <w:tab/>
      <w:t>E/C.12/4/Add.14</w:t>
    </w:r>
  </w:p>
  <w:p w:rsidR="00000000" w:rsidRDefault="00000000">
    <w:pPr>
      <w:pStyle w:val="Header"/>
      <w:tabs>
        <w:tab w:val="clear" w:pos="8306"/>
        <w:tab w:val="left" w:pos="7371"/>
        <w:tab w:val="right" w:pos="921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127</w:t>
    </w:r>
    <w:r>
      <w:rPr>
        <w:rStyle w:val="PageNumber"/>
      </w:rPr>
      <w:fldChar w:fldCharType="end"/>
    </w:r>
  </w:p>
  <w:p w:rsidR="00000000" w:rsidRDefault="00000000">
    <w:pPr>
      <w:pStyle w:val="Header"/>
      <w:tabs>
        <w:tab w:val="clear" w:pos="8306"/>
        <w:tab w:val="left" w:pos="7371"/>
        <w:tab w:val="right" w:pos="9214"/>
      </w:tabs>
      <w:spacing w:line="240" w:lineRule="auto"/>
      <w:rPr>
        <w:rStyle w:val="PageNumber"/>
        <w:lang w:val="en-US"/>
      </w:rPr>
    </w:pPr>
  </w:p>
  <w:p w:rsidR="00000000" w:rsidRDefault="00000000">
    <w:pPr>
      <w:pStyle w:val="Header"/>
      <w:tabs>
        <w:tab w:val="clear" w:pos="8306"/>
        <w:tab w:val="left" w:pos="7371"/>
        <w:tab w:val="right" w:pos="9214"/>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914CF"/>
    <w:multiLevelType w:val="hybridMultilevel"/>
    <w:tmpl w:val="FDB6EA82"/>
    <w:lvl w:ilvl="0" w:tplc="EF9E368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89F7F29"/>
    <w:multiLevelType w:val="hybridMultilevel"/>
    <w:tmpl w:val="1522FAEC"/>
    <w:lvl w:ilvl="0" w:tplc="5098652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57600F6"/>
    <w:multiLevelType w:val="hybridMultilevel"/>
    <w:tmpl w:val="F5123484"/>
    <w:lvl w:ilvl="0" w:tplc="04190001">
      <w:start w:val="1"/>
      <w:numFmt w:val="bullet"/>
      <w:lvlText w:val=""/>
      <w:lvlJc w:val="left"/>
      <w:pPr>
        <w:tabs>
          <w:tab w:val="num" w:pos="2632"/>
        </w:tabs>
        <w:ind w:left="2632" w:hanging="360"/>
      </w:pPr>
      <w:rPr>
        <w:rFonts w:ascii="Symbol" w:hAnsi="Symbol" w:hint="default"/>
      </w:rPr>
    </w:lvl>
    <w:lvl w:ilvl="1" w:tplc="04190003" w:tentative="1">
      <w:start w:val="1"/>
      <w:numFmt w:val="bullet"/>
      <w:lvlText w:val="o"/>
      <w:lvlJc w:val="left"/>
      <w:pPr>
        <w:tabs>
          <w:tab w:val="num" w:pos="3352"/>
        </w:tabs>
        <w:ind w:left="3352" w:hanging="360"/>
      </w:pPr>
      <w:rPr>
        <w:rFonts w:ascii="Courier New" w:hAnsi="Courier New" w:hint="default"/>
      </w:rPr>
    </w:lvl>
    <w:lvl w:ilvl="2" w:tplc="04190005" w:tentative="1">
      <w:start w:val="1"/>
      <w:numFmt w:val="bullet"/>
      <w:lvlText w:val=""/>
      <w:lvlJc w:val="left"/>
      <w:pPr>
        <w:tabs>
          <w:tab w:val="num" w:pos="4072"/>
        </w:tabs>
        <w:ind w:left="4072" w:hanging="360"/>
      </w:pPr>
      <w:rPr>
        <w:rFonts w:ascii="Wingdings" w:hAnsi="Wingdings" w:hint="default"/>
      </w:rPr>
    </w:lvl>
    <w:lvl w:ilvl="3" w:tplc="04190001" w:tentative="1">
      <w:start w:val="1"/>
      <w:numFmt w:val="bullet"/>
      <w:lvlText w:val=""/>
      <w:lvlJc w:val="left"/>
      <w:pPr>
        <w:tabs>
          <w:tab w:val="num" w:pos="4792"/>
        </w:tabs>
        <w:ind w:left="4792" w:hanging="360"/>
      </w:pPr>
      <w:rPr>
        <w:rFonts w:ascii="Symbol" w:hAnsi="Symbol" w:hint="default"/>
      </w:rPr>
    </w:lvl>
    <w:lvl w:ilvl="4" w:tplc="04190003" w:tentative="1">
      <w:start w:val="1"/>
      <w:numFmt w:val="bullet"/>
      <w:lvlText w:val="o"/>
      <w:lvlJc w:val="left"/>
      <w:pPr>
        <w:tabs>
          <w:tab w:val="num" w:pos="5512"/>
        </w:tabs>
        <w:ind w:left="5512" w:hanging="360"/>
      </w:pPr>
      <w:rPr>
        <w:rFonts w:ascii="Courier New" w:hAnsi="Courier New" w:hint="default"/>
      </w:rPr>
    </w:lvl>
    <w:lvl w:ilvl="5" w:tplc="04190005" w:tentative="1">
      <w:start w:val="1"/>
      <w:numFmt w:val="bullet"/>
      <w:lvlText w:val=""/>
      <w:lvlJc w:val="left"/>
      <w:pPr>
        <w:tabs>
          <w:tab w:val="num" w:pos="6232"/>
        </w:tabs>
        <w:ind w:left="6232" w:hanging="360"/>
      </w:pPr>
      <w:rPr>
        <w:rFonts w:ascii="Wingdings" w:hAnsi="Wingdings" w:hint="default"/>
      </w:rPr>
    </w:lvl>
    <w:lvl w:ilvl="6" w:tplc="04190001" w:tentative="1">
      <w:start w:val="1"/>
      <w:numFmt w:val="bullet"/>
      <w:lvlText w:val=""/>
      <w:lvlJc w:val="left"/>
      <w:pPr>
        <w:tabs>
          <w:tab w:val="num" w:pos="6952"/>
        </w:tabs>
        <w:ind w:left="6952" w:hanging="360"/>
      </w:pPr>
      <w:rPr>
        <w:rFonts w:ascii="Symbol" w:hAnsi="Symbol" w:hint="default"/>
      </w:rPr>
    </w:lvl>
    <w:lvl w:ilvl="7" w:tplc="04190003" w:tentative="1">
      <w:start w:val="1"/>
      <w:numFmt w:val="bullet"/>
      <w:lvlText w:val="o"/>
      <w:lvlJc w:val="left"/>
      <w:pPr>
        <w:tabs>
          <w:tab w:val="num" w:pos="7672"/>
        </w:tabs>
        <w:ind w:left="7672" w:hanging="360"/>
      </w:pPr>
      <w:rPr>
        <w:rFonts w:ascii="Courier New" w:hAnsi="Courier New" w:hint="default"/>
      </w:rPr>
    </w:lvl>
    <w:lvl w:ilvl="8" w:tplc="04190005" w:tentative="1">
      <w:start w:val="1"/>
      <w:numFmt w:val="bullet"/>
      <w:lvlText w:val=""/>
      <w:lvlJc w:val="left"/>
      <w:pPr>
        <w:tabs>
          <w:tab w:val="num" w:pos="8392"/>
        </w:tabs>
        <w:ind w:left="8392" w:hanging="360"/>
      </w:pPr>
      <w:rPr>
        <w:rFonts w:ascii="Wingdings" w:hAnsi="Wingdings" w:hint="default"/>
      </w:rPr>
    </w:lvl>
  </w:abstractNum>
  <w:abstractNum w:abstractNumId="3">
    <w:nsid w:val="1CA808B9"/>
    <w:multiLevelType w:val="hybridMultilevel"/>
    <w:tmpl w:val="88CC8D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2CB0D14"/>
    <w:multiLevelType w:val="hybridMultilevel"/>
    <w:tmpl w:val="B50CFF58"/>
    <w:lvl w:ilvl="0" w:tplc="F4DAF54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6">
    <w:nsid w:val="376E3463"/>
    <w:multiLevelType w:val="hybridMultilevel"/>
    <w:tmpl w:val="038EB8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8BF1409"/>
    <w:multiLevelType w:val="hybridMultilevel"/>
    <w:tmpl w:val="7D7A4F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8B310BE"/>
    <w:multiLevelType w:val="hybridMultilevel"/>
    <w:tmpl w:val="15BAD706"/>
    <w:lvl w:ilvl="0" w:tplc="770C792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8E7611A"/>
    <w:multiLevelType w:val="hybridMultilevel"/>
    <w:tmpl w:val="F4B436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1E963E0"/>
    <w:multiLevelType w:val="hybridMultilevel"/>
    <w:tmpl w:val="9C0E32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A411648"/>
    <w:multiLevelType w:val="hybridMultilevel"/>
    <w:tmpl w:val="D7A8D1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8CD2F3B"/>
    <w:multiLevelType w:val="hybridMultilevel"/>
    <w:tmpl w:val="3D2C3E9A"/>
    <w:lvl w:ilvl="0" w:tplc="6E9CDD2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94937A4"/>
    <w:multiLevelType w:val="hybridMultilevel"/>
    <w:tmpl w:val="C0FE7E40"/>
    <w:lvl w:ilvl="0" w:tplc="5098652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nsid w:val="7D1263BE"/>
    <w:multiLevelType w:val="hybridMultilevel"/>
    <w:tmpl w:val="8FF40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5"/>
  </w:num>
  <w:num w:numId="3">
    <w:abstractNumId w:val="4"/>
  </w:num>
  <w:num w:numId="4">
    <w:abstractNumId w:val="8"/>
  </w:num>
  <w:num w:numId="5">
    <w:abstractNumId w:val="12"/>
  </w:num>
  <w:num w:numId="6">
    <w:abstractNumId w:val="2"/>
  </w:num>
  <w:num w:numId="7">
    <w:abstractNumId w:val="14"/>
  </w:num>
  <w:num w:numId="8">
    <w:abstractNumId w:val="11"/>
  </w:num>
  <w:num w:numId="9">
    <w:abstractNumId w:val="1"/>
  </w:num>
  <w:num w:numId="10">
    <w:abstractNumId w:val="13"/>
  </w:num>
  <w:num w:numId="11">
    <w:abstractNumId w:val="0"/>
  </w:num>
  <w:num w:numId="12">
    <w:abstractNumId w:val="7"/>
  </w:num>
  <w:num w:numId="13">
    <w:abstractNumId w:val="3"/>
  </w:num>
  <w:num w:numId="14">
    <w:abstractNumId w:val="10"/>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
    <w:name w:val="Body Text"/>
    <w:basedOn w:val="Normal"/>
    <w:semiHidden/>
    <w:pPr>
      <w:tabs>
        <w:tab w:val="left" w:pos="567"/>
        <w:tab w:val="left" w:pos="1134"/>
        <w:tab w:val="left" w:pos="1701"/>
        <w:tab w:val="left" w:pos="2268"/>
        <w:tab w:val="left" w:pos="6237"/>
      </w:tabs>
      <w:spacing w:line="720" w:lineRule="auto"/>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etat.n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42048</Words>
  <Characters>239676</Characters>
  <Application>Microsoft Office Word</Application>
  <DocSecurity>4</DocSecurity>
  <Lines>1997</Lines>
  <Paragraphs>479</Paragraphs>
  <ScaleCrop>false</ScaleCrop>
  <HeadingPairs>
    <vt:vector size="2" baseType="variant">
      <vt:variant>
        <vt:lpstr>Название</vt:lpstr>
      </vt:variant>
      <vt:variant>
        <vt:i4>1</vt:i4>
      </vt:variant>
    </vt:vector>
  </HeadingPairs>
  <TitlesOfParts>
    <vt:vector size="1" baseType="lpstr">
      <vt:lpstr>0442520.doc</vt:lpstr>
    </vt:vector>
  </TitlesOfParts>
  <Company> </Company>
  <LinksUpToDate>false</LinksUpToDate>
  <CharactersWithSpaces>294338</CharactersWithSpaces>
  <SharedDoc>false</SharedDoc>
  <HLinks>
    <vt:vector size="6" baseType="variant">
      <vt:variant>
        <vt:i4>720917</vt:i4>
      </vt:variant>
      <vt:variant>
        <vt:i4>16</vt:i4>
      </vt:variant>
      <vt:variant>
        <vt:i4>0</vt:i4>
      </vt:variant>
      <vt:variant>
        <vt:i4>5</vt:i4>
      </vt:variant>
      <vt:variant>
        <vt:lpwstr>http://www.aetat.no/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0442520.doc</dc:title>
  <dc:subject/>
  <dc:creator>Smirnova</dc:creator>
  <cp:keywords/>
  <dc:description/>
  <cp:lastModifiedBy>Smirnova</cp:lastModifiedBy>
  <cp:revision>3</cp:revision>
  <cp:lastPrinted>2004-12-02T13:52:00Z</cp:lastPrinted>
  <dcterms:created xsi:type="dcterms:W3CDTF">2004-12-02T13:52:00Z</dcterms:created>
  <dcterms:modified xsi:type="dcterms:W3CDTF">2004-12-02T13:52:00Z</dcterms:modified>
</cp:coreProperties>
</file>