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0ABB" w:rsidRDefault="00790ABB">
      <w:pPr>
        <w:spacing w:line="60" w:lineRule="exact"/>
      </w:pPr>
      <w:r>
        <w:rPr>
          <w:rStyle w:val="CommentReference"/>
          <w:rFonts w:hint="eastAsia"/>
          <w:vanish/>
        </w:rPr>
        <w:commentReference w:id="0"/>
      </w:r>
    </w:p>
    <w:p w:rsidR="00790ABB" w:rsidRDefault="00790ABB">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sz w:val="22"/>
        </w:rPr>
      </w:pPr>
      <w:r>
        <w:rPr>
          <w:rFonts w:hint="eastAsia"/>
          <w:sz w:val="22"/>
        </w:rPr>
        <w:t>消除对妇女歧视委员会</w:t>
      </w:r>
    </w:p>
    <w:p w:rsidR="00790ABB" w:rsidRDefault="00790ABB">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特别会议</w:t>
      </w:r>
    </w:p>
    <w:p w:rsidR="00790ABB" w:rsidRDefault="00790ABB">
      <w:pPr>
        <w:rPr>
          <w:rFonts w:ascii="SimHei" w:eastAsia="SimHei" w:hint="eastAsia"/>
          <w:color w:val="FF0000"/>
        </w:rPr>
      </w:pPr>
      <w:r>
        <w:rPr>
          <w:rFonts w:ascii="SimHei" w:eastAsia="SimHei" w:hint="eastAsia"/>
          <w:color w:val="FF0000"/>
        </w:rPr>
        <w:t>第5</w:t>
      </w:r>
      <w:r>
        <w:rPr>
          <w:rFonts w:ascii="SimHei" w:eastAsia="SimHei"/>
          <w:color w:val="FF0000"/>
        </w:rPr>
        <w:t>8</w:t>
      </w:r>
      <w:r>
        <w:rPr>
          <w:rFonts w:ascii="SimHei" w:eastAsia="SimHei" w:hint="eastAsia"/>
          <w:color w:val="FF0000"/>
        </w:rPr>
        <w:t>1次会议简要记录</w:t>
      </w:r>
    </w:p>
    <w:p w:rsidR="00790ABB" w:rsidRDefault="00790ABB">
      <w:pPr>
        <w:spacing w:afterLines="50" w:after="120"/>
      </w:pPr>
      <w:r>
        <w:t>2002</w:t>
      </w:r>
      <w:r>
        <w:t>年</w:t>
      </w:r>
      <w:r>
        <w:t>8</w:t>
      </w:r>
      <w:r>
        <w:t>月</w:t>
      </w:r>
      <w:r>
        <w:rPr>
          <w:rFonts w:hint="eastAsia"/>
        </w:rPr>
        <w:t>14</w:t>
      </w:r>
      <w:r>
        <w:t>日，星期</w:t>
      </w:r>
      <w:r>
        <w:rPr>
          <w:rFonts w:hint="eastAsia"/>
        </w:rPr>
        <w:t>三</w:t>
      </w:r>
      <w:r>
        <w:t>，</w:t>
      </w:r>
      <w:r>
        <w:rPr>
          <w:rFonts w:hint="eastAsia"/>
        </w:rPr>
        <w:t>下</w:t>
      </w:r>
      <w:r>
        <w:t>午</w:t>
      </w:r>
      <w:r>
        <w:rPr>
          <w:rFonts w:hint="eastAsia"/>
        </w:rPr>
        <w:t>3</w:t>
      </w:r>
      <w:r>
        <w:t>时在纽约总部举行</w:t>
      </w:r>
    </w:p>
    <w:p w:rsidR="00790ABB" w:rsidRDefault="00790ABB">
      <w:pPr>
        <w:widowControl/>
        <w:tabs>
          <w:tab w:val="left" w:pos="1260"/>
          <w:tab w:val="right" w:leader="dot" w:pos="8568"/>
        </w:tabs>
        <w:adjustRightInd/>
        <w:spacing w:line="320" w:lineRule="exact"/>
        <w:ind w:right="1267"/>
        <w:jc w:val="left"/>
        <w:textAlignment w:val="auto"/>
        <w:rPr>
          <w:rFonts w:hint="eastAsia"/>
        </w:rPr>
      </w:pPr>
      <w:r>
        <w:rPr>
          <w:rFonts w:eastAsia="KaiTi_GB2312" w:hint="eastAsia"/>
          <w:color w:val="0000FF"/>
        </w:rPr>
        <w:t>主席：</w:t>
      </w:r>
      <w:r>
        <w:rPr>
          <w:rFonts w:eastAsia="KaiTi_GB2312" w:hint="eastAsia"/>
          <w:color w:val="0000FF"/>
        </w:rPr>
        <w:tab/>
      </w:r>
      <w:r>
        <w:rPr>
          <w:rFonts w:hint="eastAsia"/>
        </w:rPr>
        <w:t>阿巴卡女士</w:t>
      </w:r>
    </w:p>
    <w:p w:rsidR="00790ABB" w:rsidRDefault="00790ABB">
      <w:pPr>
        <w:pStyle w:val="Date"/>
        <w:rPr>
          <w:rFonts w:hint="eastAsia"/>
        </w:rPr>
      </w:pPr>
    </w:p>
    <w:p w:rsidR="00790ABB" w:rsidRDefault="00790ABB">
      <w:pPr>
        <w:pStyle w:val="HCh"/>
        <w:rPr>
          <w:rFonts w:eastAsia="SimSun" w:hint="eastAsia"/>
        </w:rPr>
      </w:pPr>
      <w:r>
        <w:rPr>
          <w:rFonts w:eastAsia="SimSun" w:hint="eastAsia"/>
        </w:rPr>
        <w:t>目录</w:t>
      </w:r>
    </w:p>
    <w:p w:rsidR="00790ABB" w:rsidRDefault="00790ABB">
      <w:pPr>
        <w:pStyle w:val="SingleTxt"/>
      </w:pPr>
      <w:r>
        <w:t>审议缔约国根据</w:t>
      </w:r>
      <w:r>
        <w:rPr>
          <w:rFonts w:ascii="Times New Roman"/>
        </w:rPr>
        <w:t>《公约》第</w:t>
      </w:r>
      <w:r>
        <w:rPr>
          <w:rFonts w:ascii="Times New Roman"/>
        </w:rPr>
        <w:t>18</w:t>
      </w:r>
      <w:r>
        <w:rPr>
          <w:rFonts w:ascii="Times New Roman"/>
        </w:rPr>
        <w:t>条</w:t>
      </w:r>
      <w:r>
        <w:t>提交的报告（</w:t>
      </w:r>
      <w:r>
        <w:rPr>
          <w:rFonts w:ascii="KaiTi_GB2312" w:eastAsia="KaiTi_GB2312"/>
          <w:color w:val="0000FF"/>
        </w:rPr>
        <w:t>续</w:t>
      </w:r>
      <w:r>
        <w:t>）</w:t>
      </w:r>
    </w:p>
    <w:p w:rsidR="00790ABB" w:rsidRDefault="00790ABB">
      <w:pPr>
        <w:pStyle w:val="SingleTxt"/>
        <w:rPr>
          <w:rFonts w:hint="eastAsia"/>
          <w:color w:val="0000FF"/>
        </w:rPr>
      </w:pPr>
      <w:r>
        <w:rPr>
          <w:color w:val="0000FF"/>
        </w:rPr>
        <w:tab/>
      </w:r>
      <w:r>
        <w:rPr>
          <w:rFonts w:ascii="KaiTi_GB2312" w:eastAsia="KaiTi_GB2312" w:hint="eastAsia"/>
          <w:color w:val="0000FF"/>
        </w:rPr>
        <w:t>也门的</w:t>
      </w:r>
      <w:r>
        <w:rPr>
          <w:rFonts w:ascii="KaiTi_GB2312" w:eastAsia="KaiTi_GB2312"/>
          <w:color w:val="0000FF"/>
        </w:rPr>
        <w:t>第</w:t>
      </w:r>
      <w:r>
        <w:rPr>
          <w:rFonts w:ascii="KaiTi_GB2312" w:eastAsia="KaiTi_GB2312" w:hint="eastAsia"/>
          <w:color w:val="0000FF"/>
        </w:rPr>
        <w:t>四和第五</w:t>
      </w:r>
      <w:r>
        <w:rPr>
          <w:rFonts w:ascii="KaiTi_GB2312" w:eastAsia="KaiTi_GB2312"/>
          <w:color w:val="0000FF"/>
        </w:rPr>
        <w:t>次定期报告</w:t>
      </w:r>
      <w:r>
        <w:rPr>
          <w:rFonts w:ascii="长城楷体" w:eastAsia="长城楷体" w:hint="eastAsia"/>
          <w:color w:val="0000FF"/>
        </w:rPr>
        <w:t>（</w:t>
      </w:r>
      <w:r>
        <w:rPr>
          <w:rFonts w:ascii="KaiTi_GB2312" w:eastAsia="KaiTi_GB2312" w:hint="eastAsia"/>
          <w:color w:val="0000FF"/>
        </w:rPr>
        <w:t>续</w:t>
      </w:r>
      <w:r>
        <w:rPr>
          <w:rFonts w:ascii="长城楷体" w:eastAsia="长城楷体" w:hint="eastAsia"/>
          <w:color w:val="0000FF"/>
        </w:rPr>
        <w:t>）</w:t>
      </w:r>
      <w:bookmarkStart w:id="1" w:name="TmpSave"/>
      <w:bookmarkEnd w:id="1"/>
    </w:p>
    <w:p w:rsidR="00790ABB" w:rsidRDefault="00790ABB">
      <w:pPr>
        <w:pStyle w:val="50"/>
        <w:spacing w:before="240" w:after="240"/>
        <w:jc w:val="center"/>
      </w:pPr>
    </w:p>
    <w:p w:rsidR="00790ABB" w:rsidRDefault="00790ABB">
      <w:pPr>
        <w:spacing w:after="240" w:line="360" w:lineRule="atLeast"/>
        <w:jc w:val="center"/>
        <w:rPr>
          <w:rFonts w:eastAsia="SimHei"/>
          <w:sz w:val="28"/>
        </w:rPr>
      </w:pPr>
    </w:p>
    <w:p w:rsidR="00790ABB" w:rsidRDefault="00790ABB">
      <w:pPr>
        <w:pStyle w:val="DualTxt"/>
        <w:tabs>
          <w:tab w:val="clear" w:pos="432"/>
          <w:tab w:val="left" w:pos="15"/>
          <w:tab w:val="left" w:pos="420"/>
        </w:tabs>
        <w:spacing w:after="0" w:line="120" w:lineRule="exact"/>
        <w:rPr>
          <w:rFonts w:ascii="KaiTi_GB2312" w:eastAsia="KaiTi_GB2312"/>
          <w:color w:val="0000FF"/>
        </w:rPr>
        <w:sectPr w:rsidR="00790ABB">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sz w:val="28"/>
        </w:rPr>
        <w:br w:type="page"/>
      </w:r>
      <w:r>
        <w:rPr>
          <w:rFonts w:ascii="KaiTi_GB2312" w:eastAsia="KaiTi_GB2312"/>
          <w:color w:val="0000FF"/>
        </w:rPr>
        <w:tab/>
      </w:r>
    </w:p>
    <w:p w:rsidR="00790ABB" w:rsidRDefault="00790ABB">
      <w:pPr>
        <w:pStyle w:val="DualTxt"/>
        <w:tabs>
          <w:tab w:val="clear" w:pos="432"/>
          <w:tab w:val="left" w:pos="15"/>
          <w:tab w:val="left" w:pos="420"/>
        </w:tabs>
        <w:spacing w:after="180"/>
        <w:rPr>
          <w:rFonts w:ascii="KaiTi_GB2312" w:eastAsia="KaiTi_GB2312"/>
          <w:color w:val="0000FF"/>
        </w:rPr>
      </w:pPr>
      <w:r>
        <w:rPr>
          <w:rFonts w:ascii="KaiTi_GB2312" w:eastAsia="KaiTi_GB2312" w:hint="eastAsia"/>
          <w:color w:val="0000FF"/>
        </w:rPr>
        <w:t>下</w:t>
      </w:r>
      <w:r>
        <w:rPr>
          <w:rFonts w:ascii="KaiTi_GB2312" w:eastAsia="KaiTi_GB2312"/>
          <w:color w:val="0000FF"/>
        </w:rPr>
        <w:t>午</w:t>
      </w:r>
      <w:r>
        <w:rPr>
          <w:rFonts w:ascii="KaiTi_GB2312" w:eastAsia="KaiTi_GB2312" w:hint="eastAsia"/>
          <w:color w:val="0000FF"/>
        </w:rPr>
        <w:t>3</w:t>
      </w:r>
      <w:r>
        <w:rPr>
          <w:rFonts w:ascii="KaiTi_GB2312" w:eastAsia="KaiTi_GB2312"/>
          <w:color w:val="0000FF"/>
        </w:rPr>
        <w:t>时1</w:t>
      </w:r>
      <w:r>
        <w:rPr>
          <w:rFonts w:ascii="KaiTi_GB2312" w:eastAsia="KaiTi_GB2312" w:hint="eastAsia"/>
          <w:color w:val="0000FF"/>
        </w:rPr>
        <w:t>0</w:t>
      </w:r>
      <w:r>
        <w:rPr>
          <w:rFonts w:ascii="KaiTi_GB2312" w:eastAsia="KaiTi_GB2312"/>
          <w:color w:val="0000FF"/>
        </w:rPr>
        <w:t>分宣布开会</w:t>
      </w:r>
    </w:p>
    <w:p w:rsidR="00790ABB" w:rsidRDefault="00790ABB">
      <w:pPr>
        <w:pStyle w:val="DualTxt"/>
        <w:tabs>
          <w:tab w:val="clear" w:pos="432"/>
          <w:tab w:val="left" w:pos="420"/>
        </w:tabs>
        <w:spacing w:after="180"/>
        <w:jc w:val="left"/>
        <w:rPr>
          <w:rFonts w:ascii="Times New Roman" w:hint="eastAsia"/>
        </w:rPr>
      </w:pPr>
      <w:r>
        <w:rPr>
          <w:rFonts w:ascii="SimHei" w:eastAsia="SimHei"/>
          <w:color w:val="FF0000"/>
        </w:rPr>
        <w:t>审议缔约国根据《公约》第18条提交的报告</w:t>
      </w:r>
      <w:r>
        <w:t>（</w:t>
      </w:r>
      <w:r>
        <w:rPr>
          <w:rFonts w:ascii="KaiTi_GB2312" w:eastAsia="KaiTi_GB2312"/>
          <w:color w:val="0000FF"/>
        </w:rPr>
        <w:t>续</w:t>
      </w:r>
      <w:r>
        <w:t>）</w:t>
      </w:r>
      <w:r>
        <w:rPr>
          <w:rFonts w:ascii="Times New Roman"/>
        </w:rPr>
        <w:t>(CEDAW/C/</w:t>
      </w:r>
      <w:r>
        <w:rPr>
          <w:rFonts w:ascii="Times New Roman" w:hint="eastAsia"/>
        </w:rPr>
        <w:t>YEM/4</w:t>
      </w:r>
      <w:r>
        <w:rPr>
          <w:rFonts w:ascii="Times New Roman" w:hint="eastAsia"/>
        </w:rPr>
        <w:t>和</w:t>
      </w:r>
      <w:r>
        <w:rPr>
          <w:rFonts w:ascii="Times New Roman" w:hint="eastAsia"/>
        </w:rPr>
        <w:t>5</w:t>
      </w:r>
      <w:r>
        <w:rPr>
          <w:rFonts w:ascii="Times New Roman" w:hint="eastAsia"/>
        </w:rPr>
        <w:t>；</w:t>
      </w:r>
      <w:r>
        <w:rPr>
          <w:rFonts w:ascii="Times New Roman" w:hint="eastAsia"/>
        </w:rPr>
        <w:t>C</w:t>
      </w:r>
      <w:r>
        <w:rPr>
          <w:rFonts w:ascii="Times New Roman"/>
        </w:rPr>
        <w:t xml:space="preserve">EDAW/PSWG/2002/ </w:t>
      </w:r>
      <w:r>
        <w:rPr>
          <w:rFonts w:ascii="Times New Roman"/>
        </w:rPr>
        <w:br/>
        <w:t>EXC/ CRP.</w:t>
      </w:r>
      <w:r>
        <w:rPr>
          <w:rFonts w:ascii="Times New Roman" w:hint="eastAsia"/>
        </w:rPr>
        <w:t>1</w:t>
      </w:r>
      <w:r>
        <w:rPr>
          <w:rFonts w:ascii="Times New Roman"/>
        </w:rPr>
        <w:t>/Add.</w:t>
      </w:r>
      <w:r>
        <w:rPr>
          <w:rFonts w:ascii="Times New Roman" w:hint="eastAsia"/>
        </w:rPr>
        <w:t>11</w:t>
      </w:r>
      <w:r>
        <w:rPr>
          <w:rFonts w:ascii="Times New Roman" w:hint="eastAsia"/>
        </w:rPr>
        <w:t>；</w:t>
      </w:r>
      <w:r>
        <w:rPr>
          <w:rFonts w:ascii="Times New Roman" w:hint="eastAsia"/>
        </w:rPr>
        <w:t>C</w:t>
      </w:r>
      <w:r>
        <w:rPr>
          <w:rFonts w:ascii="Times New Roman"/>
        </w:rPr>
        <w:t xml:space="preserve">EDAW/PSWG/2002/EXC/ </w:t>
      </w:r>
      <w:r>
        <w:rPr>
          <w:rFonts w:ascii="Times New Roman" w:hint="eastAsia"/>
        </w:rPr>
        <w:t>CRP.2/Add.2</w:t>
      </w:r>
      <w:r>
        <w:rPr>
          <w:rFonts w:ascii="Times New Roman"/>
        </w:rPr>
        <w:t>)</w:t>
      </w:r>
    </w:p>
    <w:p w:rsidR="00790ABB" w:rsidRDefault="00790ABB">
      <w:pPr>
        <w:pStyle w:val="DualTxt"/>
        <w:tabs>
          <w:tab w:val="clear" w:pos="432"/>
          <w:tab w:val="left" w:pos="15"/>
          <w:tab w:val="left" w:pos="420"/>
        </w:tabs>
        <w:spacing w:after="180"/>
        <w:rPr>
          <w:rFonts w:ascii="KaiTi_GB2312" w:eastAsia="KaiTi_GB2312" w:hint="eastAsia"/>
          <w:color w:val="0000FF"/>
        </w:rPr>
      </w:pPr>
      <w:r>
        <w:rPr>
          <w:rFonts w:ascii="KaiTi_GB2312" w:eastAsia="KaiTi_GB2312" w:hint="eastAsia"/>
          <w:color w:val="0000FF"/>
        </w:rPr>
        <w:tab/>
        <w:t>也门的</w:t>
      </w:r>
      <w:r>
        <w:rPr>
          <w:rFonts w:ascii="KaiTi_GB2312" w:eastAsia="KaiTi_GB2312"/>
          <w:color w:val="0000FF"/>
        </w:rPr>
        <w:t>第</w:t>
      </w:r>
      <w:r>
        <w:rPr>
          <w:rFonts w:ascii="KaiTi_GB2312" w:eastAsia="KaiTi_GB2312" w:hint="eastAsia"/>
          <w:color w:val="0000FF"/>
        </w:rPr>
        <w:t>四和第五</w:t>
      </w:r>
      <w:r>
        <w:rPr>
          <w:rFonts w:ascii="KaiTi_GB2312" w:eastAsia="KaiTi_GB2312"/>
          <w:color w:val="0000FF"/>
        </w:rPr>
        <w:t>次定期报告（续）</w:t>
      </w:r>
    </w:p>
    <w:p w:rsidR="00790ABB" w:rsidRDefault="00790ABB" w:rsidP="00790ABB">
      <w:pPr>
        <w:pStyle w:val="DualTxt"/>
        <w:numPr>
          <w:ilvl w:val="0"/>
          <w:numId w:val="5"/>
        </w:numPr>
        <w:tabs>
          <w:tab w:val="clear" w:pos="435"/>
          <w:tab w:val="left" w:pos="420"/>
        </w:tabs>
        <w:spacing w:after="180"/>
        <w:rPr>
          <w:rFonts w:ascii="Times New Roman" w:hint="eastAsia"/>
        </w:rPr>
      </w:pPr>
      <w:r>
        <w:rPr>
          <w:rFonts w:ascii="Times New Roman"/>
        </w:rPr>
        <w:t>应主席邀请</w:t>
      </w:r>
      <w:r>
        <w:rPr>
          <w:rFonts w:ascii="Times New Roman" w:hint="eastAsia"/>
        </w:rPr>
        <w:t>，</w:t>
      </w:r>
      <w:r>
        <w:rPr>
          <w:rFonts w:ascii="Times New Roman" w:hint="eastAsia"/>
        </w:rPr>
        <w:t>Kaid</w:t>
      </w:r>
      <w:r>
        <w:rPr>
          <w:rFonts w:ascii="Times New Roman" w:hint="eastAsia"/>
        </w:rPr>
        <w:t>女士（也门）</w:t>
      </w:r>
      <w:r>
        <w:rPr>
          <w:rFonts w:ascii="Times New Roman"/>
        </w:rPr>
        <w:t>在委员会议席就座。</w:t>
      </w:r>
    </w:p>
    <w:p w:rsidR="00790ABB" w:rsidRDefault="00790ABB">
      <w:pPr>
        <w:pStyle w:val="DualTxt"/>
        <w:tabs>
          <w:tab w:val="clear" w:pos="432"/>
          <w:tab w:val="left" w:pos="15"/>
          <w:tab w:val="left" w:pos="420"/>
        </w:tabs>
        <w:spacing w:after="180"/>
        <w:rPr>
          <w:rFonts w:ascii="KaiTi_GB2312" w:eastAsia="KaiTi_GB2312" w:hint="eastAsia"/>
          <w:color w:val="0000FF"/>
        </w:rPr>
      </w:pPr>
      <w:r>
        <w:rPr>
          <w:rFonts w:ascii="KaiTi_GB2312" w:eastAsia="KaiTi_GB2312" w:hint="eastAsia"/>
          <w:color w:val="0000FF"/>
        </w:rPr>
        <w:t>第15条至第16条</w:t>
      </w:r>
    </w:p>
    <w:p w:rsidR="00790ABB" w:rsidRDefault="00790ABB">
      <w:pPr>
        <w:pStyle w:val="DualTxt"/>
        <w:tabs>
          <w:tab w:val="clear" w:pos="432"/>
          <w:tab w:val="left" w:pos="420"/>
        </w:tabs>
        <w:spacing w:after="180"/>
        <w:rPr>
          <w:rFonts w:ascii="Times New Roman" w:hint="eastAsia"/>
        </w:rPr>
      </w:pPr>
      <w:r>
        <w:rPr>
          <w:rFonts w:ascii="Times New Roman"/>
        </w:rPr>
        <w:t>2.</w:t>
      </w:r>
      <w:r>
        <w:rPr>
          <w:rFonts w:ascii="Times New Roman"/>
        </w:rPr>
        <w:tab/>
      </w:r>
      <w:r>
        <w:rPr>
          <w:rFonts w:ascii="Times New Roman" w:hint="eastAsia"/>
          <w:b/>
          <w:bCs/>
          <w:color w:val="FF0000"/>
        </w:rPr>
        <w:t>Kwaku</w:t>
      </w:r>
      <w:r>
        <w:rPr>
          <w:rFonts w:ascii="Times New Roman" w:eastAsia="SimHei" w:hint="eastAsia"/>
          <w:color w:val="FF0000"/>
        </w:rPr>
        <w:t>女士</w:t>
      </w:r>
      <w:r>
        <w:rPr>
          <w:rFonts w:ascii="Times New Roman" w:hint="eastAsia"/>
        </w:rPr>
        <w:t>注意到也门的《个人地位法》规定女孩的结婚年龄只有</w:t>
      </w:r>
      <w:r>
        <w:rPr>
          <w:rFonts w:ascii="Times New Roman" w:hint="eastAsia"/>
        </w:rPr>
        <w:t>15</w:t>
      </w:r>
      <w:r>
        <w:rPr>
          <w:rFonts w:ascii="Times New Roman" w:hint="eastAsia"/>
        </w:rPr>
        <w:t>岁，她要求也门代表团对有关不得为未成年人订立婚约，“但这种婚约为了非常明确的利益者除外”的条款（</w:t>
      </w:r>
      <w:r>
        <w:rPr>
          <w:rFonts w:ascii="Times New Roman" w:hint="eastAsia"/>
        </w:rPr>
        <w:t>CEDAW/C/YEM/4</w:t>
      </w:r>
      <w:r>
        <w:rPr>
          <w:rFonts w:ascii="Times New Roman" w:hint="eastAsia"/>
        </w:rPr>
        <w:t>，第</w:t>
      </w:r>
      <w:r>
        <w:rPr>
          <w:rFonts w:ascii="Times New Roman" w:hint="eastAsia"/>
        </w:rPr>
        <w:t>205</w:t>
      </w:r>
      <w:r>
        <w:rPr>
          <w:rFonts w:ascii="Times New Roman" w:hint="eastAsia"/>
        </w:rPr>
        <w:t>段）做出澄清。因为根据同一法律，丈夫不得将新娘带回家，除非她“适合并准备性交”，她想知道的是由谁确定一个女孩是否已经可以性交，以及是否进行任何医学检验。也门代表团应该提供有关</w:t>
      </w:r>
      <w:r>
        <w:rPr>
          <w:rFonts w:ascii="Times New Roman" w:hint="eastAsia"/>
        </w:rPr>
        <w:t>15</w:t>
      </w:r>
      <w:r>
        <w:rPr>
          <w:rFonts w:ascii="Times New Roman" w:hint="eastAsia"/>
        </w:rPr>
        <w:t>岁或</w:t>
      </w:r>
      <w:r>
        <w:rPr>
          <w:rFonts w:ascii="Times New Roman" w:hint="eastAsia"/>
        </w:rPr>
        <w:t>15</w:t>
      </w:r>
      <w:r>
        <w:rPr>
          <w:rFonts w:ascii="Times New Roman" w:hint="eastAsia"/>
        </w:rPr>
        <w:t>岁以下女孩结婚比例的统计资料，以及针对其父母的所有刑罚措施的详细情况。考虑到早婚的数量，也门代表团还应该说明也门的膀胱阴道瘘发病率。也门代表团还应该说明有何方案确保年轻妇女能够在结婚和分娩之后继续学业。</w:t>
      </w:r>
    </w:p>
    <w:p w:rsidR="00790ABB" w:rsidRDefault="00790ABB">
      <w:pPr>
        <w:pStyle w:val="DualTxt"/>
        <w:tabs>
          <w:tab w:val="clear" w:pos="432"/>
          <w:tab w:val="left" w:pos="420"/>
        </w:tabs>
        <w:spacing w:after="180"/>
        <w:rPr>
          <w:rFonts w:ascii="Times New Roman" w:hint="eastAsia"/>
        </w:rPr>
      </w:pPr>
      <w:r>
        <w:rPr>
          <w:rFonts w:ascii="Times New Roman" w:hint="eastAsia"/>
        </w:rPr>
        <w:t>3</w:t>
      </w:r>
      <w:r>
        <w:rPr>
          <w:rFonts w:ascii="Times New Roman" w:hint="eastAsia"/>
        </w:rPr>
        <w:t>．</w:t>
      </w:r>
      <w:r>
        <w:rPr>
          <w:rFonts w:ascii="Times New Roman" w:hint="eastAsia"/>
        </w:rPr>
        <w:tab/>
      </w:r>
      <w:r>
        <w:rPr>
          <w:rFonts w:ascii="Times New Roman" w:hint="eastAsia"/>
        </w:rPr>
        <w:t>政府应该重新认真审议其关于不修改赋予丈夫对妻子的全部控制权之法律条款的决定。父权社会经常利用宗教来维持那些实际源于文化根源的歧视性做法。</w:t>
      </w:r>
    </w:p>
    <w:p w:rsidR="00790ABB" w:rsidRDefault="00790ABB">
      <w:pPr>
        <w:pStyle w:val="DualTxt"/>
        <w:tabs>
          <w:tab w:val="clear" w:pos="432"/>
          <w:tab w:val="left" w:pos="420"/>
        </w:tabs>
        <w:spacing w:after="180"/>
        <w:rPr>
          <w:rFonts w:ascii="Times New Roman" w:hint="eastAsia"/>
        </w:rPr>
      </w:pPr>
      <w:r>
        <w:rPr>
          <w:rFonts w:ascii="Times New Roman" w:hint="eastAsia"/>
        </w:rPr>
        <w:t>4</w:t>
      </w:r>
      <w:r>
        <w:rPr>
          <w:rFonts w:ascii="Times New Roman" w:hint="eastAsia"/>
        </w:rPr>
        <w:t>．</w:t>
      </w:r>
      <w:r>
        <w:rPr>
          <w:rFonts w:ascii="Times New Roman" w:hint="eastAsia"/>
        </w:rPr>
        <w:tab/>
      </w:r>
      <w:r>
        <w:rPr>
          <w:rFonts w:ascii="Times New Roman" w:hint="eastAsia"/>
          <w:b/>
          <w:bCs/>
          <w:color w:val="FF0000"/>
        </w:rPr>
        <w:t>Livingstone</w:t>
      </w:r>
      <w:r>
        <w:rPr>
          <w:rFonts w:ascii="Times New Roman" w:hint="eastAsia"/>
          <w:b/>
          <w:bCs/>
        </w:rPr>
        <w:t xml:space="preserve"> </w:t>
      </w:r>
      <w:r>
        <w:rPr>
          <w:rFonts w:ascii="Times New Roman" w:hint="eastAsia"/>
          <w:b/>
          <w:bCs/>
          <w:color w:val="FF0000"/>
        </w:rPr>
        <w:t>Raday</w:t>
      </w:r>
      <w:r>
        <w:rPr>
          <w:rFonts w:ascii="Times New Roman" w:eastAsia="SimHei" w:hint="eastAsia"/>
          <w:color w:val="FF0000"/>
        </w:rPr>
        <w:t>女士</w:t>
      </w:r>
      <w:r>
        <w:rPr>
          <w:rFonts w:ascii="Times New Roman" w:hint="eastAsia"/>
        </w:rPr>
        <w:t>对政府提高女性识字率和加强妇女参与社会的愿望表示欢迎，但同时对实现这些目标的可行性提出质疑。她了解男孩和女孩之间的识字率的差距在扩大，目前有</w:t>
      </w:r>
      <w:r>
        <w:rPr>
          <w:rFonts w:ascii="Times New Roman" w:hint="eastAsia"/>
        </w:rPr>
        <w:t>76%</w:t>
      </w:r>
      <w:r>
        <w:rPr>
          <w:rFonts w:ascii="Times New Roman" w:hint="eastAsia"/>
        </w:rPr>
        <w:t>的妇女和</w:t>
      </w:r>
      <w:r>
        <w:rPr>
          <w:rFonts w:ascii="Times New Roman" w:hint="eastAsia"/>
        </w:rPr>
        <w:t>33%</w:t>
      </w:r>
      <w:r>
        <w:rPr>
          <w:rFonts w:ascii="Times New Roman" w:hint="eastAsia"/>
        </w:rPr>
        <w:t>的男人是文盲，而女孩和男孩的文盲比例是</w:t>
      </w:r>
      <w:r>
        <w:rPr>
          <w:rFonts w:ascii="Times New Roman" w:hint="eastAsia"/>
        </w:rPr>
        <w:t>56%</w:t>
      </w:r>
      <w:r>
        <w:rPr>
          <w:rFonts w:ascii="Times New Roman" w:hint="eastAsia"/>
        </w:rPr>
        <w:t>和</w:t>
      </w:r>
      <w:r>
        <w:rPr>
          <w:rFonts w:ascii="Times New Roman" w:hint="eastAsia"/>
        </w:rPr>
        <w:t>18%</w:t>
      </w:r>
      <w:r>
        <w:rPr>
          <w:rFonts w:ascii="Times New Roman" w:hint="eastAsia"/>
        </w:rPr>
        <w:t>。一个令人关切的相关原因是，虽然对研究妇女问题的法律改革举措十分重要，但</w:t>
      </w:r>
      <w:r>
        <w:rPr>
          <w:rFonts w:ascii="Times New Roman" w:hint="eastAsia"/>
        </w:rPr>
        <w:t>1999</w:t>
      </w:r>
      <w:r>
        <w:rPr>
          <w:rFonts w:ascii="Times New Roman" w:hint="eastAsia"/>
        </w:rPr>
        <w:t>年法院却指令关闭经验研究和妇女研究中心。</w:t>
      </w:r>
    </w:p>
    <w:p w:rsidR="00790ABB" w:rsidRDefault="00790ABB">
      <w:pPr>
        <w:pStyle w:val="DualTxt"/>
        <w:tabs>
          <w:tab w:val="clear" w:pos="432"/>
          <w:tab w:val="left" w:pos="420"/>
        </w:tabs>
        <w:spacing w:after="180"/>
        <w:rPr>
          <w:rFonts w:ascii="Times New Roman" w:hint="eastAsia"/>
        </w:rPr>
      </w:pPr>
      <w:r>
        <w:rPr>
          <w:rFonts w:ascii="Times New Roman" w:hint="eastAsia"/>
        </w:rPr>
        <w:t>5</w:t>
      </w:r>
      <w:r>
        <w:rPr>
          <w:rFonts w:ascii="Times New Roman" w:hint="eastAsia"/>
        </w:rPr>
        <w:t>．</w:t>
      </w:r>
      <w:r>
        <w:rPr>
          <w:rFonts w:ascii="Times New Roman" w:hint="eastAsia"/>
        </w:rPr>
        <w:tab/>
      </w:r>
      <w:r>
        <w:rPr>
          <w:rFonts w:ascii="Times New Roman" w:hint="eastAsia"/>
        </w:rPr>
        <w:t>如果妇女和女孩在家庭中受到压迫，她们就不能在教育和工作场所中发挥其潜力。早婚、遵从丈夫的要求、一夫多妻制、极高的出生率和贫穷之间有着直接的相互关联。</w:t>
      </w:r>
    </w:p>
    <w:p w:rsidR="00790ABB" w:rsidRDefault="00790ABB">
      <w:pPr>
        <w:pStyle w:val="DualTxt"/>
        <w:tabs>
          <w:tab w:val="clear" w:pos="432"/>
          <w:tab w:val="left" w:pos="420"/>
        </w:tabs>
        <w:spacing w:after="180"/>
        <w:rPr>
          <w:rFonts w:ascii="Times New Roman" w:hint="eastAsia"/>
        </w:rPr>
      </w:pPr>
      <w:r>
        <w:rPr>
          <w:rFonts w:ascii="Times New Roman" w:hint="eastAsia"/>
        </w:rPr>
        <w:t>6</w:t>
      </w:r>
      <w:r>
        <w:rPr>
          <w:rFonts w:ascii="Times New Roman" w:hint="eastAsia"/>
        </w:rPr>
        <w:t>．</w:t>
      </w:r>
      <w:r>
        <w:rPr>
          <w:rFonts w:ascii="Times New Roman" w:hint="eastAsia"/>
        </w:rPr>
        <w:tab/>
      </w:r>
      <w:r>
        <w:rPr>
          <w:rFonts w:ascii="Times New Roman" w:hint="eastAsia"/>
        </w:rPr>
        <w:t>有关“处女沉默”就是表示同意的条款不仅使婚姻联盟的一开始就出现问题；它还使家庭能向少女施加压力，迫使其结婚。尽管也门代表团声称在也门不存在强奸问题，但《也门观察家》在</w:t>
      </w:r>
      <w:r>
        <w:rPr>
          <w:rFonts w:ascii="Times New Roman" w:hint="eastAsia"/>
        </w:rPr>
        <w:t>2000</w:t>
      </w:r>
      <w:r>
        <w:rPr>
          <w:rFonts w:ascii="Times New Roman" w:hint="eastAsia"/>
        </w:rPr>
        <w:t>年</w:t>
      </w:r>
      <w:r>
        <w:rPr>
          <w:rFonts w:ascii="Times New Roman" w:hint="eastAsia"/>
        </w:rPr>
        <w:t>5</w:t>
      </w:r>
      <w:r>
        <w:rPr>
          <w:rFonts w:ascii="Times New Roman" w:hint="eastAsia"/>
        </w:rPr>
        <w:t>月曾清清楚楚地报道过一男子因为多次强奸其女儿而被判处</w:t>
      </w:r>
      <w:r>
        <w:rPr>
          <w:rFonts w:ascii="Times New Roman" w:hint="eastAsia"/>
        </w:rPr>
        <w:t>20</w:t>
      </w:r>
      <w:r>
        <w:rPr>
          <w:rFonts w:ascii="Times New Roman" w:hint="eastAsia"/>
        </w:rPr>
        <w:t>年有期徒刑，而那个女孩被判五年徒刑。她不能理解这个受害者犯了什么罪。</w:t>
      </w:r>
    </w:p>
    <w:p w:rsidR="00790ABB" w:rsidRDefault="00790ABB">
      <w:pPr>
        <w:pStyle w:val="DualTxt"/>
        <w:tabs>
          <w:tab w:val="clear" w:pos="432"/>
          <w:tab w:val="left" w:pos="420"/>
        </w:tabs>
        <w:spacing w:after="180"/>
        <w:rPr>
          <w:rFonts w:ascii="Times New Roman" w:hint="eastAsia"/>
        </w:rPr>
      </w:pPr>
      <w:r>
        <w:rPr>
          <w:rFonts w:ascii="Times New Roman" w:hint="eastAsia"/>
        </w:rPr>
        <w:t>7</w:t>
      </w:r>
      <w:r>
        <w:rPr>
          <w:rFonts w:ascii="Times New Roman" w:hint="eastAsia"/>
        </w:rPr>
        <w:t>．</w:t>
      </w:r>
      <w:r>
        <w:rPr>
          <w:rFonts w:ascii="Times New Roman" w:hint="eastAsia"/>
        </w:rPr>
        <w:tab/>
      </w:r>
      <w:r>
        <w:rPr>
          <w:rFonts w:ascii="Times New Roman" w:hint="eastAsia"/>
        </w:rPr>
        <w:t>妇女无权平等分享婚姻财产或在“待婚期”（</w:t>
      </w:r>
      <w:r>
        <w:rPr>
          <w:rFonts w:ascii="Times New Roman" w:hint="eastAsia"/>
        </w:rPr>
        <w:t>iddah</w:t>
      </w:r>
      <w:r>
        <w:rPr>
          <w:rFonts w:ascii="Times New Roman" w:hint="eastAsia"/>
        </w:rPr>
        <w:t>）之后享有扶养费这一事实只会使贫穷妇女人数日增。一夫多妻制也在经济上出现问题，因为人数较多的子女只能依赖于一位挣工资的人。</w:t>
      </w:r>
    </w:p>
    <w:p w:rsidR="00790ABB" w:rsidRDefault="00790ABB">
      <w:pPr>
        <w:pStyle w:val="DualTxt"/>
        <w:tabs>
          <w:tab w:val="clear" w:pos="432"/>
          <w:tab w:val="left" w:pos="420"/>
        </w:tabs>
        <w:spacing w:after="180" w:line="330" w:lineRule="exact"/>
        <w:rPr>
          <w:rFonts w:ascii="Times New Roman" w:hint="eastAsia"/>
        </w:rPr>
      </w:pPr>
      <w:r>
        <w:rPr>
          <w:rFonts w:ascii="Times New Roman" w:hint="eastAsia"/>
        </w:rPr>
        <w:t>8</w:t>
      </w:r>
      <w:r>
        <w:rPr>
          <w:rFonts w:ascii="Times New Roman" w:hint="eastAsia"/>
        </w:rPr>
        <w:t>．</w:t>
      </w:r>
      <w:r>
        <w:rPr>
          <w:rFonts w:ascii="Times New Roman" w:hint="eastAsia"/>
        </w:rPr>
        <w:tab/>
      </w:r>
      <w:r>
        <w:rPr>
          <w:rFonts w:ascii="Times New Roman" w:hint="eastAsia"/>
        </w:rPr>
        <w:t>既然退休早只会使老年妇女贫穷，她想知道的是，政府是否已经考虑将</w:t>
      </w:r>
      <w:r>
        <w:rPr>
          <w:rFonts w:ascii="Times New Roman" w:hint="eastAsia"/>
        </w:rPr>
        <w:t>55</w:t>
      </w:r>
      <w:r>
        <w:rPr>
          <w:rFonts w:ascii="Times New Roman" w:hint="eastAsia"/>
        </w:rPr>
        <w:t>岁作为一种可以选择的退休年龄。应该允许需要继续工作的妇女继续工作，以便维持她们自己及其家庭的生活。</w:t>
      </w:r>
    </w:p>
    <w:p w:rsidR="00790ABB" w:rsidRDefault="00790ABB">
      <w:pPr>
        <w:pStyle w:val="DualTxt"/>
        <w:tabs>
          <w:tab w:val="clear" w:pos="432"/>
          <w:tab w:val="left" w:pos="420"/>
        </w:tabs>
        <w:spacing w:after="180" w:line="330" w:lineRule="exact"/>
        <w:rPr>
          <w:rFonts w:ascii="Times New Roman" w:hint="eastAsia"/>
        </w:rPr>
      </w:pPr>
      <w:r>
        <w:rPr>
          <w:rFonts w:ascii="Times New Roman" w:hint="eastAsia"/>
        </w:rPr>
        <w:t>9</w:t>
      </w:r>
      <w:r>
        <w:rPr>
          <w:rFonts w:ascii="Times New Roman" w:hint="eastAsia"/>
        </w:rPr>
        <w:t>．</w:t>
      </w:r>
      <w:r>
        <w:rPr>
          <w:rFonts w:ascii="Times New Roman" w:hint="eastAsia"/>
        </w:rPr>
        <w:tab/>
      </w:r>
      <w:r>
        <w:rPr>
          <w:rFonts w:ascii="Times New Roman" w:hint="eastAsia"/>
          <w:b/>
          <w:bCs/>
          <w:color w:val="FF0000"/>
        </w:rPr>
        <w:t>Goonesekere</w:t>
      </w:r>
      <w:r>
        <w:rPr>
          <w:rFonts w:ascii="Times New Roman" w:eastAsia="SimHei" w:hint="eastAsia"/>
          <w:color w:val="FF0000"/>
        </w:rPr>
        <w:t>女士</w:t>
      </w:r>
      <w:r>
        <w:rPr>
          <w:rFonts w:ascii="Times New Roman" w:hint="eastAsia"/>
        </w:rPr>
        <w:t>说，童工的高发生率加上高生育率和低识字率是许多发展中国家的特征。对妇女的歧视应该主要被看作是一个发展问题；没有紧急解决这个问题的国家就不能指望实现可持续增长。委员会正是在这种背景下表达其关切的。最佳做法表明，如果女孩上学读书，她们就不会在劳动力中被剥削；当她们成人的时候，她们就会成为经济发展的积极伙伴。</w:t>
      </w:r>
    </w:p>
    <w:p w:rsidR="00790ABB" w:rsidRDefault="00790ABB">
      <w:pPr>
        <w:pStyle w:val="DualTxt"/>
        <w:tabs>
          <w:tab w:val="clear" w:pos="432"/>
          <w:tab w:val="left" w:pos="420"/>
        </w:tabs>
        <w:spacing w:after="180" w:line="330" w:lineRule="exact"/>
        <w:rPr>
          <w:rFonts w:ascii="Times New Roman" w:hint="eastAsia"/>
        </w:rPr>
      </w:pPr>
      <w:r>
        <w:rPr>
          <w:rFonts w:ascii="Times New Roman" w:hint="eastAsia"/>
        </w:rPr>
        <w:t>10</w:t>
      </w:r>
      <w:r>
        <w:rPr>
          <w:rFonts w:ascii="Times New Roman" w:hint="eastAsia"/>
        </w:rPr>
        <w:t>．她敦促政府应作为一件紧急事项，重新审议法定的成年年龄问题。</w:t>
      </w:r>
      <w:r>
        <w:rPr>
          <w:rFonts w:ascii="Times New Roman" w:hint="eastAsia"/>
        </w:rPr>
        <w:t>15</w:t>
      </w:r>
      <w:r>
        <w:rPr>
          <w:rFonts w:ascii="Times New Roman" w:hint="eastAsia"/>
        </w:rPr>
        <w:t>岁的男孩尚不够成熟，没有缔约能力，不论是在婚姻方面，还是在经济方面。</w:t>
      </w:r>
    </w:p>
    <w:p w:rsidR="00790ABB" w:rsidRDefault="00790ABB">
      <w:pPr>
        <w:pStyle w:val="DualTxt"/>
        <w:tabs>
          <w:tab w:val="clear" w:pos="432"/>
          <w:tab w:val="left" w:pos="420"/>
        </w:tabs>
        <w:spacing w:after="180"/>
        <w:rPr>
          <w:rFonts w:ascii="Times New Roman" w:hint="eastAsia"/>
        </w:rPr>
      </w:pPr>
      <w:r>
        <w:rPr>
          <w:rFonts w:ascii="Times New Roman" w:hint="eastAsia"/>
        </w:rPr>
        <w:t>11</w:t>
      </w:r>
      <w:r>
        <w:rPr>
          <w:rFonts w:ascii="Times New Roman" w:hint="eastAsia"/>
        </w:rPr>
        <w:t>．</w:t>
      </w:r>
      <w:r>
        <w:rPr>
          <w:rFonts w:ascii="Times New Roman" w:hint="eastAsia"/>
        </w:rPr>
        <w:tab/>
      </w:r>
      <w:r>
        <w:rPr>
          <w:rFonts w:ascii="Times New Roman" w:hint="eastAsia"/>
        </w:rPr>
        <w:t>与许多法系在初期时不一样的是，伊斯兰法律早就承认妇女应该能够以虐待为理由离婚。确实有许多积极的宗教和其他传统可以用来倡导对《刑法》和《国籍法》等进行改革。</w:t>
      </w:r>
    </w:p>
    <w:p w:rsidR="00790ABB" w:rsidRDefault="00790ABB">
      <w:pPr>
        <w:pStyle w:val="DualTxt"/>
        <w:tabs>
          <w:tab w:val="clear" w:pos="432"/>
          <w:tab w:val="left" w:pos="420"/>
        </w:tabs>
        <w:spacing w:after="180"/>
        <w:rPr>
          <w:rFonts w:ascii="Times New Roman" w:hint="eastAsia"/>
        </w:rPr>
      </w:pPr>
      <w:r>
        <w:rPr>
          <w:rFonts w:ascii="Times New Roman" w:hint="eastAsia"/>
        </w:rPr>
        <w:t>12</w:t>
      </w:r>
      <w:r>
        <w:rPr>
          <w:rFonts w:ascii="Times New Roman" w:hint="eastAsia"/>
        </w:rPr>
        <w:t>．</w:t>
      </w:r>
      <w:r>
        <w:rPr>
          <w:rFonts w:ascii="Times New Roman" w:hint="eastAsia"/>
          <w:b/>
          <w:bCs/>
          <w:color w:val="FF0000"/>
        </w:rPr>
        <w:t>Corti</w:t>
      </w:r>
      <w:r>
        <w:rPr>
          <w:rFonts w:ascii="Times New Roman" w:eastAsia="SimHei" w:hint="eastAsia"/>
          <w:color w:val="FF0000"/>
        </w:rPr>
        <w:t>女士</w:t>
      </w:r>
      <w:r>
        <w:rPr>
          <w:rFonts w:ascii="Times New Roman" w:hint="eastAsia"/>
        </w:rPr>
        <w:t>对给予老年人的特别关注表示欢迎，但同时注意到他们特别容易陷入贫穷。据报告称，在萨那、塔伊兹、荷台达和亚丁有大约</w:t>
      </w:r>
      <w:r>
        <w:rPr>
          <w:rFonts w:ascii="Times New Roman" w:hint="eastAsia"/>
        </w:rPr>
        <w:t>300</w:t>
      </w:r>
      <w:r>
        <w:rPr>
          <w:rFonts w:ascii="Times New Roman" w:hint="eastAsia"/>
        </w:rPr>
        <w:t>名老年人得到了特别援助，包括住房和粮食。她想知道受益人是怎样选择的。</w:t>
      </w:r>
    </w:p>
    <w:p w:rsidR="00790ABB" w:rsidRDefault="00790ABB">
      <w:pPr>
        <w:pStyle w:val="DualTxt"/>
        <w:tabs>
          <w:tab w:val="clear" w:pos="432"/>
          <w:tab w:val="left" w:pos="420"/>
        </w:tabs>
        <w:spacing w:after="180"/>
        <w:rPr>
          <w:rFonts w:ascii="Times New Roman" w:hint="eastAsia"/>
        </w:rPr>
      </w:pPr>
      <w:r>
        <w:rPr>
          <w:rFonts w:ascii="Times New Roman" w:hint="eastAsia"/>
        </w:rPr>
        <w:t>13</w:t>
      </w:r>
      <w:r>
        <w:rPr>
          <w:rFonts w:ascii="Times New Roman" w:hint="eastAsia"/>
        </w:rPr>
        <w:t>．她提到各种悬而未决的问题，说如果没有国家计划生育政策，就不可能解决高出生率的问题。就她的了解而言，妇女在怀孕期间和生产后一段时间内被免除死刑。因此，代表团应该澄清死刑在也门是否仍然有效。她还想知道的是，在五年卫生计划中对妇女防癌问题做出了什么样的规定。</w:t>
      </w:r>
    </w:p>
    <w:p w:rsidR="00790ABB" w:rsidRDefault="00790ABB">
      <w:pPr>
        <w:pStyle w:val="DualTxt"/>
        <w:tabs>
          <w:tab w:val="clear" w:pos="432"/>
          <w:tab w:val="left" w:pos="420"/>
        </w:tabs>
        <w:spacing w:after="180"/>
        <w:rPr>
          <w:rFonts w:ascii="Times New Roman" w:hint="eastAsia"/>
        </w:rPr>
      </w:pPr>
      <w:r>
        <w:rPr>
          <w:rFonts w:ascii="Times New Roman" w:hint="eastAsia"/>
        </w:rPr>
        <w:t>14</w:t>
      </w:r>
      <w:r>
        <w:rPr>
          <w:rFonts w:ascii="Times New Roman" w:hint="eastAsia"/>
        </w:rPr>
        <w:t>．</w:t>
      </w:r>
      <w:r>
        <w:rPr>
          <w:rFonts w:ascii="Times New Roman" w:hint="eastAsia"/>
          <w:b/>
          <w:bCs/>
          <w:color w:val="FF0000"/>
        </w:rPr>
        <w:t>Kaid</w:t>
      </w:r>
      <w:r>
        <w:rPr>
          <w:rFonts w:ascii="Times New Roman" w:eastAsia="SimHei" w:hint="eastAsia"/>
          <w:color w:val="FF0000"/>
        </w:rPr>
        <w:t>女士</w:t>
      </w:r>
      <w:r>
        <w:rPr>
          <w:rFonts w:ascii="Times New Roman" w:hint="eastAsia"/>
        </w:rPr>
        <w:t>（也门）说，《个人地位法》规定，如果女孩已经做好准备，那么她就可以结婚，但不得在其满</w:t>
      </w:r>
      <w:r>
        <w:rPr>
          <w:rFonts w:ascii="Times New Roman" w:hint="eastAsia"/>
        </w:rPr>
        <w:t>15</w:t>
      </w:r>
      <w:r>
        <w:rPr>
          <w:rFonts w:ascii="Times New Roman" w:hint="eastAsia"/>
        </w:rPr>
        <w:t>岁之前。尽管受到议会的强烈反对，但政府还是在为将结婚年龄提高到</w:t>
      </w:r>
      <w:r>
        <w:rPr>
          <w:rFonts w:ascii="Times New Roman" w:hint="eastAsia"/>
        </w:rPr>
        <w:t>18</w:t>
      </w:r>
      <w:r>
        <w:rPr>
          <w:rFonts w:ascii="Times New Roman" w:hint="eastAsia"/>
        </w:rPr>
        <w:t>岁做出努力。目前尚没有关于结婚年龄的更详细的统计资料。随着入学率的提高，希望妇女</w:t>
      </w:r>
      <w:r>
        <w:rPr>
          <w:rFonts w:ascii="Times New Roman" w:hint="eastAsia"/>
        </w:rPr>
        <w:t>20</w:t>
      </w:r>
      <w:r>
        <w:rPr>
          <w:rFonts w:ascii="Times New Roman" w:hint="eastAsia"/>
        </w:rPr>
        <w:t>岁和男人</w:t>
      </w:r>
      <w:r>
        <w:rPr>
          <w:rFonts w:ascii="Times New Roman" w:hint="eastAsia"/>
        </w:rPr>
        <w:t>22</w:t>
      </w:r>
      <w:r>
        <w:rPr>
          <w:rFonts w:ascii="Times New Roman" w:hint="eastAsia"/>
        </w:rPr>
        <w:t>岁的平均结婚年龄也能够提高。</w:t>
      </w:r>
    </w:p>
    <w:p w:rsidR="00790ABB" w:rsidRDefault="00790ABB">
      <w:pPr>
        <w:pStyle w:val="DualTxt"/>
        <w:tabs>
          <w:tab w:val="clear" w:pos="432"/>
          <w:tab w:val="left" w:pos="420"/>
        </w:tabs>
        <w:spacing w:after="180"/>
        <w:rPr>
          <w:rFonts w:ascii="Times New Roman" w:hint="eastAsia"/>
        </w:rPr>
      </w:pPr>
      <w:r>
        <w:rPr>
          <w:rFonts w:ascii="Times New Roman" w:hint="eastAsia"/>
        </w:rPr>
        <w:t>15</w:t>
      </w:r>
      <w:r>
        <w:rPr>
          <w:rFonts w:ascii="Times New Roman" w:hint="eastAsia"/>
        </w:rPr>
        <w:t>．在也门的外国公民之中，目前有</w:t>
      </w:r>
      <w:r>
        <w:rPr>
          <w:rFonts w:ascii="Times New Roman" w:hint="eastAsia"/>
        </w:rPr>
        <w:t>800</w:t>
      </w:r>
      <w:r>
        <w:rPr>
          <w:rFonts w:ascii="Times New Roman" w:hint="eastAsia"/>
        </w:rPr>
        <w:t>例艾滋病毒</w:t>
      </w:r>
      <w:r>
        <w:rPr>
          <w:rFonts w:ascii="Times New Roman" w:hint="eastAsia"/>
        </w:rPr>
        <w:t>/</w:t>
      </w:r>
      <w:r>
        <w:rPr>
          <w:rFonts w:ascii="Times New Roman" w:hint="eastAsia"/>
        </w:rPr>
        <w:t>艾滋病患者。因此，已经启动提高妇女认识的方案。解决婚外性关系问题的预防措施也在执行之中，并向艾滋病毒</w:t>
      </w:r>
      <w:r>
        <w:rPr>
          <w:rFonts w:ascii="Times New Roman" w:hint="eastAsia"/>
        </w:rPr>
        <w:t>/</w:t>
      </w:r>
      <w:r>
        <w:rPr>
          <w:rFonts w:ascii="Times New Roman" w:hint="eastAsia"/>
        </w:rPr>
        <w:t>艾滋病患者提供医疗和心理支持。</w:t>
      </w:r>
    </w:p>
    <w:p w:rsidR="00790ABB" w:rsidRDefault="00790ABB">
      <w:pPr>
        <w:pStyle w:val="DualTxt"/>
        <w:tabs>
          <w:tab w:val="clear" w:pos="432"/>
          <w:tab w:val="left" w:pos="420"/>
        </w:tabs>
        <w:spacing w:after="180"/>
        <w:rPr>
          <w:rFonts w:ascii="Times New Roman" w:hint="eastAsia"/>
        </w:rPr>
      </w:pPr>
      <w:r>
        <w:rPr>
          <w:rFonts w:ascii="Times New Roman" w:hint="eastAsia"/>
        </w:rPr>
        <w:t>16</w:t>
      </w:r>
      <w:r>
        <w:rPr>
          <w:rFonts w:ascii="Times New Roman" w:hint="eastAsia"/>
        </w:rPr>
        <w:t>．鼓励那些在年龄尚小时就结婚并怀孕的女孩继续其学业和参加扫盲班。</w:t>
      </w:r>
    </w:p>
    <w:p w:rsidR="00790ABB" w:rsidRDefault="00790ABB">
      <w:pPr>
        <w:pStyle w:val="DualTxt"/>
        <w:tabs>
          <w:tab w:val="clear" w:pos="432"/>
          <w:tab w:val="left" w:pos="420"/>
        </w:tabs>
        <w:spacing w:after="180"/>
        <w:rPr>
          <w:rFonts w:ascii="Times New Roman" w:hint="eastAsia"/>
        </w:rPr>
      </w:pPr>
      <w:r>
        <w:rPr>
          <w:rFonts w:ascii="Times New Roman" w:hint="eastAsia"/>
        </w:rPr>
        <w:t>17</w:t>
      </w:r>
      <w:r>
        <w:rPr>
          <w:rFonts w:ascii="Times New Roman" w:hint="eastAsia"/>
        </w:rPr>
        <w:t>．也门认为教育是赋予妇女权力的基础，故竭力推动妇女教育。关于《个人地位法》第</w:t>
      </w:r>
      <w:r>
        <w:rPr>
          <w:rFonts w:ascii="Times New Roman" w:hint="eastAsia"/>
        </w:rPr>
        <w:t>40</w:t>
      </w:r>
      <w:r>
        <w:rPr>
          <w:rFonts w:ascii="Times New Roman" w:hint="eastAsia"/>
        </w:rPr>
        <w:t>条，妻子离开住所需要征得丈夫同意的条款是基于文化惯例。婚姻是基于相互尊重；妇女对她们的丈夫负有责任，并且应该尊重他们。但是，无论是妇女上大学还是回娘家探视亲朋好友，她们都应该随时向丈夫通报其身在何处，这是一个道德问题。但她同意，习俗与《伊斯兰教教法》的原则之间存在着差异。《伊斯兰教教法》赋予妇女许多权利。</w:t>
      </w:r>
    </w:p>
    <w:p w:rsidR="00790ABB" w:rsidRDefault="00790ABB">
      <w:pPr>
        <w:pStyle w:val="DualTxt"/>
        <w:tabs>
          <w:tab w:val="clear" w:pos="432"/>
          <w:tab w:val="left" w:pos="420"/>
        </w:tabs>
        <w:spacing w:after="180"/>
        <w:rPr>
          <w:rFonts w:ascii="Times New Roman" w:hint="eastAsia"/>
        </w:rPr>
      </w:pPr>
      <w:r>
        <w:rPr>
          <w:rFonts w:ascii="Times New Roman" w:hint="eastAsia"/>
        </w:rPr>
        <w:t>18</w:t>
      </w:r>
      <w:r>
        <w:rPr>
          <w:rFonts w:ascii="Times New Roman" w:hint="eastAsia"/>
        </w:rPr>
        <w:t>．关于继承问题，花钱来维持家庭完全是丈夫的义务。在许多穆斯林社会，大量妇女在家庭之外拥有高职并挣得大把钞票，也门就是其中之一。但是，要做到这样，妇女就需要受教育，甚至是出国深造。也门正在与联合国教育、科学及文化组织</w:t>
      </w:r>
      <w:r>
        <w:rPr>
          <w:rFonts w:ascii="Times New Roman" w:hint="eastAsia"/>
        </w:rPr>
        <w:t>(</w:t>
      </w:r>
      <w:r>
        <w:rPr>
          <w:rFonts w:ascii="Times New Roman" w:hint="eastAsia"/>
        </w:rPr>
        <w:t>教科文组织</w:t>
      </w:r>
      <w:r>
        <w:rPr>
          <w:rFonts w:ascii="Times New Roman" w:hint="eastAsia"/>
        </w:rPr>
        <w:t>)</w:t>
      </w:r>
      <w:r>
        <w:rPr>
          <w:rFonts w:ascii="Times New Roman" w:hint="eastAsia"/>
        </w:rPr>
        <w:t>和其他国际机构合作，执行各种方案，并且为了减少文盲已与伊斯兰教育、科学和文化组织</w:t>
      </w:r>
      <w:r>
        <w:rPr>
          <w:rFonts w:ascii="Times New Roman" w:hint="eastAsia"/>
        </w:rPr>
        <w:t xml:space="preserve"> (</w:t>
      </w:r>
      <w:r>
        <w:rPr>
          <w:rFonts w:ascii="Times New Roman" w:hint="eastAsia"/>
        </w:rPr>
        <w:t>伊斯兰教科文组织</w:t>
      </w:r>
      <w:r>
        <w:rPr>
          <w:rFonts w:ascii="Times New Roman" w:hint="eastAsia"/>
        </w:rPr>
        <w:t>)</w:t>
      </w:r>
      <w:r>
        <w:rPr>
          <w:rFonts w:ascii="Times New Roman" w:hint="eastAsia"/>
        </w:rPr>
        <w:t>建立了具有建设性的伙伴关系。</w:t>
      </w:r>
    </w:p>
    <w:p w:rsidR="00790ABB" w:rsidRDefault="00790ABB">
      <w:pPr>
        <w:pStyle w:val="DualTxt"/>
        <w:tabs>
          <w:tab w:val="clear" w:pos="432"/>
          <w:tab w:val="left" w:pos="420"/>
        </w:tabs>
        <w:spacing w:after="180"/>
        <w:rPr>
          <w:rFonts w:ascii="Times New Roman" w:hint="eastAsia"/>
        </w:rPr>
      </w:pPr>
      <w:r>
        <w:rPr>
          <w:rFonts w:ascii="Times New Roman" w:hint="eastAsia"/>
        </w:rPr>
        <w:t>19</w:t>
      </w:r>
      <w:r>
        <w:rPr>
          <w:rFonts w:ascii="Times New Roman" w:hint="eastAsia"/>
        </w:rPr>
        <w:t>．尽管妇女的高等教育是一个选择问题，但她承认，结婚给妻子带来了教育上的限制，特别是在她们怀孕时。早婚也提高了夫妇的生育率。她知道在她的国家发生了许多通奸事件，但虽然进行了非常仔细的查找，也找不到</w:t>
      </w:r>
      <w:r>
        <w:rPr>
          <w:rFonts w:ascii="Times New Roman" w:hint="eastAsia"/>
        </w:rPr>
        <w:t>Livingstone Raday</w:t>
      </w:r>
      <w:r>
        <w:rPr>
          <w:rFonts w:ascii="Times New Roman" w:hint="eastAsia"/>
        </w:rPr>
        <w:t>女士所提到的乱伦案。妇女有权与虐待她或她憎恨的男人离婚。她必须遵守三个月待婚期（</w:t>
      </w:r>
      <w:r>
        <w:rPr>
          <w:rFonts w:ascii="Times New Roman" w:hint="eastAsia"/>
        </w:rPr>
        <w:t>iddah</w:t>
      </w:r>
      <w:r>
        <w:rPr>
          <w:rFonts w:ascii="Times New Roman" w:hint="eastAsia"/>
        </w:rPr>
        <w:t>）然后才能再婚，这一宗教原则的意图是保证她没有坏其前夫的孩子。伊斯兰法律还允许妻子不育或患有严重疾病的男人再娶一个妻子。</w:t>
      </w:r>
    </w:p>
    <w:p w:rsidR="00790ABB" w:rsidRDefault="00790ABB">
      <w:pPr>
        <w:pStyle w:val="DualTxt"/>
        <w:tabs>
          <w:tab w:val="clear" w:pos="432"/>
          <w:tab w:val="left" w:pos="420"/>
        </w:tabs>
        <w:spacing w:after="180"/>
        <w:rPr>
          <w:rFonts w:ascii="Times New Roman" w:hint="eastAsia"/>
        </w:rPr>
      </w:pPr>
      <w:r>
        <w:rPr>
          <w:rFonts w:ascii="Times New Roman" w:hint="eastAsia"/>
        </w:rPr>
        <w:t>20</w:t>
      </w:r>
      <w:r>
        <w:rPr>
          <w:rFonts w:ascii="Times New Roman" w:hint="eastAsia"/>
        </w:rPr>
        <w:t>．关于国籍问题，主管部门已经对委员会的关注做出适当响应。也门法律对双重国籍做出了规定，并且她相信，拒绝向嫁给外国人的也门妇女所生子女授予也门国籍的问题将会取得进展，这种情况在拥有类似法律的邻国也很常见。</w:t>
      </w:r>
    </w:p>
    <w:p w:rsidR="00790ABB" w:rsidRDefault="00790ABB">
      <w:pPr>
        <w:pStyle w:val="DualTxt"/>
        <w:tabs>
          <w:tab w:val="clear" w:pos="432"/>
          <w:tab w:val="left" w:pos="420"/>
        </w:tabs>
        <w:spacing w:after="180"/>
        <w:rPr>
          <w:rFonts w:ascii="Times New Roman" w:hint="eastAsia"/>
        </w:rPr>
      </w:pPr>
      <w:r>
        <w:rPr>
          <w:rFonts w:ascii="Times New Roman" w:hint="eastAsia"/>
        </w:rPr>
        <w:t>21</w:t>
      </w:r>
      <w:r>
        <w:rPr>
          <w:rFonts w:ascii="Times New Roman" w:hint="eastAsia"/>
        </w:rPr>
        <w:t>．在对有关老年人的问题做出答复时，她解释说，伊斯兰把遗弃家庭中年老成员的做法看作是一种可耻的行为。老年人有权单独生活，但他们的家人有义务照顾他们。主管部门为那些无人照顾的老年人提供了家和避护所，但那是</w:t>
      </w:r>
      <w:r>
        <w:rPr>
          <w:rFonts w:ascii="Times New Roman" w:hint="eastAsia"/>
        </w:rPr>
        <w:t>-</w:t>
      </w:r>
      <w:r>
        <w:rPr>
          <w:rFonts w:ascii="Times New Roman" w:hint="eastAsia"/>
        </w:rPr>
        <w:t>在较大的城市，以收容由于家庭规模较大，虽然有现成的设施，但对它们的需要却很少增加的村子中名声不太好的老年人。社会发展基金和各种慈善组织为老年人获得住房和粮食提供帮助，但数量很少。</w:t>
      </w:r>
    </w:p>
    <w:p w:rsidR="00790ABB" w:rsidRDefault="00790ABB">
      <w:pPr>
        <w:pStyle w:val="DualTxt"/>
        <w:tabs>
          <w:tab w:val="clear" w:pos="432"/>
          <w:tab w:val="left" w:pos="420"/>
        </w:tabs>
        <w:spacing w:after="180" w:line="340" w:lineRule="exact"/>
        <w:rPr>
          <w:rFonts w:ascii="Times New Roman" w:hint="eastAsia"/>
        </w:rPr>
      </w:pPr>
      <w:r>
        <w:rPr>
          <w:rFonts w:ascii="Times New Roman" w:hint="eastAsia"/>
        </w:rPr>
        <w:t>22</w:t>
      </w:r>
      <w:r>
        <w:rPr>
          <w:rFonts w:ascii="Times New Roman" w:hint="eastAsia"/>
        </w:rPr>
        <w:t>．出于宗教原因，在也门仍然存在死刑。关于妇女患有乳腺癌或子宫癌的问题，她请委员会成员注意也门的第五次定期报告（</w:t>
      </w:r>
      <w:r>
        <w:rPr>
          <w:rFonts w:ascii="Times New Roman" w:hint="eastAsia"/>
        </w:rPr>
        <w:t>CEDAW/C/YEM/5</w:t>
      </w:r>
      <w:r>
        <w:rPr>
          <w:rFonts w:ascii="Times New Roman" w:hint="eastAsia"/>
        </w:rPr>
        <w:t>，第</w:t>
      </w:r>
      <w:r>
        <w:rPr>
          <w:rFonts w:ascii="Times New Roman" w:hint="eastAsia"/>
        </w:rPr>
        <w:t>69</w:t>
      </w:r>
      <w:r>
        <w:rPr>
          <w:rFonts w:ascii="Times New Roman" w:hint="eastAsia"/>
        </w:rPr>
        <w:t>页）。由于流行母乳喂养（它被认为是避免乳腺癌的一种办法），这种形式的癌症在也门的发病率很低。无论如何，还有许多方案来提高妇女对女性癌症早期症状的认识。正在建立越来越多的癌症治疗中心，包括化疗中心。治疗费用非常昂贵，但是国家向贫困患者提供援助。以前不提供放射检查，但卫生部在加拿大国际开发署的援助下，目前正在建设一个放射科。</w:t>
      </w:r>
    </w:p>
    <w:p w:rsidR="00790ABB" w:rsidRDefault="00790ABB">
      <w:pPr>
        <w:pStyle w:val="DualTxt"/>
        <w:tabs>
          <w:tab w:val="clear" w:pos="432"/>
          <w:tab w:val="left" w:pos="420"/>
        </w:tabs>
        <w:spacing w:after="180"/>
        <w:rPr>
          <w:rFonts w:ascii="Times New Roman" w:hint="eastAsia"/>
        </w:rPr>
      </w:pPr>
      <w:r>
        <w:rPr>
          <w:rFonts w:ascii="Times New Roman" w:hint="eastAsia"/>
        </w:rPr>
        <w:t>23</w:t>
      </w:r>
      <w:r>
        <w:rPr>
          <w:rFonts w:ascii="Times New Roman" w:hint="eastAsia"/>
        </w:rPr>
        <w:t>．</w:t>
      </w:r>
      <w:r>
        <w:rPr>
          <w:rFonts w:ascii="Times New Roman" w:eastAsia="SimHei" w:hint="eastAsia"/>
          <w:color w:val="FF0000"/>
        </w:rPr>
        <w:t>主席</w:t>
      </w:r>
      <w:r>
        <w:rPr>
          <w:rFonts w:ascii="Times New Roman" w:hint="eastAsia"/>
        </w:rPr>
        <w:t>对代表团参加与委员会的对话表示赞扬。委员会的结论性意见应该在各级政府和社会中广泛宣传，从而使全社会都能参与保证充分实施《公约》条款，并保证也门妇女享有与男人平等的权利。她对代表团承诺尽快批准《消除对妇女一切形式歧视公约任择议定书》及第</w:t>
      </w:r>
      <w:r>
        <w:rPr>
          <w:rFonts w:ascii="Times New Roman" w:hint="eastAsia"/>
        </w:rPr>
        <w:t>20</w:t>
      </w:r>
      <w:r>
        <w:rPr>
          <w:rFonts w:ascii="Times New Roman" w:hint="eastAsia"/>
        </w:rPr>
        <w:t>条第</w:t>
      </w:r>
      <w:r>
        <w:rPr>
          <w:rFonts w:ascii="Times New Roman" w:hint="eastAsia"/>
        </w:rPr>
        <w:t>1</w:t>
      </w:r>
      <w:r>
        <w:rPr>
          <w:rFonts w:ascii="Times New Roman" w:hint="eastAsia"/>
        </w:rPr>
        <w:t>款修正案表示欢迎。她希望该国的第六次定期报告能够反映不仅是也门妇女的状况，而且还有也门男人状况有了真正的改善，因为妇女状况的改善将会对全社会有益，并且推进该国的全面发展。</w:t>
      </w:r>
    </w:p>
    <w:p w:rsidR="00790ABB" w:rsidRDefault="00790ABB">
      <w:pPr>
        <w:pStyle w:val="DualTxt"/>
        <w:tabs>
          <w:tab w:val="clear" w:pos="432"/>
          <w:tab w:val="left" w:pos="420"/>
        </w:tabs>
        <w:spacing w:after="180"/>
        <w:rPr>
          <w:rFonts w:ascii="KaiTi_GB2312" w:eastAsia="KaiTi_GB2312"/>
          <w:color w:val="0000FF"/>
        </w:rPr>
      </w:pPr>
      <w:r>
        <w:rPr>
          <w:rFonts w:ascii="KaiTi_GB2312" w:eastAsia="KaiTi_GB2312"/>
          <w:color w:val="0000FF"/>
        </w:rPr>
        <w:t>下午</w:t>
      </w:r>
      <w:r>
        <w:rPr>
          <w:rFonts w:ascii="KaiTi_GB2312" w:eastAsia="KaiTi_GB2312" w:hint="eastAsia"/>
          <w:color w:val="0000FF"/>
        </w:rPr>
        <w:t>4点零5分</w:t>
      </w:r>
      <w:r>
        <w:rPr>
          <w:rFonts w:ascii="KaiTi_GB2312" w:eastAsia="KaiTi_GB2312"/>
          <w:color w:val="0000FF"/>
        </w:rPr>
        <w:t>散会</w:t>
      </w:r>
    </w:p>
    <w:p w:rsidR="00790ABB" w:rsidRDefault="00790ABB">
      <w:pPr>
        <w:pStyle w:val="Date"/>
        <w:spacing w:after="180" w:line="340" w:lineRule="exact"/>
        <w:sectPr w:rsidR="00790ABB">
          <w:type w:val="continuous"/>
          <w:pgSz w:w="12242" w:h="15842" w:code="54"/>
          <w:pgMar w:top="1741" w:right="1196" w:bottom="1899" w:left="1196" w:header="578" w:footer="1032" w:gutter="0"/>
          <w:cols w:num="2" w:space="425"/>
          <w:titlePg/>
        </w:sectPr>
      </w:pPr>
    </w:p>
    <w:p w:rsidR="00790ABB" w:rsidRDefault="00790ABB">
      <w:pPr>
        <w:pStyle w:val="Date"/>
        <w:spacing w:after="180" w:line="340" w:lineRule="exact"/>
        <w:rPr>
          <w:rFonts w:hint="eastAsia"/>
        </w:rPr>
      </w:pPr>
    </w:p>
    <w:p w:rsidR="00790ABB" w:rsidRDefault="00790ABB">
      <w:pPr>
        <w:rPr>
          <w:rFonts w:hint="eastAsia"/>
        </w:rPr>
      </w:pPr>
    </w:p>
    <w:sectPr w:rsidR="00790ABB">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90ABB" w:rsidRDefault="00790ABB">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NO&gt;&gt;N0252335C&lt;&lt;ODS JOB NO&gt;&gt;</w:t>
      </w:r>
    </w:p>
    <w:p w:rsidR="00790ABB" w:rsidRDefault="00790ABB">
      <w:pPr>
        <w:pStyle w:val="CommentText"/>
      </w:pPr>
      <w:r>
        <w:t>&lt;&lt;ODS DOC SYMBOL1&gt;&gt;CEDAW/C/SR.581&lt;&lt;ODS DOC SYMBOL1&gt;&gt;</w:t>
      </w:r>
    </w:p>
    <w:p w:rsidR="00790ABB" w:rsidRDefault="00790AB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D6C12">
      <w:pPr>
        <w:spacing w:line="240" w:lineRule="auto"/>
      </w:pPr>
      <w:r>
        <w:separator/>
      </w:r>
    </w:p>
  </w:endnote>
  <w:endnote w:type="continuationSeparator" w:id="0">
    <w:p w:rsidR="00000000" w:rsidRDefault="000D6C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长城楷体">
    <w:altName w:val="Arial Unicode MS"/>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BB" w:rsidRDefault="00790ABB">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90ABB" w:rsidRDefault="00790ABB">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BB" w:rsidRDefault="00790ABB">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790ABB" w:rsidRDefault="00790AB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BB" w:rsidRDefault="00790ABB">
    <w:pPr>
      <w:pStyle w:val="Footer"/>
    </w:pPr>
  </w:p>
  <w:p w:rsidR="00790ABB" w:rsidRDefault="00790ABB">
    <w:pPr>
      <w:pStyle w:val="Footer"/>
      <w:pBdr>
        <w:top w:val="single" w:sz="2" w:space="0" w:color="000000"/>
      </w:pBdr>
      <w:rPr>
        <w:sz w:val="2"/>
      </w:rPr>
    </w:pPr>
  </w:p>
  <w:p w:rsidR="00790ABB" w:rsidRDefault="00790ABB">
    <w:pPr>
      <w:spacing w:before="60" w:after="120" w:line="240" w:lineRule="auto"/>
      <w:ind w:left="1264" w:right="1264"/>
      <w:rPr>
        <w:rFonts w:hint="eastAsia"/>
        <w:sz w:val="18"/>
      </w:rPr>
    </w:pPr>
    <w:r>
      <w:rPr>
        <w:rFonts w:hint="eastAsia"/>
        <w:sz w:val="18"/>
      </w:rPr>
      <w:t>本记录可以更正。</w:t>
    </w:r>
  </w:p>
  <w:p w:rsidR="00790ABB" w:rsidRDefault="00790ABB">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790ABB" w:rsidRDefault="00790ABB">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790ABB" w:rsidRDefault="00790ABB">
    <w:pPr>
      <w:pStyle w:val="FootnoteText"/>
      <w:rPr>
        <w:rFonts w:hint="eastAsia"/>
        <w:sz w:val="21"/>
      </w:rPr>
    </w:pPr>
    <w:r>
      <w:rPr>
        <w:rFonts w:hint="eastAsia"/>
        <w:sz w:val="21"/>
      </w:rPr>
      <w:t>0</w:t>
    </w:r>
    <w:r>
      <w:rPr>
        <w:sz w:val="21"/>
      </w:rPr>
      <w:t>2</w:t>
    </w:r>
    <w:r>
      <w:rPr>
        <w:rFonts w:hint="eastAsia"/>
        <w:sz w:val="21"/>
      </w:rPr>
      <w:t>-</w:t>
    </w:r>
    <w:r>
      <w:rPr>
        <w:sz w:val="21"/>
      </w:rPr>
      <w:t>52335 (C)</w:t>
    </w:r>
  </w:p>
  <w:p w:rsidR="00790ABB" w:rsidRDefault="00790ABB">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252335</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D6C12">
      <w:pPr>
        <w:spacing w:line="240" w:lineRule="auto"/>
      </w:pPr>
      <w:r>
        <w:separator/>
      </w:r>
    </w:p>
  </w:footnote>
  <w:footnote w:type="continuationSeparator" w:id="0">
    <w:p w:rsidR="00000000" w:rsidRDefault="000D6C1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BB" w:rsidRDefault="00790ABB">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90ABB">
                  <w:tblPrEx>
                    <w:tblCellMar>
                      <w:top w:w="0" w:type="dxa"/>
                      <w:bottom w:w="0" w:type="dxa"/>
                    </w:tblCellMar>
                  </w:tblPrEx>
                  <w:trPr>
                    <w:trHeight w:hRule="exact" w:val="864"/>
                  </w:trPr>
                  <w:tc>
                    <w:tcPr>
                      <w:tcW w:w="4838" w:type="dxa"/>
                      <w:vAlign w:val="bottom"/>
                    </w:tcPr>
                    <w:p w:rsidR="00790ABB" w:rsidRDefault="00790ABB">
                      <w:pPr>
                        <w:pStyle w:val="Header"/>
                        <w:pBdr>
                          <w:bottom w:val="none" w:sz="0" w:space="0" w:color="auto"/>
                        </w:pBdr>
                        <w:spacing w:after="80"/>
                        <w:jc w:val="both"/>
                        <w:rPr>
                          <w:b/>
                        </w:rPr>
                      </w:pPr>
                      <w:r>
                        <w:rPr>
                          <w:b/>
                        </w:rPr>
                        <w:t>CEDAW/C/SR.581</w:t>
                      </w:r>
                    </w:p>
                  </w:tc>
                  <w:tc>
                    <w:tcPr>
                      <w:tcW w:w="5048" w:type="dxa"/>
                      <w:tcBorders>
                        <w:bottom w:val="single" w:sz="4" w:space="0" w:color="auto"/>
                      </w:tcBorders>
                      <w:vAlign w:val="bottom"/>
                    </w:tcPr>
                    <w:p w:rsidR="00790ABB" w:rsidRDefault="00790ABB">
                      <w:pPr>
                        <w:pStyle w:val="Header"/>
                        <w:pBdr>
                          <w:bottom w:val="none" w:sz="0" w:space="0" w:color="auto"/>
                        </w:pBdr>
                      </w:pPr>
                    </w:p>
                  </w:tc>
                </w:tr>
              </w:tbl>
              <w:p w:rsidR="00790ABB" w:rsidRDefault="00790AB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BB" w:rsidRDefault="00790ABB">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90ABB">
                  <w:tblPrEx>
                    <w:tblCellMar>
                      <w:top w:w="0" w:type="dxa"/>
                      <w:bottom w:w="0" w:type="dxa"/>
                    </w:tblCellMar>
                  </w:tblPrEx>
                  <w:trPr>
                    <w:trHeight w:hRule="exact" w:val="864"/>
                  </w:trPr>
                  <w:tc>
                    <w:tcPr>
                      <w:tcW w:w="4838" w:type="dxa"/>
                      <w:tcBorders>
                        <w:bottom w:val="single" w:sz="4" w:space="0" w:color="auto"/>
                      </w:tcBorders>
                      <w:vAlign w:val="bottom"/>
                    </w:tcPr>
                    <w:p w:rsidR="00790ABB" w:rsidRDefault="00790ABB">
                      <w:pPr>
                        <w:pStyle w:val="Header"/>
                        <w:pBdr>
                          <w:bottom w:val="none" w:sz="0" w:space="0" w:color="auto"/>
                        </w:pBdr>
                      </w:pPr>
                    </w:p>
                  </w:tc>
                  <w:tc>
                    <w:tcPr>
                      <w:tcW w:w="5048" w:type="dxa"/>
                      <w:vAlign w:val="bottom"/>
                    </w:tcPr>
                    <w:p w:rsidR="00790ABB" w:rsidRDefault="00790ABB">
                      <w:pPr>
                        <w:pStyle w:val="Header"/>
                        <w:pBdr>
                          <w:bottom w:val="none" w:sz="0" w:space="0" w:color="auto"/>
                        </w:pBdr>
                        <w:spacing w:after="80"/>
                        <w:jc w:val="right"/>
                        <w:rPr>
                          <w:b/>
                        </w:rPr>
                      </w:pPr>
                      <w:r>
                        <w:rPr>
                          <w:b/>
                        </w:rPr>
                        <w:t>CEDAW/C/SR.581</w:t>
                      </w:r>
                    </w:p>
                  </w:tc>
                </w:tr>
              </w:tbl>
              <w:p w:rsidR="00790ABB" w:rsidRDefault="00790AB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90AB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90ABB" w:rsidRDefault="00790ABB">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790ABB" w:rsidRDefault="00790ABB">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790ABB" w:rsidRDefault="00790ABB">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790ABB" w:rsidRDefault="00790ABB">
          <w:pPr>
            <w:spacing w:line="240" w:lineRule="auto"/>
            <w:jc w:val="right"/>
            <w:rPr>
              <w:position w:val="-4"/>
              <w:sz w:val="20"/>
            </w:rPr>
          </w:pPr>
          <w:r>
            <w:rPr>
              <w:position w:val="-4"/>
              <w:sz w:val="36"/>
            </w:rPr>
            <w:t>CEDAW</w:t>
          </w:r>
          <w:r>
            <w:rPr>
              <w:position w:val="-4"/>
            </w:rPr>
            <w:t>/C/SR.581</w:t>
          </w:r>
        </w:p>
      </w:tc>
    </w:tr>
    <w:tr w:rsidR="00790ABB">
      <w:tblPrEx>
        <w:tblCellMar>
          <w:top w:w="0" w:type="dxa"/>
          <w:bottom w:w="0" w:type="dxa"/>
        </w:tblCellMar>
      </w:tblPrEx>
      <w:trPr>
        <w:trHeight w:hRule="exact" w:val="2880"/>
      </w:trPr>
      <w:tc>
        <w:tcPr>
          <w:tcW w:w="1267" w:type="dxa"/>
          <w:tcBorders>
            <w:left w:val="nil"/>
            <w:bottom w:val="single" w:sz="12" w:space="0" w:color="auto"/>
            <w:right w:val="nil"/>
          </w:tcBorders>
        </w:tcPr>
        <w:p w:rsidR="00790ABB" w:rsidRDefault="00790ABB">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90ABB" w:rsidRDefault="00790ABB">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790ABB" w:rsidRDefault="00790ABB">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790ABB" w:rsidRDefault="00790ABB">
          <w:pPr>
            <w:pStyle w:val="Header"/>
            <w:pBdr>
              <w:bottom w:val="none" w:sz="0" w:space="0" w:color="auto"/>
            </w:pBdr>
            <w:spacing w:before="109"/>
          </w:pPr>
        </w:p>
      </w:tc>
      <w:tc>
        <w:tcPr>
          <w:tcW w:w="3180" w:type="dxa"/>
          <w:gridSpan w:val="2"/>
          <w:tcBorders>
            <w:left w:val="nil"/>
            <w:bottom w:val="single" w:sz="12" w:space="0" w:color="auto"/>
            <w:right w:val="nil"/>
          </w:tcBorders>
        </w:tcPr>
        <w:p w:rsidR="00790ABB" w:rsidRDefault="00790ABB">
          <w:pPr>
            <w:spacing w:before="240" w:line="240" w:lineRule="exact"/>
          </w:pPr>
          <w:r>
            <w:t>Distr.: General</w:t>
          </w:r>
        </w:p>
        <w:p w:rsidR="00790ABB" w:rsidRDefault="00790ABB">
          <w:pPr>
            <w:spacing w:line="240" w:lineRule="exact"/>
          </w:pPr>
          <w:r>
            <w:t>14 May 2004</w:t>
          </w:r>
        </w:p>
        <w:p w:rsidR="00790ABB" w:rsidRDefault="00790ABB">
          <w:pPr>
            <w:spacing w:line="240" w:lineRule="exact"/>
          </w:pPr>
        </w:p>
        <w:p w:rsidR="00790ABB" w:rsidRDefault="00790ABB">
          <w:pPr>
            <w:spacing w:line="240" w:lineRule="exact"/>
          </w:pPr>
          <w:r>
            <w:t>Chinese</w:t>
          </w:r>
        </w:p>
        <w:p w:rsidR="00790ABB" w:rsidRDefault="00790ABB">
          <w:pPr>
            <w:spacing w:line="240" w:lineRule="exact"/>
          </w:pPr>
          <w:r>
            <w:t>Original: English</w:t>
          </w:r>
        </w:p>
      </w:tc>
    </w:tr>
  </w:tbl>
  <w:p w:rsidR="00790ABB" w:rsidRDefault="00790ABB">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
    <w:nsid w:val="69E70F69"/>
    <w:multiLevelType w:val="hybridMultilevel"/>
    <w:tmpl w:val="7B4C96C4"/>
    <w:lvl w:ilvl="0" w:tplc="69B25BBA">
      <w:start w:val="1"/>
      <w:numFmt w:val="decimal"/>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252335"/>
    <w:docVar w:name="Symbol1" w:val="CEDAW/C/SR.581"/>
  </w:docVars>
  <w:rsids>
    <w:rsidRoot w:val="00790ABB"/>
    <w:rsid w:val="000D6C12"/>
    <w:rsid w:val="00790A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DualTxt">
    <w:name w:val="__Dual Txt"/>
    <w:basedOn w:val="Normal"/>
    <w:pPr>
      <w:widowControl/>
      <w:tabs>
        <w:tab w:val="left" w:pos="432"/>
        <w:tab w:val="left" w:pos="864"/>
        <w:tab w:val="left" w:pos="1293"/>
        <w:tab w:val="left" w:pos="1724"/>
        <w:tab w:val="left" w:pos="2155"/>
        <w:tab w:val="left" w:pos="2586"/>
      </w:tabs>
      <w:adjustRightInd/>
      <w:spacing w:after="140" w:line="320" w:lineRule="exact"/>
      <w:textAlignment w:val="auto"/>
    </w:pPr>
    <w:rPr>
      <w:rFonts w:ascii="SimSun"/>
      <w:kern w:val="14"/>
    </w:rPr>
  </w:style>
  <w:style w:type="paragraph" w:styleId="BalloonText">
    <w:name w:val="Balloon Text"/>
    <w:basedOn w:val="Normal"/>
    <w:semiHidden/>
    <w:rsid w:val="00790AB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TotalTime>
  <Pages>3</Pages>
  <Words>514</Words>
  <Characters>2936</Characters>
  <Application>Microsoft Office Word</Application>
  <DocSecurity>4</DocSecurity>
  <Lines>24</Lines>
  <Paragraphs>6</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3444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6</cp:revision>
  <cp:lastPrinted>2004-05-14T13:30:00Z</cp:lastPrinted>
  <dcterms:created xsi:type="dcterms:W3CDTF">2004-05-13T14:06:00Z</dcterms:created>
  <dcterms:modified xsi:type="dcterms:W3CDTF">2004-05-14T13:18:00Z</dcterms:modified>
</cp:coreProperties>
</file>