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B101F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20CE3" w:rsidP="00C20CE3">
            <w:pPr>
              <w:jc w:val="right"/>
            </w:pPr>
            <w:r w:rsidRPr="00C20CE3">
              <w:rPr>
                <w:sz w:val="40"/>
              </w:rPr>
              <w:t>A</w:t>
            </w:r>
            <w:r>
              <w:t>/HRC/RES/26/20</w:t>
            </w:r>
          </w:p>
        </w:tc>
      </w:tr>
      <w:tr w:rsidR="002D5AAC" w:rsidTr="00B101F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20CE3" w:rsidRDefault="00C20CE3" w:rsidP="00712895">
            <w:pPr>
              <w:spacing w:before="240"/>
            </w:pPr>
            <w:r>
              <w:t>Distr. general</w:t>
            </w:r>
          </w:p>
          <w:p w:rsidR="00C20CE3" w:rsidRDefault="00C20CE3" w:rsidP="00C20CE3">
            <w:pPr>
              <w:spacing w:line="240" w:lineRule="exact"/>
            </w:pPr>
            <w:r>
              <w:t>14 de julio de 2014</w:t>
            </w:r>
          </w:p>
          <w:p w:rsidR="00C20CE3" w:rsidRDefault="00C20CE3" w:rsidP="00C20CE3">
            <w:pPr>
              <w:spacing w:line="240" w:lineRule="exact"/>
            </w:pPr>
            <w:r>
              <w:t>Español</w:t>
            </w:r>
          </w:p>
          <w:p w:rsidR="002D5AAC" w:rsidRDefault="00C20CE3" w:rsidP="00C20CE3">
            <w:pPr>
              <w:spacing w:line="240" w:lineRule="exact"/>
            </w:pPr>
            <w:r>
              <w:t>Original: inglés</w:t>
            </w:r>
          </w:p>
        </w:tc>
      </w:tr>
    </w:tbl>
    <w:p w:rsidR="00B101FB" w:rsidRPr="00DB299B" w:rsidRDefault="00B101FB" w:rsidP="00B101FB">
      <w:pPr>
        <w:spacing w:before="120"/>
        <w:jc w:val="both"/>
        <w:rPr>
          <w:b/>
          <w:sz w:val="24"/>
          <w:szCs w:val="24"/>
        </w:rPr>
      </w:pPr>
      <w:r w:rsidRPr="00DB299B">
        <w:rPr>
          <w:b/>
          <w:sz w:val="24"/>
          <w:szCs w:val="24"/>
        </w:rPr>
        <w:t>Consejo de Derechos Humanos</w:t>
      </w:r>
    </w:p>
    <w:p w:rsidR="00B101FB" w:rsidRPr="00632AFB" w:rsidRDefault="00B101FB" w:rsidP="00B101FB">
      <w:pPr>
        <w:jc w:val="both"/>
        <w:rPr>
          <w:b/>
        </w:rPr>
      </w:pPr>
      <w:r w:rsidRPr="00632AFB">
        <w:rPr>
          <w:b/>
        </w:rPr>
        <w:t>26º período de sesiones</w:t>
      </w:r>
    </w:p>
    <w:p w:rsidR="00B101FB" w:rsidRPr="00632AFB" w:rsidRDefault="00B101FB" w:rsidP="00B101FB">
      <w:pPr>
        <w:jc w:val="both"/>
      </w:pPr>
      <w:r w:rsidRPr="00632AFB">
        <w:t>Tema 3 de la agenda</w:t>
      </w:r>
    </w:p>
    <w:p w:rsidR="00B101FB" w:rsidRPr="00632AFB" w:rsidRDefault="00B101FB" w:rsidP="00B101FB">
      <w:pPr>
        <w:rPr>
          <w:b/>
        </w:rPr>
      </w:pPr>
      <w:r w:rsidRPr="00632AFB">
        <w:rPr>
          <w:b/>
        </w:rPr>
        <w:t>Promoción y protección</w:t>
      </w:r>
      <w:r>
        <w:rPr>
          <w:b/>
        </w:rPr>
        <w:t xml:space="preserve"> de todos los derechos humanos,</w:t>
      </w:r>
      <w:r>
        <w:rPr>
          <w:b/>
        </w:rPr>
        <w:br/>
      </w:r>
      <w:r w:rsidRPr="00632AFB">
        <w:rPr>
          <w:b/>
        </w:rPr>
        <w:t>civiles, políticos, eco</w:t>
      </w:r>
      <w:r>
        <w:rPr>
          <w:b/>
        </w:rPr>
        <w:t>nómicos, sociales y culturales,</w:t>
      </w:r>
      <w:r>
        <w:rPr>
          <w:b/>
        </w:rPr>
        <w:br/>
      </w:r>
      <w:r w:rsidRPr="00632AFB">
        <w:rPr>
          <w:b/>
        </w:rPr>
        <w:t>incluido el derecho al desarrollo</w:t>
      </w:r>
    </w:p>
    <w:p w:rsidR="00B101FB" w:rsidRDefault="00B101FB" w:rsidP="00B101FB">
      <w:pPr>
        <w:pStyle w:val="H23G"/>
      </w:pPr>
      <w:r w:rsidRPr="00BF4674">
        <w:tab/>
      </w:r>
      <w:r>
        <w:tab/>
        <w:t>Resolución aprobada por el Consejo de Derechos Humanos</w:t>
      </w:r>
    </w:p>
    <w:p w:rsidR="00B101FB" w:rsidRDefault="00B101FB" w:rsidP="00B101FB">
      <w:pPr>
        <w:pStyle w:val="H1G"/>
      </w:pPr>
      <w:r>
        <w:tab/>
      </w:r>
      <w:r>
        <w:tab/>
        <w:t>26/20</w:t>
      </w:r>
      <w:r>
        <w:br/>
      </w:r>
      <w:r w:rsidRPr="00BF4674">
        <w:t>Relator Especial sobre los derechos de las personas con</w:t>
      </w:r>
      <w:r w:rsidR="00B90B71">
        <w:br/>
      </w:r>
      <w:r>
        <w:t>discapacidad</w:t>
      </w:r>
    </w:p>
    <w:p w:rsidR="00B101FB" w:rsidRPr="00BF4674" w:rsidRDefault="00B101FB" w:rsidP="00B101FB">
      <w:pPr>
        <w:pStyle w:val="SingleTxtG"/>
      </w:pPr>
      <w:r w:rsidRPr="00BF4674">
        <w:tab/>
      </w:r>
      <w:r w:rsidRPr="005F500C">
        <w:rPr>
          <w:i/>
        </w:rPr>
        <w:t>El Consejo de Derechos Humanos</w:t>
      </w:r>
      <w:r w:rsidRPr="00BF4674">
        <w:t>,</w:t>
      </w:r>
    </w:p>
    <w:p w:rsidR="00B101FB" w:rsidRPr="00BF4674" w:rsidRDefault="00B101FB" w:rsidP="00B101FB">
      <w:pPr>
        <w:pStyle w:val="SingleTxtG"/>
      </w:pPr>
      <w:r>
        <w:rPr>
          <w:i/>
        </w:rPr>
        <w:tab/>
      </w:r>
      <w:r w:rsidRPr="00BF4674">
        <w:rPr>
          <w:i/>
        </w:rPr>
        <w:t xml:space="preserve">Guiándose </w:t>
      </w:r>
      <w:r w:rsidRPr="00BF4674">
        <w:t>por los propósitos y principios de la Carta de las Naciones Unidas,</w:t>
      </w:r>
    </w:p>
    <w:p w:rsidR="00B101FB" w:rsidRPr="00BF4674" w:rsidRDefault="00B101FB" w:rsidP="00B101FB">
      <w:pPr>
        <w:pStyle w:val="SingleTxtG"/>
      </w:pPr>
      <w:r>
        <w:rPr>
          <w:i/>
        </w:rPr>
        <w:tab/>
      </w:r>
      <w:r w:rsidRPr="00BF4674">
        <w:rPr>
          <w:i/>
        </w:rPr>
        <w:t xml:space="preserve">Guiándose también </w:t>
      </w:r>
      <w:r w:rsidRPr="00BF4674">
        <w:t>por la Declaración Universal de Derechos Humanos, la Convención sobre los derechos de las personas con discapacidad y otros instrumentos pertinentes de derechos humanos,</w:t>
      </w:r>
    </w:p>
    <w:p w:rsidR="00B101FB" w:rsidRPr="00BF4674" w:rsidRDefault="00B101FB" w:rsidP="00B101FB">
      <w:pPr>
        <w:pStyle w:val="SingleTxtG"/>
      </w:pPr>
      <w:r>
        <w:rPr>
          <w:i/>
        </w:rPr>
        <w:tab/>
      </w:r>
      <w:r w:rsidRPr="00BF4674">
        <w:rPr>
          <w:i/>
        </w:rPr>
        <w:t>Recordando</w:t>
      </w:r>
      <w:r w:rsidRPr="00BF4674">
        <w:t xml:space="preserve"> la universalidad, indivisibilidad, interdependencia e interrelación de todos los derechos humanos y libertades fundamentales y la necesidad de garantizar a las personas con discapacidad el pleno disfrute de sus derechos y libertades sin discriminación,</w:t>
      </w:r>
    </w:p>
    <w:p w:rsidR="00B101FB" w:rsidRPr="00BF4674" w:rsidRDefault="00B101FB" w:rsidP="00B101FB">
      <w:pPr>
        <w:pStyle w:val="SingleTxtG"/>
      </w:pPr>
      <w:r>
        <w:rPr>
          <w:i/>
        </w:rPr>
        <w:tab/>
      </w:r>
      <w:r w:rsidRPr="00BF4674">
        <w:rPr>
          <w:i/>
        </w:rPr>
        <w:t xml:space="preserve">Profundamente preocupado </w:t>
      </w:r>
      <w:r w:rsidRPr="00BF4674">
        <w:t xml:space="preserve">porque, en todas las partes del mundo, las personas con discapacidad siguen encontrando barreras para participar </w:t>
      </w:r>
      <w:r>
        <w:t>en la sociedad en</w:t>
      </w:r>
      <w:r w:rsidRPr="00BF4674">
        <w:t xml:space="preserve"> igualdad de condiciones con l</w:t>
      </w:r>
      <w:r>
        <w:t>os demás</w:t>
      </w:r>
      <w:r w:rsidRPr="00BF4674">
        <w:t xml:space="preserve"> y se siguen vulnerando sus derechos humanos, y consciente de que es necesario prestar mayor atención a </w:t>
      </w:r>
      <w:r>
        <w:t>esos problemas</w:t>
      </w:r>
      <w:r w:rsidRPr="00BF4674">
        <w:t>,</w:t>
      </w:r>
    </w:p>
    <w:p w:rsidR="00B101FB" w:rsidRPr="00BF4674" w:rsidRDefault="00B101FB" w:rsidP="00B101FB">
      <w:pPr>
        <w:pStyle w:val="SingleTxtG"/>
      </w:pPr>
      <w:r>
        <w:rPr>
          <w:i/>
        </w:rPr>
        <w:tab/>
      </w:r>
      <w:r w:rsidRPr="00BF4674">
        <w:rPr>
          <w:i/>
        </w:rPr>
        <w:t>Reconociendo</w:t>
      </w:r>
      <w:r w:rsidRPr="00BF4674">
        <w:t xml:space="preserve"> la labor del Relator Especial de la Comisión de Desarrollo Social encargado de la situación de la discapacidad, cuyo mandato finalizará el 31 de diciembre de</w:t>
      </w:r>
      <w:r>
        <w:t> </w:t>
      </w:r>
      <w:r w:rsidRPr="00BF4674">
        <w:t>2014,</w:t>
      </w:r>
    </w:p>
    <w:p w:rsidR="00B101FB" w:rsidRPr="00BF4674" w:rsidRDefault="00B101FB" w:rsidP="00B101FB">
      <w:pPr>
        <w:pStyle w:val="SingleTxtG"/>
      </w:pPr>
      <w:r>
        <w:rPr>
          <w:i/>
        </w:rPr>
        <w:tab/>
      </w:r>
      <w:r w:rsidRPr="00BF4674">
        <w:rPr>
          <w:i/>
        </w:rPr>
        <w:t>Recordando</w:t>
      </w:r>
      <w:r w:rsidRPr="00BF4674">
        <w:t xml:space="preserve"> </w:t>
      </w:r>
      <w:r>
        <w:t>sus</w:t>
      </w:r>
      <w:r w:rsidRPr="00BF4674">
        <w:t xml:space="preserve"> resoluciones 5/1, sobre la construcción institucional del Consejo, y 5/2, sobre el Código de conducta para los titulares de mandatos de los procedimientos especiales del Consejo, de 18 de junio de 2007, y destacando que el titular del mandato deberá desempeñar sus funciones de conformidad con esas resoluciones y sus anexos,</w:t>
      </w:r>
    </w:p>
    <w:p w:rsidR="00B101FB" w:rsidRPr="00BF4674" w:rsidRDefault="00B101FB" w:rsidP="00B101FB">
      <w:pPr>
        <w:pStyle w:val="SingleTxtG"/>
      </w:pPr>
      <w:r>
        <w:tab/>
      </w:r>
      <w:r w:rsidRPr="00BF4674">
        <w:t>1.</w:t>
      </w:r>
      <w:r w:rsidRPr="00BF4674">
        <w:tab/>
      </w:r>
      <w:r w:rsidRPr="00BF4674">
        <w:rPr>
          <w:i/>
        </w:rPr>
        <w:t>Reafirma</w:t>
      </w:r>
      <w:r w:rsidRPr="00BF4674">
        <w:t xml:space="preserve"> la obligación de los Estados de adoptar todas las medidas oportunas para eliminar la discriminación contra las personas con discapacidad y promover, proteger y respetar sus derechos humanos;</w:t>
      </w:r>
    </w:p>
    <w:p w:rsidR="00B101FB" w:rsidRPr="00BF4674" w:rsidRDefault="00B101FB" w:rsidP="00B101FB">
      <w:pPr>
        <w:pStyle w:val="SingleTxtG"/>
      </w:pPr>
      <w:r>
        <w:tab/>
      </w:r>
      <w:r w:rsidRPr="00BF4674">
        <w:t>2.</w:t>
      </w:r>
      <w:r w:rsidRPr="00BF4674">
        <w:tab/>
      </w:r>
      <w:r w:rsidRPr="00BF4674">
        <w:rPr>
          <w:i/>
        </w:rPr>
        <w:t>Decide</w:t>
      </w:r>
      <w:r w:rsidRPr="00BF4674">
        <w:t xml:space="preserve"> nombrar, por un período de tres años, un Relator Especial sobre los derechos de las personas con discapacidad, y encomendarle el siguiente mandato:</w:t>
      </w:r>
    </w:p>
    <w:p w:rsidR="00B101FB" w:rsidRPr="007626ED" w:rsidRDefault="00B101FB" w:rsidP="00B101FB">
      <w:pPr>
        <w:pStyle w:val="SingleTxtG"/>
      </w:pPr>
      <w:r>
        <w:rPr>
          <w:i/>
        </w:rPr>
        <w:tab/>
      </w:r>
      <w:r w:rsidRPr="007626ED">
        <w:t>a)</w:t>
      </w:r>
      <w:r w:rsidRPr="007626ED">
        <w:tab/>
        <w:t>Establecer un diálogo regular con los Estados y otros interesados pertinentes, incluidos los organismos, programas y fondos de las Naciones Unidas, los mecanismos regionales de derechos humanos, las instituciones nacionales de derechos humanos, los</w:t>
      </w:r>
      <w:r w:rsidR="00791B8D">
        <w:t> </w:t>
      </w:r>
      <w:r w:rsidRPr="007626ED">
        <w:t>marcos nacionales independientes de supervisión establecidos en cumplimiento del artículo</w:t>
      </w:r>
      <w:r w:rsidR="00791B8D">
        <w:t xml:space="preserve"> </w:t>
      </w:r>
      <w:r w:rsidRPr="007626ED">
        <w:t>33, párrafo 2, de la Convención sobre los derechos de las personas con discapacidad, las personas con discapacidad y las organizaciones que las representan, así como otras organizaciones de la sociedad civil y consultar con ellos con miras a identificar, intercambiar y promover las buenas prácticas relacionadas con el ejercicio de los derechos de las personas con discapacidad y su participación en la sociedad en igualda</w:t>
      </w:r>
      <w:r w:rsidR="00B509F9">
        <w:t>d de condiciones con las demás;</w:t>
      </w:r>
    </w:p>
    <w:p w:rsidR="00B101FB" w:rsidRPr="007626ED" w:rsidRDefault="00B101FB" w:rsidP="00B101FB">
      <w:pPr>
        <w:pStyle w:val="SingleTxtG"/>
      </w:pPr>
      <w:r w:rsidRPr="007626ED">
        <w:tab/>
        <w:t>b)</w:t>
      </w:r>
      <w:r w:rsidRPr="007626ED">
        <w:tab/>
        <w:t xml:space="preserve">Reunir, solicitar, recibir e intercambiar información y comunicaciones de los Estados y otras fuentes pertinentes, incluidas las personas con discapacidad, las organizaciones que las representan y otras organizaciones de la sociedad civil, sobre violaciones de los derechos de las personas con discapacidad; </w:t>
      </w:r>
    </w:p>
    <w:p w:rsidR="00B101FB" w:rsidRPr="007626ED" w:rsidRDefault="00B101FB" w:rsidP="00B101FB">
      <w:pPr>
        <w:pStyle w:val="SingleTxtG"/>
      </w:pPr>
      <w:r w:rsidRPr="007626ED">
        <w:tab/>
        <w:t>c)</w:t>
      </w:r>
      <w:r w:rsidRPr="007626ED">
        <w:tab/>
        <w:t xml:space="preserve">Formular recomendaciones concretas sobre la forma de mejorar la promoción y la protección de los derechos de las personas con discapacidad, incluido el modo de contribuir a la consecución de objetivos de desarrollo acordados a nivel internacional para las personas con discapacidad, como los Objetivos de Desarrollo del Milenio, </w:t>
      </w:r>
      <w:r>
        <w:t xml:space="preserve">de fomentar un desarrollo incluyente </w:t>
      </w:r>
      <w:r w:rsidRPr="007626ED">
        <w:t>y accesible para las personas con discapacidad, y de promover su función de agentes y a la vez beneficiarios del desarrollo;</w:t>
      </w:r>
    </w:p>
    <w:p w:rsidR="00B101FB" w:rsidRPr="007626ED" w:rsidRDefault="00B101FB" w:rsidP="00B101FB">
      <w:pPr>
        <w:pStyle w:val="SingleTxtG"/>
      </w:pPr>
      <w:r w:rsidRPr="007626ED">
        <w:tab/>
        <w:t>d)</w:t>
      </w:r>
      <w:r w:rsidRPr="007626ED">
        <w:tab/>
        <w:t xml:space="preserve">Asumir, facilitar y respaldar la prestación de servicios de asesoramiento, </w:t>
      </w:r>
      <w:r>
        <w:t xml:space="preserve">la </w:t>
      </w:r>
      <w:r w:rsidRPr="007626ED">
        <w:t xml:space="preserve">asistencia técnica, </w:t>
      </w:r>
      <w:r>
        <w:t xml:space="preserve">el </w:t>
      </w:r>
      <w:r w:rsidRPr="007626ED">
        <w:t>fomento de la capacidad y</w:t>
      </w:r>
      <w:r>
        <w:t xml:space="preserve"> la</w:t>
      </w:r>
      <w:r w:rsidRPr="007626ED">
        <w:t xml:space="preserve"> cooperación internacional en apoyo de los esfuerzos nacionales para hacer efectivos los derechos de las personas con discapacidad;</w:t>
      </w:r>
    </w:p>
    <w:p w:rsidR="00B101FB" w:rsidRPr="007626ED" w:rsidRDefault="00B101FB" w:rsidP="00B101FB">
      <w:pPr>
        <w:pStyle w:val="SingleTxtG"/>
      </w:pPr>
      <w:r w:rsidRPr="007626ED">
        <w:tab/>
        <w:t>e)</w:t>
      </w:r>
      <w:r w:rsidRPr="007626ED">
        <w:tab/>
        <w:t>Crear conciencia sobre los derechos de las personas con discapacidad, combatir los estereotipos, los prejuicios y las prácticas nocivas que limitan sus posibilidades de participar en la sociedad en pie de igualdad con las demás, promover la toma de conciencia respecto a sus aportaciones positivas e informar a las personas con discapacidad de sus derechos;</w:t>
      </w:r>
    </w:p>
    <w:p w:rsidR="00B101FB" w:rsidRPr="007626ED" w:rsidRDefault="00B101FB" w:rsidP="00B101FB">
      <w:pPr>
        <w:pStyle w:val="SingleTxtG"/>
      </w:pPr>
      <w:r w:rsidRPr="007626ED">
        <w:tab/>
        <w:t>f)</w:t>
      </w:r>
      <w:r w:rsidRPr="007626ED">
        <w:tab/>
        <w:t>Colaborar estrechamente con los procedimientos especiales y otros mecanismos de derechos humanos del Consejo de Derechos Humanos, los órganos creados en virtud de tratados, en particular el Comité sobre los Derechos de las Personas con Discapacidad, y otros organismos, programas y fondos pertinentes de las Naciones Unidas, como la Alianza de las Naciones Unidas para Promover los Derechos de las Personas con Discapacidad y el Enviado Especial del Secretario General para cuestiones de discapacidad y accesibilidad, en el ámbito de sus mandatos respectivos, para evitar duplicaciones innecesarias;</w:t>
      </w:r>
    </w:p>
    <w:p w:rsidR="00B101FB" w:rsidRPr="007626ED" w:rsidRDefault="00B101FB" w:rsidP="00B101FB">
      <w:pPr>
        <w:pStyle w:val="SingleTxtG"/>
      </w:pPr>
      <w:r w:rsidRPr="007626ED">
        <w:tab/>
        <w:t>g)</w:t>
      </w:r>
      <w:r w:rsidRPr="007626ED">
        <w:tab/>
        <w:t xml:space="preserve">Cooperar estrechamente con la Conferencia de los Estados Partes en la Convención sobre los derechos de las </w:t>
      </w:r>
      <w:r w:rsidRPr="00B509F9">
        <w:t>personas con</w:t>
      </w:r>
      <w:r w:rsidRPr="007626ED">
        <w:t xml:space="preserve"> discapacidad y la Comisión de Desarrollo Social, entre otras cosas participando en sus per</w:t>
      </w:r>
      <w:r>
        <w:t>í</w:t>
      </w:r>
      <w:r w:rsidRPr="007626ED">
        <w:t xml:space="preserve">odos de sesiones anuales, cuando </w:t>
      </w:r>
      <w:r>
        <w:t>se le solicite</w:t>
      </w:r>
      <w:r w:rsidRPr="007626ED">
        <w:t>;</w:t>
      </w:r>
    </w:p>
    <w:p w:rsidR="00B101FB" w:rsidRPr="007626ED" w:rsidRDefault="00B101FB" w:rsidP="00B101FB">
      <w:pPr>
        <w:pStyle w:val="SingleTxtG"/>
      </w:pPr>
      <w:r w:rsidRPr="007626ED">
        <w:tab/>
        <w:t>h)</w:t>
      </w:r>
      <w:r w:rsidRPr="007626ED">
        <w:tab/>
        <w:t>Integrar una perspectiva de género en todas las actividades del mandato y afrontar las formas múltiples, concomitantes y exacerbadas de discriminación contra las personas con discapacidad;</w:t>
      </w:r>
    </w:p>
    <w:p w:rsidR="00B101FB" w:rsidRPr="007626ED" w:rsidRDefault="00B101FB" w:rsidP="00B101FB">
      <w:pPr>
        <w:pStyle w:val="SingleTxtG"/>
      </w:pPr>
      <w:r w:rsidRPr="007626ED">
        <w:tab/>
        <w:t>i)</w:t>
      </w:r>
      <w:r w:rsidRPr="007626ED">
        <w:tab/>
        <w:t>Presentar un informe anual al Consejo de Derechos Humanos, a partir de su 28º período de sesiones, y a la Asamblea General, en formatos accesibles y con arreglo a sus respectivos programas de trabajo;</w:t>
      </w:r>
    </w:p>
    <w:p w:rsidR="00B101FB" w:rsidRPr="00BF4674" w:rsidRDefault="00B101FB" w:rsidP="00B101FB">
      <w:pPr>
        <w:pStyle w:val="SingleTxtG"/>
      </w:pPr>
      <w:r>
        <w:tab/>
      </w:r>
      <w:r w:rsidRPr="00BF4674">
        <w:t>3.</w:t>
      </w:r>
      <w:r w:rsidRPr="00BF4674">
        <w:tab/>
      </w:r>
      <w:r w:rsidRPr="00BF4674">
        <w:rPr>
          <w:i/>
        </w:rPr>
        <w:t>Exhorta</w:t>
      </w:r>
      <w:r w:rsidRPr="00BF4674">
        <w:t xml:space="preserve"> a todos los Estados a que colaboren con el Relator Especial en el cumplimiento de su mandato, entre otras cosas facilitándole toda la información necesaria que solicite, y consideren seriamente la posibilidad de dar una respuesta favorable a las solicitudes que les dirija para visitar sus países y </w:t>
      </w:r>
      <w:r>
        <w:t xml:space="preserve">también </w:t>
      </w:r>
      <w:r w:rsidRPr="00BF4674">
        <w:t>de aplicar las recomendaciones formuladas por el titular del mandato en sus informes;</w:t>
      </w:r>
    </w:p>
    <w:p w:rsidR="00B101FB" w:rsidRPr="00BF4674" w:rsidRDefault="00B101FB" w:rsidP="00B101FB">
      <w:pPr>
        <w:pStyle w:val="SingleTxtG"/>
      </w:pPr>
      <w:r>
        <w:tab/>
      </w:r>
      <w:r w:rsidRPr="00BF4674">
        <w:t>4.</w:t>
      </w:r>
      <w:r w:rsidRPr="00BF4674">
        <w:tab/>
      </w:r>
      <w:r w:rsidRPr="00BF4674">
        <w:rPr>
          <w:i/>
        </w:rPr>
        <w:t>Alienta</w:t>
      </w:r>
      <w:r w:rsidRPr="00BF4674">
        <w:t xml:space="preserve"> a todos los interesados pertinentes, incluidos los organismos, programas y fondos de las Naciones Unidas, los mecanismos regionales de derechos humanos, las instituciones nacionales de derechos humanos, los marcos nacionales independientes de supervisión, el sector privado, los donantes y los organismos de desarrollo a que colaboren plenamente con el Relator Especial de modo que este pueda cumplir su mandato;</w:t>
      </w:r>
    </w:p>
    <w:p w:rsidR="00B101FB" w:rsidRPr="00BF4674" w:rsidRDefault="00B101FB" w:rsidP="00B101FB">
      <w:pPr>
        <w:pStyle w:val="SingleTxtG"/>
      </w:pPr>
      <w:r>
        <w:tab/>
      </w:r>
      <w:r w:rsidRPr="00BF4674">
        <w:t>5.</w:t>
      </w:r>
      <w:r w:rsidRPr="00BF4674">
        <w:tab/>
      </w:r>
      <w:r w:rsidRPr="00BF4674">
        <w:rPr>
          <w:i/>
        </w:rPr>
        <w:t>Solicita</w:t>
      </w:r>
      <w:r w:rsidRPr="00BF4674">
        <w:t xml:space="preserve"> al Secretario General que señale los informes del Relator Especial a la atención del Comité sobre los Derechos de las Personas con Discapacidad, la Conferencia de los Estados Partes y la Comisión de Desarrollo Social, para su información y </w:t>
      </w:r>
      <w:r>
        <w:t>a fin de</w:t>
      </w:r>
      <w:r w:rsidRPr="00BF4674">
        <w:t xml:space="preserve"> evitar toda duplicación innecesaria;</w:t>
      </w:r>
    </w:p>
    <w:p w:rsidR="00B101FB" w:rsidRDefault="00B101FB" w:rsidP="00B101FB">
      <w:pPr>
        <w:pStyle w:val="SingleTxtG"/>
      </w:pPr>
      <w:r>
        <w:tab/>
      </w:r>
      <w:r w:rsidRPr="00BF4674">
        <w:t>6.</w:t>
      </w:r>
      <w:r w:rsidRPr="00BF4674">
        <w:tab/>
      </w:r>
      <w:r w:rsidRPr="00BF4674">
        <w:rPr>
          <w:i/>
        </w:rPr>
        <w:t>Solicita</w:t>
      </w:r>
      <w:r w:rsidRPr="00BF4674">
        <w:t xml:space="preserve"> al Secretario General y a la Alta Comisionada de las Naciones Unidas para los Derechos Humanos que faciliten al Relator Especial todos los recursos humanos, técnicos y financieros necesarios para el efectivo cumplimiento de su mandato.</w:t>
      </w:r>
    </w:p>
    <w:p w:rsidR="00B101FB" w:rsidRPr="005F500C" w:rsidRDefault="00B101FB" w:rsidP="00B101FB">
      <w:pPr>
        <w:pStyle w:val="SingleTxtG"/>
        <w:suppressAutoHyphens/>
        <w:spacing w:after="0"/>
        <w:jc w:val="right"/>
        <w:rPr>
          <w:i/>
        </w:rPr>
      </w:pPr>
      <w:r w:rsidRPr="005F500C">
        <w:rPr>
          <w:i/>
        </w:rPr>
        <w:t>39ª sesión</w:t>
      </w:r>
    </w:p>
    <w:p w:rsidR="00B101FB" w:rsidRPr="005F500C" w:rsidRDefault="00B101FB" w:rsidP="00B101FB">
      <w:pPr>
        <w:pStyle w:val="SingleTxtG"/>
        <w:suppressAutoHyphens/>
        <w:jc w:val="right"/>
        <w:rPr>
          <w:i/>
        </w:rPr>
      </w:pPr>
      <w:r w:rsidRPr="005F500C">
        <w:rPr>
          <w:i/>
        </w:rPr>
        <w:t>27 de junio de 2014</w:t>
      </w:r>
    </w:p>
    <w:p w:rsidR="00B101FB" w:rsidRDefault="00B101FB" w:rsidP="00B101FB">
      <w:pPr>
        <w:pStyle w:val="SingleTxtG"/>
        <w:suppressAutoHyphens/>
        <w:spacing w:after="240"/>
        <w:rPr>
          <w:lang w:val="en-GB" w:eastAsia="en-US"/>
        </w:rPr>
      </w:pPr>
      <w:r w:rsidRPr="005F500C">
        <w:rPr>
          <w:lang w:val="en-GB" w:eastAsia="en-US"/>
        </w:rPr>
        <w:t>[Aprobada sin votación</w:t>
      </w:r>
      <w:r>
        <w:rPr>
          <w:lang w:val="en-GB" w:eastAsia="en-US"/>
        </w:rPr>
        <w:t>.</w:t>
      </w:r>
      <w:r w:rsidRPr="005F500C">
        <w:rPr>
          <w:lang w:val="en-GB" w:eastAsia="en-US"/>
        </w:rPr>
        <w:t>]</w:t>
      </w:r>
    </w:p>
    <w:p w:rsidR="00B101FB" w:rsidRPr="005F500C" w:rsidRDefault="00B101FB" w:rsidP="00B101FB">
      <w:pPr>
        <w:pStyle w:val="SingleTxtG"/>
        <w:suppressAutoHyphens/>
        <w:jc w:val="center"/>
        <w:rPr>
          <w:u w:val="single"/>
        </w:rPr>
      </w:pPr>
      <w:r>
        <w:rPr>
          <w:u w:val="single"/>
          <w:lang w:val="en-GB" w:eastAsia="en-US"/>
        </w:rPr>
        <w:tab/>
      </w:r>
      <w:r>
        <w:rPr>
          <w:u w:val="single"/>
          <w:lang w:val="en-GB" w:eastAsia="en-US"/>
        </w:rPr>
        <w:tab/>
      </w:r>
      <w:r>
        <w:rPr>
          <w:u w:val="single"/>
          <w:lang w:val="en-GB" w:eastAsia="en-US"/>
        </w:rPr>
        <w:tab/>
      </w:r>
    </w:p>
    <w:p w:rsidR="00C20CE3" w:rsidRDefault="00C20CE3" w:rsidP="00A312BC"/>
    <w:p w:rsidR="00381C24" w:rsidRPr="001075E9" w:rsidRDefault="00381C24" w:rsidP="00A312BC"/>
    <w:sectPr w:rsidR="00381C24" w:rsidRPr="001075E9" w:rsidSect="00C20CE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C39" w:rsidRPr="00A312BC" w:rsidRDefault="00FD3C39" w:rsidP="00A312BC">
      <w:pPr>
        <w:pStyle w:val="Footer"/>
      </w:pPr>
    </w:p>
  </w:endnote>
  <w:endnote w:type="continuationSeparator" w:id="0">
    <w:p w:rsidR="00FD3C39" w:rsidRPr="00A312BC" w:rsidRDefault="00FD3C39" w:rsidP="00A312B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CE3" w:rsidRPr="00C20CE3" w:rsidRDefault="00C20CE3" w:rsidP="00C20CE3">
    <w:pPr>
      <w:pStyle w:val="Footer"/>
      <w:tabs>
        <w:tab w:val="right" w:pos="9638"/>
      </w:tabs>
    </w:pPr>
    <w:r w:rsidRPr="00C20CE3">
      <w:rPr>
        <w:b/>
        <w:sz w:val="18"/>
      </w:rPr>
      <w:fldChar w:fldCharType="begin"/>
    </w:r>
    <w:r w:rsidRPr="00C20CE3">
      <w:rPr>
        <w:b/>
        <w:sz w:val="18"/>
      </w:rPr>
      <w:instrText xml:space="preserve"> PAGE  \* MERGEFORMAT </w:instrText>
    </w:r>
    <w:r w:rsidRPr="00C20CE3">
      <w:rPr>
        <w:b/>
        <w:sz w:val="18"/>
      </w:rPr>
      <w:fldChar w:fldCharType="separate"/>
    </w:r>
    <w:r w:rsidR="00B509F9">
      <w:rPr>
        <w:b/>
        <w:noProof/>
        <w:sz w:val="18"/>
      </w:rPr>
      <w:t>2</w:t>
    </w:r>
    <w:r w:rsidRPr="00C20CE3">
      <w:rPr>
        <w:b/>
        <w:sz w:val="18"/>
      </w:rPr>
      <w:fldChar w:fldCharType="end"/>
    </w:r>
    <w:r>
      <w:rPr>
        <w:b/>
        <w:sz w:val="18"/>
      </w:rPr>
      <w:tab/>
    </w:r>
    <w:r>
      <w:t>GE.14-08214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CE3" w:rsidRPr="00C20CE3" w:rsidRDefault="00C20CE3" w:rsidP="00C20CE3">
    <w:pPr>
      <w:pStyle w:val="Footer"/>
      <w:tabs>
        <w:tab w:val="right" w:pos="9638"/>
      </w:tabs>
      <w:rPr>
        <w:b/>
        <w:sz w:val="18"/>
      </w:rPr>
    </w:pPr>
    <w:r>
      <w:t>GE.14-08214</w:t>
    </w:r>
    <w:r>
      <w:tab/>
    </w:r>
    <w:r w:rsidRPr="00C20CE3">
      <w:rPr>
        <w:b/>
        <w:sz w:val="18"/>
      </w:rPr>
      <w:fldChar w:fldCharType="begin"/>
    </w:r>
    <w:r w:rsidRPr="00C20CE3">
      <w:rPr>
        <w:b/>
        <w:sz w:val="18"/>
      </w:rPr>
      <w:instrText xml:space="preserve"> PAGE  \* MERGEFORMAT </w:instrText>
    </w:r>
    <w:r w:rsidRPr="00C20CE3">
      <w:rPr>
        <w:b/>
        <w:sz w:val="18"/>
      </w:rPr>
      <w:fldChar w:fldCharType="separate"/>
    </w:r>
    <w:r w:rsidR="00B509F9">
      <w:rPr>
        <w:b/>
        <w:noProof/>
        <w:sz w:val="18"/>
      </w:rPr>
      <w:t>3</w:t>
    </w:r>
    <w:r w:rsidRPr="00C20CE3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CE3" w:rsidRDefault="00C20CE3" w:rsidP="00C20CE3">
    <w:pPr>
      <w:pStyle w:val="Footer"/>
      <w:spacing w:before="240"/>
      <w:rPr>
        <w:sz w:val="20"/>
      </w:rPr>
    </w:pPr>
    <w:r>
      <w:rPr>
        <w:sz w:val="20"/>
      </w:rPr>
      <w:t>GE.</w:t>
    </w:r>
    <w:r w:rsidR="0038309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14-08214  (S)    160714    170714</w:t>
    </w:r>
  </w:p>
  <w:p w:rsidR="0038309F" w:rsidRPr="00C20CE3" w:rsidRDefault="00C20CE3" w:rsidP="00C20CE3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20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C39" w:rsidRPr="001075E9" w:rsidRDefault="00FD3C3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D3C39" w:rsidRDefault="00FD3C3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CE3" w:rsidRPr="00C20CE3" w:rsidRDefault="00C20CE3">
    <w:pPr>
      <w:pStyle w:val="Header"/>
    </w:pPr>
    <w:r>
      <w:t>A/HRC/RES/26/20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CE3" w:rsidRPr="00C20CE3" w:rsidRDefault="00C20CE3" w:rsidP="00C20CE3">
    <w:pPr>
      <w:pStyle w:val="Header"/>
      <w:jc w:val="right"/>
    </w:pPr>
    <w:r>
      <w:t>A/HRC/RES/26/20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09F"/>
    <w:rsid w:val="00033EE1"/>
    <w:rsid w:val="00042B72"/>
    <w:rsid w:val="000558BD"/>
    <w:rsid w:val="000B57E7"/>
    <w:rsid w:val="000B6373"/>
    <w:rsid w:val="000F09DF"/>
    <w:rsid w:val="000F61B2"/>
    <w:rsid w:val="001075E9"/>
    <w:rsid w:val="00172DFC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F405F"/>
    <w:rsid w:val="002F7EEC"/>
    <w:rsid w:val="00301299"/>
    <w:rsid w:val="00307FB6"/>
    <w:rsid w:val="00317339"/>
    <w:rsid w:val="00322004"/>
    <w:rsid w:val="003402C2"/>
    <w:rsid w:val="00381C24"/>
    <w:rsid w:val="0038309F"/>
    <w:rsid w:val="003958D0"/>
    <w:rsid w:val="003B00E5"/>
    <w:rsid w:val="00407B78"/>
    <w:rsid w:val="00424203"/>
    <w:rsid w:val="00452493"/>
    <w:rsid w:val="00454E07"/>
    <w:rsid w:val="004B3314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C2031"/>
    <w:rsid w:val="006D461A"/>
    <w:rsid w:val="006F35EE"/>
    <w:rsid w:val="007021FF"/>
    <w:rsid w:val="00712895"/>
    <w:rsid w:val="00757357"/>
    <w:rsid w:val="00791B8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4363"/>
    <w:rsid w:val="00A312BC"/>
    <w:rsid w:val="00A84021"/>
    <w:rsid w:val="00A917B3"/>
    <w:rsid w:val="00AB4B51"/>
    <w:rsid w:val="00B101FB"/>
    <w:rsid w:val="00B10CC7"/>
    <w:rsid w:val="00B509F9"/>
    <w:rsid w:val="00B539E7"/>
    <w:rsid w:val="00B62458"/>
    <w:rsid w:val="00B90B71"/>
    <w:rsid w:val="00BD33EE"/>
    <w:rsid w:val="00C106D6"/>
    <w:rsid w:val="00C20CE3"/>
    <w:rsid w:val="00C60F0C"/>
    <w:rsid w:val="00C805C9"/>
    <w:rsid w:val="00C92939"/>
    <w:rsid w:val="00CA1679"/>
    <w:rsid w:val="00CB151C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D2EF7"/>
    <w:rsid w:val="00FD3C39"/>
    <w:rsid w:val="00FE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81A1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81A10"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basedOn w:val="DefaultParagraphFont"/>
    <w:qFormat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qFormat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qFormat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81A10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3</Pages>
  <Words>1102</Words>
  <Characters>6063</Characters>
  <Application>Microsoft Office Outlook</Application>
  <DocSecurity>4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A/HRC/RES/26/20</vt:lpstr>
    </vt:vector>
  </TitlesOfParts>
  <Company/>
  <LinksUpToDate>false</LinksUpToDate>
  <CharactersWithSpaces>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A/HRC/RES/26/20</dc:title>
  <dc:subject>Final directo</dc:subject>
  <dc:creator>Carlos Bragunde</dc:creator>
  <cp:keywords/>
  <dc:description/>
  <cp:lastModifiedBy>Carlos Bragunde</cp:lastModifiedBy>
  <cp:revision>2</cp:revision>
  <cp:lastPrinted>2014-07-17T07:32:00Z</cp:lastPrinted>
  <dcterms:created xsi:type="dcterms:W3CDTF">2014-07-17T07:34:00Z</dcterms:created>
  <dcterms:modified xsi:type="dcterms:W3CDTF">2014-07-17T07:34:00Z</dcterms:modified>
</cp:coreProperties>
</file>