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AA11D" w14:textId="77777777" w:rsidR="00704206" w:rsidRPr="00420D6F" w:rsidRDefault="00704206" w:rsidP="00704206">
      <w:pPr>
        <w:spacing w:line="240" w:lineRule="auto"/>
        <w:rPr>
          <w:sz w:val="6"/>
          <w:lang w:eastAsia="zh-CN"/>
        </w:rPr>
        <w:sectPr w:rsidR="00704206" w:rsidRPr="00420D6F" w:rsidSect="00420D6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420D6F">
        <w:rPr>
          <w:rStyle w:val="CommentReference"/>
          <w:szCs w:val="20"/>
        </w:rPr>
        <w:commentReference w:id="0"/>
      </w:r>
    </w:p>
    <w:p w14:paraId="1014D0D2" w14:textId="34316BA5" w:rsidR="00420D6F" w:rsidRDefault="00420D6F" w:rsidP="0042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eastAsia="zh-CN"/>
        </w:rPr>
      </w:pPr>
      <w:r>
        <w:rPr>
          <w:lang w:eastAsia="zh-CN"/>
        </w:rPr>
        <w:t>Comité para la Eliminación de la Discriminación contra la Mujer</w:t>
      </w:r>
    </w:p>
    <w:p w14:paraId="099BB7CC" w14:textId="77777777" w:rsidR="00420D6F" w:rsidRDefault="00420D6F" w:rsidP="00420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Grupo de trabajo anterior al período de sesiones</w:t>
      </w:r>
    </w:p>
    <w:p w14:paraId="35E6C6BB" w14:textId="77777777" w:rsidR="00420D6F" w:rsidRDefault="00420D6F" w:rsidP="00420D6F">
      <w:pPr>
        <w:pStyle w:val="Session"/>
        <w:rPr>
          <w:lang w:eastAsia="zh-CN"/>
        </w:rPr>
      </w:pPr>
      <w:r>
        <w:rPr>
          <w:lang w:eastAsia="zh-CN"/>
        </w:rPr>
        <w:t>73</w:t>
      </w:r>
      <w:r w:rsidRPr="00420D6F">
        <w:rPr>
          <w:vertAlign w:val="superscript"/>
          <w:lang w:eastAsia="zh-CN"/>
        </w:rPr>
        <w:t>er</w:t>
      </w:r>
      <w:r>
        <w:rPr>
          <w:lang w:eastAsia="zh-CN"/>
        </w:rPr>
        <w:t xml:space="preserve"> período de sesiones</w:t>
      </w:r>
    </w:p>
    <w:p w14:paraId="7162C18E" w14:textId="36461A71" w:rsidR="00420D6F" w:rsidRDefault="00420D6F" w:rsidP="00420D6F">
      <w:pPr>
        <w:rPr>
          <w:lang w:eastAsia="zh-CN"/>
        </w:rPr>
      </w:pPr>
      <w:r>
        <w:rPr>
          <w:lang w:eastAsia="zh-CN"/>
        </w:rPr>
        <w:t>12 a 16 de noviembre de 2018</w:t>
      </w:r>
    </w:p>
    <w:p w14:paraId="3A7124C9" w14:textId="219D14A7" w:rsidR="00420D6F" w:rsidRPr="00420D6F" w:rsidRDefault="00420D6F" w:rsidP="00420D6F">
      <w:pPr>
        <w:pStyle w:val="SingleTxt"/>
        <w:spacing w:after="0" w:line="120" w:lineRule="exact"/>
        <w:rPr>
          <w:sz w:val="10"/>
          <w:lang w:eastAsia="zh-CN"/>
        </w:rPr>
      </w:pPr>
    </w:p>
    <w:p w14:paraId="222E1825" w14:textId="5D61163C" w:rsidR="00420D6F" w:rsidRPr="00420D6F" w:rsidRDefault="00420D6F" w:rsidP="00420D6F">
      <w:pPr>
        <w:pStyle w:val="SingleTxt"/>
        <w:spacing w:after="0" w:line="120" w:lineRule="exact"/>
        <w:rPr>
          <w:sz w:val="10"/>
          <w:lang w:eastAsia="zh-CN"/>
        </w:rPr>
      </w:pPr>
    </w:p>
    <w:p w14:paraId="709EF0FB" w14:textId="1C8FD0AF" w:rsidR="00420D6F" w:rsidRPr="00420D6F" w:rsidRDefault="00420D6F" w:rsidP="00420D6F">
      <w:pPr>
        <w:pStyle w:val="SingleTxt"/>
        <w:spacing w:after="0" w:line="120" w:lineRule="exact"/>
        <w:rPr>
          <w:sz w:val="10"/>
          <w:lang w:eastAsia="zh-CN"/>
        </w:rPr>
      </w:pPr>
    </w:p>
    <w:p w14:paraId="74A86BAE" w14:textId="789409FF" w:rsidR="00420D6F" w:rsidRDefault="00420D6F" w:rsidP="00420D6F">
      <w:pPr>
        <w:pStyle w:val="TitleHCH"/>
        <w:ind w:right="1740"/>
        <w:rPr>
          <w:lang w:eastAsia="zh-CN"/>
        </w:rPr>
      </w:pPr>
      <w:r>
        <w:rPr>
          <w:lang w:eastAsia="zh-CN"/>
        </w:rPr>
        <w:tab/>
      </w:r>
      <w:r>
        <w:rPr>
          <w:lang w:eastAsia="zh-CN"/>
        </w:rPr>
        <w:tab/>
        <w:t>Examen de los informes presentados por los Estados partes en virtud del artículo 18 de la Convención sobre la Eliminación de Todas las Formas de Discriminación contra la Mujer</w:t>
      </w:r>
    </w:p>
    <w:p w14:paraId="62508594" w14:textId="4621680A" w:rsidR="00420D6F" w:rsidRPr="00420D6F" w:rsidRDefault="00420D6F" w:rsidP="00420D6F">
      <w:pPr>
        <w:pStyle w:val="SingleTxt"/>
        <w:spacing w:after="0" w:line="120" w:lineRule="exact"/>
        <w:rPr>
          <w:sz w:val="10"/>
          <w:lang w:eastAsia="zh-CN"/>
        </w:rPr>
      </w:pPr>
    </w:p>
    <w:p w14:paraId="0AA12958" w14:textId="63BBC30C" w:rsidR="00420D6F" w:rsidRPr="00420D6F" w:rsidRDefault="00420D6F" w:rsidP="00420D6F">
      <w:pPr>
        <w:pStyle w:val="SingleTxt"/>
        <w:spacing w:after="0" w:line="120" w:lineRule="exact"/>
        <w:rPr>
          <w:sz w:val="10"/>
          <w:lang w:eastAsia="zh-CN"/>
        </w:rPr>
      </w:pPr>
    </w:p>
    <w:p w14:paraId="7C37DF3A" w14:textId="3D62C8E6" w:rsidR="00420D6F" w:rsidRDefault="00420D6F" w:rsidP="00420D6F">
      <w:pPr>
        <w:pStyle w:val="TitleH1"/>
        <w:rPr>
          <w:lang w:eastAsia="zh-CN"/>
        </w:rPr>
      </w:pPr>
      <w:r>
        <w:rPr>
          <w:lang w:eastAsia="zh-CN"/>
        </w:rPr>
        <w:tab/>
      </w:r>
      <w:r>
        <w:rPr>
          <w:lang w:eastAsia="zh-CN"/>
        </w:rPr>
        <w:tab/>
        <w:t>Informe del grupo de trabajo anterior al período de sesiones</w:t>
      </w:r>
    </w:p>
    <w:p w14:paraId="11C1F25B" w14:textId="587B3585" w:rsidR="00420D6F" w:rsidRPr="00420D6F" w:rsidRDefault="00420D6F" w:rsidP="00420D6F">
      <w:pPr>
        <w:pStyle w:val="SingleTxt"/>
        <w:spacing w:after="0" w:line="120" w:lineRule="exact"/>
        <w:rPr>
          <w:sz w:val="10"/>
          <w:lang w:eastAsia="zh-CN"/>
        </w:rPr>
      </w:pPr>
    </w:p>
    <w:p w14:paraId="09C10C75" w14:textId="4E078F83" w:rsidR="00420D6F" w:rsidRPr="00420D6F" w:rsidRDefault="00420D6F" w:rsidP="00420D6F">
      <w:pPr>
        <w:pStyle w:val="SingleTxt"/>
        <w:spacing w:after="0" w:line="120" w:lineRule="exact"/>
        <w:rPr>
          <w:sz w:val="10"/>
          <w:lang w:eastAsia="zh-CN"/>
        </w:rPr>
      </w:pPr>
      <w:bookmarkStart w:id="1" w:name="_GoBack"/>
      <w:bookmarkEnd w:id="1"/>
    </w:p>
    <w:p w14:paraId="067BBF5E" w14:textId="7A8E4EEB" w:rsidR="00420D6F" w:rsidRDefault="00420D6F" w:rsidP="00420D6F">
      <w:pPr>
        <w:pStyle w:val="SingleTxt"/>
        <w:numPr>
          <w:ilvl w:val="0"/>
          <w:numId w:val="17"/>
        </w:numPr>
        <w:ind w:left="1267"/>
        <w:rPr>
          <w:lang w:eastAsia="zh-CN"/>
        </w:rPr>
      </w:pPr>
      <w:r>
        <w:rPr>
          <w:lang w:eastAsia="zh-CN"/>
        </w:rPr>
        <w:t>Es práctica del Comité para la Eliminación de la Discriminación contra la Mujer constituir un grupo de trabajo que se reúna antes de cada período de sesiones durante cinco días para preparar listas de cuestiones y preguntas relativas a los informes iniciales y periódicos que examinará el Comité en uno de sus siguientes períodos de sesiones.</w:t>
      </w:r>
    </w:p>
    <w:p w14:paraId="54692009" w14:textId="3F30C981" w:rsidR="00420D6F" w:rsidRDefault="00420D6F" w:rsidP="00420D6F">
      <w:pPr>
        <w:pStyle w:val="SingleTxt"/>
        <w:numPr>
          <w:ilvl w:val="0"/>
          <w:numId w:val="17"/>
        </w:numPr>
        <w:ind w:left="1267"/>
        <w:rPr>
          <w:lang w:eastAsia="zh-CN"/>
        </w:rPr>
      </w:pPr>
      <w:r>
        <w:rPr>
          <w:lang w:eastAsia="zh-CN"/>
        </w:rPr>
        <w:t>El Comité decidió que el grupo de trabajo anterior al 73er período de sesiones se reuniera del 12 al 16 de noviembre de 2018, inmediatamente después de su 71er período de sesiones, para que los Estados partes tuvieran tiempo suficiente de presentar sus respuestas por escrito a las listas de cuestiones y preguntas y que esas respuestas se tradujeran oportunamente.</w:t>
      </w:r>
    </w:p>
    <w:p w14:paraId="5FFEDD86" w14:textId="4DAF3919" w:rsidR="00420D6F" w:rsidRDefault="00420D6F" w:rsidP="00420D6F">
      <w:pPr>
        <w:pStyle w:val="SingleTxt"/>
        <w:numPr>
          <w:ilvl w:val="0"/>
          <w:numId w:val="17"/>
        </w:numPr>
        <w:ind w:left="1267"/>
        <w:rPr>
          <w:lang w:eastAsia="zh-CN"/>
        </w:rPr>
      </w:pPr>
      <w:r>
        <w:rPr>
          <w:lang w:eastAsia="zh-CN"/>
        </w:rPr>
        <w:t>Se nombró a las siguientes expertas para formar parte del grupo de trabajo anterior al período de sesiones, quienes asistieron además a este:</w:t>
      </w:r>
    </w:p>
    <w:p w14:paraId="4F8538DE" w14:textId="562E48C0" w:rsidR="00420D6F" w:rsidRDefault="00420D6F" w:rsidP="00420D6F">
      <w:pPr>
        <w:pStyle w:val="SingleTxt"/>
        <w:rPr>
          <w:lang w:eastAsia="zh-CN"/>
        </w:rPr>
      </w:pPr>
      <w:r>
        <w:rPr>
          <w:lang w:eastAsia="zh-CN"/>
        </w:rPr>
        <w:tab/>
        <w:t>Gladys Acosta Vargas</w:t>
      </w:r>
    </w:p>
    <w:p w14:paraId="44E378A9" w14:textId="77777777" w:rsidR="00420D6F" w:rsidRDefault="00420D6F" w:rsidP="00420D6F">
      <w:pPr>
        <w:pStyle w:val="SingleTxt"/>
        <w:rPr>
          <w:lang w:eastAsia="zh-CN"/>
        </w:rPr>
      </w:pPr>
      <w:r>
        <w:rPr>
          <w:lang w:eastAsia="zh-CN"/>
        </w:rPr>
        <w:tab/>
        <w:t xml:space="preserve">Esther </w:t>
      </w:r>
      <w:proofErr w:type="spellStart"/>
      <w:r>
        <w:rPr>
          <w:lang w:eastAsia="zh-CN"/>
        </w:rPr>
        <w:t>Eghobamien-Mshelia</w:t>
      </w:r>
      <w:proofErr w:type="spellEnd"/>
      <w:r>
        <w:rPr>
          <w:lang w:eastAsia="zh-CN"/>
        </w:rPr>
        <w:t xml:space="preserve"> </w:t>
      </w:r>
    </w:p>
    <w:p w14:paraId="6598C754" w14:textId="77777777" w:rsidR="00420D6F" w:rsidRDefault="00420D6F" w:rsidP="00420D6F">
      <w:pPr>
        <w:pStyle w:val="SingleTxt"/>
        <w:rPr>
          <w:lang w:eastAsia="zh-CN"/>
        </w:rPr>
      </w:pPr>
      <w:r>
        <w:rPr>
          <w:lang w:eastAsia="zh-CN"/>
        </w:rPr>
        <w:tab/>
        <w:t xml:space="preserve">Lilian </w:t>
      </w:r>
      <w:proofErr w:type="spellStart"/>
      <w:r>
        <w:rPr>
          <w:lang w:eastAsia="zh-CN"/>
        </w:rPr>
        <w:t>Hofmeister</w:t>
      </w:r>
      <w:proofErr w:type="spellEnd"/>
    </w:p>
    <w:p w14:paraId="3123DCD9" w14:textId="77777777" w:rsidR="00420D6F" w:rsidRDefault="00420D6F" w:rsidP="00420D6F">
      <w:pPr>
        <w:pStyle w:val="SingleTxt"/>
        <w:rPr>
          <w:lang w:eastAsia="zh-CN"/>
        </w:rPr>
      </w:pPr>
      <w:r>
        <w:rPr>
          <w:lang w:eastAsia="zh-CN"/>
        </w:rPr>
        <w:tab/>
        <w:t xml:space="preserve">Dalia </w:t>
      </w:r>
      <w:proofErr w:type="spellStart"/>
      <w:r>
        <w:rPr>
          <w:lang w:eastAsia="zh-CN"/>
        </w:rPr>
        <w:t>Leinarte</w:t>
      </w:r>
      <w:proofErr w:type="spellEnd"/>
    </w:p>
    <w:p w14:paraId="47DC49EC" w14:textId="48A9D154" w:rsidR="00420D6F" w:rsidRDefault="00420D6F" w:rsidP="00420D6F">
      <w:pPr>
        <w:pStyle w:val="SingleTxt"/>
        <w:rPr>
          <w:lang w:eastAsia="zh-CN"/>
        </w:rPr>
      </w:pPr>
      <w:r>
        <w:rPr>
          <w:lang w:eastAsia="zh-CN"/>
        </w:rPr>
        <w:tab/>
        <w:t>Bandana Rana</w:t>
      </w:r>
    </w:p>
    <w:p w14:paraId="690CBB73" w14:textId="35D06CB7" w:rsidR="00420D6F" w:rsidRDefault="00420D6F" w:rsidP="00420D6F">
      <w:pPr>
        <w:pStyle w:val="SingleTxt"/>
        <w:numPr>
          <w:ilvl w:val="0"/>
          <w:numId w:val="17"/>
        </w:numPr>
        <w:ind w:left="1267"/>
        <w:rPr>
          <w:lang w:eastAsia="zh-CN"/>
        </w:rPr>
      </w:pPr>
      <w:r>
        <w:rPr>
          <w:lang w:eastAsia="zh-CN"/>
        </w:rPr>
        <w:t>El grupo de trabajo anterior al período de sesiones eligió como Presidenta a la Sra. Acosta Vargas.</w:t>
      </w:r>
    </w:p>
    <w:p w14:paraId="28800704" w14:textId="7B822ABD" w:rsidR="00420D6F" w:rsidRDefault="00420D6F" w:rsidP="004A33D2">
      <w:pPr>
        <w:pStyle w:val="SingleTxt"/>
        <w:numPr>
          <w:ilvl w:val="0"/>
          <w:numId w:val="17"/>
        </w:numPr>
        <w:ind w:left="1267"/>
        <w:rPr>
          <w:lang w:eastAsia="zh-CN"/>
        </w:rPr>
      </w:pPr>
      <w:r>
        <w:rPr>
          <w:lang w:eastAsia="zh-CN"/>
        </w:rPr>
        <w:lastRenderedPageBreak/>
        <w:t xml:space="preserve">El grupo de trabajo anterior al período de sesiones preparó listas de cuestiones y preguntas relativas a los informes de Austria, </w:t>
      </w:r>
      <w:proofErr w:type="spellStart"/>
      <w:r>
        <w:rPr>
          <w:lang w:eastAsia="zh-CN"/>
        </w:rPr>
        <w:t>Bahrein</w:t>
      </w:r>
      <w:proofErr w:type="spellEnd"/>
      <w:r>
        <w:rPr>
          <w:lang w:eastAsia="zh-CN"/>
        </w:rPr>
        <w:t xml:space="preserve">, Cabo Verde, </w:t>
      </w:r>
      <w:proofErr w:type="spellStart"/>
      <w:r>
        <w:rPr>
          <w:lang w:eastAsia="zh-CN"/>
        </w:rPr>
        <w:t>Côte</w:t>
      </w:r>
      <w:proofErr w:type="spellEnd"/>
      <w:r>
        <w:rPr>
          <w:lang w:eastAsia="zh-CN"/>
        </w:rPr>
        <w:t xml:space="preserve"> </w:t>
      </w:r>
      <w:proofErr w:type="spellStart"/>
      <w:r>
        <w:rPr>
          <w:lang w:eastAsia="zh-CN"/>
        </w:rPr>
        <w:t>d</w:t>
      </w:r>
      <w:r w:rsidR="00E734D1">
        <w:rPr>
          <w:lang w:eastAsia="zh-CN"/>
        </w:rPr>
        <w:t>’</w:t>
      </w:r>
      <w:r>
        <w:rPr>
          <w:lang w:eastAsia="zh-CN"/>
        </w:rPr>
        <w:t>Ivoire</w:t>
      </w:r>
      <w:proofErr w:type="spellEnd"/>
      <w:r>
        <w:rPr>
          <w:lang w:eastAsia="zh-CN"/>
        </w:rPr>
        <w:t xml:space="preserve">, Guyana, Mozambique, Qatar y la República Democrática del Congo. A tal efecto, orientó su labor en función de las decisiones 49/IX, </w:t>
      </w:r>
      <w:r w:rsidRPr="00B86715">
        <w:rPr>
          <w:lang w:eastAsia="zh-CN"/>
        </w:rPr>
        <w:t>59/4</w:t>
      </w:r>
      <w:r>
        <w:rPr>
          <w:lang w:eastAsia="zh-CN"/>
        </w:rPr>
        <w:t xml:space="preserve"> y </w:t>
      </w:r>
      <w:r w:rsidRPr="00B86715">
        <w:rPr>
          <w:lang w:eastAsia="zh-CN"/>
        </w:rPr>
        <w:t>64/2</w:t>
      </w:r>
      <w:r>
        <w:rPr>
          <w:lang w:eastAsia="zh-CN"/>
        </w:rPr>
        <w:t xml:space="preserve"> del Comité, en virtud de las cuales el Comité decidió limitar las listas de cuestiones y preguntas y la lista de cuestiones previa a la presentación de informes a 20 y 25 párrafos, respectivamente. Sin embargo, en la práctica y de manera excepcional, algunas listas contienen un máximo de 23 párrafos.</w:t>
      </w:r>
    </w:p>
    <w:p w14:paraId="5299EEEE" w14:textId="002EB4CC" w:rsidR="00420D6F" w:rsidRDefault="00420D6F" w:rsidP="00420D6F">
      <w:pPr>
        <w:pStyle w:val="SingleTxt"/>
        <w:numPr>
          <w:ilvl w:val="0"/>
          <w:numId w:val="17"/>
        </w:numPr>
        <w:ind w:left="1267"/>
        <w:rPr>
          <w:lang w:eastAsia="zh-CN"/>
        </w:rPr>
      </w:pPr>
      <w:r>
        <w:rPr>
          <w:lang w:eastAsia="zh-CN"/>
        </w:rPr>
        <w:t xml:space="preserve">Como ayuda para la elaboración de las listas de cuestiones y preguntas, el grupo de trabajo anterior al período de sesiones tuvo a su disposición las versiones electrónicas de los informes de los Estados partes mencionados anteriormente, además de los documentos básicos presentados por ellos, con la excepción de los correspondientes a </w:t>
      </w:r>
      <w:proofErr w:type="spellStart"/>
      <w:r>
        <w:rPr>
          <w:lang w:eastAsia="zh-CN"/>
        </w:rPr>
        <w:t>Bahrein</w:t>
      </w:r>
      <w:proofErr w:type="spellEnd"/>
      <w:r>
        <w:rPr>
          <w:lang w:eastAsia="zh-CN"/>
        </w:rPr>
        <w:t xml:space="preserve">, </w:t>
      </w:r>
      <w:proofErr w:type="spellStart"/>
      <w:r>
        <w:rPr>
          <w:lang w:eastAsia="zh-CN"/>
        </w:rPr>
        <w:t>Côte</w:t>
      </w:r>
      <w:proofErr w:type="spellEnd"/>
      <w:r>
        <w:rPr>
          <w:lang w:eastAsia="zh-CN"/>
        </w:rPr>
        <w:t xml:space="preserve"> </w:t>
      </w:r>
      <w:proofErr w:type="spellStart"/>
      <w:r>
        <w:rPr>
          <w:lang w:eastAsia="zh-CN"/>
        </w:rPr>
        <w:t>d</w:t>
      </w:r>
      <w:r w:rsidR="00E734D1">
        <w:rPr>
          <w:lang w:eastAsia="zh-CN"/>
        </w:rPr>
        <w:t>’</w:t>
      </w:r>
      <w:r>
        <w:rPr>
          <w:lang w:eastAsia="zh-CN"/>
        </w:rPr>
        <w:t>Ivoire</w:t>
      </w:r>
      <w:proofErr w:type="spellEnd"/>
      <w:r>
        <w:rPr>
          <w:lang w:eastAsia="zh-CN"/>
        </w:rPr>
        <w:t>, Mozambique y Qatar; las recomendaciones generales aprobadas por el Comité; los proyectos de listas de cuestiones y preguntas elaborados por la secretaría; y demás información pertinente, incluidas las observaciones finales del Comité y de otros órganos creados en virtud de tratados, según procediera. Al elaborar las listas, el grupo de trabajo prestó especial atención al seguimiento de la aplicación por los Estados partes de las observaciones finales formuladas por el Comité en sus informes anteriores.</w:t>
      </w:r>
    </w:p>
    <w:p w14:paraId="76700F6D" w14:textId="6CE4641B" w:rsidR="00420D6F" w:rsidRDefault="00420D6F" w:rsidP="00420D6F">
      <w:pPr>
        <w:pStyle w:val="SingleTxt"/>
        <w:numPr>
          <w:ilvl w:val="0"/>
          <w:numId w:val="17"/>
        </w:numPr>
        <w:ind w:left="1267"/>
        <w:rPr>
          <w:lang w:eastAsia="zh-CN"/>
        </w:rPr>
      </w:pPr>
      <w:r>
        <w:rPr>
          <w:lang w:eastAsia="zh-CN"/>
        </w:rPr>
        <w:t>El grupo de trabajo anterior al período de sesiones utilizó también la información presentada oralmente y por escrito por entidades del sistema de las Naciones Unidas, organizaciones no gubernamentales e instituciones nacionales de derechos humanos con respecto a los Estados partes mencionados anteriormente.</w:t>
      </w:r>
    </w:p>
    <w:p w14:paraId="440CC92D" w14:textId="10E14736" w:rsidR="00420D6F" w:rsidRDefault="00420D6F" w:rsidP="00420D6F">
      <w:pPr>
        <w:pStyle w:val="SingleTxt"/>
        <w:numPr>
          <w:ilvl w:val="0"/>
          <w:numId w:val="17"/>
        </w:numPr>
        <w:ind w:left="1267"/>
        <w:rPr>
          <w:lang w:eastAsia="zh-CN"/>
        </w:rPr>
      </w:pPr>
      <w:r>
        <w:rPr>
          <w:lang w:eastAsia="zh-CN"/>
        </w:rPr>
        <w:t>Las listas de cuestiones y preguntas aprobadas por el grupo de trabajo anterior al período de sesiones se transmitieron a los correspondientes Estados partes y figuran en los siguientes documentos:</w:t>
      </w:r>
    </w:p>
    <w:p w14:paraId="398E9180" w14:textId="3DCA0DF6" w:rsidR="00420D6F" w:rsidRDefault="00420D6F" w:rsidP="00420D6F">
      <w:pPr>
        <w:pStyle w:val="SingleTxt"/>
        <w:rPr>
          <w:lang w:eastAsia="zh-CN"/>
        </w:rPr>
      </w:pPr>
      <w:r>
        <w:rPr>
          <w:lang w:eastAsia="zh-CN"/>
        </w:rPr>
        <w:tab/>
        <w:t>a)</w:t>
      </w:r>
      <w:r>
        <w:rPr>
          <w:lang w:eastAsia="zh-CN"/>
        </w:rPr>
        <w:tab/>
        <w:t>Lista de cuestiones y preguntas relativa al noveno informe periódico de Austria (</w:t>
      </w:r>
      <w:hyperlink r:id="rId16" w:history="1">
        <w:r w:rsidRPr="00E734D1">
          <w:rPr>
            <w:rStyle w:val="Hyperlink"/>
            <w:lang w:eastAsia="zh-CN"/>
          </w:rPr>
          <w:t>CEDAW/C/AUT/Q/9</w:t>
        </w:r>
      </w:hyperlink>
      <w:r>
        <w:rPr>
          <w:lang w:eastAsia="zh-CN"/>
        </w:rPr>
        <w:t>);</w:t>
      </w:r>
    </w:p>
    <w:p w14:paraId="2D70A049" w14:textId="2A72E042" w:rsidR="00420D6F" w:rsidRDefault="00420D6F" w:rsidP="00420D6F">
      <w:pPr>
        <w:pStyle w:val="SingleTxt"/>
        <w:rPr>
          <w:lang w:eastAsia="zh-CN"/>
        </w:rPr>
      </w:pPr>
      <w:r>
        <w:rPr>
          <w:lang w:eastAsia="zh-CN"/>
        </w:rPr>
        <w:tab/>
        <w:t>b)</w:t>
      </w:r>
      <w:r>
        <w:rPr>
          <w:lang w:eastAsia="zh-CN"/>
        </w:rPr>
        <w:tab/>
        <w:t xml:space="preserve">Lista de cuestiones y preguntas relativa al cuarto informe periódico de </w:t>
      </w:r>
      <w:proofErr w:type="spellStart"/>
      <w:r>
        <w:rPr>
          <w:lang w:eastAsia="zh-CN"/>
        </w:rPr>
        <w:t>Bahrein</w:t>
      </w:r>
      <w:proofErr w:type="spellEnd"/>
      <w:r>
        <w:rPr>
          <w:lang w:eastAsia="zh-CN"/>
        </w:rPr>
        <w:t xml:space="preserve"> (</w:t>
      </w:r>
      <w:hyperlink r:id="rId17" w:history="1">
        <w:r w:rsidRPr="00E734D1">
          <w:rPr>
            <w:rStyle w:val="Hyperlink"/>
            <w:lang w:eastAsia="zh-CN"/>
          </w:rPr>
          <w:t>CEDAW/C/BHR/Q/4</w:t>
        </w:r>
      </w:hyperlink>
      <w:r>
        <w:rPr>
          <w:lang w:eastAsia="zh-CN"/>
        </w:rPr>
        <w:t>);</w:t>
      </w:r>
    </w:p>
    <w:p w14:paraId="54C1E09E" w14:textId="7C780B79" w:rsidR="00420D6F" w:rsidRDefault="00420D6F" w:rsidP="00420D6F">
      <w:pPr>
        <w:pStyle w:val="SingleTxt"/>
        <w:rPr>
          <w:lang w:eastAsia="zh-CN"/>
        </w:rPr>
      </w:pPr>
      <w:r>
        <w:rPr>
          <w:lang w:eastAsia="zh-CN"/>
        </w:rPr>
        <w:tab/>
        <w:t>c)</w:t>
      </w:r>
      <w:r>
        <w:rPr>
          <w:lang w:eastAsia="zh-CN"/>
        </w:rPr>
        <w:tab/>
        <w:t>Lista de cuestiones y preguntas relativa al noveno informe periódico de Cabo Verde (</w:t>
      </w:r>
      <w:hyperlink r:id="rId18" w:history="1">
        <w:r w:rsidRPr="00E734D1">
          <w:rPr>
            <w:rStyle w:val="Hyperlink"/>
            <w:lang w:eastAsia="zh-CN"/>
          </w:rPr>
          <w:t>CEDAW/C/CPV/Q/9</w:t>
        </w:r>
      </w:hyperlink>
      <w:r>
        <w:rPr>
          <w:lang w:eastAsia="zh-CN"/>
        </w:rPr>
        <w:t>);</w:t>
      </w:r>
    </w:p>
    <w:p w14:paraId="2CD2EDE8" w14:textId="173043FE" w:rsidR="00420D6F" w:rsidRDefault="00420D6F" w:rsidP="00420D6F">
      <w:pPr>
        <w:pStyle w:val="SingleTxt"/>
        <w:rPr>
          <w:lang w:eastAsia="zh-CN"/>
        </w:rPr>
      </w:pPr>
      <w:r>
        <w:rPr>
          <w:lang w:eastAsia="zh-CN"/>
        </w:rPr>
        <w:tab/>
        <w:t>d)</w:t>
      </w:r>
      <w:r>
        <w:rPr>
          <w:lang w:eastAsia="zh-CN"/>
        </w:rPr>
        <w:tab/>
        <w:t xml:space="preserve">Lista de cuestiones y preguntas relativa al cuarto informe periódico de </w:t>
      </w:r>
      <w:proofErr w:type="spellStart"/>
      <w:r>
        <w:rPr>
          <w:lang w:eastAsia="zh-CN"/>
        </w:rPr>
        <w:t>Côte</w:t>
      </w:r>
      <w:proofErr w:type="spellEnd"/>
      <w:r>
        <w:rPr>
          <w:lang w:eastAsia="zh-CN"/>
        </w:rPr>
        <w:t xml:space="preserve"> </w:t>
      </w:r>
      <w:proofErr w:type="spellStart"/>
      <w:r>
        <w:rPr>
          <w:lang w:eastAsia="zh-CN"/>
        </w:rPr>
        <w:t>d</w:t>
      </w:r>
      <w:r w:rsidR="00E734D1">
        <w:rPr>
          <w:lang w:eastAsia="zh-CN"/>
        </w:rPr>
        <w:t>’</w:t>
      </w:r>
      <w:r>
        <w:rPr>
          <w:lang w:eastAsia="zh-CN"/>
        </w:rPr>
        <w:t>Ivoire</w:t>
      </w:r>
      <w:proofErr w:type="spellEnd"/>
      <w:r>
        <w:rPr>
          <w:lang w:eastAsia="zh-CN"/>
        </w:rPr>
        <w:t xml:space="preserve"> (</w:t>
      </w:r>
      <w:hyperlink r:id="rId19" w:history="1">
        <w:r w:rsidRPr="00E734D1">
          <w:rPr>
            <w:rStyle w:val="Hyperlink"/>
            <w:lang w:eastAsia="zh-CN"/>
          </w:rPr>
          <w:t>CEDAW/C/CIV/Q/4</w:t>
        </w:r>
      </w:hyperlink>
      <w:r>
        <w:rPr>
          <w:lang w:eastAsia="zh-CN"/>
        </w:rPr>
        <w:t>);</w:t>
      </w:r>
    </w:p>
    <w:p w14:paraId="32FDB553" w14:textId="257597E8" w:rsidR="00420D6F" w:rsidRDefault="00420D6F" w:rsidP="00420D6F">
      <w:pPr>
        <w:pStyle w:val="SingleTxt"/>
        <w:rPr>
          <w:lang w:eastAsia="zh-CN"/>
        </w:rPr>
      </w:pPr>
      <w:r>
        <w:rPr>
          <w:lang w:eastAsia="zh-CN"/>
        </w:rPr>
        <w:tab/>
        <w:t>e)</w:t>
      </w:r>
      <w:r>
        <w:rPr>
          <w:lang w:eastAsia="zh-CN"/>
        </w:rPr>
        <w:tab/>
        <w:t>Lista de cuestiones y preguntas relativa al octavo informe periódico de la República Democrática del Congo (</w:t>
      </w:r>
      <w:hyperlink r:id="rId20" w:history="1">
        <w:r w:rsidRPr="00E734D1">
          <w:rPr>
            <w:rStyle w:val="Hyperlink"/>
            <w:lang w:eastAsia="zh-CN"/>
          </w:rPr>
          <w:t>CEDAW/C/COD/Q/8</w:t>
        </w:r>
      </w:hyperlink>
      <w:r>
        <w:rPr>
          <w:lang w:eastAsia="zh-CN"/>
        </w:rPr>
        <w:t>);</w:t>
      </w:r>
    </w:p>
    <w:p w14:paraId="4A21F509" w14:textId="4A441431" w:rsidR="00420D6F" w:rsidRDefault="00420D6F" w:rsidP="00420D6F">
      <w:pPr>
        <w:pStyle w:val="SingleTxt"/>
        <w:rPr>
          <w:lang w:eastAsia="zh-CN"/>
        </w:rPr>
      </w:pPr>
      <w:r>
        <w:rPr>
          <w:lang w:eastAsia="zh-CN"/>
        </w:rPr>
        <w:tab/>
        <w:t>f)</w:t>
      </w:r>
      <w:r>
        <w:rPr>
          <w:lang w:eastAsia="zh-CN"/>
        </w:rPr>
        <w:tab/>
        <w:t>Lista de cuestiones y preguntas relativa al noveno informe periódico de Guyana (</w:t>
      </w:r>
      <w:hyperlink r:id="rId21" w:history="1">
        <w:r w:rsidRPr="00E734D1">
          <w:rPr>
            <w:rStyle w:val="Hyperlink"/>
            <w:lang w:eastAsia="zh-CN"/>
          </w:rPr>
          <w:t>CEDAW/C/GUY/Q/9</w:t>
        </w:r>
      </w:hyperlink>
      <w:r>
        <w:rPr>
          <w:lang w:eastAsia="zh-CN"/>
        </w:rPr>
        <w:t>);</w:t>
      </w:r>
    </w:p>
    <w:p w14:paraId="13C249D7" w14:textId="7D2B979D" w:rsidR="00420D6F" w:rsidRDefault="00420D6F" w:rsidP="00420D6F">
      <w:pPr>
        <w:pStyle w:val="SingleTxt"/>
        <w:rPr>
          <w:lang w:eastAsia="zh-CN"/>
        </w:rPr>
      </w:pPr>
      <w:r>
        <w:rPr>
          <w:lang w:eastAsia="zh-CN"/>
        </w:rPr>
        <w:tab/>
        <w:t>g)</w:t>
      </w:r>
      <w:r>
        <w:rPr>
          <w:lang w:eastAsia="zh-CN"/>
        </w:rPr>
        <w:tab/>
        <w:t>Lista de cuestiones y preguntas relativa a los informes periódicos tercero a quinto combinados de Mozambique (</w:t>
      </w:r>
      <w:hyperlink r:id="rId22" w:history="1">
        <w:r w:rsidRPr="00E734D1">
          <w:rPr>
            <w:rStyle w:val="Hyperlink"/>
            <w:lang w:eastAsia="zh-CN"/>
          </w:rPr>
          <w:t>CEDAW/C/MOZ/Q/3-5</w:t>
        </w:r>
      </w:hyperlink>
      <w:r>
        <w:rPr>
          <w:lang w:eastAsia="zh-CN"/>
        </w:rPr>
        <w:t>);</w:t>
      </w:r>
    </w:p>
    <w:p w14:paraId="1F978257" w14:textId="0E9BB1C0" w:rsidR="00420D6F" w:rsidRDefault="00420D6F" w:rsidP="00420D6F">
      <w:pPr>
        <w:pStyle w:val="SingleTxt"/>
        <w:rPr>
          <w:lang w:eastAsia="zh-CN"/>
        </w:rPr>
      </w:pPr>
      <w:r>
        <w:rPr>
          <w:lang w:eastAsia="zh-CN"/>
        </w:rPr>
        <w:tab/>
        <w:t>h)</w:t>
      </w:r>
      <w:r>
        <w:rPr>
          <w:lang w:eastAsia="zh-CN"/>
        </w:rPr>
        <w:tab/>
        <w:t>Lista de cuestiones y preguntas relativa al segundo informe periódico de Qatar (</w:t>
      </w:r>
      <w:hyperlink r:id="rId23" w:history="1">
        <w:r w:rsidRPr="00E734D1">
          <w:rPr>
            <w:rStyle w:val="Hyperlink"/>
            <w:lang w:eastAsia="zh-CN"/>
          </w:rPr>
          <w:t>CEDAW/C/QAT/Q/2</w:t>
        </w:r>
      </w:hyperlink>
      <w:r>
        <w:rPr>
          <w:lang w:eastAsia="zh-CN"/>
        </w:rPr>
        <w:t>).</w:t>
      </w:r>
    </w:p>
    <w:p w14:paraId="12701727" w14:textId="64305DFA" w:rsidR="00420D6F" w:rsidRDefault="00420D6F" w:rsidP="00420D6F">
      <w:pPr>
        <w:pStyle w:val="SingleTxt"/>
        <w:numPr>
          <w:ilvl w:val="0"/>
          <w:numId w:val="17"/>
        </w:numPr>
        <w:ind w:left="1267"/>
        <w:rPr>
          <w:lang w:eastAsia="zh-CN"/>
        </w:rPr>
      </w:pPr>
      <w:r>
        <w:rPr>
          <w:lang w:eastAsia="zh-CN"/>
        </w:rPr>
        <w:t>Las listas de cuestiones previas a la presentación de informes relativas al octavo informe periódico de la República Dominicana (</w:t>
      </w:r>
      <w:hyperlink r:id="rId24" w:history="1">
        <w:r w:rsidRPr="00E734D1">
          <w:rPr>
            <w:rStyle w:val="Hyperlink"/>
            <w:lang w:eastAsia="zh-CN"/>
          </w:rPr>
          <w:t>CEDAW/C/DOM/QPR/8</w:t>
        </w:r>
      </w:hyperlink>
      <w:r>
        <w:rPr>
          <w:lang w:eastAsia="zh-CN"/>
        </w:rPr>
        <w:t>), el décimo informe periódico de Mongolia (</w:t>
      </w:r>
      <w:hyperlink r:id="rId25" w:history="1">
        <w:r w:rsidRPr="00E734D1">
          <w:rPr>
            <w:rStyle w:val="Hyperlink"/>
            <w:lang w:eastAsia="zh-CN"/>
          </w:rPr>
          <w:t>CEDAW/C/MNG/QPR/10</w:t>
        </w:r>
      </w:hyperlink>
      <w:r>
        <w:rPr>
          <w:lang w:eastAsia="zh-CN"/>
        </w:rPr>
        <w:t>) y el octavo informe periódico de Panamá (</w:t>
      </w:r>
      <w:hyperlink r:id="rId26" w:history="1">
        <w:r w:rsidRPr="00E734D1">
          <w:rPr>
            <w:rStyle w:val="Hyperlink"/>
            <w:lang w:eastAsia="zh-CN"/>
          </w:rPr>
          <w:t>CEDAW/C/PAN/QPR/8</w:t>
        </w:r>
      </w:hyperlink>
      <w:r>
        <w:rPr>
          <w:lang w:eastAsia="zh-CN"/>
        </w:rPr>
        <w:t>) se presentarán al Comité para que las apruebe en su 72º período de sesiones (18 de febrero a 8 de marzo de 2019), antes de transmitirlas al Estado parte.</w:t>
      </w:r>
    </w:p>
    <w:p w14:paraId="2B96619F" w14:textId="2E9A701C" w:rsidR="00420D6F" w:rsidRDefault="00420D6F" w:rsidP="00420D6F">
      <w:pPr>
        <w:pStyle w:val="SingleTxt"/>
        <w:numPr>
          <w:ilvl w:val="0"/>
          <w:numId w:val="17"/>
        </w:numPr>
        <w:ind w:left="1267"/>
        <w:rPr>
          <w:lang w:eastAsia="zh-CN"/>
        </w:rPr>
      </w:pPr>
      <w:r>
        <w:rPr>
          <w:lang w:eastAsia="zh-CN"/>
        </w:rPr>
        <w:lastRenderedPageBreak/>
        <w:t>De conformidad con las decisiones 22/IV, 25/II y 31/III del Comité, las listas de cuestiones y preguntas se centraron en los temas abordados en la Convención, así como en los vínculos existentes entre los temas pertinentes y la meta 5.1 de los Objetivos de Desarrollo Sostenible. Entre esos temas cabe mencionar los siguientes: el marco constitucional y legislativo; el acceso a la justicia; las mujeres y la paz y la seguridad, cuando proceda; el mecanismo nacional para el adelanto de la mujer; las medidas especiales de carácter temporal para el adelanto de la mujer; los estereotipos y las prácticas tradicionales nocivas; la violencia por razón de género contra las mujeres y las niñas, incluida la violencia doméstica; la trata de mujeres y la explotación de la prostitución; la participación de las mujeres en la vida política y pública; la nacionalidad; la educación; el empleo; la salud; la vida económica y social; la reducción del riesgo de desastres y el cambio climático; las mujeres rurales; la situación de los miembros de grupos desfavorecidos, como las mujeres de edad, las mujeres con discapacidad, las mujeres detenidas, las mujeres indígenas, las mujeres pertenecientes a grupos étnicos minoritarios, las mujeres refugiadas y migrantes, las mujeres lesbianas, bisexuales y transgénero y las personas intersexuales; la igualdad ante la ley; y la igualdad en el matrimonio y las relaciones familiares.</w:t>
      </w:r>
    </w:p>
    <w:p w14:paraId="77264EEF" w14:textId="23773695" w:rsidR="00420D6F" w:rsidRDefault="00420D6F" w:rsidP="00420D6F">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2F75C53A" wp14:editId="6908A5B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A406A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20D6F" w:rsidSect="00420D6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1T10:58:00Z" w:initials="Start">
    <w:p w14:paraId="0D67D2ED" w14:textId="77777777" w:rsidR="00704206" w:rsidRPr="00420D6F" w:rsidRDefault="00704206">
      <w:pPr>
        <w:pStyle w:val="CommentText"/>
        <w:rPr>
          <w:lang w:val="en-US"/>
        </w:rPr>
      </w:pPr>
      <w:r>
        <w:fldChar w:fldCharType="begin"/>
      </w:r>
      <w:r w:rsidRPr="00420D6F">
        <w:rPr>
          <w:rStyle w:val="CommentReference"/>
          <w:lang w:val="en-US"/>
        </w:rPr>
        <w:instrText xml:space="preserve"> </w:instrText>
      </w:r>
      <w:r w:rsidRPr="00420D6F">
        <w:rPr>
          <w:lang w:val="en-US"/>
        </w:rPr>
        <w:instrText>PAGE \# "'Page: '#'</w:instrText>
      </w:r>
      <w:r w:rsidRPr="00420D6F">
        <w:rPr>
          <w:lang w:val="en-US"/>
        </w:rPr>
        <w:br/>
        <w:instrText>'"</w:instrText>
      </w:r>
      <w:r w:rsidRPr="00420D6F">
        <w:rPr>
          <w:rStyle w:val="CommentReference"/>
          <w:lang w:val="en-US"/>
        </w:rPr>
        <w:instrText xml:space="preserve"> </w:instrText>
      </w:r>
      <w:r>
        <w:fldChar w:fldCharType="end"/>
      </w:r>
      <w:r>
        <w:rPr>
          <w:rStyle w:val="CommentReference"/>
        </w:rPr>
        <w:annotationRef/>
      </w:r>
      <w:r w:rsidRPr="00420D6F">
        <w:rPr>
          <w:lang w:val="en-US"/>
        </w:rPr>
        <w:t>&lt;&lt;ODS JOB NO&gt;&gt;N1839130S&lt;&lt;ODS JOB NO&gt;&gt;</w:t>
      </w:r>
    </w:p>
    <w:p w14:paraId="63138013" w14:textId="77777777" w:rsidR="00704206" w:rsidRDefault="00704206">
      <w:pPr>
        <w:pStyle w:val="CommentText"/>
      </w:pPr>
      <w:r>
        <w:t>&lt;&lt;ODS DOC SYMBOL1&gt;&gt;CEDAW/C/PSWG/73/1&lt;&lt;ODS DOC SYMBOL1&gt;&gt;</w:t>
      </w:r>
    </w:p>
    <w:p w14:paraId="7E2538A8" w14:textId="77777777" w:rsidR="00704206" w:rsidRDefault="007042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2538A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03A76" w14:textId="77777777" w:rsidR="001147AF" w:rsidRDefault="001147AF" w:rsidP="00556720">
      <w:r>
        <w:separator/>
      </w:r>
    </w:p>
  </w:endnote>
  <w:endnote w:type="continuationSeparator" w:id="0">
    <w:p w14:paraId="1B17A253" w14:textId="77777777" w:rsidR="001147AF" w:rsidRDefault="001147A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4206" w14:paraId="0B3E6AFB" w14:textId="77777777" w:rsidTr="00704206">
      <w:tc>
        <w:tcPr>
          <w:tcW w:w="4920" w:type="dxa"/>
          <w:shd w:val="clear" w:color="auto" w:fill="auto"/>
        </w:tcPr>
        <w:p w14:paraId="2934D678" w14:textId="77777777" w:rsidR="00704206" w:rsidRPr="00704206" w:rsidRDefault="00704206" w:rsidP="0070420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18-19865</w:t>
          </w:r>
          <w:r>
            <w:rPr>
              <w:b w:val="0"/>
              <w:color w:val="000000"/>
              <w:w w:val="103"/>
              <w:sz w:val="14"/>
            </w:rPr>
            <w:fldChar w:fldCharType="end"/>
          </w:r>
        </w:p>
      </w:tc>
      <w:tc>
        <w:tcPr>
          <w:tcW w:w="4920" w:type="dxa"/>
          <w:shd w:val="clear" w:color="auto" w:fill="auto"/>
        </w:tcPr>
        <w:p w14:paraId="6B1477A2" w14:textId="77777777" w:rsidR="00704206" w:rsidRPr="00704206" w:rsidRDefault="00704206" w:rsidP="0070420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49ACCAA" w14:textId="77777777" w:rsidR="00704206" w:rsidRPr="00704206" w:rsidRDefault="00704206" w:rsidP="007042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4206" w14:paraId="6968AFCD" w14:textId="77777777" w:rsidTr="00704206">
      <w:tc>
        <w:tcPr>
          <w:tcW w:w="4920" w:type="dxa"/>
          <w:shd w:val="clear" w:color="auto" w:fill="auto"/>
        </w:tcPr>
        <w:p w14:paraId="3400A177" w14:textId="77777777" w:rsidR="00704206" w:rsidRPr="00704206" w:rsidRDefault="00704206" w:rsidP="0070420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173F1080" w14:textId="77777777" w:rsidR="00704206" w:rsidRPr="00704206" w:rsidRDefault="00704206" w:rsidP="0070420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18-19865</w:t>
          </w:r>
          <w:r>
            <w:rPr>
              <w:b w:val="0"/>
              <w:color w:val="000000"/>
              <w:w w:val="103"/>
              <w:sz w:val="14"/>
            </w:rPr>
            <w:fldChar w:fldCharType="end"/>
          </w:r>
        </w:p>
      </w:tc>
    </w:tr>
  </w:tbl>
  <w:p w14:paraId="702D393D" w14:textId="77777777" w:rsidR="00704206" w:rsidRPr="00704206" w:rsidRDefault="00704206" w:rsidP="007042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6B7F2" w14:textId="77777777" w:rsidR="00704206" w:rsidRPr="00704206" w:rsidRDefault="00704206" w:rsidP="00704206">
    <w:pPr>
      <w:pStyle w:val="Footer"/>
      <w:spacing w:line="120" w:lineRule="exact"/>
      <w:rPr>
        <w:b w:val="0"/>
        <w:sz w:val="10"/>
      </w:rPr>
    </w:pPr>
    <w:r>
      <w:rPr>
        <w:b w:val="0"/>
        <w:sz w:val="10"/>
      </w:rPr>
      <w:drawing>
        <wp:anchor distT="0" distB="0" distL="114300" distR="114300" simplePos="0" relativeHeight="251658240" behindDoc="0" locked="0" layoutInCell="1" allowOverlap="1" wp14:anchorId="46FB2E75" wp14:editId="2D32159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SWG/73/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3/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04206" w14:paraId="7AADACC0" w14:textId="77777777" w:rsidTr="00704206">
      <w:tc>
        <w:tcPr>
          <w:tcW w:w="3830" w:type="dxa"/>
          <w:shd w:val="clear" w:color="auto" w:fill="auto"/>
        </w:tcPr>
        <w:p w14:paraId="0E7B9DB4" w14:textId="7DA90EDD" w:rsidR="00704206" w:rsidRDefault="00704206" w:rsidP="00704206">
          <w:pPr>
            <w:pStyle w:val="ReleaseDate"/>
          </w:pPr>
          <w:r>
            <w:t>18-19865 (S)</w:t>
          </w:r>
          <w:r w:rsidR="004A33D2">
            <w:t xml:space="preserve">   101218    28</w:t>
          </w:r>
          <w:r>
            <w:t>1218</w:t>
          </w:r>
        </w:p>
        <w:p w14:paraId="375DAD40" w14:textId="77777777" w:rsidR="00704206" w:rsidRPr="00704206" w:rsidRDefault="00704206" w:rsidP="0070420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*1819865*</w:t>
          </w:r>
        </w:p>
      </w:tc>
      <w:tc>
        <w:tcPr>
          <w:tcW w:w="4920" w:type="dxa"/>
          <w:shd w:val="clear" w:color="auto" w:fill="auto"/>
        </w:tcPr>
        <w:p w14:paraId="1FCC4632" w14:textId="77777777" w:rsidR="00704206" w:rsidRDefault="00704206" w:rsidP="00704206">
          <w:pPr>
            <w:pStyle w:val="Footer"/>
            <w:jc w:val="right"/>
            <w:rPr>
              <w:b w:val="0"/>
              <w:sz w:val="20"/>
            </w:rPr>
          </w:pPr>
          <w:r>
            <w:rPr>
              <w:b w:val="0"/>
              <w:sz w:val="20"/>
            </w:rPr>
            <w:drawing>
              <wp:inline distT="0" distB="0" distL="0" distR="0" wp14:anchorId="75725E6C" wp14:editId="3F9D540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3C9319D" w14:textId="77777777" w:rsidR="00704206" w:rsidRPr="00704206" w:rsidRDefault="00704206" w:rsidP="007042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C577D" w14:textId="77777777" w:rsidR="001147AF" w:rsidRDefault="001147AF" w:rsidP="00556720">
      <w:r>
        <w:separator/>
      </w:r>
    </w:p>
  </w:footnote>
  <w:footnote w:type="continuationSeparator" w:id="0">
    <w:p w14:paraId="14C8EDCE" w14:textId="77777777" w:rsidR="001147AF" w:rsidRDefault="001147A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04206" w14:paraId="0077BABC" w14:textId="77777777" w:rsidTr="00704206">
      <w:trPr>
        <w:trHeight w:hRule="exact" w:val="864"/>
      </w:trPr>
      <w:tc>
        <w:tcPr>
          <w:tcW w:w="4939" w:type="dxa"/>
          <w:shd w:val="clear" w:color="auto" w:fill="auto"/>
          <w:vAlign w:val="bottom"/>
        </w:tcPr>
        <w:p w14:paraId="44CED917" w14:textId="77777777" w:rsidR="00704206" w:rsidRPr="00704206" w:rsidRDefault="00704206" w:rsidP="007042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CEDAW/C/PSWG/73/1</w:t>
          </w:r>
          <w:r>
            <w:rPr>
              <w:b/>
              <w:color w:val="000000"/>
            </w:rPr>
            <w:fldChar w:fldCharType="end"/>
          </w:r>
        </w:p>
      </w:tc>
      <w:tc>
        <w:tcPr>
          <w:tcW w:w="4920" w:type="dxa"/>
          <w:shd w:val="clear" w:color="auto" w:fill="auto"/>
          <w:vAlign w:val="bottom"/>
        </w:tcPr>
        <w:p w14:paraId="4E6B2BAF" w14:textId="77777777" w:rsidR="00704206" w:rsidRDefault="00704206" w:rsidP="00704206">
          <w:pPr>
            <w:pStyle w:val="Header"/>
          </w:pPr>
        </w:p>
      </w:tc>
    </w:tr>
  </w:tbl>
  <w:p w14:paraId="0C436FD4" w14:textId="77777777" w:rsidR="00704206" w:rsidRPr="00704206" w:rsidRDefault="00704206" w:rsidP="0070420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04206" w14:paraId="64CD79EE" w14:textId="77777777" w:rsidTr="00704206">
      <w:trPr>
        <w:trHeight w:hRule="exact" w:val="864"/>
      </w:trPr>
      <w:tc>
        <w:tcPr>
          <w:tcW w:w="4939" w:type="dxa"/>
          <w:shd w:val="clear" w:color="auto" w:fill="auto"/>
          <w:vAlign w:val="bottom"/>
        </w:tcPr>
        <w:p w14:paraId="4F5B59AE" w14:textId="77777777" w:rsidR="00704206" w:rsidRDefault="00704206" w:rsidP="00704206">
          <w:pPr>
            <w:pStyle w:val="Header"/>
          </w:pPr>
        </w:p>
      </w:tc>
      <w:tc>
        <w:tcPr>
          <w:tcW w:w="4920" w:type="dxa"/>
          <w:shd w:val="clear" w:color="auto" w:fill="auto"/>
          <w:vAlign w:val="bottom"/>
        </w:tcPr>
        <w:p w14:paraId="7E8C3B57" w14:textId="77777777" w:rsidR="00704206" w:rsidRPr="00704206" w:rsidRDefault="00704206" w:rsidP="007042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CEDAW/C/PSWG/73/1</w:t>
          </w:r>
          <w:r>
            <w:rPr>
              <w:b/>
              <w:color w:val="000000"/>
            </w:rPr>
            <w:fldChar w:fldCharType="end"/>
          </w:r>
        </w:p>
      </w:tc>
    </w:tr>
  </w:tbl>
  <w:p w14:paraId="39CB8D15" w14:textId="77777777" w:rsidR="00704206" w:rsidRPr="00704206" w:rsidRDefault="00704206" w:rsidP="0070420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04206" w14:paraId="54AC5625" w14:textId="77777777" w:rsidTr="00704206">
      <w:trPr>
        <w:gridAfter w:val="1"/>
        <w:wAfter w:w="15" w:type="dxa"/>
        <w:trHeight w:hRule="exact" w:val="864"/>
      </w:trPr>
      <w:tc>
        <w:tcPr>
          <w:tcW w:w="1267" w:type="dxa"/>
          <w:tcBorders>
            <w:bottom w:val="single" w:sz="4" w:space="0" w:color="auto"/>
          </w:tcBorders>
          <w:shd w:val="clear" w:color="auto" w:fill="auto"/>
          <w:vAlign w:val="bottom"/>
        </w:tcPr>
        <w:p w14:paraId="39ACEF9A" w14:textId="77777777" w:rsidR="00704206" w:rsidRDefault="00704206" w:rsidP="00704206">
          <w:pPr>
            <w:pStyle w:val="Header"/>
            <w:spacing w:after="120"/>
          </w:pPr>
        </w:p>
      </w:tc>
      <w:tc>
        <w:tcPr>
          <w:tcW w:w="2059" w:type="dxa"/>
          <w:tcBorders>
            <w:bottom w:val="single" w:sz="4" w:space="0" w:color="auto"/>
          </w:tcBorders>
          <w:shd w:val="clear" w:color="auto" w:fill="auto"/>
          <w:vAlign w:val="bottom"/>
        </w:tcPr>
        <w:p w14:paraId="3A70CC19" w14:textId="77777777" w:rsidR="00704206" w:rsidRPr="00704206" w:rsidRDefault="00704206" w:rsidP="0070420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452BD2B" w14:textId="77777777" w:rsidR="00704206" w:rsidRDefault="00704206" w:rsidP="00704206">
          <w:pPr>
            <w:pStyle w:val="Header"/>
            <w:spacing w:after="120"/>
          </w:pPr>
        </w:p>
      </w:tc>
      <w:tc>
        <w:tcPr>
          <w:tcW w:w="6480" w:type="dxa"/>
          <w:gridSpan w:val="3"/>
          <w:tcBorders>
            <w:bottom w:val="single" w:sz="4" w:space="0" w:color="auto"/>
          </w:tcBorders>
          <w:shd w:val="clear" w:color="auto" w:fill="auto"/>
          <w:vAlign w:val="bottom"/>
        </w:tcPr>
        <w:p w14:paraId="452FC52E" w14:textId="77777777" w:rsidR="00704206" w:rsidRPr="00704206" w:rsidRDefault="00704206" w:rsidP="00704206">
          <w:pPr>
            <w:spacing w:after="80" w:line="240" w:lineRule="auto"/>
            <w:jc w:val="right"/>
            <w:rPr>
              <w:position w:val="-4"/>
            </w:rPr>
          </w:pPr>
          <w:r>
            <w:rPr>
              <w:position w:val="-4"/>
              <w:sz w:val="40"/>
            </w:rPr>
            <w:t>CEDAW</w:t>
          </w:r>
          <w:r>
            <w:rPr>
              <w:position w:val="-4"/>
            </w:rPr>
            <w:t>/C/PSWG/73/1</w:t>
          </w:r>
        </w:p>
      </w:tc>
    </w:tr>
    <w:tr w:rsidR="00704206" w:rsidRPr="00704206" w14:paraId="7A7EA22A" w14:textId="77777777" w:rsidTr="00704206">
      <w:trPr>
        <w:trHeight w:hRule="exact" w:val="2880"/>
      </w:trPr>
      <w:tc>
        <w:tcPr>
          <w:tcW w:w="1267" w:type="dxa"/>
          <w:tcBorders>
            <w:top w:val="single" w:sz="4" w:space="0" w:color="auto"/>
            <w:bottom w:val="single" w:sz="12" w:space="0" w:color="auto"/>
          </w:tcBorders>
          <w:shd w:val="clear" w:color="auto" w:fill="auto"/>
        </w:tcPr>
        <w:p w14:paraId="72719A83" w14:textId="77777777" w:rsidR="00704206" w:rsidRPr="00704206" w:rsidRDefault="00704206" w:rsidP="00704206">
          <w:pPr>
            <w:pStyle w:val="Header"/>
            <w:spacing w:before="120"/>
            <w:jc w:val="center"/>
          </w:pPr>
          <w:r>
            <w:t xml:space="preserve"> </w:t>
          </w:r>
          <w:r>
            <w:drawing>
              <wp:inline distT="0" distB="0" distL="0" distR="0" wp14:anchorId="123CEFED" wp14:editId="46CD24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4181F6" w14:textId="77777777" w:rsidR="00704206" w:rsidRPr="00704206" w:rsidRDefault="00704206" w:rsidP="0070420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B238345" w14:textId="77777777" w:rsidR="00704206" w:rsidRPr="00420D6F" w:rsidRDefault="00704206" w:rsidP="0070420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C6FE427" w14:textId="77777777" w:rsidR="00704206" w:rsidRDefault="00704206" w:rsidP="00704206">
          <w:pPr>
            <w:pStyle w:val="Distribution"/>
            <w:spacing w:before="240"/>
          </w:pPr>
          <w:proofErr w:type="spellStart"/>
          <w:r>
            <w:t>Distr</w:t>
          </w:r>
          <w:proofErr w:type="spellEnd"/>
          <w:r>
            <w:t>. general</w:t>
          </w:r>
        </w:p>
        <w:p w14:paraId="7B909032" w14:textId="77777777" w:rsidR="00704206" w:rsidRDefault="00704206" w:rsidP="00704206">
          <w:pPr>
            <w:pStyle w:val="Publication"/>
          </w:pPr>
          <w:r>
            <w:t>20 de noviembre de 2018</w:t>
          </w:r>
        </w:p>
        <w:p w14:paraId="73F8BACF" w14:textId="77777777" w:rsidR="00704206" w:rsidRDefault="00704206" w:rsidP="00704206">
          <w:r>
            <w:t>Español</w:t>
          </w:r>
        </w:p>
        <w:p w14:paraId="28237FBA" w14:textId="5C911AF7" w:rsidR="00704206" w:rsidRDefault="00704206" w:rsidP="00704206">
          <w:pPr>
            <w:pStyle w:val="Original"/>
          </w:pPr>
          <w:r>
            <w:t xml:space="preserve">Original: </w:t>
          </w:r>
          <w:r w:rsidR="00E734D1" w:rsidRPr="00E734D1">
            <w:t>Español, francés e inglés únicamente</w:t>
          </w:r>
        </w:p>
        <w:p w14:paraId="74E7C507" w14:textId="77777777" w:rsidR="00704206" w:rsidRPr="00704206" w:rsidRDefault="00704206" w:rsidP="00704206"/>
      </w:tc>
    </w:tr>
  </w:tbl>
  <w:p w14:paraId="67201293" w14:textId="77777777" w:rsidR="00704206" w:rsidRPr="00E734D1" w:rsidRDefault="00704206" w:rsidP="00704206">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4DFE83E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0751B4A"/>
    <w:multiLevelType w:val="hybridMultilevel"/>
    <w:tmpl w:val="ACF483FA"/>
    <w:lvl w:ilvl="0" w:tplc="C0BEEC0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CE669A5"/>
    <w:multiLevelType w:val="multilevel"/>
    <w:tmpl w:val="E662E2E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0040BB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32E5E40"/>
    <w:multiLevelType w:val="singleLevel"/>
    <w:tmpl w:val="0BDC6DD2"/>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589CF46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4"/>
  </w:num>
  <w:num w:numId="1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hideSpellingErrors/>
  <w:proofState w:spelling="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5*"/>
    <w:docVar w:name="CreationDt" w:val="21/12/2018 10:57 AM"/>
    <w:docVar w:name="DocCategory" w:val="Doc"/>
    <w:docVar w:name="DocType" w:val="Final"/>
    <w:docVar w:name="DutyStation" w:val="New York"/>
    <w:docVar w:name="FooterJN" w:val="18-19865"/>
    <w:docVar w:name="jobn" w:val="18-19865 (S)"/>
    <w:docVar w:name="jobnDT" w:val="18-19865 (S)   211218"/>
    <w:docVar w:name="jobnDTDT" w:val="18-19865 (S)   211218   211218"/>
    <w:docVar w:name="JobNo" w:val="1819865S"/>
    <w:docVar w:name="JobNo2" w:val="183913010:57 AM"/>
    <w:docVar w:name="LocalDrive" w:val="0"/>
    <w:docVar w:name="OandT" w:val="xf/Jordina"/>
    <w:docVar w:name="sss1" w:val="CEDAW/C/PSWG/73/1"/>
    <w:docVar w:name="sss2" w:val="-"/>
    <w:docVar w:name="Symbol1" w:val="CEDAW/C/PSWG/73/1"/>
    <w:docVar w:name="Symbol2" w:val="-"/>
  </w:docVars>
  <w:rsids>
    <w:rsidRoot w:val="001147AF"/>
    <w:rsid w:val="00015BED"/>
    <w:rsid w:val="00017FCF"/>
    <w:rsid w:val="00024D1E"/>
    <w:rsid w:val="00065018"/>
    <w:rsid w:val="000C4C9C"/>
    <w:rsid w:val="000F5173"/>
    <w:rsid w:val="0011115C"/>
    <w:rsid w:val="001147AF"/>
    <w:rsid w:val="001263EE"/>
    <w:rsid w:val="00171EE1"/>
    <w:rsid w:val="001E080F"/>
    <w:rsid w:val="001F0FB0"/>
    <w:rsid w:val="00214645"/>
    <w:rsid w:val="00251E38"/>
    <w:rsid w:val="002540F2"/>
    <w:rsid w:val="00262329"/>
    <w:rsid w:val="002706A2"/>
    <w:rsid w:val="002E1939"/>
    <w:rsid w:val="00300BF5"/>
    <w:rsid w:val="00366F4A"/>
    <w:rsid w:val="003C5E36"/>
    <w:rsid w:val="003E3B08"/>
    <w:rsid w:val="003E723B"/>
    <w:rsid w:val="00420B10"/>
    <w:rsid w:val="00420D6F"/>
    <w:rsid w:val="00426D65"/>
    <w:rsid w:val="0044179B"/>
    <w:rsid w:val="004A33D2"/>
    <w:rsid w:val="004B4C46"/>
    <w:rsid w:val="004D17DB"/>
    <w:rsid w:val="0054233B"/>
    <w:rsid w:val="00556720"/>
    <w:rsid w:val="005832B1"/>
    <w:rsid w:val="00583D31"/>
    <w:rsid w:val="005A3E82"/>
    <w:rsid w:val="005B6F9A"/>
    <w:rsid w:val="005C49C8"/>
    <w:rsid w:val="005D089B"/>
    <w:rsid w:val="005D63E7"/>
    <w:rsid w:val="005E363E"/>
    <w:rsid w:val="00630929"/>
    <w:rsid w:val="00674235"/>
    <w:rsid w:val="006B0B9D"/>
    <w:rsid w:val="006B63BE"/>
    <w:rsid w:val="00704206"/>
    <w:rsid w:val="0070591E"/>
    <w:rsid w:val="007C5E21"/>
    <w:rsid w:val="007C6706"/>
    <w:rsid w:val="007F7894"/>
    <w:rsid w:val="008350F0"/>
    <w:rsid w:val="00855FFA"/>
    <w:rsid w:val="008723C3"/>
    <w:rsid w:val="00896B0F"/>
    <w:rsid w:val="008F3E1E"/>
    <w:rsid w:val="008F5C2D"/>
    <w:rsid w:val="00926813"/>
    <w:rsid w:val="009457D2"/>
    <w:rsid w:val="009E1969"/>
    <w:rsid w:val="00A0145B"/>
    <w:rsid w:val="00A20AC0"/>
    <w:rsid w:val="00A458DD"/>
    <w:rsid w:val="00A75E45"/>
    <w:rsid w:val="00A8524E"/>
    <w:rsid w:val="00A966CD"/>
    <w:rsid w:val="00AF38EB"/>
    <w:rsid w:val="00B40947"/>
    <w:rsid w:val="00B467B4"/>
    <w:rsid w:val="00B565FD"/>
    <w:rsid w:val="00B86715"/>
    <w:rsid w:val="00B95B84"/>
    <w:rsid w:val="00B9620C"/>
    <w:rsid w:val="00BB778A"/>
    <w:rsid w:val="00BC6074"/>
    <w:rsid w:val="00BF5B27"/>
    <w:rsid w:val="00BF6BE0"/>
    <w:rsid w:val="00C02934"/>
    <w:rsid w:val="00C04769"/>
    <w:rsid w:val="00C779E4"/>
    <w:rsid w:val="00C849A1"/>
    <w:rsid w:val="00CA0E8B"/>
    <w:rsid w:val="00CE61DC"/>
    <w:rsid w:val="00CE6389"/>
    <w:rsid w:val="00D06880"/>
    <w:rsid w:val="00D15D85"/>
    <w:rsid w:val="00DA119C"/>
    <w:rsid w:val="00DC7B16"/>
    <w:rsid w:val="00DF34AE"/>
    <w:rsid w:val="00E33AEC"/>
    <w:rsid w:val="00E445F9"/>
    <w:rsid w:val="00E734D1"/>
    <w:rsid w:val="00E7541B"/>
    <w:rsid w:val="00EA511F"/>
    <w:rsid w:val="00EC6195"/>
    <w:rsid w:val="00F27BF6"/>
    <w:rsid w:val="00F30184"/>
    <w:rsid w:val="00F31052"/>
    <w:rsid w:val="00F32866"/>
    <w:rsid w:val="00F40D99"/>
    <w:rsid w:val="00F41482"/>
    <w:rsid w:val="00F5593E"/>
    <w:rsid w:val="00F94BC6"/>
    <w:rsid w:val="00FA0EFB"/>
    <w:rsid w:val="00FC24FC"/>
    <w:rsid w:val="00FD3101"/>
    <w:rsid w:val="00FE72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ACDDD2"/>
  <w15:chartTrackingRefBased/>
  <w15:docId w15:val="{66C0D0CE-C267-435A-A9E8-43D66E33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7B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467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467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467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467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467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467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467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467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467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467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467B4"/>
    <w:pPr>
      <w:keepNext/>
      <w:keepLines/>
      <w:spacing w:line="270" w:lineRule="exact"/>
      <w:outlineLvl w:val="0"/>
    </w:pPr>
    <w:rPr>
      <w:b/>
      <w:kern w:val="14"/>
      <w:sz w:val="24"/>
    </w:rPr>
  </w:style>
  <w:style w:type="paragraph" w:customStyle="1" w:styleId="HCh">
    <w:name w:val="_ H _Ch"/>
    <w:basedOn w:val="H1"/>
    <w:next w:val="Normal"/>
    <w:qFormat/>
    <w:rsid w:val="00B467B4"/>
    <w:pPr>
      <w:spacing w:line="300" w:lineRule="exact"/>
    </w:pPr>
    <w:rPr>
      <w:spacing w:val="-2"/>
      <w:sz w:val="28"/>
    </w:rPr>
  </w:style>
  <w:style w:type="paragraph" w:customStyle="1" w:styleId="HM">
    <w:name w:val="_ H __M"/>
    <w:basedOn w:val="HCh"/>
    <w:next w:val="Normal"/>
    <w:qFormat/>
    <w:rsid w:val="00B467B4"/>
    <w:pPr>
      <w:spacing w:line="360" w:lineRule="exact"/>
    </w:pPr>
    <w:rPr>
      <w:spacing w:val="-3"/>
      <w:w w:val="99"/>
      <w:sz w:val="34"/>
    </w:rPr>
  </w:style>
  <w:style w:type="paragraph" w:customStyle="1" w:styleId="H23">
    <w:name w:val="_ H_2/3"/>
    <w:basedOn w:val="H1"/>
    <w:next w:val="SingleTxt"/>
    <w:qFormat/>
    <w:rsid w:val="00B467B4"/>
    <w:pPr>
      <w:spacing w:line="240" w:lineRule="exact"/>
      <w:outlineLvl w:val="1"/>
    </w:pPr>
    <w:rPr>
      <w:spacing w:val="2"/>
      <w:sz w:val="20"/>
    </w:rPr>
  </w:style>
  <w:style w:type="paragraph" w:customStyle="1" w:styleId="H4">
    <w:name w:val="_ H_4"/>
    <w:basedOn w:val="Normal"/>
    <w:next w:val="Normal"/>
    <w:qFormat/>
    <w:rsid w:val="00B467B4"/>
    <w:pPr>
      <w:keepNext/>
      <w:keepLines/>
      <w:tabs>
        <w:tab w:val="right" w:pos="360"/>
      </w:tabs>
      <w:outlineLvl w:val="3"/>
    </w:pPr>
    <w:rPr>
      <w:i/>
      <w:spacing w:val="3"/>
      <w:kern w:val="14"/>
    </w:rPr>
  </w:style>
  <w:style w:type="paragraph" w:customStyle="1" w:styleId="H56">
    <w:name w:val="_ H_5/6"/>
    <w:basedOn w:val="Normal"/>
    <w:next w:val="Normal"/>
    <w:qFormat/>
    <w:rsid w:val="00B467B4"/>
    <w:pPr>
      <w:keepNext/>
      <w:keepLines/>
      <w:tabs>
        <w:tab w:val="right" w:pos="360"/>
      </w:tabs>
      <w:outlineLvl w:val="4"/>
    </w:pPr>
    <w:rPr>
      <w:kern w:val="14"/>
    </w:rPr>
  </w:style>
  <w:style w:type="paragraph" w:customStyle="1" w:styleId="DualTxt">
    <w:name w:val="__Dual Txt"/>
    <w:basedOn w:val="Normal"/>
    <w:qFormat/>
    <w:rsid w:val="00B467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467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467B4"/>
    <w:pPr>
      <w:spacing w:line="540" w:lineRule="exact"/>
    </w:pPr>
    <w:rPr>
      <w:spacing w:val="-8"/>
      <w:w w:val="96"/>
      <w:sz w:val="57"/>
    </w:rPr>
  </w:style>
  <w:style w:type="paragraph" w:customStyle="1" w:styleId="SS">
    <w:name w:val="__S_S"/>
    <w:basedOn w:val="HCh"/>
    <w:next w:val="Normal"/>
    <w:qFormat/>
    <w:rsid w:val="00B467B4"/>
    <w:pPr>
      <w:ind w:left="1267" w:right="1267"/>
    </w:pPr>
  </w:style>
  <w:style w:type="paragraph" w:customStyle="1" w:styleId="SingleTxt">
    <w:name w:val="__Single Txt"/>
    <w:basedOn w:val="Normal"/>
    <w:qFormat/>
    <w:rsid w:val="00B467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467B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467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467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467B4"/>
    <w:rPr>
      <w:rFonts w:ascii="Tahoma" w:hAnsi="Tahoma" w:cs="Tahoma"/>
      <w:sz w:val="16"/>
      <w:szCs w:val="16"/>
    </w:rPr>
  </w:style>
  <w:style w:type="character" w:customStyle="1" w:styleId="BalloonTextChar">
    <w:name w:val="Balloon Text Char"/>
    <w:basedOn w:val="DefaultParagraphFont"/>
    <w:link w:val="BalloonText"/>
    <w:semiHidden/>
    <w:rsid w:val="00B467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B467B4"/>
    <w:pPr>
      <w:numPr>
        <w:numId w:val="13"/>
      </w:numPr>
      <w:spacing w:after="120"/>
      <w:ind w:right="1264"/>
      <w:jc w:val="both"/>
    </w:pPr>
  </w:style>
  <w:style w:type="paragraph" w:customStyle="1" w:styleId="Bullet2">
    <w:name w:val="Bullet 2"/>
    <w:basedOn w:val="Normal"/>
    <w:qFormat/>
    <w:rsid w:val="00B467B4"/>
    <w:pPr>
      <w:numPr>
        <w:numId w:val="14"/>
      </w:numPr>
      <w:spacing w:after="120"/>
      <w:ind w:right="1264"/>
      <w:jc w:val="both"/>
    </w:pPr>
  </w:style>
  <w:style w:type="paragraph" w:customStyle="1" w:styleId="Bullet3">
    <w:name w:val="Bullet 3"/>
    <w:basedOn w:val="SingleTxt"/>
    <w:qFormat/>
    <w:rsid w:val="00B467B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467B4"/>
    <w:pPr>
      <w:spacing w:line="240" w:lineRule="auto"/>
    </w:pPr>
    <w:rPr>
      <w:b/>
      <w:bCs/>
      <w:color w:val="4F81BD"/>
      <w:sz w:val="18"/>
      <w:szCs w:val="18"/>
    </w:rPr>
  </w:style>
  <w:style w:type="character" w:styleId="CommentReference">
    <w:name w:val="annotation reference"/>
    <w:semiHidden/>
    <w:rsid w:val="00B467B4"/>
    <w:rPr>
      <w:sz w:val="6"/>
    </w:rPr>
  </w:style>
  <w:style w:type="paragraph" w:customStyle="1" w:styleId="Distribution">
    <w:name w:val="Distribution"/>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467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467B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467B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467B4"/>
    <w:pPr>
      <w:spacing w:after="80"/>
    </w:pPr>
  </w:style>
  <w:style w:type="character" w:customStyle="1" w:styleId="EndnoteTextChar">
    <w:name w:val="Endnote Text Char"/>
    <w:basedOn w:val="DefaultParagraphFont"/>
    <w:link w:val="EndnoteText"/>
    <w:semiHidden/>
    <w:rsid w:val="00B467B4"/>
    <w:rPr>
      <w:rFonts w:ascii="Times New Roman" w:eastAsiaTheme="minorHAnsi" w:hAnsi="Times New Roman" w:cs="Times New Roman"/>
      <w:spacing w:val="5"/>
      <w:w w:val="104"/>
      <w:sz w:val="17"/>
      <w:lang w:val="es-ES" w:eastAsia="en-US"/>
    </w:rPr>
  </w:style>
  <w:style w:type="paragraph" w:styleId="Footer">
    <w:name w:val="footer"/>
    <w:link w:val="FooterChar"/>
    <w:qFormat/>
    <w:rsid w:val="00B467B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467B4"/>
    <w:rPr>
      <w:rFonts w:ascii="Times New Roman" w:eastAsiaTheme="minorHAnsi" w:hAnsi="Times New Roman" w:cs="Times New Roman"/>
      <w:b/>
      <w:noProof/>
      <w:sz w:val="17"/>
      <w:lang w:val="en-US" w:eastAsia="en-US"/>
    </w:rPr>
  </w:style>
  <w:style w:type="character" w:styleId="FootnoteReference">
    <w:name w:val="footnote reference"/>
    <w:semiHidden/>
    <w:rsid w:val="00B467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467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467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467B4"/>
    <w:pPr>
      <w:spacing w:before="240"/>
    </w:pPr>
    <w:rPr>
      <w:b/>
      <w:spacing w:val="-2"/>
      <w:w w:val="100"/>
    </w:rPr>
  </w:style>
  <w:style w:type="paragraph" w:customStyle="1" w:styleId="HdChapterBdLg">
    <w:name w:val="Hd Chapter Bd Lg"/>
    <w:basedOn w:val="HdChapterBD"/>
    <w:next w:val="Normal"/>
    <w:qFormat/>
    <w:rsid w:val="00B467B4"/>
    <w:rPr>
      <w:spacing w:val="-3"/>
      <w:w w:val="99"/>
      <w:kern w:val="14"/>
      <w:sz w:val="34"/>
      <w:szCs w:val="34"/>
    </w:rPr>
  </w:style>
  <w:style w:type="paragraph" w:styleId="Header">
    <w:name w:val="header"/>
    <w:link w:val="HeaderChar"/>
    <w:qFormat/>
    <w:rsid w:val="00B467B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467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467B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467B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467B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467B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467B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467B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467B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467B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467B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467B4"/>
    <w:pPr>
      <w:keepNext/>
      <w:spacing w:before="190" w:line="270" w:lineRule="exact"/>
    </w:pPr>
    <w:rPr>
      <w:b/>
      <w:kern w:val="14"/>
      <w:sz w:val="24"/>
    </w:rPr>
  </w:style>
  <w:style w:type="paragraph" w:customStyle="1" w:styleId="JournalHeading2">
    <w:name w:val="Journal_Heading2"/>
    <w:basedOn w:val="Normal"/>
    <w:next w:val="Normal"/>
    <w:qFormat/>
    <w:rsid w:val="00B467B4"/>
    <w:pPr>
      <w:keepNext/>
      <w:keepLines/>
      <w:spacing w:before="240"/>
      <w:outlineLvl w:val="1"/>
    </w:pPr>
    <w:rPr>
      <w:b/>
      <w:spacing w:val="2"/>
      <w:kern w:val="14"/>
    </w:rPr>
  </w:style>
  <w:style w:type="paragraph" w:customStyle="1" w:styleId="JournalHeading4">
    <w:name w:val="Journal_Heading4"/>
    <w:basedOn w:val="Normal"/>
    <w:next w:val="Normal"/>
    <w:qFormat/>
    <w:rsid w:val="00B467B4"/>
    <w:pPr>
      <w:keepNext/>
      <w:keepLines/>
      <w:spacing w:before="240"/>
      <w:outlineLvl w:val="3"/>
    </w:pPr>
    <w:rPr>
      <w:i/>
      <w:kern w:val="14"/>
    </w:rPr>
  </w:style>
  <w:style w:type="character" w:styleId="LineNumber">
    <w:name w:val="line number"/>
    <w:qFormat/>
    <w:rsid w:val="00B467B4"/>
    <w:rPr>
      <w:sz w:val="14"/>
    </w:rPr>
  </w:style>
  <w:style w:type="paragraph" w:styleId="NoSpacing">
    <w:name w:val="No Spacing"/>
    <w:basedOn w:val="Normal"/>
    <w:uiPriority w:val="1"/>
    <w:rsid w:val="00B467B4"/>
    <w:pPr>
      <w:spacing w:line="240" w:lineRule="auto"/>
    </w:pPr>
  </w:style>
  <w:style w:type="paragraph" w:customStyle="1" w:styleId="NormalBullet">
    <w:name w:val="Normal Bullet"/>
    <w:basedOn w:val="Normal"/>
    <w:next w:val="Normal"/>
    <w:qFormat/>
    <w:rsid w:val="00B467B4"/>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B467B4"/>
    <w:pPr>
      <w:tabs>
        <w:tab w:val="left" w:leader="dot" w:pos="2218"/>
        <w:tab w:val="left" w:pos="2707"/>
        <w:tab w:val="right" w:leader="dot" w:pos="9835"/>
      </w:tabs>
    </w:pPr>
    <w:rPr>
      <w:kern w:val="14"/>
    </w:rPr>
  </w:style>
  <w:style w:type="paragraph" w:customStyle="1" w:styleId="Original">
    <w:name w:val="Original"/>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467B4"/>
    <w:pPr>
      <w:tabs>
        <w:tab w:val="right" w:pos="9965"/>
      </w:tabs>
      <w:spacing w:line="210" w:lineRule="exact"/>
    </w:pPr>
    <w:rPr>
      <w:spacing w:val="5"/>
      <w:w w:val="104"/>
      <w:kern w:val="14"/>
      <w:sz w:val="17"/>
    </w:rPr>
  </w:style>
  <w:style w:type="paragraph" w:customStyle="1" w:styleId="SmallX">
    <w:name w:val="SmallX"/>
    <w:basedOn w:val="Small"/>
    <w:next w:val="Normal"/>
    <w:qFormat/>
    <w:rsid w:val="00B467B4"/>
    <w:pPr>
      <w:spacing w:line="180" w:lineRule="exact"/>
      <w:jc w:val="right"/>
    </w:pPr>
    <w:rPr>
      <w:spacing w:val="6"/>
      <w:w w:val="106"/>
      <w:sz w:val="14"/>
    </w:rPr>
  </w:style>
  <w:style w:type="paragraph" w:customStyle="1" w:styleId="TitleHCH">
    <w:name w:val="Title_H_CH"/>
    <w:basedOn w:val="HCh"/>
    <w:next w:val="SingleTxt"/>
    <w:qFormat/>
    <w:rsid w:val="00B46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46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467B4"/>
    <w:pPr>
      <w:outlineLvl w:val="9"/>
    </w:pPr>
    <w:rPr>
      <w:rFonts w:eastAsiaTheme="majorEastAsia" w:cstheme="majorBidi"/>
      <w:lang w:bidi="en-US"/>
    </w:rPr>
  </w:style>
  <w:style w:type="paragraph" w:customStyle="1" w:styleId="XLarge">
    <w:name w:val="XLarge"/>
    <w:basedOn w:val="HM"/>
    <w:qFormat/>
    <w:rsid w:val="00B467B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704206"/>
    <w:pPr>
      <w:spacing w:line="240" w:lineRule="auto"/>
    </w:pPr>
    <w:rPr>
      <w:szCs w:val="20"/>
    </w:rPr>
  </w:style>
  <w:style w:type="character" w:customStyle="1" w:styleId="CommentTextChar">
    <w:name w:val="Comment Text Char"/>
    <w:basedOn w:val="DefaultParagraphFont"/>
    <w:link w:val="CommentText"/>
    <w:uiPriority w:val="99"/>
    <w:semiHidden/>
    <w:rsid w:val="0070420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04206"/>
    <w:rPr>
      <w:b/>
      <w:bCs/>
    </w:rPr>
  </w:style>
  <w:style w:type="character" w:customStyle="1" w:styleId="CommentSubjectChar">
    <w:name w:val="Comment Subject Char"/>
    <w:basedOn w:val="CommentTextChar"/>
    <w:link w:val="CommentSubject"/>
    <w:uiPriority w:val="99"/>
    <w:semiHidden/>
    <w:rsid w:val="00704206"/>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E734D1"/>
    <w:rPr>
      <w:color w:val="0000FF"/>
      <w:u w:val="none"/>
    </w:rPr>
  </w:style>
  <w:style w:type="character" w:styleId="FollowedHyperlink">
    <w:name w:val="FollowedHyperlink"/>
    <w:basedOn w:val="DefaultParagraphFont"/>
    <w:uiPriority w:val="99"/>
    <w:semiHidden/>
    <w:unhideWhenUsed/>
    <w:rsid w:val="00E734D1"/>
    <w:rPr>
      <w:color w:val="0000FF"/>
      <w:u w:val="none"/>
    </w:rPr>
  </w:style>
  <w:style w:type="character" w:styleId="UnresolvedMention">
    <w:name w:val="Unresolved Mention"/>
    <w:basedOn w:val="DefaultParagraphFont"/>
    <w:uiPriority w:val="99"/>
    <w:semiHidden/>
    <w:unhideWhenUsed/>
    <w:rsid w:val="00E734D1"/>
    <w:rPr>
      <w:color w:val="808080"/>
      <w:shd w:val="clear" w:color="auto" w:fill="E6E6E6"/>
    </w:rPr>
  </w:style>
  <w:style w:type="paragraph" w:styleId="Revision">
    <w:name w:val="Revision"/>
    <w:hidden/>
    <w:uiPriority w:val="99"/>
    <w:semiHidden/>
    <w:rsid w:val="004A33D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CPV/Q/9" TargetMode="External"/><Relationship Id="rId26" Type="http://schemas.openxmlformats.org/officeDocument/2006/relationships/hyperlink" Target="https://undocs.org/sp/CEDAW/C/PAN/QPR/8" TargetMode="External"/><Relationship Id="rId3" Type="http://schemas.openxmlformats.org/officeDocument/2006/relationships/styles" Target="styles.xml"/><Relationship Id="rId21" Type="http://schemas.openxmlformats.org/officeDocument/2006/relationships/hyperlink" Target="https://undocs.org/sp/CEDAW/C/GUY/Q/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BHR/Q/4" TargetMode="External"/><Relationship Id="rId25" Type="http://schemas.openxmlformats.org/officeDocument/2006/relationships/hyperlink" Target="https://undocs.org/sp/CEDAW/C/MNG/QPR/10" TargetMode="External"/><Relationship Id="rId2" Type="http://schemas.openxmlformats.org/officeDocument/2006/relationships/numbering" Target="numbering.xml"/><Relationship Id="rId16" Type="http://schemas.openxmlformats.org/officeDocument/2006/relationships/hyperlink" Target="https://undocs.org/sp/CEDAW/C/AUT/Q/9" TargetMode="External"/><Relationship Id="rId20" Type="http://schemas.openxmlformats.org/officeDocument/2006/relationships/hyperlink" Target="https://undocs.org/sp/CEDAW/C/COD/Q/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DOM/QPR/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CEDAW/C/QAT/Q/2"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sp/CEDAW/C/CIV/Q/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MOZ/Q/3-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71776-DEF3-4E1C-BBC7-EF4F9B67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Maria Teresa Diaz Bobadilla De Kostich</cp:lastModifiedBy>
  <cp:revision>2</cp:revision>
  <dcterms:created xsi:type="dcterms:W3CDTF">2018-12-28T14:25:00Z</dcterms:created>
  <dcterms:modified xsi:type="dcterms:W3CDTF">2018-12-28T14:25:00Z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1819865</vt:lpwstr>
  </property>
  <property fmtid="{D5CDD505-2E9C-101B-9397-08002B2CF9AE}" pid="3" name="ODSRefJobNo">
    <vt:lpwstr>1839130</vt:lpwstr>
  </property>
  <property fmtid="{D5CDD505-2E9C-101B-9397-08002B2CF9AE}" pid="4" name="Symbol1">
    <vt:lpwstr>CEDAW/C/PSWG/73/1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1819865.MR.EDT.JGU. Compare hecho</vt:lpwstr>
  </property>
  <property fmtid="{D5CDD505-2E9C-101B-9397-08002B2CF9AE}" pid="9" name="DraftPages">
    <vt:lpwstr> 3</vt:lpwstr>
  </property>
  <property fmtid="{D5CDD505-2E9C-101B-9397-08002B2CF9AE}" pid="10" name="Operator">
    <vt:lpwstr>xf</vt:lpwstr>
  </property>
  <property fmtid="{D5CDD505-2E9C-101B-9397-08002B2CF9AE}" pid="11" name="Translator">
    <vt:lpwstr>Jordina</vt:lpwstr>
  </property>
  <property fmtid="{D5CDD505-2E9C-101B-9397-08002B2CF9AE}" pid="12" name="Original">
    <vt:lpwstr>Español, francés e inglés únicamente</vt:lpwstr>
  </property>
  <property fmtid="{D5CDD505-2E9C-101B-9397-08002B2CF9AE}" pid="13" name="Release Date">
    <vt:lpwstr>101218</vt:lpwstr>
  </property>
  <property fmtid="{D5CDD505-2E9C-101B-9397-08002B2CF9AE}" pid="14" name="Session">
    <vt:lpwstr>73er período de sesiones_x000d_</vt:lpwstr>
  </property>
  <property fmtid="{D5CDD505-2E9C-101B-9397-08002B2CF9AE}" pid="15" name="Title1">
    <vt:lpwstr>		Examen de los informes presentados por los Estados partes en virtud del artículo 18 de la Convención sobre la Eliminación de Todas las Formas de Discriminación contra la Mujer_x000d_</vt:lpwstr>
  </property>
  <property fmtid="{D5CDD505-2E9C-101B-9397-08002B2CF9AE}" pid="16" name="Title2">
    <vt:lpwstr>		Informe del grupo de trabajo anterior al período de sesiones_x000d_</vt:lpwstr>
  </property>
</Properties>
</file>