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93F62" w:rsidTr="00EF53BF">
        <w:trPr>
          <w:trHeight w:hRule="exact" w:val="851"/>
        </w:trPr>
        <w:tc>
          <w:tcPr>
            <w:tcW w:w="1280" w:type="dxa"/>
            <w:tcBorders>
              <w:bottom w:val="single" w:sz="4" w:space="0" w:color="auto"/>
            </w:tcBorders>
          </w:tcPr>
          <w:p w:rsidR="00A93F62" w:rsidRDefault="00A93F62">
            <w:pPr>
              <w:pStyle w:val="Bullet1GC"/>
            </w:pPr>
          </w:p>
        </w:tc>
        <w:tc>
          <w:tcPr>
            <w:tcW w:w="2273" w:type="dxa"/>
            <w:tcBorders>
              <w:bottom w:val="single" w:sz="4" w:space="0" w:color="auto"/>
            </w:tcBorders>
            <w:vAlign w:val="bottom"/>
          </w:tcPr>
          <w:p w:rsidR="00A93F62" w:rsidRDefault="00A93F6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93F62" w:rsidRDefault="00A93F62">
            <w:pPr>
              <w:spacing w:line="240" w:lineRule="atLeast"/>
              <w:jc w:val="right"/>
              <w:rPr>
                <w:rFonts w:hint="eastAsia"/>
                <w:szCs w:val="21"/>
              </w:rPr>
            </w:pPr>
            <w:r>
              <w:rPr>
                <w:rFonts w:hint="eastAsia"/>
                <w:sz w:val="40"/>
                <w:szCs w:val="40"/>
              </w:rPr>
              <w:t>E</w:t>
            </w:r>
            <w:r>
              <w:rPr>
                <w:sz w:val="20"/>
              </w:rPr>
              <w:t>/C</w:t>
            </w:r>
            <w:r>
              <w:rPr>
                <w:rFonts w:hint="eastAsia"/>
                <w:sz w:val="20"/>
              </w:rPr>
              <w:t>.12/TKM/1</w:t>
            </w:r>
          </w:p>
        </w:tc>
      </w:tr>
      <w:tr w:rsidR="00A93F62" w:rsidTr="00EF53BF">
        <w:trPr>
          <w:trHeight w:hRule="exact" w:val="2835"/>
        </w:trPr>
        <w:tc>
          <w:tcPr>
            <w:tcW w:w="1280" w:type="dxa"/>
            <w:tcBorders>
              <w:top w:val="single" w:sz="4" w:space="0" w:color="auto"/>
              <w:bottom w:val="single" w:sz="12" w:space="0" w:color="auto"/>
            </w:tcBorders>
          </w:tcPr>
          <w:p w:rsidR="00A93F62" w:rsidRDefault="00A93F62">
            <w:pPr>
              <w:spacing w:line="120" w:lineRule="atLeast"/>
              <w:rPr>
                <w:sz w:val="10"/>
                <w:szCs w:val="10"/>
              </w:rPr>
            </w:pPr>
          </w:p>
          <w:p w:rsidR="00A93F62" w:rsidRDefault="00A93F6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93F62" w:rsidRDefault="00A93F62">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A93F62" w:rsidRDefault="00A93F62">
            <w:pPr>
              <w:spacing w:before="240" w:line="240" w:lineRule="atLeast"/>
              <w:rPr>
                <w:rFonts w:hint="eastAsia"/>
                <w:sz w:val="20"/>
              </w:rPr>
            </w:pPr>
            <w:r>
              <w:rPr>
                <w:sz w:val="20"/>
              </w:rPr>
              <w:t>Distr.: General</w:t>
            </w:r>
          </w:p>
          <w:p w:rsidR="00A93F62" w:rsidRDefault="00A93F62">
            <w:pPr>
              <w:spacing w:line="240" w:lineRule="atLeast"/>
              <w:rPr>
                <w:sz w:val="20"/>
              </w:rPr>
            </w:pPr>
            <w:r>
              <w:rPr>
                <w:rFonts w:hint="eastAsia"/>
                <w:sz w:val="20"/>
              </w:rPr>
              <w:t xml:space="preserve">27 </w:t>
            </w:r>
            <w:r>
              <w:rPr>
                <w:sz w:val="20"/>
              </w:rPr>
              <w:t>July 20</w:t>
            </w:r>
            <w:r>
              <w:rPr>
                <w:rFonts w:hint="eastAsia"/>
                <w:sz w:val="20"/>
              </w:rPr>
              <w:t>10</w:t>
            </w:r>
          </w:p>
          <w:p w:rsidR="00A93F62" w:rsidRDefault="00A93F62">
            <w:pPr>
              <w:spacing w:line="240" w:lineRule="atLeast"/>
              <w:rPr>
                <w:sz w:val="20"/>
              </w:rPr>
            </w:pPr>
            <w:r>
              <w:rPr>
                <w:sz w:val="20"/>
              </w:rPr>
              <w:t xml:space="preserve">Chinese </w:t>
            </w:r>
          </w:p>
          <w:p w:rsidR="00A93F62" w:rsidRDefault="00A93F62">
            <w:pPr>
              <w:spacing w:line="240" w:lineRule="atLeast"/>
              <w:rPr>
                <w:rFonts w:hint="eastAsia"/>
                <w:sz w:val="20"/>
              </w:rPr>
            </w:pPr>
            <w:r>
              <w:rPr>
                <w:sz w:val="20"/>
              </w:rPr>
              <w:t>Original: Russian</w:t>
            </w:r>
          </w:p>
        </w:tc>
      </w:tr>
    </w:tbl>
    <w:p w:rsidR="00A93F62" w:rsidRDefault="00A93F62">
      <w:pPr>
        <w:tabs>
          <w:tab w:val="clear" w:pos="431"/>
        </w:tabs>
        <w:suppressAutoHyphens/>
        <w:overflowPunct/>
        <w:adjustRightInd/>
        <w:snapToGrid/>
        <w:spacing w:before="120" w:line="240" w:lineRule="atLeast"/>
        <w:jc w:val="left"/>
        <w:rPr>
          <w:rFonts w:eastAsia="SimHei"/>
          <w:snapToGrid/>
          <w:sz w:val="24"/>
          <w:szCs w:val="24"/>
        </w:rPr>
      </w:pPr>
      <w:r>
        <w:rPr>
          <w:rFonts w:eastAsia="SimHei"/>
          <w:snapToGrid/>
          <w:sz w:val="24"/>
          <w:szCs w:val="24"/>
        </w:rPr>
        <w:t>经济、社会</w:t>
      </w:r>
      <w:r>
        <w:rPr>
          <w:rFonts w:eastAsia="SimHei" w:hint="eastAsia"/>
          <w:snapToGrid/>
          <w:sz w:val="24"/>
          <w:szCs w:val="24"/>
        </w:rPr>
        <w:t>、</w:t>
      </w:r>
      <w:r>
        <w:rPr>
          <w:rFonts w:eastAsia="SimHei"/>
          <w:snapToGrid/>
          <w:sz w:val="24"/>
          <w:szCs w:val="24"/>
        </w:rPr>
        <w:t>文化权利委员会</w:t>
      </w:r>
    </w:p>
    <w:p w:rsidR="00A93F62" w:rsidRDefault="00A93F62">
      <w:pPr>
        <w:tabs>
          <w:tab w:val="clear" w:pos="431"/>
        </w:tabs>
        <w:suppressAutoHyphens/>
        <w:overflowPunct/>
        <w:adjustRightInd/>
        <w:snapToGrid/>
        <w:spacing w:line="240" w:lineRule="atLeast"/>
        <w:jc w:val="left"/>
        <w:rPr>
          <w:rFonts w:hint="eastAsia"/>
          <w:snapToGrid/>
          <w:szCs w:val="21"/>
        </w:rPr>
      </w:pPr>
    </w:p>
    <w:p w:rsidR="00A93F62" w:rsidRDefault="00A93F62">
      <w:pPr>
        <w:pStyle w:val="HMGC"/>
        <w:ind w:left="966" w:hanging="1022"/>
        <w:rPr>
          <w:snapToGrid/>
          <w:lang w:val="en-GB"/>
        </w:rPr>
      </w:pPr>
      <w:r>
        <w:rPr>
          <w:snapToGrid/>
          <w:lang w:val="en-GB"/>
        </w:rPr>
        <w:tab/>
      </w:r>
      <w:r>
        <w:rPr>
          <w:snapToGrid/>
          <w:lang w:val="en-GB"/>
        </w:rPr>
        <w:tab/>
      </w:r>
      <w:r>
        <w:rPr>
          <w:snapToGrid/>
          <w:lang w:val="en-GB"/>
        </w:rPr>
        <w:t>《经济、社会、文化权利国际公约》执行情况</w:t>
      </w:r>
    </w:p>
    <w:p w:rsidR="00A93F62" w:rsidRDefault="00A93F62">
      <w:pPr>
        <w:pStyle w:val="HChGC"/>
        <w:rPr>
          <w:snapToGrid/>
          <w:lang w:val="en-GB"/>
        </w:rPr>
      </w:pPr>
      <w:r>
        <w:rPr>
          <w:snapToGrid/>
          <w:lang w:val="en-GB"/>
        </w:rPr>
        <w:tab/>
      </w:r>
      <w:r>
        <w:rPr>
          <w:snapToGrid/>
          <w:lang w:val="en-GB"/>
        </w:rPr>
        <w:tab/>
      </w:r>
      <w:r>
        <w:rPr>
          <w:snapToGrid/>
          <w:lang w:val="en-GB"/>
        </w:rPr>
        <w:t>缔约国根据《公约》第十六条和第十七条提交的初次报告</w:t>
      </w:r>
    </w:p>
    <w:p w:rsidR="00A93F62" w:rsidRDefault="00A93F62">
      <w:pPr>
        <w:pStyle w:val="HMGC"/>
        <w:rPr>
          <w:snapToGrid/>
          <w:lang w:val="en-GB"/>
        </w:rPr>
      </w:pPr>
      <w:r>
        <w:rPr>
          <w:snapToGrid/>
          <w:sz w:val="24"/>
          <w:szCs w:val="24"/>
          <w:lang w:val="en-GB"/>
        </w:rPr>
        <w:tab/>
      </w:r>
      <w:r>
        <w:rPr>
          <w:snapToGrid/>
          <w:sz w:val="24"/>
          <w:szCs w:val="24"/>
          <w:lang w:val="en-GB"/>
        </w:rPr>
        <w:tab/>
      </w:r>
      <w:r>
        <w:rPr>
          <w:snapToGrid/>
          <w:lang w:val="en-GB"/>
        </w:rPr>
        <w:t>土库曼斯坦</w:t>
      </w:r>
      <w:r>
        <w:rPr>
          <w:snapToGrid/>
          <w:vertAlign w:val="superscript"/>
          <w:lang w:val="en-GB" w:eastAsia="en-US"/>
        </w:rPr>
        <w:footnoteReference w:customMarkFollows="1" w:id="1"/>
        <w:sym w:font="Symbol" w:char="F02A"/>
      </w:r>
    </w:p>
    <w:p w:rsidR="00A93F62" w:rsidRDefault="00A93F62">
      <w:pPr>
        <w:tabs>
          <w:tab w:val="clear" w:pos="431"/>
        </w:tabs>
        <w:suppressAutoHyphens/>
        <w:overflowPunct/>
        <w:adjustRightInd/>
        <w:snapToGrid/>
        <w:spacing w:after="120" w:line="240" w:lineRule="atLeast"/>
        <w:ind w:left="1134" w:right="1134"/>
        <w:jc w:val="right"/>
        <w:rPr>
          <w:snapToGrid/>
          <w:szCs w:val="21"/>
          <w:lang w:val="en-GB"/>
        </w:rPr>
      </w:pPr>
      <w:r>
        <w:rPr>
          <w:snapToGrid/>
          <w:szCs w:val="21"/>
          <w:lang w:val="en-GB"/>
        </w:rPr>
        <w:t xml:space="preserve"> [</w:t>
      </w:r>
      <w:smartTag w:uri="urn:schemas-microsoft-com:office:smarttags" w:element="chsdate">
        <w:smartTagPr>
          <w:attr w:name="IsROCDate" w:val="False"/>
          <w:attr w:name="IsLunarDate" w:val="False"/>
          <w:attr w:name="Day" w:val="30"/>
          <w:attr w:name="Month" w:val="6"/>
          <w:attr w:name="Year" w:val="2008"/>
        </w:smartTagPr>
        <w:r>
          <w:rPr>
            <w:snapToGrid/>
            <w:szCs w:val="21"/>
            <w:lang w:val="en-GB"/>
          </w:rPr>
          <w:t>2008</w:t>
        </w:r>
        <w:r>
          <w:rPr>
            <w:snapToGrid/>
            <w:szCs w:val="21"/>
            <w:lang w:val="en-GB"/>
          </w:rPr>
          <w:t>年</w:t>
        </w:r>
        <w:r>
          <w:rPr>
            <w:snapToGrid/>
            <w:szCs w:val="21"/>
            <w:lang w:val="en-GB"/>
          </w:rPr>
          <w:t>6</w:t>
        </w:r>
        <w:r>
          <w:rPr>
            <w:snapToGrid/>
            <w:szCs w:val="21"/>
            <w:lang w:val="en-GB"/>
          </w:rPr>
          <w:t>月</w:t>
        </w:r>
        <w:r>
          <w:rPr>
            <w:snapToGrid/>
            <w:szCs w:val="21"/>
            <w:lang w:val="en-GB"/>
          </w:rPr>
          <w:t>30</w:t>
        </w:r>
        <w:r>
          <w:rPr>
            <w:snapToGrid/>
            <w:szCs w:val="21"/>
            <w:lang w:val="en-GB"/>
          </w:rPr>
          <w:t>日</w:t>
        </w:r>
      </w:smartTag>
      <w:r>
        <w:rPr>
          <w:snapToGrid/>
          <w:szCs w:val="21"/>
          <w:lang w:val="en-GB"/>
        </w:rPr>
        <w:t>]</w:t>
      </w:r>
    </w:p>
    <w:p w:rsidR="00A93F62" w:rsidRDefault="00A93F62">
      <w:pPr>
        <w:spacing w:after="120"/>
        <w:rPr>
          <w:sz w:val="28"/>
          <w:szCs w:val="28"/>
        </w:rPr>
      </w:pPr>
      <w:r>
        <w:rPr>
          <w:snapToGrid/>
          <w:szCs w:val="21"/>
          <w:lang w:val="en-GB"/>
        </w:rPr>
        <w:br w:type="page"/>
      </w:r>
      <w:r>
        <w:rPr>
          <w:rFonts w:hint="eastAsia"/>
          <w:sz w:val="28"/>
          <w:szCs w:val="28"/>
        </w:rPr>
        <w:t>目录</w:t>
      </w:r>
    </w:p>
    <w:p w:rsidR="00A93F62" w:rsidRDefault="00A93F62" w:rsidP="000D657E">
      <w:pPr>
        <w:tabs>
          <w:tab w:val="right" w:pos="8789"/>
          <w:tab w:val="right" w:pos="9639"/>
        </w:tabs>
        <w:spacing w:after="120"/>
        <w:ind w:leftChars="232" w:left="31680" w:firstLineChars="50" w:firstLine="31680"/>
        <w:rPr>
          <w:rFonts w:eastAsia="KaiTi_GB2312" w:hint="eastAsia"/>
          <w:sz w:val="18"/>
          <w:szCs w:val="18"/>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A93F62" w:rsidRDefault="00A93F62">
      <w:pPr>
        <w:pStyle w:val="a1"/>
        <w:tabs>
          <w:tab w:val="clear" w:pos="1134"/>
        </w:tabs>
      </w:pPr>
      <w:r>
        <w:rPr>
          <w:rFonts w:hint="eastAsia"/>
        </w:rPr>
        <w:tab/>
      </w:r>
      <w:r>
        <w:t>一</w:t>
      </w:r>
      <w:r>
        <w:t>.</w:t>
      </w:r>
      <w:r>
        <w:rPr>
          <w:rFonts w:hint="eastAsia"/>
        </w:rPr>
        <w:tab/>
      </w:r>
      <w:r>
        <w:rPr>
          <w:rFonts w:hint="eastAsia"/>
        </w:rPr>
        <w:t>导</w:t>
      </w:r>
      <w:r>
        <w:t>言</w:t>
      </w:r>
      <w:r>
        <w:t>..................................</w:t>
      </w:r>
      <w:r>
        <w:rPr>
          <w:rFonts w:hint="eastAsia"/>
        </w:rPr>
        <w:tab/>
      </w:r>
      <w:r>
        <w:tab/>
        <w:t>1</w:t>
      </w:r>
      <w:r>
        <w:rPr>
          <w:rFonts w:hint="eastAsia"/>
        </w:rPr>
        <w:t>-</w:t>
      </w:r>
      <w:r>
        <w:t>5</w:t>
      </w:r>
      <w:r>
        <w:rPr>
          <w:rFonts w:hint="eastAsia"/>
        </w:rPr>
        <w:tab/>
      </w:r>
      <w:r>
        <w:t>3</w:t>
      </w:r>
    </w:p>
    <w:p w:rsidR="00A93F62" w:rsidRDefault="00A93F62">
      <w:pPr>
        <w:pStyle w:val="a1"/>
        <w:tabs>
          <w:tab w:val="clear" w:pos="1134"/>
        </w:tabs>
      </w:pPr>
      <w:r>
        <w:rPr>
          <w:rFonts w:hint="eastAsia"/>
        </w:rPr>
        <w:tab/>
      </w:r>
      <w:r>
        <w:t>二</w:t>
      </w:r>
      <w:r>
        <w:t>.</w:t>
      </w:r>
      <w:r>
        <w:rPr>
          <w:rFonts w:hint="eastAsia"/>
        </w:rPr>
        <w:tab/>
      </w:r>
      <w:r>
        <w:t>条款</w:t>
      </w:r>
      <w:r>
        <w:t>.......................</w:t>
      </w:r>
      <w:r>
        <w:rPr>
          <w:rFonts w:hint="eastAsia"/>
        </w:rPr>
        <w:tab/>
      </w:r>
      <w:r>
        <w:rPr>
          <w:rFonts w:hint="eastAsia"/>
        </w:rPr>
        <w:tab/>
      </w:r>
      <w:r>
        <w:t>6</w:t>
      </w:r>
      <w:r>
        <w:rPr>
          <w:rFonts w:hint="eastAsia"/>
        </w:rPr>
        <w:t>-</w:t>
      </w:r>
      <w:r>
        <w:t>377</w:t>
      </w:r>
      <w:r>
        <w:rPr>
          <w:rFonts w:hint="eastAsia"/>
        </w:rPr>
        <w:tab/>
      </w:r>
      <w:r>
        <w:t>3</w:t>
      </w:r>
    </w:p>
    <w:p w:rsidR="00A93F62" w:rsidRDefault="00A93F62">
      <w:pPr>
        <w:pStyle w:val="a1"/>
      </w:pPr>
      <w:r>
        <w:rPr>
          <w:rFonts w:hint="eastAsia"/>
        </w:rPr>
        <w:tab/>
      </w:r>
      <w:r>
        <w:rPr>
          <w:rFonts w:hint="eastAsia"/>
        </w:rPr>
        <w:tab/>
      </w:r>
      <w:r>
        <w:t>第一条</w:t>
      </w:r>
      <w:r>
        <w:t xml:space="preserve">. </w:t>
      </w:r>
      <w:r>
        <w:t>自决权</w:t>
      </w:r>
      <w:r>
        <w:rPr>
          <w:rFonts w:hint="eastAsia"/>
        </w:rPr>
        <w:tab/>
      </w:r>
      <w:r>
        <w:rPr>
          <w:rFonts w:hint="eastAsia"/>
        </w:rPr>
        <w:tab/>
      </w:r>
      <w:r>
        <w:t>6</w:t>
      </w:r>
      <w:r>
        <w:rPr>
          <w:rFonts w:hint="eastAsia"/>
        </w:rPr>
        <w:t>-</w:t>
      </w:r>
      <w:r>
        <w:t>12</w:t>
      </w:r>
      <w:r>
        <w:rPr>
          <w:rFonts w:hint="eastAsia"/>
        </w:rPr>
        <w:tab/>
      </w:r>
      <w:r>
        <w:t>3</w:t>
      </w:r>
    </w:p>
    <w:p w:rsidR="00A93F62" w:rsidRDefault="00A93F62">
      <w:pPr>
        <w:pStyle w:val="a1"/>
      </w:pPr>
      <w:r>
        <w:rPr>
          <w:rFonts w:hint="eastAsia"/>
        </w:rPr>
        <w:tab/>
      </w:r>
      <w:r>
        <w:rPr>
          <w:rFonts w:hint="eastAsia"/>
        </w:rPr>
        <w:tab/>
      </w:r>
      <w:r>
        <w:t>第二条</w:t>
      </w:r>
      <w:r>
        <w:t xml:space="preserve">. </w:t>
      </w:r>
      <w:r>
        <w:t>禁止歧视</w:t>
      </w:r>
      <w:r>
        <w:rPr>
          <w:rFonts w:hint="eastAsia"/>
        </w:rPr>
        <w:tab/>
      </w:r>
      <w:r>
        <w:rPr>
          <w:rFonts w:hint="eastAsia"/>
        </w:rPr>
        <w:tab/>
      </w:r>
      <w:r>
        <w:t>13-25</w:t>
      </w:r>
      <w:r>
        <w:rPr>
          <w:rFonts w:hint="eastAsia"/>
        </w:rPr>
        <w:tab/>
      </w:r>
      <w:r>
        <w:t>4</w:t>
      </w:r>
    </w:p>
    <w:p w:rsidR="00A93F62" w:rsidRDefault="00A93F62">
      <w:pPr>
        <w:pStyle w:val="a1"/>
        <w:rPr>
          <w:rFonts w:hint="eastAsia"/>
        </w:rPr>
      </w:pPr>
      <w:r>
        <w:rPr>
          <w:rFonts w:hint="eastAsia"/>
        </w:rPr>
        <w:tab/>
      </w:r>
      <w:r>
        <w:rPr>
          <w:rFonts w:hint="eastAsia"/>
        </w:rPr>
        <w:tab/>
      </w:r>
      <w:r>
        <w:t>第三条</w:t>
      </w:r>
      <w:r>
        <w:t xml:space="preserve">. </w:t>
      </w:r>
      <w:r>
        <w:t>男女平等</w:t>
      </w:r>
      <w:r>
        <w:rPr>
          <w:rFonts w:hint="eastAsia"/>
        </w:rPr>
        <w:tab/>
      </w:r>
      <w:r>
        <w:rPr>
          <w:rFonts w:hint="eastAsia"/>
        </w:rPr>
        <w:tab/>
      </w:r>
      <w:r>
        <w:t>26-39</w:t>
      </w:r>
      <w:r>
        <w:rPr>
          <w:rFonts w:hint="eastAsia"/>
        </w:rPr>
        <w:tab/>
        <w:t>6</w:t>
      </w:r>
    </w:p>
    <w:p w:rsidR="00A93F62" w:rsidRDefault="00A93F62">
      <w:pPr>
        <w:pStyle w:val="a1"/>
        <w:rPr>
          <w:rFonts w:hint="eastAsia"/>
        </w:rPr>
      </w:pPr>
      <w:r>
        <w:rPr>
          <w:rFonts w:hint="eastAsia"/>
        </w:rPr>
        <w:tab/>
      </w:r>
      <w:r>
        <w:rPr>
          <w:rFonts w:hint="eastAsia"/>
        </w:rPr>
        <w:tab/>
      </w:r>
      <w:r>
        <w:t>第四条</w:t>
      </w:r>
      <w:r>
        <w:t xml:space="preserve">. </w:t>
      </w:r>
      <w:r>
        <w:rPr>
          <w:rFonts w:hint="eastAsia"/>
        </w:rPr>
        <w:t>对权利实施的限制</w:t>
      </w:r>
      <w:r>
        <w:rPr>
          <w:rFonts w:hint="eastAsia"/>
        </w:rPr>
        <w:tab/>
      </w:r>
      <w:r>
        <w:rPr>
          <w:rFonts w:hint="eastAsia"/>
        </w:rPr>
        <w:tab/>
      </w:r>
      <w:r>
        <w:t>40-42</w:t>
      </w:r>
      <w:r>
        <w:rPr>
          <w:rFonts w:hint="eastAsia"/>
        </w:rPr>
        <w:tab/>
        <w:t>8</w:t>
      </w:r>
    </w:p>
    <w:p w:rsidR="00A93F62" w:rsidRDefault="00A93F62">
      <w:pPr>
        <w:pStyle w:val="a1"/>
        <w:ind w:left="1900" w:right="3171"/>
        <w:rPr>
          <w:rFonts w:hint="eastAsia"/>
        </w:rPr>
      </w:pPr>
      <w:r>
        <w:tab/>
      </w:r>
      <w:r>
        <w:tab/>
      </w:r>
      <w:r>
        <w:t>第五条</w:t>
      </w:r>
      <w:r>
        <w:t xml:space="preserve">. </w:t>
      </w:r>
      <w:r>
        <w:t>禁止</w:t>
      </w:r>
      <w:r>
        <w:rPr>
          <w:rFonts w:hint="eastAsia"/>
        </w:rPr>
        <w:t>旨在破坏</w:t>
      </w:r>
      <w:r>
        <w:t>任何权利与自由</w:t>
      </w:r>
      <w:r>
        <w:rPr>
          <w:rFonts w:hint="eastAsia"/>
        </w:rPr>
        <w:t>、</w:t>
      </w:r>
      <w:r>
        <w:t>限制或</w:t>
      </w:r>
      <w:r>
        <w:rPr>
          <w:rFonts w:hint="eastAsia"/>
        </w:rPr>
        <w:t>克减</w:t>
      </w:r>
      <w:r>
        <w:t>基本人权的活动与行为</w:t>
      </w:r>
      <w:r>
        <w:rPr>
          <w:rFonts w:hint="eastAsia"/>
        </w:rPr>
        <w:tab/>
      </w:r>
      <w:r>
        <w:rPr>
          <w:rFonts w:hint="eastAsia"/>
        </w:rPr>
        <w:tab/>
      </w:r>
      <w:r>
        <w:t>43</w:t>
      </w:r>
      <w:r>
        <w:rPr>
          <w:rFonts w:hint="eastAsia"/>
        </w:rPr>
        <w:tab/>
        <w:t>8</w:t>
      </w:r>
    </w:p>
    <w:p w:rsidR="00A93F62" w:rsidRDefault="00A93F62">
      <w:pPr>
        <w:pStyle w:val="a1"/>
        <w:rPr>
          <w:rFonts w:hint="eastAsia"/>
        </w:rPr>
      </w:pPr>
      <w:r>
        <w:rPr>
          <w:rFonts w:hint="eastAsia"/>
        </w:rPr>
        <w:tab/>
      </w:r>
      <w:r>
        <w:rPr>
          <w:rFonts w:hint="eastAsia"/>
        </w:rPr>
        <w:tab/>
      </w:r>
      <w:r>
        <w:t>第六条</w:t>
      </w:r>
      <w:r>
        <w:t xml:space="preserve">. </w:t>
      </w:r>
      <w:r>
        <w:rPr>
          <w:rFonts w:hint="eastAsia"/>
        </w:rPr>
        <w:t>工作</w:t>
      </w:r>
      <w:r>
        <w:t>权</w:t>
      </w:r>
      <w:r>
        <w:rPr>
          <w:rFonts w:hint="eastAsia"/>
        </w:rPr>
        <w:tab/>
      </w:r>
      <w:r>
        <w:rPr>
          <w:rFonts w:hint="eastAsia"/>
        </w:rPr>
        <w:tab/>
      </w:r>
      <w:r>
        <w:t>44-104</w:t>
      </w:r>
      <w:r>
        <w:rPr>
          <w:rFonts w:hint="eastAsia"/>
        </w:rPr>
        <w:tab/>
        <w:t>9</w:t>
      </w:r>
    </w:p>
    <w:p w:rsidR="00A93F62" w:rsidRDefault="00A93F62">
      <w:pPr>
        <w:pStyle w:val="a1"/>
        <w:rPr>
          <w:rFonts w:hint="eastAsia"/>
          <w:spacing w:val="-6"/>
        </w:rPr>
      </w:pPr>
      <w:r>
        <w:rPr>
          <w:rFonts w:hint="eastAsia"/>
        </w:rPr>
        <w:tab/>
      </w:r>
      <w:r>
        <w:rPr>
          <w:rFonts w:hint="eastAsia"/>
        </w:rPr>
        <w:tab/>
      </w:r>
      <w:r>
        <w:t>第七条</w:t>
      </w:r>
      <w:r>
        <w:t>.</w:t>
      </w:r>
      <w:r>
        <w:rPr>
          <w:rFonts w:hint="eastAsia"/>
        </w:rPr>
        <w:t xml:space="preserve"> </w:t>
      </w:r>
      <w:r>
        <w:rPr>
          <w:rFonts w:hint="eastAsia"/>
          <w:spacing w:val="-6"/>
        </w:rPr>
        <w:t>享受</w:t>
      </w:r>
      <w:r>
        <w:rPr>
          <w:spacing w:val="-6"/>
        </w:rPr>
        <w:t>公正</w:t>
      </w:r>
      <w:r>
        <w:rPr>
          <w:rFonts w:hint="eastAsia"/>
          <w:spacing w:val="-6"/>
        </w:rPr>
        <w:t>和良好的工作</w:t>
      </w:r>
      <w:r>
        <w:rPr>
          <w:spacing w:val="-6"/>
        </w:rPr>
        <w:t>条件的权利</w:t>
      </w:r>
      <w:r>
        <w:rPr>
          <w:rFonts w:hint="eastAsia"/>
          <w:spacing w:val="-6"/>
        </w:rPr>
        <w:tab/>
      </w:r>
      <w:r>
        <w:rPr>
          <w:rFonts w:hint="eastAsia"/>
          <w:spacing w:val="-6"/>
        </w:rPr>
        <w:tab/>
      </w:r>
      <w:r>
        <w:t>105-135</w:t>
      </w:r>
      <w:r>
        <w:rPr>
          <w:rFonts w:hint="eastAsia"/>
        </w:rPr>
        <w:tab/>
      </w:r>
      <w:r>
        <w:t>1</w:t>
      </w:r>
      <w:r>
        <w:rPr>
          <w:rFonts w:hint="eastAsia"/>
        </w:rPr>
        <w:t>8</w:t>
      </w:r>
    </w:p>
    <w:p w:rsidR="00A93F62" w:rsidRDefault="00A93F62">
      <w:pPr>
        <w:pStyle w:val="a1"/>
        <w:rPr>
          <w:rFonts w:hint="eastAsia"/>
        </w:rPr>
      </w:pPr>
      <w:r>
        <w:rPr>
          <w:rFonts w:hint="eastAsia"/>
        </w:rPr>
        <w:tab/>
      </w:r>
      <w:r>
        <w:rPr>
          <w:rFonts w:hint="eastAsia"/>
        </w:rPr>
        <w:tab/>
      </w:r>
      <w:r>
        <w:t>第八条</w:t>
      </w:r>
      <w:r>
        <w:t xml:space="preserve">. </w:t>
      </w:r>
      <w:r>
        <w:t>加入工会的权利</w:t>
      </w:r>
      <w:r>
        <w:rPr>
          <w:rFonts w:hint="eastAsia"/>
        </w:rPr>
        <w:tab/>
      </w:r>
      <w:r>
        <w:rPr>
          <w:rFonts w:hint="eastAsia"/>
        </w:rPr>
        <w:tab/>
      </w:r>
      <w:r>
        <w:t>136-150</w:t>
      </w:r>
      <w:r>
        <w:rPr>
          <w:rFonts w:hint="eastAsia"/>
        </w:rPr>
        <w:tab/>
      </w:r>
      <w:r>
        <w:t>2</w:t>
      </w:r>
      <w:r>
        <w:rPr>
          <w:rFonts w:hint="eastAsia"/>
        </w:rPr>
        <w:t>3</w:t>
      </w:r>
    </w:p>
    <w:p w:rsidR="00A93F62" w:rsidRDefault="00A93F62">
      <w:pPr>
        <w:pStyle w:val="a1"/>
        <w:rPr>
          <w:rFonts w:hint="eastAsia"/>
        </w:rPr>
      </w:pPr>
      <w:r>
        <w:rPr>
          <w:rFonts w:hint="eastAsia"/>
        </w:rPr>
        <w:tab/>
      </w:r>
      <w:r>
        <w:rPr>
          <w:rFonts w:hint="eastAsia"/>
        </w:rPr>
        <w:tab/>
      </w:r>
      <w:r>
        <w:t>第九条</w:t>
      </w:r>
      <w:r>
        <w:t xml:space="preserve">. </w:t>
      </w:r>
      <w:r>
        <w:rPr>
          <w:rFonts w:hint="eastAsia"/>
        </w:rPr>
        <w:t>享受</w:t>
      </w:r>
      <w:r>
        <w:t>社会保险</w:t>
      </w:r>
      <w:r>
        <w:rPr>
          <w:rFonts w:hint="eastAsia"/>
        </w:rPr>
        <w:t>的</w:t>
      </w:r>
      <w:r>
        <w:t>权利</w:t>
      </w:r>
      <w:r>
        <w:rPr>
          <w:rFonts w:hint="eastAsia"/>
        </w:rPr>
        <w:tab/>
      </w:r>
      <w:r>
        <w:rPr>
          <w:rFonts w:hint="eastAsia"/>
        </w:rPr>
        <w:tab/>
      </w:r>
      <w:r>
        <w:t>151-170</w:t>
      </w:r>
      <w:r>
        <w:rPr>
          <w:rFonts w:hint="eastAsia"/>
        </w:rPr>
        <w:tab/>
      </w:r>
      <w:r>
        <w:t>2</w:t>
      </w:r>
      <w:r>
        <w:rPr>
          <w:rFonts w:hint="eastAsia"/>
        </w:rPr>
        <w:t>5</w:t>
      </w:r>
    </w:p>
    <w:p w:rsidR="00A93F62" w:rsidRDefault="00A93F62">
      <w:pPr>
        <w:pStyle w:val="a1"/>
        <w:rPr>
          <w:rFonts w:hint="eastAsia"/>
        </w:rPr>
      </w:pPr>
      <w:r>
        <w:rPr>
          <w:rFonts w:hint="eastAsia"/>
        </w:rPr>
        <w:tab/>
      </w:r>
      <w:r>
        <w:rPr>
          <w:rFonts w:hint="eastAsia"/>
        </w:rPr>
        <w:tab/>
      </w:r>
      <w:r>
        <w:t>第十条</w:t>
      </w:r>
      <w:r>
        <w:t xml:space="preserve">. </w:t>
      </w:r>
      <w:r>
        <w:t>婚姻和家庭生活权</w:t>
      </w:r>
      <w:r>
        <w:rPr>
          <w:rFonts w:hint="eastAsia"/>
        </w:rPr>
        <w:tab/>
      </w:r>
      <w:r>
        <w:rPr>
          <w:rFonts w:hint="eastAsia"/>
        </w:rPr>
        <w:tab/>
      </w:r>
      <w:r>
        <w:t>171-198</w:t>
      </w:r>
      <w:r>
        <w:rPr>
          <w:rFonts w:hint="eastAsia"/>
        </w:rPr>
        <w:tab/>
        <w:t>30</w:t>
      </w:r>
    </w:p>
    <w:p w:rsidR="00A93F62" w:rsidRDefault="00A93F62">
      <w:pPr>
        <w:pStyle w:val="a1"/>
        <w:rPr>
          <w:rFonts w:hint="eastAsia"/>
        </w:rPr>
      </w:pPr>
      <w:r>
        <w:rPr>
          <w:rFonts w:hint="eastAsia"/>
        </w:rPr>
        <w:tab/>
      </w:r>
      <w:r>
        <w:rPr>
          <w:rFonts w:hint="eastAsia"/>
        </w:rPr>
        <w:tab/>
      </w:r>
      <w:r>
        <w:t>第十一条</w:t>
      </w:r>
      <w:r>
        <w:t xml:space="preserve">. </w:t>
      </w:r>
      <w:r>
        <w:t>生活水</w:t>
      </w:r>
      <w:r>
        <w:rPr>
          <w:rFonts w:hint="eastAsia"/>
        </w:rPr>
        <w:t>准</w:t>
      </w:r>
      <w:r>
        <w:rPr>
          <w:rFonts w:hint="eastAsia"/>
        </w:rPr>
        <w:tab/>
      </w:r>
      <w:r>
        <w:rPr>
          <w:rFonts w:hint="eastAsia"/>
        </w:rPr>
        <w:tab/>
      </w:r>
      <w:r>
        <w:t>199-222</w:t>
      </w:r>
      <w:r>
        <w:rPr>
          <w:rFonts w:hint="eastAsia"/>
        </w:rPr>
        <w:tab/>
        <w:t>33</w:t>
      </w:r>
    </w:p>
    <w:p w:rsidR="00A93F62" w:rsidRDefault="00A93F62">
      <w:pPr>
        <w:pStyle w:val="a1"/>
        <w:rPr>
          <w:rFonts w:hint="eastAsia"/>
        </w:rPr>
      </w:pPr>
      <w:r>
        <w:rPr>
          <w:rFonts w:hint="eastAsia"/>
        </w:rPr>
        <w:tab/>
      </w:r>
      <w:r>
        <w:rPr>
          <w:rFonts w:hint="eastAsia"/>
        </w:rPr>
        <w:tab/>
      </w:r>
      <w:r>
        <w:t>第十二条</w:t>
      </w:r>
      <w:r>
        <w:t xml:space="preserve">. </w:t>
      </w:r>
      <w:r>
        <w:t>享受医疗服务权</w:t>
      </w:r>
      <w:r>
        <w:rPr>
          <w:rFonts w:hint="eastAsia"/>
        </w:rPr>
        <w:tab/>
      </w:r>
      <w:r>
        <w:rPr>
          <w:rFonts w:hint="eastAsia"/>
        </w:rPr>
        <w:tab/>
      </w:r>
      <w:r>
        <w:t>223-284</w:t>
      </w:r>
      <w:r>
        <w:rPr>
          <w:rFonts w:hint="eastAsia"/>
        </w:rPr>
        <w:tab/>
        <w:t>42</w:t>
      </w:r>
    </w:p>
    <w:p w:rsidR="00A93F62" w:rsidRDefault="00A93F62">
      <w:pPr>
        <w:pStyle w:val="a1"/>
        <w:rPr>
          <w:rFonts w:hint="eastAsia"/>
        </w:rPr>
      </w:pPr>
      <w:r>
        <w:rPr>
          <w:rFonts w:hint="eastAsia"/>
        </w:rPr>
        <w:tab/>
      </w:r>
      <w:r>
        <w:rPr>
          <w:rFonts w:hint="eastAsia"/>
        </w:rPr>
        <w:tab/>
      </w:r>
      <w:r>
        <w:t>第十三条</w:t>
      </w:r>
      <w:r>
        <w:t xml:space="preserve">. </w:t>
      </w:r>
      <w:r>
        <w:rPr>
          <w:rFonts w:hint="eastAsia"/>
        </w:rPr>
        <w:t>受</w:t>
      </w:r>
      <w:r>
        <w:t>教育权</w:t>
      </w:r>
      <w:r>
        <w:rPr>
          <w:rFonts w:hint="eastAsia"/>
        </w:rPr>
        <w:tab/>
      </w:r>
      <w:r>
        <w:rPr>
          <w:rFonts w:hint="eastAsia"/>
        </w:rPr>
        <w:tab/>
      </w:r>
      <w:r>
        <w:t>285-342</w:t>
      </w:r>
      <w:r>
        <w:rPr>
          <w:rFonts w:hint="eastAsia"/>
        </w:rPr>
        <w:tab/>
        <w:t>53</w:t>
      </w:r>
    </w:p>
    <w:p w:rsidR="00A93F62" w:rsidRDefault="00A93F62">
      <w:pPr>
        <w:pStyle w:val="a1"/>
        <w:rPr>
          <w:rFonts w:hint="eastAsia"/>
        </w:rPr>
      </w:pPr>
      <w:r>
        <w:rPr>
          <w:rFonts w:hint="eastAsia"/>
        </w:rPr>
        <w:tab/>
      </w:r>
      <w:r>
        <w:rPr>
          <w:rFonts w:hint="eastAsia"/>
        </w:rPr>
        <w:tab/>
      </w:r>
      <w:r>
        <w:t>第十四条</w:t>
      </w:r>
      <w:r>
        <w:t xml:space="preserve">. </w:t>
      </w:r>
      <w:r>
        <w:t>免费义务教育权</w:t>
      </w:r>
      <w:r>
        <w:t>…………</w:t>
      </w:r>
      <w:r>
        <w:rPr>
          <w:rFonts w:hint="eastAsia"/>
        </w:rPr>
        <w:t>..</w:t>
      </w:r>
      <w:r>
        <w:rPr>
          <w:rFonts w:hint="eastAsia"/>
        </w:rPr>
        <w:tab/>
      </w:r>
      <w:r>
        <w:rPr>
          <w:rFonts w:hint="eastAsia"/>
        </w:rPr>
        <w:tab/>
      </w:r>
      <w:r>
        <w:t>343-346</w:t>
      </w:r>
      <w:r>
        <w:rPr>
          <w:rFonts w:hint="eastAsia"/>
        </w:rPr>
        <w:tab/>
        <w:t>65</w:t>
      </w:r>
    </w:p>
    <w:p w:rsidR="00A93F62" w:rsidRDefault="00A93F62">
      <w:pPr>
        <w:pStyle w:val="a1"/>
        <w:rPr>
          <w:rFonts w:hint="eastAsia"/>
        </w:rPr>
      </w:pPr>
      <w:r>
        <w:rPr>
          <w:rFonts w:hint="eastAsia"/>
        </w:rPr>
        <w:tab/>
      </w:r>
      <w:r>
        <w:rPr>
          <w:rFonts w:hint="eastAsia"/>
        </w:rPr>
        <w:tab/>
      </w:r>
      <w:r>
        <w:t>第十五条</w:t>
      </w:r>
      <w:r>
        <w:t xml:space="preserve">. </w:t>
      </w:r>
      <w:r>
        <w:t>参</w:t>
      </w:r>
      <w:r>
        <w:rPr>
          <w:rFonts w:hint="eastAsia"/>
        </w:rPr>
        <w:t>加</w:t>
      </w:r>
      <w:r>
        <w:t>文化生活的权利</w:t>
      </w:r>
      <w:r>
        <w:rPr>
          <w:rFonts w:hint="eastAsia"/>
        </w:rPr>
        <w:tab/>
      </w:r>
      <w:r>
        <w:rPr>
          <w:rFonts w:hint="eastAsia"/>
        </w:rPr>
        <w:tab/>
      </w:r>
      <w:r>
        <w:t>347-377</w:t>
      </w:r>
      <w:r>
        <w:rPr>
          <w:rFonts w:hint="eastAsia"/>
        </w:rPr>
        <w:tab/>
        <w:t>65</w:t>
      </w:r>
    </w:p>
    <w:p w:rsidR="00A93F62" w:rsidRDefault="00A93F62">
      <w:pPr>
        <w:tabs>
          <w:tab w:val="clear" w:pos="431"/>
        </w:tabs>
        <w:suppressAutoHyphens/>
        <w:overflowPunct/>
        <w:adjustRightInd/>
        <w:snapToGrid/>
        <w:spacing w:after="120" w:line="240" w:lineRule="atLeast"/>
        <w:ind w:left="1134" w:right="1134"/>
        <w:rPr>
          <w:rFonts w:hint="eastAsia"/>
          <w:snapToGrid/>
          <w:szCs w:val="21"/>
          <w:lang w:val="en-GB"/>
        </w:rPr>
      </w:pPr>
    </w:p>
    <w:p w:rsidR="00A93F62" w:rsidRDefault="00A93F62">
      <w:pPr>
        <w:pStyle w:val="HChGC"/>
        <w:ind w:hanging="703"/>
        <w:rPr>
          <w:rFonts w:hint="eastAsia"/>
          <w:snapToGrid/>
          <w:lang w:val="en-GB"/>
        </w:rPr>
      </w:pPr>
      <w:r>
        <w:rPr>
          <w:snapToGrid/>
          <w:szCs w:val="21"/>
          <w:lang w:val="en-GB"/>
        </w:rPr>
        <w:br w:type="page"/>
      </w:r>
      <w:r>
        <w:rPr>
          <w:snapToGrid/>
          <w:lang w:val="en-GB"/>
        </w:rPr>
        <w:t>一</w:t>
      </w:r>
      <w:r>
        <w:rPr>
          <w:snapToGrid/>
          <w:lang w:val="en-GB"/>
        </w:rPr>
        <w:t xml:space="preserve">.  </w:t>
      </w:r>
      <w:r>
        <w:rPr>
          <w:rFonts w:hint="eastAsia"/>
          <w:snapToGrid/>
          <w:lang w:val="en-GB"/>
        </w:rPr>
        <w:t>导言</w:t>
      </w:r>
    </w:p>
    <w:p w:rsidR="00A93F62" w:rsidRDefault="00A93F62">
      <w:pPr>
        <w:pStyle w:val="SingleTxtGC"/>
        <w:rPr>
          <w:snapToGrid/>
          <w:lang w:val="en-GB"/>
        </w:rPr>
      </w:pPr>
      <w:r>
        <w:rPr>
          <w:snapToGrid/>
          <w:lang w:val="en-GB"/>
        </w:rPr>
        <w:t xml:space="preserve">1.  </w:t>
      </w:r>
      <w:r>
        <w:rPr>
          <w:snapToGrid/>
          <w:lang w:val="en-GB"/>
        </w:rPr>
        <w:t>土库曼斯坦于</w:t>
      </w:r>
      <w:smartTag w:uri="urn:schemas-microsoft-com:office:smarttags" w:element="chsdate">
        <w:smartTagPr>
          <w:attr w:name="IsROCDate" w:val="False"/>
          <w:attr w:name="IsLunarDate" w:val="False"/>
          <w:attr w:name="Day" w:val="20"/>
          <w:attr w:name="Month" w:val="12"/>
          <w:attr w:name="Year" w:val="1996"/>
        </w:smartTagPr>
        <w:r>
          <w:rPr>
            <w:snapToGrid/>
            <w:lang w:val="en-GB"/>
          </w:rPr>
          <w:t>1996</w:t>
        </w:r>
        <w:r>
          <w:rPr>
            <w:snapToGrid/>
            <w:lang w:val="en-GB"/>
          </w:rPr>
          <w:t>年</w:t>
        </w:r>
        <w:r>
          <w:rPr>
            <w:snapToGrid/>
            <w:lang w:val="en-GB"/>
          </w:rPr>
          <w:t>12</w:t>
        </w:r>
        <w:r>
          <w:rPr>
            <w:snapToGrid/>
            <w:lang w:val="en-GB"/>
          </w:rPr>
          <w:t>月</w:t>
        </w:r>
        <w:r>
          <w:rPr>
            <w:snapToGrid/>
            <w:lang w:val="en-GB"/>
          </w:rPr>
          <w:t>20</w:t>
        </w:r>
        <w:r>
          <w:rPr>
            <w:snapToGrid/>
            <w:lang w:val="en-GB"/>
          </w:rPr>
          <w:t>日</w:t>
        </w:r>
      </w:smartTag>
      <w:r>
        <w:rPr>
          <w:snapToGrid/>
          <w:lang w:val="en-GB"/>
        </w:rPr>
        <w:t>加入《</w:t>
      </w:r>
      <w:r>
        <w:rPr>
          <w:rFonts w:hAnsi="SimSun"/>
          <w:iCs/>
          <w:snapToGrid/>
          <w:lang w:val="en-GB"/>
        </w:rPr>
        <w:t>经济</w:t>
      </w:r>
      <w:r>
        <w:rPr>
          <w:rFonts w:hAnsi="SimSun"/>
          <w:snapToGrid/>
          <w:lang w:val="en-GB"/>
        </w:rPr>
        <w:t>、</w:t>
      </w:r>
      <w:r>
        <w:rPr>
          <w:rFonts w:hAnsi="SimSun"/>
          <w:iCs/>
          <w:snapToGrid/>
          <w:lang w:val="en-GB"/>
        </w:rPr>
        <w:t>社会</w:t>
      </w:r>
      <w:r>
        <w:rPr>
          <w:rFonts w:hAnsi="Arial"/>
          <w:snapToGrid/>
          <w:lang w:val="en-GB"/>
        </w:rPr>
        <w:t>、文化权利国际公约》</w:t>
      </w:r>
      <w:r>
        <w:rPr>
          <w:snapToGrid/>
          <w:lang w:val="en-GB"/>
        </w:rPr>
        <w:t>(</w:t>
      </w:r>
      <w:r>
        <w:rPr>
          <w:rFonts w:hAnsi="Arial"/>
          <w:snapToGrid/>
          <w:lang w:val="en-GB"/>
        </w:rPr>
        <w:t>以下称《公约》</w:t>
      </w:r>
      <w:r>
        <w:rPr>
          <w:snapToGrid/>
          <w:lang w:val="en-GB"/>
        </w:rPr>
        <w:t>)</w:t>
      </w:r>
      <w:r>
        <w:rPr>
          <w:rFonts w:hAnsi="Arial"/>
          <w:snapToGrid/>
          <w:lang w:val="en-GB"/>
        </w:rPr>
        <w:t>。</w:t>
      </w:r>
    </w:p>
    <w:p w:rsidR="00A93F62" w:rsidRDefault="00A93F62">
      <w:pPr>
        <w:pStyle w:val="SingleTxtGC"/>
        <w:rPr>
          <w:snapToGrid/>
          <w:lang w:val="en-GB"/>
        </w:rPr>
      </w:pPr>
      <w:r>
        <w:rPr>
          <w:snapToGrid/>
          <w:lang w:val="en-GB"/>
        </w:rPr>
        <w:t>2.  2007</w:t>
      </w:r>
      <w:r>
        <w:rPr>
          <w:snapToGrid/>
          <w:lang w:val="en-GB"/>
        </w:rPr>
        <w:t>年，成立了常委土库曼斯坦保障履行国际人权义务部门间委员会</w:t>
      </w:r>
      <w:r>
        <w:rPr>
          <w:snapToGrid/>
          <w:lang w:val="en-GB"/>
        </w:rPr>
        <w:t>(</w:t>
      </w:r>
      <w:r>
        <w:rPr>
          <w:snapToGrid/>
          <w:lang w:val="en-GB"/>
        </w:rPr>
        <w:t>以下称委员会</w:t>
      </w:r>
      <w:r>
        <w:rPr>
          <w:snapToGrid/>
          <w:lang w:val="en-GB"/>
        </w:rPr>
        <w:t>)</w:t>
      </w:r>
      <w:r>
        <w:rPr>
          <w:snapToGrid/>
          <w:lang w:val="en-GB"/>
        </w:rPr>
        <w:t>。编制土库曼斯坦国际人权条约执行情况的国家报告以提交联合国各条约组织是委员会的主要工作方向。编制《公约》执行情况的报告的过程是透明的。委员会和专家工作组举行</w:t>
      </w:r>
      <w:r>
        <w:rPr>
          <w:snapToGrid/>
          <w:lang w:val="en-GB"/>
        </w:rPr>
        <w:t>“</w:t>
      </w:r>
      <w:r>
        <w:rPr>
          <w:snapToGrid/>
          <w:lang w:val="en-GB"/>
        </w:rPr>
        <w:t>圆桌会议</w:t>
      </w:r>
      <w:r>
        <w:rPr>
          <w:snapToGrid/>
          <w:lang w:val="en-GB"/>
        </w:rPr>
        <w:t>”</w:t>
      </w:r>
      <w:r>
        <w:rPr>
          <w:snapToGrid/>
          <w:lang w:val="en-GB"/>
        </w:rPr>
        <w:t>，讨论国家报告草案。国际专家，国家机构、社会团体和国际组织都派代表与会。</w:t>
      </w:r>
    </w:p>
    <w:p w:rsidR="00A93F62" w:rsidRDefault="00A93F62">
      <w:pPr>
        <w:pStyle w:val="SingleTxtGC"/>
        <w:rPr>
          <w:snapToGrid/>
          <w:lang w:val="en-GB"/>
        </w:rPr>
      </w:pPr>
      <w:r>
        <w:rPr>
          <w:snapToGrid/>
          <w:szCs w:val="21"/>
          <w:lang w:val="en-GB"/>
        </w:rPr>
        <w:t xml:space="preserve">3.  </w:t>
      </w:r>
      <w:r>
        <w:rPr>
          <w:snapToGrid/>
          <w:szCs w:val="21"/>
          <w:lang w:val="en-GB"/>
        </w:rPr>
        <w:t>本报告是根</w:t>
      </w:r>
      <w:r>
        <w:rPr>
          <w:snapToGrid/>
          <w:lang w:val="en-GB"/>
        </w:rPr>
        <w:t>据《公约》第</w:t>
      </w:r>
      <w:r>
        <w:rPr>
          <w:rFonts w:hint="eastAsia"/>
          <w:snapToGrid/>
          <w:lang w:val="en-GB"/>
        </w:rPr>
        <w:t>十六</w:t>
      </w:r>
      <w:r>
        <w:rPr>
          <w:snapToGrid/>
          <w:lang w:val="en-GB"/>
        </w:rPr>
        <w:t>条第</w:t>
      </w:r>
      <w:r>
        <w:rPr>
          <w:rFonts w:hint="eastAsia"/>
          <w:snapToGrid/>
          <w:lang w:val="en-GB"/>
        </w:rPr>
        <w:t>一</w:t>
      </w:r>
      <w:r>
        <w:rPr>
          <w:snapToGrid/>
          <w:lang w:val="en-GB"/>
        </w:rPr>
        <w:t>款</w:t>
      </w:r>
      <w:r>
        <w:rPr>
          <w:rFonts w:hint="eastAsia"/>
          <w:snapToGrid/>
          <w:lang w:val="en-GB"/>
        </w:rPr>
        <w:t>(</w:t>
      </w:r>
      <w:r>
        <w:rPr>
          <w:rFonts w:hint="eastAsia"/>
          <w:snapToGrid/>
          <w:lang w:val="en-GB"/>
        </w:rPr>
        <w:t>甲</w:t>
      </w:r>
      <w:r>
        <w:rPr>
          <w:rFonts w:hint="eastAsia"/>
          <w:snapToGrid/>
          <w:lang w:val="en-GB"/>
        </w:rPr>
        <w:t>)</w:t>
      </w:r>
      <w:r>
        <w:rPr>
          <w:rFonts w:hint="eastAsia"/>
          <w:snapToGrid/>
          <w:lang w:val="en-GB"/>
        </w:rPr>
        <w:t>项</w:t>
      </w:r>
      <w:r>
        <w:rPr>
          <w:snapToGrid/>
          <w:lang w:val="en-GB"/>
        </w:rPr>
        <w:t>有关初次报告的格式与内容的一般指导原则编写的。负责解决公民权利保障实施问题的土库曼斯坦各部委和国家机关提供的信息，以及自从事本报告所述问题研究的社会团体处获知的资料，是本报告的依据。</w:t>
      </w:r>
    </w:p>
    <w:p w:rsidR="00A93F62" w:rsidRDefault="00A93F62">
      <w:pPr>
        <w:pStyle w:val="SingleTxtGC"/>
        <w:rPr>
          <w:snapToGrid/>
          <w:lang w:val="en-GB"/>
        </w:rPr>
      </w:pPr>
      <w:r>
        <w:rPr>
          <w:snapToGrid/>
          <w:lang w:val="en-GB"/>
        </w:rPr>
        <w:t xml:space="preserve">4.  </w:t>
      </w:r>
      <w:r>
        <w:rPr>
          <w:snapToGrid/>
          <w:lang w:val="en-GB"/>
        </w:rPr>
        <w:t>作为呈送经济、社会</w:t>
      </w:r>
      <w:r>
        <w:rPr>
          <w:rFonts w:hint="eastAsia"/>
          <w:snapToGrid/>
          <w:lang w:val="en-GB"/>
        </w:rPr>
        <w:t>、</w:t>
      </w:r>
      <w:r>
        <w:rPr>
          <w:snapToGrid/>
          <w:lang w:val="en-GB"/>
        </w:rPr>
        <w:t>文化权利委员会的初次报告，本国家报告包括协调《公约》所涵盖问题的所有主要法规。</w:t>
      </w:r>
    </w:p>
    <w:p w:rsidR="00A93F62" w:rsidRDefault="00A93F62">
      <w:pPr>
        <w:pStyle w:val="SingleTxtGC"/>
        <w:rPr>
          <w:snapToGrid/>
          <w:szCs w:val="21"/>
          <w:lang w:val="en-GB"/>
        </w:rPr>
      </w:pPr>
      <w:r>
        <w:rPr>
          <w:snapToGrid/>
          <w:lang w:val="en-GB"/>
        </w:rPr>
        <w:t xml:space="preserve">5.  </w:t>
      </w:r>
      <w:r>
        <w:rPr>
          <w:snapToGrid/>
          <w:lang w:val="en-GB"/>
        </w:rPr>
        <w:t>编写报告的过程中向社会广泛介绍本报告内容的工作就已开始。委员会多次同中央、地方权力与管</w:t>
      </w:r>
      <w:r>
        <w:rPr>
          <w:snapToGrid/>
          <w:szCs w:val="21"/>
          <w:lang w:val="en-GB"/>
        </w:rPr>
        <w:t>理机构的代表进行协商与咨询。报告草案被寄发给国家部委、社会团体、国际专家，听取他们的意见建议，并在报告终稿中有所体现。</w:t>
      </w:r>
    </w:p>
    <w:p w:rsidR="00A93F62" w:rsidRDefault="00A93F62">
      <w:pPr>
        <w:pStyle w:val="HChGC"/>
        <w:rPr>
          <w:snapToGrid/>
          <w:lang w:val="en-GB"/>
        </w:rPr>
      </w:pPr>
      <w:r>
        <w:rPr>
          <w:rFonts w:hint="eastAsia"/>
          <w:snapToGrid/>
          <w:lang w:val="en-GB"/>
        </w:rPr>
        <w:tab/>
      </w:r>
      <w:r>
        <w:rPr>
          <w:snapToGrid/>
          <w:lang w:val="en-GB"/>
        </w:rPr>
        <w:t>二</w:t>
      </w:r>
      <w:r>
        <w:rPr>
          <w:snapToGrid/>
          <w:lang w:val="en-GB"/>
        </w:rPr>
        <w:t>.</w:t>
      </w:r>
      <w:r>
        <w:rPr>
          <w:rFonts w:hint="eastAsia"/>
          <w:snapToGrid/>
          <w:lang w:val="en-GB"/>
        </w:rPr>
        <w:tab/>
      </w:r>
      <w:r>
        <w:rPr>
          <w:snapToGrid/>
          <w:lang w:val="en-GB"/>
        </w:rPr>
        <w:t>条款</w:t>
      </w:r>
    </w:p>
    <w:p w:rsidR="00A93F62" w:rsidRDefault="00A93F62">
      <w:pPr>
        <w:pStyle w:val="H1GC"/>
        <w:rPr>
          <w:snapToGrid/>
          <w:lang w:val="en-GB"/>
        </w:rPr>
      </w:pPr>
      <w:r>
        <w:rPr>
          <w:rFonts w:hint="eastAsia"/>
          <w:snapToGrid/>
          <w:lang w:val="en-GB"/>
        </w:rPr>
        <w:tab/>
      </w:r>
      <w:r>
        <w:rPr>
          <w:rFonts w:hint="eastAsia"/>
          <w:snapToGrid/>
          <w:lang w:val="en-GB"/>
        </w:rPr>
        <w:tab/>
      </w:r>
      <w:r>
        <w:rPr>
          <w:snapToGrid/>
          <w:lang w:val="en-GB"/>
        </w:rPr>
        <w:t>第一条</w:t>
      </w:r>
      <w:r>
        <w:rPr>
          <w:snapToGrid/>
          <w:lang w:val="en-GB"/>
        </w:rPr>
        <w:t xml:space="preserve"> </w:t>
      </w:r>
      <w:r>
        <w:rPr>
          <w:rFonts w:hint="eastAsia"/>
          <w:snapToGrid/>
          <w:lang w:val="en-GB"/>
        </w:rPr>
        <w:br/>
      </w:r>
      <w:r>
        <w:rPr>
          <w:snapToGrid/>
          <w:lang w:val="en-GB"/>
        </w:rPr>
        <w:t>自决权</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rFonts w:hAnsi="SimSun"/>
          <w:snapToGrid/>
          <w:szCs w:val="21"/>
          <w:lang w:val="en-GB"/>
        </w:rPr>
        <w:t>土库曼斯坦于</w:t>
      </w:r>
      <w:smartTag w:uri="urn:schemas-microsoft-com:office:smarttags" w:element="chsdate">
        <w:smartTagPr>
          <w:attr w:name="IsROCDate" w:val="False"/>
          <w:attr w:name="IsLunarDate" w:val="False"/>
          <w:attr w:name="Day" w:val="27"/>
          <w:attr w:name="Month" w:val="10"/>
          <w:attr w:name="Year" w:val="1991"/>
        </w:smartTagPr>
        <w:r>
          <w:rPr>
            <w:snapToGrid/>
            <w:szCs w:val="21"/>
            <w:lang w:val="en-GB"/>
          </w:rPr>
          <w:t>1991</w:t>
        </w:r>
        <w:r>
          <w:rPr>
            <w:rFonts w:hAnsi="SimSun"/>
            <w:snapToGrid/>
            <w:szCs w:val="21"/>
            <w:lang w:val="en-GB"/>
          </w:rPr>
          <w:t>年</w:t>
        </w:r>
        <w:r>
          <w:rPr>
            <w:snapToGrid/>
            <w:szCs w:val="21"/>
            <w:lang w:val="en-GB"/>
          </w:rPr>
          <w:t>10</w:t>
        </w:r>
        <w:r>
          <w:rPr>
            <w:rFonts w:hAnsi="SimSun"/>
            <w:snapToGrid/>
            <w:szCs w:val="21"/>
            <w:lang w:val="en-GB"/>
          </w:rPr>
          <w:t>月</w:t>
        </w:r>
        <w:r>
          <w:rPr>
            <w:snapToGrid/>
            <w:szCs w:val="21"/>
            <w:lang w:val="en-GB"/>
          </w:rPr>
          <w:t>27</w:t>
        </w:r>
        <w:r>
          <w:rPr>
            <w:rFonts w:hAnsi="SimSun"/>
            <w:snapToGrid/>
            <w:szCs w:val="21"/>
            <w:lang w:val="en-GB"/>
          </w:rPr>
          <w:t>日</w:t>
        </w:r>
      </w:smartTag>
      <w:r>
        <w:rPr>
          <w:rFonts w:hAnsi="SimSun"/>
          <w:snapToGrid/>
          <w:szCs w:val="21"/>
          <w:lang w:val="en-GB"/>
        </w:rPr>
        <w:t>宣布拥有自决权和独立权。根据</w:t>
      </w:r>
      <w:smartTag w:uri="urn:schemas-microsoft-com:office:smarttags" w:element="chsdate">
        <w:smartTagPr>
          <w:attr w:name="IsROCDate" w:val="False"/>
          <w:attr w:name="IsLunarDate" w:val="False"/>
          <w:attr w:name="Day" w:val="27"/>
          <w:attr w:name="Month" w:val="10"/>
          <w:attr w:name="Year" w:val="1991"/>
        </w:smartTagPr>
        <w:r>
          <w:rPr>
            <w:snapToGrid/>
            <w:szCs w:val="21"/>
            <w:lang w:val="en-GB"/>
          </w:rPr>
          <w:t>1991</w:t>
        </w:r>
        <w:r>
          <w:rPr>
            <w:rFonts w:hAnsi="SimSun"/>
            <w:snapToGrid/>
            <w:szCs w:val="21"/>
            <w:lang w:val="en-GB"/>
          </w:rPr>
          <w:t>年</w:t>
        </w:r>
        <w:r>
          <w:rPr>
            <w:snapToGrid/>
            <w:szCs w:val="21"/>
            <w:lang w:val="en-GB"/>
          </w:rPr>
          <w:t>10</w:t>
        </w:r>
        <w:r>
          <w:rPr>
            <w:rFonts w:hAnsi="SimSun"/>
            <w:snapToGrid/>
            <w:szCs w:val="21"/>
            <w:lang w:val="en-GB"/>
          </w:rPr>
          <w:t>月</w:t>
        </w:r>
        <w:r>
          <w:rPr>
            <w:snapToGrid/>
            <w:szCs w:val="21"/>
            <w:lang w:val="en-GB"/>
          </w:rPr>
          <w:t>27</w:t>
        </w:r>
        <w:r>
          <w:rPr>
            <w:rFonts w:hAnsi="SimSun"/>
            <w:snapToGrid/>
            <w:szCs w:val="21"/>
            <w:lang w:val="en-GB"/>
          </w:rPr>
          <w:t>日</w:t>
        </w:r>
      </w:smartTag>
      <w:r>
        <w:rPr>
          <w:rFonts w:hAnsi="SimSun"/>
          <w:snapToGrid/>
          <w:szCs w:val="21"/>
          <w:lang w:val="en-GB"/>
        </w:rPr>
        <w:t>颁布的题为</w:t>
      </w:r>
      <w:r>
        <w:rPr>
          <w:snapToGrid/>
          <w:szCs w:val="21"/>
          <w:lang w:val="en-GB"/>
        </w:rPr>
        <w:t>“</w:t>
      </w:r>
      <w:r>
        <w:rPr>
          <w:rFonts w:hAnsi="SimSun"/>
          <w:snapToGrid/>
          <w:szCs w:val="21"/>
          <w:lang w:val="en-GB"/>
        </w:rPr>
        <w:t>关于土库曼斯坦独立和国家制度基础</w:t>
      </w:r>
      <w:r>
        <w:rPr>
          <w:snapToGrid/>
          <w:szCs w:val="21"/>
          <w:lang w:val="en-GB"/>
        </w:rPr>
        <w:t>”</w:t>
      </w:r>
      <w:r>
        <w:rPr>
          <w:rFonts w:hAnsi="SimSun"/>
          <w:snapToGrid/>
          <w:szCs w:val="21"/>
          <w:lang w:val="en-GB"/>
        </w:rPr>
        <w:t>的立宪法律以及</w:t>
      </w:r>
      <w:smartTag w:uri="urn:schemas-microsoft-com:office:smarttags" w:element="chsdate">
        <w:smartTagPr>
          <w:attr w:name="IsROCDate" w:val="False"/>
          <w:attr w:name="IsLunarDate" w:val="False"/>
          <w:attr w:name="Day" w:val="18"/>
          <w:attr w:name="Month" w:val="5"/>
          <w:attr w:name="Year" w:val="1992"/>
        </w:smartTagPr>
        <w:r>
          <w:rPr>
            <w:snapToGrid/>
            <w:szCs w:val="21"/>
            <w:lang w:val="en-GB"/>
          </w:rPr>
          <w:t>1992</w:t>
        </w:r>
        <w:r>
          <w:rPr>
            <w:rFonts w:hAnsi="SimSun"/>
            <w:snapToGrid/>
            <w:szCs w:val="21"/>
            <w:lang w:val="en-GB"/>
          </w:rPr>
          <w:t>年</w:t>
        </w:r>
        <w:r>
          <w:rPr>
            <w:snapToGrid/>
            <w:szCs w:val="21"/>
            <w:lang w:val="en-GB"/>
          </w:rPr>
          <w:t>5</w:t>
        </w:r>
        <w:r>
          <w:rPr>
            <w:rFonts w:hAnsi="SimSun"/>
            <w:snapToGrid/>
            <w:szCs w:val="21"/>
            <w:lang w:val="en-GB"/>
          </w:rPr>
          <w:t>月</w:t>
        </w:r>
        <w:r>
          <w:rPr>
            <w:snapToGrid/>
            <w:szCs w:val="21"/>
            <w:lang w:val="en-GB"/>
          </w:rPr>
          <w:t>18</w:t>
        </w:r>
        <w:r>
          <w:rPr>
            <w:rFonts w:hAnsi="SimSun"/>
            <w:snapToGrid/>
            <w:szCs w:val="21"/>
            <w:lang w:val="en-GB"/>
          </w:rPr>
          <w:t>日</w:t>
        </w:r>
      </w:smartTag>
      <w:r>
        <w:rPr>
          <w:rFonts w:hAnsi="SimSun"/>
          <w:snapToGrid/>
          <w:szCs w:val="21"/>
          <w:lang w:val="en-GB"/>
        </w:rPr>
        <w:t>颁布的《土库曼斯坦宪法》</w:t>
      </w:r>
      <w:r>
        <w:rPr>
          <w:snapToGrid/>
          <w:szCs w:val="21"/>
          <w:lang w:val="en-GB"/>
        </w:rPr>
        <w:t>(</w:t>
      </w:r>
      <w:r>
        <w:rPr>
          <w:rFonts w:hAnsi="SimSun"/>
          <w:snapToGrid/>
          <w:szCs w:val="21"/>
          <w:lang w:val="en-GB"/>
        </w:rPr>
        <w:t>新版本于</w:t>
      </w:r>
      <w:smartTag w:uri="urn:schemas-microsoft-com:office:smarttags" w:element="chsdate">
        <w:smartTagPr>
          <w:attr w:name="IsROCDate" w:val="False"/>
          <w:attr w:name="IsLunarDate" w:val="False"/>
          <w:attr w:name="Day" w:val="26"/>
          <w:attr w:name="Month" w:val="9"/>
          <w:attr w:name="Year" w:val="2008"/>
        </w:smartTagPr>
        <w:r>
          <w:rPr>
            <w:snapToGrid/>
            <w:szCs w:val="21"/>
            <w:lang w:val="en-GB"/>
          </w:rPr>
          <w:t>2008</w:t>
        </w:r>
        <w:r>
          <w:rPr>
            <w:rFonts w:hAnsi="SimSun"/>
            <w:snapToGrid/>
            <w:szCs w:val="21"/>
            <w:lang w:val="en-GB"/>
          </w:rPr>
          <w:t>年</w:t>
        </w:r>
        <w:r>
          <w:rPr>
            <w:snapToGrid/>
            <w:szCs w:val="21"/>
            <w:lang w:val="en-GB"/>
          </w:rPr>
          <w:t>9</w:t>
        </w:r>
        <w:r>
          <w:rPr>
            <w:rFonts w:hAnsi="SimSun"/>
            <w:snapToGrid/>
            <w:szCs w:val="21"/>
            <w:lang w:val="en-GB"/>
          </w:rPr>
          <w:t>月</w:t>
        </w:r>
        <w:r>
          <w:rPr>
            <w:snapToGrid/>
            <w:szCs w:val="21"/>
            <w:lang w:val="en-GB"/>
          </w:rPr>
          <w:t>26</w:t>
        </w:r>
        <w:r>
          <w:rPr>
            <w:rFonts w:hAnsi="SimSun"/>
            <w:snapToGrid/>
            <w:szCs w:val="21"/>
            <w:lang w:val="en-GB"/>
          </w:rPr>
          <w:t>日</w:t>
        </w:r>
      </w:smartTag>
      <w:r>
        <w:rPr>
          <w:rFonts w:hAnsi="SimSun"/>
          <w:snapToGrid/>
          <w:szCs w:val="21"/>
          <w:lang w:val="en-GB"/>
        </w:rPr>
        <w:t>颁布</w:t>
      </w:r>
      <w:r>
        <w:rPr>
          <w:snapToGrid/>
          <w:szCs w:val="21"/>
          <w:lang w:val="en-GB"/>
        </w:rPr>
        <w:t>)</w:t>
      </w:r>
      <w:r>
        <w:rPr>
          <w:rFonts w:hAnsi="SimSun"/>
          <w:snapToGrid/>
          <w:szCs w:val="21"/>
          <w:lang w:val="en-GB"/>
        </w:rPr>
        <w:t>，土库曼斯坦是一个以总统制共和国形式实现国家政体的民主、法制和世俗的国家。土库曼斯坦的国家主权和领土完整，不可分割。土库曼斯坦的国家政权建立在如下原则基础上：人民的权力至高无上，人民是政权的惟一源泉和载体；承认人是社会和国家最宝贵的财富；国家对人民负责并捍卫公民的生命、尊严、人格、自由、个人不可侵犯性、自然和不可转让的权利；国家权力机关分为立法权力机关、执行权力机关和司法权力机关；中央权力机关和地方自治机构的职能和权能分开。</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smartTag w:uri="urn:schemas-microsoft-com:office:smarttags" w:element="chsdate">
        <w:smartTagPr>
          <w:attr w:name="Year" w:val="1995"/>
          <w:attr w:name="Month" w:val="12"/>
          <w:attr w:name="Day" w:val="27"/>
          <w:attr w:name="IsLunarDate" w:val="False"/>
          <w:attr w:name="IsROCDate" w:val="False"/>
        </w:smartTagPr>
        <w:r>
          <w:rPr>
            <w:snapToGrid/>
            <w:szCs w:val="21"/>
            <w:lang w:val="en-GB"/>
          </w:rPr>
          <w:t>1995</w:t>
        </w:r>
        <w:r>
          <w:rPr>
            <w:snapToGrid/>
            <w:szCs w:val="21"/>
            <w:lang w:val="en-GB"/>
          </w:rPr>
          <w:t>年</w:t>
        </w:r>
        <w:r>
          <w:rPr>
            <w:snapToGrid/>
            <w:szCs w:val="21"/>
            <w:lang w:val="en-GB"/>
          </w:rPr>
          <w:t>12</w:t>
        </w:r>
        <w:r>
          <w:rPr>
            <w:snapToGrid/>
            <w:szCs w:val="21"/>
            <w:lang w:val="en-GB"/>
          </w:rPr>
          <w:t>月</w:t>
        </w:r>
        <w:r>
          <w:rPr>
            <w:snapToGrid/>
            <w:szCs w:val="21"/>
            <w:lang w:val="en-GB"/>
          </w:rPr>
          <w:t>27</w:t>
        </w:r>
        <w:r>
          <w:rPr>
            <w:snapToGrid/>
            <w:szCs w:val="21"/>
            <w:lang w:val="en-GB"/>
          </w:rPr>
          <w:t>日</w:t>
        </w:r>
      </w:smartTag>
      <w:r>
        <w:rPr>
          <w:snapToGrid/>
          <w:szCs w:val="21"/>
          <w:lang w:val="en-GB"/>
        </w:rPr>
        <w:t>，通过了</w:t>
      </w:r>
      <w:r>
        <w:rPr>
          <w:snapToGrid/>
          <w:szCs w:val="21"/>
          <w:lang w:val="en-GB"/>
        </w:rPr>
        <w:t>“</w:t>
      </w:r>
      <w:r>
        <w:rPr>
          <w:snapToGrid/>
          <w:szCs w:val="21"/>
          <w:lang w:val="en-GB"/>
        </w:rPr>
        <w:t>关于土库曼斯坦永久中立</w:t>
      </w:r>
      <w:r>
        <w:rPr>
          <w:snapToGrid/>
          <w:szCs w:val="21"/>
          <w:lang w:val="en-GB"/>
        </w:rPr>
        <w:t>”</w:t>
      </w:r>
      <w:r>
        <w:rPr>
          <w:snapToGrid/>
          <w:szCs w:val="21"/>
          <w:lang w:val="en-GB"/>
        </w:rPr>
        <w:t>的宪法法律。根据《土库曼斯坦宪法》，确立了土库曼斯坦永久中立的政治、经济和人文依据，并通过</w:t>
      </w:r>
      <w:smartTag w:uri="urn:schemas-microsoft-com:office:smarttags" w:element="chsdate">
        <w:smartTagPr>
          <w:attr w:name="Year" w:val="1995"/>
          <w:attr w:name="Month" w:val="12"/>
          <w:attr w:name="Day" w:val="12"/>
          <w:attr w:name="IsLunarDate" w:val="False"/>
          <w:attr w:name="IsROCDate" w:val="False"/>
        </w:smartTagPr>
        <w:r>
          <w:rPr>
            <w:snapToGrid/>
            <w:szCs w:val="21"/>
            <w:lang w:val="en-GB"/>
          </w:rPr>
          <w:t>1995</w:t>
        </w:r>
        <w:r>
          <w:rPr>
            <w:snapToGrid/>
            <w:szCs w:val="21"/>
            <w:lang w:val="en-GB"/>
          </w:rPr>
          <w:t>年</w:t>
        </w:r>
        <w:r>
          <w:rPr>
            <w:snapToGrid/>
            <w:szCs w:val="21"/>
            <w:lang w:val="en-GB"/>
          </w:rPr>
          <w:t>12</w:t>
        </w:r>
        <w:r>
          <w:rPr>
            <w:snapToGrid/>
            <w:szCs w:val="21"/>
            <w:lang w:val="en-GB"/>
          </w:rPr>
          <w:t>月</w:t>
        </w:r>
        <w:r>
          <w:rPr>
            <w:snapToGrid/>
            <w:szCs w:val="21"/>
            <w:lang w:val="en-GB"/>
          </w:rPr>
          <w:t>12</w:t>
        </w:r>
        <w:r>
          <w:rPr>
            <w:snapToGrid/>
            <w:szCs w:val="21"/>
            <w:lang w:val="en-GB"/>
          </w:rPr>
          <w:t>日</w:t>
        </w:r>
      </w:smartTag>
      <w:r>
        <w:rPr>
          <w:snapToGrid/>
          <w:szCs w:val="21"/>
          <w:lang w:val="en-GB"/>
        </w:rPr>
        <w:t>关于土库曼斯坦永久中立的联合国大会决议获得了国际社会的承认与支持。土库曼斯坦的永久中立是国家内政外交的原则，目的在于加强社会和谐稳定，发展与地区及世界各国的互惠互利关系。</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作为在国际社会享有充分权力的国家，土库曼斯坦自主制订实施本国的对外政策，直接加入联合国与其他国际组织，建立外交、领事、商贸及其它关系，互设全权代表处，签署国际条约。</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土库曼斯坦的经济建立在市场经济基础上。国家保证平等保护各种所有制形式，并为其发展创造平等条件。土库曼斯坦批准私营经济有权拥有生产资料、土地、其它物质财富和精神财富，它们也可以属于公民联合企业与国家。法律规定有属于国家专有财产的清单。</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土库曼斯坦自主决定本国财政政策和货币制度，建立国有银行机构。</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土库曼斯坦自主决定本国的军事政策，保证领土完整，保护独立性，拥有武装队伍。在国家领土上不使用核武器、化学武器、细菌武器及其它的大规模杀伤武器。</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土库曼斯坦关心土库曼民族、民族自觉、民间传统的民族文化复兴，保证土库曼语作为官方语言使用。保证共和国地域内各民族的民族文化得到自由发展的权利。</w:t>
      </w:r>
    </w:p>
    <w:p w:rsidR="00A93F62" w:rsidRDefault="00A93F62">
      <w:pPr>
        <w:pStyle w:val="H1GC"/>
        <w:rPr>
          <w:snapToGrid/>
          <w:lang w:val="en-GB"/>
        </w:rPr>
      </w:pPr>
      <w:r>
        <w:rPr>
          <w:rFonts w:hint="eastAsia"/>
          <w:snapToGrid/>
          <w:lang w:val="en-GB"/>
        </w:rPr>
        <w:tab/>
      </w:r>
      <w:r>
        <w:rPr>
          <w:rFonts w:hint="eastAsia"/>
          <w:snapToGrid/>
          <w:lang w:val="en-GB"/>
        </w:rPr>
        <w:tab/>
      </w:r>
      <w:r>
        <w:rPr>
          <w:snapToGrid/>
          <w:lang w:val="en-GB"/>
        </w:rPr>
        <w:t>第二条</w:t>
      </w:r>
      <w:r>
        <w:rPr>
          <w:snapToGrid/>
          <w:lang w:val="en-GB"/>
        </w:rPr>
        <w:t xml:space="preserve"> </w:t>
      </w:r>
      <w:r>
        <w:rPr>
          <w:rFonts w:hint="eastAsia"/>
          <w:snapToGrid/>
          <w:lang w:val="en-GB"/>
        </w:rPr>
        <w:br/>
      </w:r>
      <w:r>
        <w:rPr>
          <w:snapToGrid/>
          <w:lang w:val="en-GB"/>
        </w:rPr>
        <w:t>禁止歧视</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根据《宪法》第</w:t>
      </w:r>
      <w:r>
        <w:rPr>
          <w:snapToGrid/>
          <w:szCs w:val="21"/>
          <w:lang w:val="en-GB"/>
        </w:rPr>
        <w:t>19</w:t>
      </w:r>
      <w:r>
        <w:rPr>
          <w:snapToGrid/>
          <w:szCs w:val="21"/>
          <w:lang w:val="en-GB"/>
        </w:rPr>
        <w:t>条，保障平等的人权和公民权利和自由，而不论其国籍、种族、性别、出身、财富、地位、居住地点、语言、对宗教的态度、政治信念、或者参加或不参加某一政党的情况如何。</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权利与自由，就像《宪法》中规定的土库曼斯坦公民的权利与义务一样，同样适用于土库曼斯坦地域内的外国人与无国籍人士，直接与土库曼斯坦国籍有关的特别权利除外。根据公认的国际法准则，按照法律规定的方式，土库曼斯坦向外国人与无国籍人士提供避难处。</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土库曼斯坦加入了以下公约：</w:t>
      </w:r>
    </w:p>
    <w:p w:rsidR="00A93F62" w:rsidRDefault="00A93F62">
      <w:pPr>
        <w:pStyle w:val="SingleTxtGC"/>
        <w:rPr>
          <w:snapToGrid/>
          <w:lang w:val="en-GB"/>
        </w:rPr>
      </w:pPr>
      <w:r>
        <w:rPr>
          <w:rFonts w:hint="eastAsia"/>
          <w:snapToGrid/>
          <w:lang w:val="en-GB"/>
        </w:rPr>
        <w:tab/>
        <w:t>(</w:t>
      </w:r>
      <w:r>
        <w:rPr>
          <w:snapToGrid/>
          <w:lang w:val="en-GB"/>
        </w:rPr>
        <w:t>a)</w:t>
      </w:r>
      <w:r>
        <w:rPr>
          <w:rFonts w:hint="eastAsia"/>
          <w:snapToGrid/>
          <w:lang w:val="en-GB"/>
        </w:rPr>
        <w:tab/>
      </w:r>
      <w:r>
        <w:rPr>
          <w:snapToGrid/>
          <w:lang w:val="en-GB"/>
        </w:rPr>
        <w:t>《消除一切形式种族歧视国际公约》；</w:t>
      </w:r>
    </w:p>
    <w:p w:rsidR="00A93F62" w:rsidRDefault="00A93F62">
      <w:pPr>
        <w:pStyle w:val="SingleTxtGC"/>
        <w:rPr>
          <w:snapToGrid/>
          <w:lang w:val="en-GB"/>
        </w:rPr>
      </w:pPr>
      <w:r>
        <w:rPr>
          <w:rFonts w:hint="eastAsia"/>
          <w:snapToGrid/>
          <w:lang w:val="en-GB"/>
        </w:rPr>
        <w:tab/>
        <w:t>(</w:t>
      </w:r>
      <w:r>
        <w:rPr>
          <w:snapToGrid/>
          <w:lang w:val="en-GB"/>
        </w:rPr>
        <w:t>b)</w:t>
      </w:r>
      <w:r>
        <w:rPr>
          <w:rFonts w:hint="eastAsia"/>
          <w:snapToGrid/>
          <w:lang w:val="en-GB"/>
        </w:rPr>
        <w:tab/>
      </w:r>
      <w:r>
        <w:rPr>
          <w:snapToGrid/>
          <w:lang w:val="en-GB"/>
        </w:rPr>
        <w:t>国际劳工组织</w:t>
      </w:r>
      <w:r>
        <w:rPr>
          <w:snapToGrid/>
          <w:lang w:val="en-GB"/>
        </w:rPr>
        <w:t>1958</w:t>
      </w:r>
      <w:r>
        <w:rPr>
          <w:rFonts w:hAnsi="Arial"/>
          <w:snapToGrid/>
          <w:lang w:val="en-GB"/>
        </w:rPr>
        <w:t>年《</w:t>
      </w:r>
      <w:r>
        <w:rPr>
          <w:rFonts w:hAnsi="Arial" w:hint="eastAsia"/>
          <w:snapToGrid/>
          <w:lang w:val="en-GB"/>
        </w:rPr>
        <w:t>关于</w:t>
      </w:r>
      <w:r>
        <w:rPr>
          <w:rFonts w:hAnsi="Arial"/>
          <w:snapToGrid/>
          <w:lang w:val="en-GB"/>
        </w:rPr>
        <w:t>就业和职业歧视</w:t>
      </w:r>
      <w:r>
        <w:rPr>
          <w:rFonts w:hAnsi="Arial" w:hint="eastAsia"/>
          <w:snapToGrid/>
          <w:lang w:val="en-GB"/>
        </w:rPr>
        <w:t>的</w:t>
      </w:r>
      <w:r>
        <w:rPr>
          <w:rFonts w:hAnsi="Arial"/>
          <w:snapToGrid/>
          <w:lang w:val="en-GB"/>
        </w:rPr>
        <w:t>公约》</w:t>
      </w:r>
      <w:r>
        <w:rPr>
          <w:snapToGrid/>
          <w:lang w:val="en-GB"/>
        </w:rPr>
        <w:t>(</w:t>
      </w:r>
      <w:r>
        <w:rPr>
          <w:rFonts w:hAnsi="Arial"/>
          <w:snapToGrid/>
          <w:lang w:val="en-GB"/>
        </w:rPr>
        <w:t>第</w:t>
      </w:r>
      <w:r>
        <w:rPr>
          <w:snapToGrid/>
          <w:lang w:val="en-GB"/>
        </w:rPr>
        <w:t>111</w:t>
      </w:r>
      <w:r>
        <w:rPr>
          <w:rFonts w:hAnsi="Arial"/>
          <w:snapToGrid/>
          <w:lang w:val="en-GB"/>
        </w:rPr>
        <w:t>号公约</w:t>
      </w:r>
      <w:r>
        <w:rPr>
          <w:snapToGrid/>
          <w:lang w:val="en-GB"/>
        </w:rPr>
        <w:t>)</w:t>
      </w:r>
      <w:r>
        <w:rPr>
          <w:rFonts w:hAnsi="Arial"/>
          <w:snapToGrid/>
          <w:lang w:val="en-GB"/>
        </w:rPr>
        <w:t>；</w:t>
      </w:r>
    </w:p>
    <w:p w:rsidR="00A93F62" w:rsidRDefault="00A93F62">
      <w:pPr>
        <w:pStyle w:val="SingleTxtGC"/>
        <w:rPr>
          <w:snapToGrid/>
          <w:color w:val="000000"/>
          <w:lang w:val="en-GB"/>
        </w:rPr>
      </w:pPr>
      <w:r>
        <w:rPr>
          <w:rFonts w:hint="eastAsia"/>
          <w:snapToGrid/>
          <w:lang w:val="en-GB"/>
        </w:rPr>
        <w:tab/>
        <w:t>(</w:t>
      </w:r>
      <w:r>
        <w:rPr>
          <w:snapToGrid/>
          <w:lang w:val="en-GB"/>
        </w:rPr>
        <w:t>c)</w:t>
      </w:r>
      <w:r>
        <w:rPr>
          <w:rFonts w:hint="eastAsia"/>
          <w:snapToGrid/>
          <w:lang w:val="en-GB"/>
        </w:rPr>
        <w:tab/>
      </w:r>
      <w:r>
        <w:rPr>
          <w:snapToGrid/>
          <w:lang w:val="en-GB"/>
        </w:rPr>
        <w:t>《消除对妇女一切形式歧视公约》</w:t>
      </w:r>
      <w:r>
        <w:rPr>
          <w:rFonts w:hAnsi="Arial"/>
          <w:snapToGrid/>
          <w:color w:val="000000"/>
          <w:lang w:val="en-GB"/>
        </w:rPr>
        <w:t>。</w:t>
      </w:r>
    </w:p>
    <w:p w:rsidR="00A93F62" w:rsidRDefault="00A93F62">
      <w:pPr>
        <w:tabs>
          <w:tab w:val="clear" w:pos="431"/>
        </w:tabs>
        <w:suppressAutoHyphens/>
        <w:overflowPunct/>
        <w:adjustRightInd/>
        <w:snapToGrid/>
        <w:spacing w:after="120" w:line="240" w:lineRule="atLeast"/>
        <w:ind w:left="1134" w:right="1134" w:firstLine="431"/>
        <w:rPr>
          <w:snapToGrid/>
          <w:szCs w:val="21"/>
          <w:lang w:val="en-GB"/>
        </w:rPr>
      </w:pPr>
      <w:r>
        <w:rPr>
          <w:snapToGrid/>
          <w:szCs w:val="21"/>
          <w:lang w:val="en-GB"/>
        </w:rPr>
        <w:t>以及其他一系列国际文书。</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根据土库曼斯坦于</w:t>
      </w:r>
      <w:smartTag w:uri="urn:schemas-microsoft-com:office:smarttags" w:element="chsdate">
        <w:smartTagPr>
          <w:attr w:name="IsROCDate" w:val="False"/>
          <w:attr w:name="IsLunarDate" w:val="False"/>
          <w:attr w:name="Day" w:val="14"/>
          <w:attr w:name="Month" w:val="12"/>
          <w:attr w:name="Year" w:val="2007"/>
        </w:smartTagPr>
        <w:r>
          <w:rPr>
            <w:snapToGrid/>
            <w:szCs w:val="21"/>
            <w:lang w:val="en-GB"/>
          </w:rPr>
          <w:t>2007</w:t>
        </w:r>
        <w:r>
          <w:rPr>
            <w:snapToGrid/>
            <w:szCs w:val="21"/>
            <w:lang w:val="en-GB"/>
          </w:rPr>
          <w:t>年</w:t>
        </w:r>
        <w:r>
          <w:rPr>
            <w:snapToGrid/>
            <w:szCs w:val="21"/>
            <w:lang w:val="en-GB"/>
          </w:rPr>
          <w:t>12</w:t>
        </w:r>
        <w:r>
          <w:rPr>
            <w:snapToGrid/>
            <w:szCs w:val="21"/>
            <w:lang w:val="en-GB"/>
          </w:rPr>
          <w:t>月</w:t>
        </w:r>
        <w:r>
          <w:rPr>
            <w:snapToGrid/>
            <w:szCs w:val="21"/>
            <w:lang w:val="en-GB"/>
          </w:rPr>
          <w:t>14</w:t>
        </w:r>
        <w:r>
          <w:rPr>
            <w:snapToGrid/>
            <w:szCs w:val="21"/>
            <w:lang w:val="en-GB"/>
          </w:rPr>
          <w:t>日</w:t>
        </w:r>
      </w:smartTag>
      <w:r>
        <w:rPr>
          <w:snapToGrid/>
          <w:szCs w:val="21"/>
          <w:lang w:val="en-GB"/>
        </w:rPr>
        <w:t>颁布的《国家保障妇女权利法》第</w:t>
      </w:r>
      <w:r>
        <w:rPr>
          <w:snapToGrid/>
          <w:szCs w:val="21"/>
          <w:lang w:val="en-GB"/>
        </w:rPr>
        <w:t>5</w:t>
      </w:r>
      <w:r>
        <w:rPr>
          <w:snapToGrid/>
          <w:szCs w:val="21"/>
          <w:lang w:val="en-GB"/>
        </w:rPr>
        <w:t>条，禁止在任何活动领域内，公开或非公开地歧视妇女。歧视理解为任何差别、排斥与喜好，它限制或否定了两性在政治、经济、社会、文化或任何其它领域内可以平等行使人与公民的权利和自由。保护母亲的职责，在土库曼斯坦法律规定的情况下由男子服兵役，禁止妇女在土库曼斯坦法律规定的工种中工作，不属于歧视妇女。允许公开或非公开地歧视妇女的人士要承担土库曼斯坦法律规定的相应责任。</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smartTag w:uri="urn:schemas-microsoft-com:office:smarttags" w:element="chsdate">
        <w:smartTagPr>
          <w:attr w:name="IsROCDate" w:val="False"/>
          <w:attr w:name="IsLunarDate" w:val="False"/>
          <w:attr w:name="Day" w:val="21"/>
          <w:attr w:name="Month" w:val="10"/>
          <w:attr w:name="Year" w:val="2003"/>
        </w:smartTagPr>
        <w:r>
          <w:rPr>
            <w:snapToGrid/>
            <w:szCs w:val="21"/>
            <w:lang w:val="en-GB"/>
          </w:rPr>
          <w:t>2003</w:t>
        </w:r>
        <w:r>
          <w:rPr>
            <w:snapToGrid/>
            <w:szCs w:val="21"/>
            <w:lang w:val="en-GB"/>
          </w:rPr>
          <w:t>年</w:t>
        </w:r>
        <w:r>
          <w:rPr>
            <w:snapToGrid/>
            <w:szCs w:val="21"/>
            <w:lang w:val="en-GB"/>
          </w:rPr>
          <w:t>10</w:t>
        </w:r>
        <w:r>
          <w:rPr>
            <w:snapToGrid/>
            <w:szCs w:val="21"/>
            <w:lang w:val="en-GB"/>
          </w:rPr>
          <w:t>月</w:t>
        </w:r>
        <w:r>
          <w:rPr>
            <w:snapToGrid/>
            <w:szCs w:val="21"/>
            <w:lang w:val="en-GB"/>
          </w:rPr>
          <w:t>21</w:t>
        </w:r>
        <w:r>
          <w:rPr>
            <w:snapToGrid/>
            <w:szCs w:val="21"/>
            <w:lang w:val="en-GB"/>
          </w:rPr>
          <w:t>日</w:t>
        </w:r>
      </w:smartTag>
      <w:r>
        <w:rPr>
          <w:snapToGrid/>
          <w:szCs w:val="21"/>
          <w:lang w:val="en-GB"/>
        </w:rPr>
        <w:t>颁布的土库曼斯坦《信仰自由和宗教组织法》保障公民行使《宪法》所赋予的权利</w:t>
      </w:r>
      <w:r>
        <w:rPr>
          <w:rFonts w:hint="eastAsia"/>
          <w:snapToGrid/>
          <w:spacing w:val="-50"/>
          <w:szCs w:val="21"/>
          <w:lang w:val="en-GB"/>
        </w:rPr>
        <w:t>―</w:t>
      </w:r>
      <w:r>
        <w:rPr>
          <w:rFonts w:hint="eastAsia"/>
          <w:snapToGrid/>
          <w:szCs w:val="21"/>
          <w:lang w:val="en-GB"/>
        </w:rPr>
        <w:t>―</w:t>
      </w:r>
      <w:r>
        <w:rPr>
          <w:snapToGrid/>
          <w:szCs w:val="21"/>
          <w:lang w:val="en-GB"/>
        </w:rPr>
        <w:t>信奉任何宗教或不信教、表明和传播与其对宗教的态度有关的信仰和参加宗教礼拜、仪式和礼仪</w:t>
      </w:r>
      <w:r>
        <w:rPr>
          <w:rFonts w:hAnsi="SimSun"/>
          <w:snapToGrid/>
          <w:szCs w:val="21"/>
          <w:lang w:val="en-GB"/>
        </w:rPr>
        <w:t>。</w:t>
      </w:r>
      <w:r>
        <w:rPr>
          <w:snapToGrid/>
          <w:szCs w:val="21"/>
          <w:lang w:val="en-GB"/>
        </w:rPr>
        <w:t>土库曼斯坦公民在日常、政治、经济、社会和文化生活各领域内法律面前人人平等，不论其宗教和信仰态度如何。对这种权利给予直接或间接限制、基于宗教信仰或无宗教信仰给予特权，以及由此引起的敌视与仇恨、亦或公民感情受辱，都将依照土库曼斯坦的法律受到惩处。</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根据该法第</w:t>
      </w:r>
      <w:r>
        <w:rPr>
          <w:snapToGrid/>
          <w:szCs w:val="21"/>
          <w:lang w:val="en-GB"/>
        </w:rPr>
        <w:t>8</w:t>
      </w:r>
      <w:r>
        <w:rPr>
          <w:snapToGrid/>
          <w:szCs w:val="21"/>
          <w:lang w:val="en-GB"/>
        </w:rPr>
        <w:t>条，仅在不少于五名土库曼斯坦成年永久居民提议的情况下，才可以成立宗教组织。成员不超过五十人的为宗教小组，超过五十人的为宗教组织。</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根据</w:t>
      </w:r>
      <w:smartTag w:uri="urn:schemas-microsoft-com:office:smarttags" w:element="chsdate">
        <w:smartTagPr>
          <w:attr w:name="IsROCDate" w:val="False"/>
          <w:attr w:name="IsLunarDate" w:val="False"/>
          <w:attr w:name="Day" w:val="29"/>
          <w:attr w:name="Month" w:val="5"/>
          <w:attr w:name="Year" w:val="1992"/>
        </w:smartTagPr>
        <w:r>
          <w:rPr>
            <w:snapToGrid/>
            <w:szCs w:val="21"/>
            <w:lang w:val="en-GB"/>
          </w:rPr>
          <w:t>1992</w:t>
        </w:r>
        <w:r>
          <w:rPr>
            <w:snapToGrid/>
            <w:szCs w:val="21"/>
            <w:lang w:val="en-GB"/>
          </w:rPr>
          <w:t>年</w:t>
        </w:r>
        <w:r>
          <w:rPr>
            <w:snapToGrid/>
            <w:szCs w:val="21"/>
            <w:lang w:val="en-GB"/>
          </w:rPr>
          <w:t>5</w:t>
        </w:r>
        <w:r>
          <w:rPr>
            <w:snapToGrid/>
            <w:szCs w:val="21"/>
            <w:lang w:val="en-GB"/>
          </w:rPr>
          <w:t>月</w:t>
        </w:r>
        <w:r>
          <w:rPr>
            <w:snapToGrid/>
            <w:szCs w:val="21"/>
            <w:lang w:val="en-GB"/>
          </w:rPr>
          <w:t>29</w:t>
        </w:r>
        <w:r>
          <w:rPr>
            <w:snapToGrid/>
            <w:szCs w:val="21"/>
            <w:lang w:val="en-GB"/>
          </w:rPr>
          <w:t>日</w:t>
        </w:r>
      </w:smartTag>
      <w:r>
        <w:rPr>
          <w:snapToGrid/>
          <w:szCs w:val="21"/>
          <w:lang w:val="en-GB"/>
        </w:rPr>
        <w:t>的土库曼斯坦总统令，</w:t>
      </w:r>
      <w:r>
        <w:rPr>
          <w:snapToGrid/>
          <w:szCs w:val="21"/>
          <w:lang w:val="en-GB"/>
        </w:rPr>
        <w:t>140</w:t>
      </w:r>
      <w:r>
        <w:rPr>
          <w:snapToGrid/>
          <w:szCs w:val="21"/>
          <w:lang w:val="en-GB"/>
        </w:rPr>
        <w:t>名香客在国家帮助下赴沙特阿拉伯朝觐。自此以后，每年去沙特阿拉伯朝觐的香客，增加到</w:t>
      </w:r>
      <w:r>
        <w:rPr>
          <w:snapToGrid/>
          <w:szCs w:val="21"/>
          <w:lang w:val="en-GB"/>
        </w:rPr>
        <w:t>188</w:t>
      </w:r>
      <w:r>
        <w:rPr>
          <w:snapToGrid/>
          <w:szCs w:val="21"/>
          <w:lang w:val="en-GB"/>
        </w:rPr>
        <w:t>人。</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为了使各宗教信仰、宗教组织与政府机构的合作日益完善，依照土库曼斯坦总统于</w:t>
      </w:r>
      <w:smartTag w:uri="urn:schemas-microsoft-com:office:smarttags" w:element="chsdate">
        <w:smartTagPr>
          <w:attr w:name="IsROCDate" w:val="False"/>
          <w:attr w:name="IsLunarDate" w:val="False"/>
          <w:attr w:name="Day" w:val="20"/>
          <w:attr w:name="Month" w:val="4"/>
          <w:attr w:name="Year" w:val="1994"/>
        </w:smartTagPr>
        <w:r>
          <w:rPr>
            <w:snapToGrid/>
            <w:szCs w:val="21"/>
            <w:lang w:val="en-GB"/>
          </w:rPr>
          <w:t>1994</w:t>
        </w:r>
        <w:r>
          <w:rPr>
            <w:snapToGrid/>
            <w:szCs w:val="21"/>
            <w:lang w:val="en-GB"/>
          </w:rPr>
          <w:t>年</w:t>
        </w:r>
        <w:r>
          <w:rPr>
            <w:snapToGrid/>
            <w:szCs w:val="21"/>
            <w:lang w:val="en-GB"/>
          </w:rPr>
          <w:t>4</w:t>
        </w:r>
        <w:r>
          <w:rPr>
            <w:snapToGrid/>
            <w:szCs w:val="21"/>
            <w:lang w:val="en-GB"/>
          </w:rPr>
          <w:t>月</w:t>
        </w:r>
        <w:r>
          <w:rPr>
            <w:snapToGrid/>
            <w:szCs w:val="21"/>
            <w:lang w:val="en-GB"/>
          </w:rPr>
          <w:t>20</w:t>
        </w:r>
        <w:r>
          <w:rPr>
            <w:snapToGrid/>
            <w:szCs w:val="21"/>
            <w:lang w:val="en-GB"/>
          </w:rPr>
          <w:t>日</w:t>
        </w:r>
      </w:smartTag>
      <w:r>
        <w:rPr>
          <w:snapToGrid/>
          <w:szCs w:val="21"/>
          <w:lang w:val="en-GB"/>
        </w:rPr>
        <w:t>颁布的第</w:t>
      </w:r>
      <w:r>
        <w:rPr>
          <w:snapToGrid/>
          <w:szCs w:val="21"/>
          <w:lang w:val="en-GB"/>
        </w:rPr>
        <w:t>1775</w:t>
      </w:r>
      <w:r>
        <w:rPr>
          <w:snapToGrid/>
          <w:szCs w:val="21"/>
          <w:lang w:val="en-GB"/>
        </w:rPr>
        <w:t>号令，建立了土库曼斯坦总统下属宗教事务委员会。委员会是宗教问题鉴定咨询机构，在登记或未登记的宗教组织、信徒和政府机构代表之间进行日常的信息沟通工作。委员会代表经常参加祈祷仪式、宗教组织举办的节庆或其它活动，与信徒进行会晤。如，</w:t>
      </w:r>
      <w:r>
        <w:rPr>
          <w:snapToGrid/>
          <w:szCs w:val="21"/>
          <w:lang w:val="en-GB"/>
        </w:rPr>
        <w:t>2007</w:t>
      </w:r>
      <w:r>
        <w:rPr>
          <w:snapToGrid/>
          <w:szCs w:val="21"/>
          <w:lang w:val="en-GB"/>
        </w:rPr>
        <w:t>年</w:t>
      </w:r>
      <w:r>
        <w:rPr>
          <w:snapToGrid/>
          <w:szCs w:val="21"/>
          <w:lang w:val="en-GB"/>
        </w:rPr>
        <w:t>5</w:t>
      </w:r>
      <w:r>
        <w:rPr>
          <w:snapToGrid/>
          <w:szCs w:val="21"/>
          <w:lang w:val="en-GB"/>
        </w:rPr>
        <w:t>月，</w:t>
      </w:r>
      <w:r>
        <w:rPr>
          <w:snapToGrid/>
          <w:szCs w:val="21"/>
          <w:lang w:val="en-GB"/>
        </w:rPr>
        <w:t>“</w:t>
      </w:r>
      <w:r>
        <w:rPr>
          <w:snapToGrid/>
          <w:szCs w:val="21"/>
          <w:lang w:val="en-GB"/>
        </w:rPr>
        <w:t>基督复临安息日教徒</w:t>
      </w:r>
      <w:r>
        <w:rPr>
          <w:snapToGrid/>
          <w:szCs w:val="21"/>
          <w:lang w:val="en-GB"/>
        </w:rPr>
        <w:t>”</w:t>
      </w:r>
      <w:r>
        <w:rPr>
          <w:snapToGrid/>
          <w:szCs w:val="21"/>
          <w:lang w:val="en-GB"/>
        </w:rPr>
        <w:t>宗教小组与委员会一起成功举办了</w:t>
      </w:r>
      <w:r>
        <w:rPr>
          <w:snapToGrid/>
          <w:szCs w:val="21"/>
          <w:lang w:val="en-GB"/>
        </w:rPr>
        <w:t>“</w:t>
      </w:r>
      <w:r>
        <w:rPr>
          <w:snapToGrid/>
          <w:szCs w:val="21"/>
          <w:lang w:val="en-GB"/>
        </w:rPr>
        <w:t>健康生活方式</w:t>
      </w:r>
      <w:r>
        <w:rPr>
          <w:snapToGrid/>
          <w:szCs w:val="21"/>
          <w:lang w:val="en-GB"/>
        </w:rPr>
        <w:t>”</w:t>
      </w:r>
      <w:r>
        <w:rPr>
          <w:snapToGrid/>
          <w:szCs w:val="21"/>
          <w:lang w:val="en-GB"/>
        </w:rPr>
        <w:t>展览会。通过直观的教具，展示了倡导健康生活方式、摒弃不良习惯的切实方法。</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为了培养了解宗教问题、历史、理论的优秀民族干部，土库曼斯坦总统于</w:t>
      </w:r>
      <w:smartTag w:uri="urn:schemas-microsoft-com:office:smarttags" w:element="chsdate">
        <w:smartTagPr>
          <w:attr w:name="IsROCDate" w:val="False"/>
          <w:attr w:name="IsLunarDate" w:val="False"/>
          <w:attr w:name="Day" w:val="17"/>
          <w:attr w:name="Month" w:val="6"/>
          <w:attr w:name="Year" w:val="1994"/>
        </w:smartTagPr>
        <w:r>
          <w:rPr>
            <w:snapToGrid/>
            <w:szCs w:val="21"/>
            <w:lang w:val="en-GB"/>
          </w:rPr>
          <w:t>1994</w:t>
        </w:r>
        <w:r>
          <w:rPr>
            <w:snapToGrid/>
            <w:szCs w:val="21"/>
            <w:lang w:val="en-GB"/>
          </w:rPr>
          <w:t>年</w:t>
        </w:r>
        <w:r>
          <w:rPr>
            <w:snapToGrid/>
            <w:szCs w:val="21"/>
            <w:lang w:val="en-GB"/>
          </w:rPr>
          <w:t>6</w:t>
        </w:r>
        <w:r>
          <w:rPr>
            <w:snapToGrid/>
            <w:szCs w:val="21"/>
            <w:lang w:val="en-GB"/>
          </w:rPr>
          <w:t>月</w:t>
        </w:r>
        <w:r>
          <w:rPr>
            <w:snapToGrid/>
            <w:szCs w:val="21"/>
            <w:lang w:val="en-GB"/>
          </w:rPr>
          <w:t>17</w:t>
        </w:r>
        <w:r>
          <w:rPr>
            <w:snapToGrid/>
            <w:szCs w:val="21"/>
            <w:lang w:val="en-GB"/>
          </w:rPr>
          <w:t>日</w:t>
        </w:r>
      </w:smartTag>
      <w:r>
        <w:rPr>
          <w:snapToGrid/>
          <w:szCs w:val="21"/>
          <w:lang w:val="en-GB"/>
        </w:rPr>
        <w:t>颁布命令，在土库曼斯坦</w:t>
      </w:r>
      <w:r>
        <w:rPr>
          <w:rFonts w:hAnsi="Arial"/>
          <w:snapToGrid/>
          <w:color w:val="000000"/>
          <w:szCs w:val="21"/>
          <w:lang w:val="en-GB"/>
        </w:rPr>
        <w:t>马赫图姆库里国立大学设立神学系。该系设立前，神学干部由国家资助，被派往土耳其、沙特阿拉伯、叙利亚、埃及等其它国家进行培训。</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根据</w:t>
      </w:r>
      <w:smartTag w:uri="urn:schemas-microsoft-com:office:smarttags" w:element="chsdate">
        <w:smartTagPr>
          <w:attr w:name="IsROCDate" w:val="False"/>
          <w:attr w:name="IsLunarDate" w:val="False"/>
          <w:attr w:name="Day" w:val="21"/>
          <w:attr w:name="Month" w:val="10"/>
          <w:attr w:name="Year" w:val="2003"/>
        </w:smartTagPr>
        <w:r>
          <w:rPr>
            <w:snapToGrid/>
            <w:szCs w:val="21"/>
            <w:lang w:val="en-GB"/>
          </w:rPr>
          <w:t>2003</w:t>
        </w:r>
        <w:r>
          <w:rPr>
            <w:snapToGrid/>
            <w:szCs w:val="21"/>
            <w:lang w:val="en-GB"/>
          </w:rPr>
          <w:t>年</w:t>
        </w:r>
        <w:r>
          <w:rPr>
            <w:snapToGrid/>
            <w:szCs w:val="21"/>
            <w:lang w:val="en-GB"/>
          </w:rPr>
          <w:t>10</w:t>
        </w:r>
        <w:r>
          <w:rPr>
            <w:snapToGrid/>
            <w:szCs w:val="21"/>
            <w:lang w:val="en-GB"/>
          </w:rPr>
          <w:t>月</w:t>
        </w:r>
        <w:r>
          <w:rPr>
            <w:snapToGrid/>
            <w:szCs w:val="21"/>
            <w:lang w:val="en-GB"/>
          </w:rPr>
          <w:t>21</w:t>
        </w:r>
        <w:r>
          <w:rPr>
            <w:snapToGrid/>
            <w:szCs w:val="21"/>
            <w:lang w:val="en-GB"/>
          </w:rPr>
          <w:t>日</w:t>
        </w:r>
      </w:smartTag>
      <w:r>
        <w:rPr>
          <w:snapToGrid/>
          <w:szCs w:val="21"/>
          <w:lang w:val="en-GB"/>
        </w:rPr>
        <w:t>颁布的土库曼斯坦《信仰自由和宗教组织法》，通过了土库曼斯坦</w:t>
      </w:r>
      <w:r>
        <w:rPr>
          <w:snapToGrid/>
          <w:szCs w:val="21"/>
          <w:lang w:val="en-GB"/>
        </w:rPr>
        <w:t>“</w:t>
      </w:r>
      <w:r>
        <w:rPr>
          <w:snapToGrid/>
          <w:szCs w:val="21"/>
          <w:lang w:val="en-GB"/>
        </w:rPr>
        <w:t>宗教组织登记</w:t>
      </w:r>
      <w:r>
        <w:rPr>
          <w:snapToGrid/>
          <w:szCs w:val="21"/>
          <w:lang w:val="en-GB"/>
        </w:rPr>
        <w:t>”</w:t>
      </w:r>
      <w:r>
        <w:rPr>
          <w:snapToGrid/>
          <w:szCs w:val="21"/>
          <w:lang w:val="en-GB"/>
        </w:rPr>
        <w:t>总统令，并批准了登记条例。根据</w:t>
      </w:r>
      <w:smartTag w:uri="urn:schemas-microsoft-com:office:smarttags" w:element="chsdate">
        <w:smartTagPr>
          <w:attr w:name="IsROCDate" w:val="False"/>
          <w:attr w:name="IsLunarDate" w:val="False"/>
          <w:attr w:name="Day" w:val="11"/>
          <w:attr w:name="Month" w:val="3"/>
          <w:attr w:name="Year" w:val="2004"/>
        </w:smartTagPr>
        <w:r>
          <w:rPr>
            <w:snapToGrid/>
            <w:szCs w:val="21"/>
            <w:lang w:val="en-GB"/>
          </w:rPr>
          <w:t>2004</w:t>
        </w:r>
        <w:r>
          <w:rPr>
            <w:snapToGrid/>
            <w:szCs w:val="21"/>
            <w:lang w:val="en-GB"/>
          </w:rPr>
          <w:t>年</w:t>
        </w:r>
        <w:r>
          <w:rPr>
            <w:snapToGrid/>
            <w:szCs w:val="21"/>
            <w:lang w:val="en-GB"/>
          </w:rPr>
          <w:t>3</w:t>
        </w:r>
        <w:r>
          <w:rPr>
            <w:snapToGrid/>
            <w:szCs w:val="21"/>
            <w:lang w:val="en-GB"/>
          </w:rPr>
          <w:t>月</w:t>
        </w:r>
        <w:r>
          <w:rPr>
            <w:snapToGrid/>
            <w:szCs w:val="21"/>
            <w:lang w:val="en-GB"/>
          </w:rPr>
          <w:t>11</w:t>
        </w:r>
        <w:r>
          <w:rPr>
            <w:snapToGrid/>
            <w:szCs w:val="21"/>
            <w:lang w:val="en-GB"/>
          </w:rPr>
          <w:t>日</w:t>
        </w:r>
      </w:smartTag>
      <w:r>
        <w:rPr>
          <w:snapToGrid/>
          <w:szCs w:val="21"/>
          <w:lang w:val="en-GB"/>
        </w:rPr>
        <w:t>颁布的第</w:t>
      </w:r>
      <w:r>
        <w:rPr>
          <w:snapToGrid/>
          <w:szCs w:val="21"/>
          <w:lang w:val="en-GB"/>
        </w:rPr>
        <w:t>6627</w:t>
      </w:r>
      <w:r>
        <w:rPr>
          <w:snapToGrid/>
          <w:szCs w:val="21"/>
          <w:lang w:val="en-GB"/>
        </w:rPr>
        <w:t>号土库曼斯坦总统令，规定任何教派的宗教组织与宗教小组均可予以登记。目前，土库曼斯坦已有</w:t>
      </w:r>
      <w:r>
        <w:rPr>
          <w:snapToGrid/>
          <w:szCs w:val="21"/>
          <w:lang w:val="en-GB"/>
        </w:rPr>
        <w:t>122</w:t>
      </w:r>
      <w:r>
        <w:rPr>
          <w:snapToGrid/>
          <w:szCs w:val="21"/>
          <w:lang w:val="en-GB"/>
        </w:rPr>
        <w:t>个正式登记的宗教组织，其中，</w:t>
      </w:r>
      <w:r>
        <w:rPr>
          <w:snapToGrid/>
          <w:szCs w:val="21"/>
          <w:lang w:val="en-GB"/>
        </w:rPr>
        <w:t>99</w:t>
      </w:r>
      <w:r>
        <w:rPr>
          <w:snapToGrid/>
          <w:szCs w:val="21"/>
          <w:lang w:val="en-GB"/>
        </w:rPr>
        <w:t>个是传统的伊斯兰教；</w:t>
      </w:r>
      <w:r>
        <w:rPr>
          <w:snapToGrid/>
          <w:szCs w:val="21"/>
          <w:lang w:val="en-GB"/>
        </w:rPr>
        <w:t>13</w:t>
      </w:r>
      <w:r>
        <w:rPr>
          <w:snapToGrid/>
          <w:szCs w:val="21"/>
          <w:lang w:val="en-GB"/>
        </w:rPr>
        <w:t>个是东正教；</w:t>
      </w:r>
      <w:r>
        <w:rPr>
          <w:snapToGrid/>
          <w:szCs w:val="21"/>
          <w:lang w:val="en-GB"/>
        </w:rPr>
        <w:t>10</w:t>
      </w:r>
      <w:r>
        <w:rPr>
          <w:snapToGrid/>
          <w:szCs w:val="21"/>
          <w:lang w:val="en-GB"/>
        </w:rPr>
        <w:t>个是信奉其它宗教的宗教组织。它们中有以下宗教组织：</w:t>
      </w:r>
      <w:r>
        <w:rPr>
          <w:snapToGrid/>
          <w:szCs w:val="21"/>
          <w:lang w:val="en-GB"/>
        </w:rPr>
        <w:t>“</w:t>
      </w:r>
      <w:r>
        <w:rPr>
          <w:snapToGrid/>
          <w:szCs w:val="21"/>
          <w:lang w:val="en-GB"/>
        </w:rPr>
        <w:t>巴哈伊教</w:t>
      </w:r>
      <w:r>
        <w:rPr>
          <w:snapToGrid/>
          <w:szCs w:val="21"/>
          <w:lang w:val="en-GB"/>
        </w:rPr>
        <w:t>”</w:t>
      </w:r>
      <w:r>
        <w:rPr>
          <w:snapToGrid/>
          <w:szCs w:val="21"/>
          <w:lang w:val="en-GB"/>
        </w:rPr>
        <w:t>、</w:t>
      </w:r>
      <w:r>
        <w:rPr>
          <w:snapToGrid/>
          <w:szCs w:val="21"/>
          <w:lang w:val="en-GB"/>
        </w:rPr>
        <w:t>“</w:t>
      </w:r>
      <w:r>
        <w:rPr>
          <w:snapToGrid/>
          <w:szCs w:val="21"/>
          <w:lang w:val="en-GB"/>
        </w:rPr>
        <w:t>福音派基督徒</w:t>
      </w:r>
      <w:r>
        <w:rPr>
          <w:snapToGrid/>
          <w:szCs w:val="21"/>
          <w:lang w:val="en-GB"/>
        </w:rPr>
        <w:t>-</w:t>
      </w:r>
      <w:r>
        <w:rPr>
          <w:snapToGrid/>
          <w:szCs w:val="21"/>
          <w:lang w:val="en-GB"/>
        </w:rPr>
        <w:t>浸信会教友教会</w:t>
      </w:r>
      <w:r>
        <w:rPr>
          <w:snapToGrid/>
          <w:szCs w:val="21"/>
          <w:lang w:val="en-GB"/>
        </w:rPr>
        <w:t>”</w:t>
      </w:r>
      <w:r>
        <w:rPr>
          <w:snapToGrid/>
          <w:szCs w:val="21"/>
          <w:lang w:val="en-GB"/>
        </w:rPr>
        <w:t>、</w:t>
      </w:r>
      <w:r>
        <w:rPr>
          <w:snapToGrid/>
          <w:szCs w:val="21"/>
          <w:lang w:val="en-GB"/>
        </w:rPr>
        <w:t>“</w:t>
      </w:r>
      <w:r>
        <w:rPr>
          <w:snapToGrid/>
          <w:szCs w:val="21"/>
          <w:lang w:val="en-GB"/>
        </w:rPr>
        <w:t>伊斯兰教</w:t>
      </w:r>
      <w:r>
        <w:rPr>
          <w:snapToGrid/>
          <w:szCs w:val="21"/>
          <w:lang w:val="en-GB"/>
        </w:rPr>
        <w:t>”</w:t>
      </w:r>
      <w:r>
        <w:rPr>
          <w:snapToGrid/>
          <w:szCs w:val="21"/>
          <w:lang w:val="en-GB"/>
        </w:rPr>
        <w:t>、</w:t>
      </w:r>
      <w:r>
        <w:rPr>
          <w:snapToGrid/>
          <w:szCs w:val="21"/>
          <w:lang w:val="en-GB"/>
        </w:rPr>
        <w:t>“</w:t>
      </w:r>
      <w:r>
        <w:rPr>
          <w:snapToGrid/>
          <w:szCs w:val="21"/>
          <w:lang w:val="en-GB"/>
        </w:rPr>
        <w:t>天惠</w:t>
      </w:r>
      <w:r>
        <w:rPr>
          <w:snapToGrid/>
          <w:szCs w:val="21"/>
          <w:lang w:val="en-GB"/>
        </w:rPr>
        <w:t xml:space="preserve">” </w:t>
      </w:r>
      <w:r>
        <w:rPr>
          <w:snapToGrid/>
          <w:szCs w:val="21"/>
          <w:lang w:val="en-GB"/>
        </w:rPr>
        <w:t>福音派基督徒教会；宗教小组：</w:t>
      </w:r>
      <w:r>
        <w:rPr>
          <w:snapToGrid/>
          <w:szCs w:val="21"/>
          <w:lang w:val="en-GB"/>
        </w:rPr>
        <w:t>“</w:t>
      </w:r>
      <w:r>
        <w:rPr>
          <w:snapToGrid/>
          <w:szCs w:val="21"/>
          <w:lang w:val="en-GB"/>
        </w:rPr>
        <w:t>基督复临安息日</w:t>
      </w:r>
      <w:r>
        <w:rPr>
          <w:snapToGrid/>
          <w:szCs w:val="21"/>
          <w:lang w:val="en-GB"/>
        </w:rPr>
        <w:t>”</w:t>
      </w:r>
      <w:r>
        <w:rPr>
          <w:rFonts w:hAnsi="SimSun"/>
          <w:snapToGrid/>
          <w:szCs w:val="21"/>
          <w:lang w:val="en-GB"/>
        </w:rPr>
        <w:t>，</w:t>
      </w:r>
      <w:r>
        <w:rPr>
          <w:snapToGrid/>
          <w:szCs w:val="21"/>
          <w:lang w:val="en-GB"/>
        </w:rPr>
        <w:t>“</w:t>
      </w:r>
      <w:r>
        <w:rPr>
          <w:rFonts w:hAnsi="SimSun"/>
          <w:snapToGrid/>
          <w:szCs w:val="21"/>
          <w:lang w:val="en-GB"/>
        </w:rPr>
        <w:t>克利须那神觉悟社</w:t>
      </w:r>
      <w:r>
        <w:rPr>
          <w:snapToGrid/>
          <w:szCs w:val="21"/>
          <w:lang w:val="en-GB"/>
        </w:rPr>
        <w:t>”</w:t>
      </w:r>
      <w:r>
        <w:rPr>
          <w:rFonts w:hAnsi="SimSun"/>
          <w:snapToGrid/>
          <w:szCs w:val="21"/>
          <w:lang w:val="en-GB"/>
        </w:rPr>
        <w:t>、</w:t>
      </w:r>
      <w:r>
        <w:rPr>
          <w:snapToGrid/>
          <w:szCs w:val="21"/>
          <w:lang w:val="en-GB"/>
        </w:rPr>
        <w:t>“</w:t>
      </w:r>
      <w:r>
        <w:rPr>
          <w:rFonts w:hAnsi="SimSun"/>
          <w:snapToGrid/>
          <w:szCs w:val="21"/>
          <w:lang w:val="en-GB"/>
        </w:rPr>
        <w:t>基督教会</w:t>
      </w:r>
      <w:r>
        <w:rPr>
          <w:snapToGrid/>
          <w:szCs w:val="21"/>
          <w:lang w:val="en-GB"/>
        </w:rPr>
        <w:t>”(</w:t>
      </w:r>
      <w:r>
        <w:rPr>
          <w:rFonts w:hAnsi="SimSun"/>
          <w:snapToGrid/>
          <w:szCs w:val="21"/>
          <w:lang w:val="en-GB"/>
        </w:rPr>
        <w:t>福音派基督徒</w:t>
      </w:r>
      <w:r>
        <w:rPr>
          <w:snapToGrid/>
          <w:szCs w:val="21"/>
          <w:lang w:val="en-GB"/>
        </w:rPr>
        <w:t>)</w:t>
      </w:r>
      <w:r>
        <w:rPr>
          <w:rFonts w:hAnsi="SimSun"/>
          <w:snapToGrid/>
          <w:szCs w:val="21"/>
          <w:lang w:val="en-GB"/>
        </w:rPr>
        <w:t>、</w:t>
      </w:r>
      <w:r>
        <w:rPr>
          <w:snapToGrid/>
          <w:szCs w:val="21"/>
          <w:lang w:val="en-GB"/>
        </w:rPr>
        <w:t>“</w:t>
      </w:r>
      <w:r>
        <w:rPr>
          <w:rFonts w:hAnsi="SimSun"/>
          <w:snapToGrid/>
          <w:szCs w:val="21"/>
          <w:lang w:val="en-GB"/>
        </w:rPr>
        <w:t>使徒教会</w:t>
      </w:r>
      <w:r>
        <w:rPr>
          <w:snapToGrid/>
          <w:szCs w:val="21"/>
          <w:lang w:val="en-GB"/>
        </w:rPr>
        <w:t>”(</w:t>
      </w:r>
      <w:r>
        <w:rPr>
          <w:rFonts w:hAnsi="SimSun"/>
          <w:snapToGrid/>
          <w:szCs w:val="21"/>
          <w:lang w:val="en-GB"/>
        </w:rPr>
        <w:t>新使徒的基督徒</w:t>
      </w:r>
      <w:r>
        <w:rPr>
          <w:snapToGrid/>
          <w:szCs w:val="21"/>
          <w:lang w:val="en-GB"/>
        </w:rPr>
        <w:t>)</w:t>
      </w:r>
      <w:r>
        <w:rPr>
          <w:snapToGrid/>
          <w:szCs w:val="21"/>
          <w:lang w:val="en-GB"/>
        </w:rPr>
        <w:t>、</w:t>
      </w:r>
      <w:r>
        <w:rPr>
          <w:snapToGrid/>
          <w:szCs w:val="21"/>
          <w:lang w:val="en-GB"/>
        </w:rPr>
        <w:t>“</w:t>
      </w:r>
      <w:r>
        <w:rPr>
          <w:rFonts w:hAnsi="SimSun"/>
          <w:snapToGrid/>
          <w:szCs w:val="21"/>
          <w:lang w:val="en-GB"/>
        </w:rPr>
        <w:t>东方之光</w:t>
      </w:r>
      <w:r>
        <w:rPr>
          <w:snapToGrid/>
          <w:szCs w:val="21"/>
          <w:lang w:val="en-GB"/>
        </w:rPr>
        <w:t xml:space="preserve">”( </w:t>
      </w:r>
      <w:r>
        <w:rPr>
          <w:rFonts w:hAnsi="SimSun"/>
          <w:snapToGrid/>
          <w:szCs w:val="21"/>
          <w:lang w:val="en-GB"/>
        </w:rPr>
        <w:t>福音派基督徒</w:t>
      </w:r>
      <w:r>
        <w:rPr>
          <w:snapToGrid/>
          <w:szCs w:val="21"/>
          <w:lang w:val="en-GB"/>
        </w:rPr>
        <w:t>)</w:t>
      </w:r>
      <w:r>
        <w:rPr>
          <w:rFonts w:hAnsi="SimSun"/>
          <w:snapToGrid/>
          <w:szCs w:val="21"/>
          <w:lang w:val="en-GB"/>
        </w:rPr>
        <w:t>、</w:t>
      </w:r>
      <w:r>
        <w:rPr>
          <w:snapToGrid/>
          <w:szCs w:val="21"/>
          <w:lang w:val="en-GB"/>
        </w:rPr>
        <w:t>“</w:t>
      </w:r>
      <w:r>
        <w:rPr>
          <w:rFonts w:hAnsi="SimSun"/>
          <w:snapToGrid/>
          <w:szCs w:val="21"/>
          <w:lang w:val="en-GB"/>
        </w:rPr>
        <w:t>生命之源</w:t>
      </w:r>
      <w:r>
        <w:rPr>
          <w:snapToGrid/>
          <w:szCs w:val="21"/>
          <w:lang w:val="en-GB"/>
        </w:rPr>
        <w:t>”</w:t>
      </w:r>
      <w:r>
        <w:rPr>
          <w:rFonts w:hAnsi="SimSun"/>
          <w:snapToGrid/>
          <w:szCs w:val="21"/>
          <w:lang w:val="en-GB"/>
        </w:rPr>
        <w:t>。</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rFonts w:hAnsi="SimSun"/>
          <w:snapToGrid/>
          <w:szCs w:val="21"/>
          <w:lang w:val="en-GB"/>
        </w:rPr>
        <w:t>为了恢复已失去的古老民</w:t>
      </w:r>
      <w:r>
        <w:rPr>
          <w:snapToGrid/>
          <w:szCs w:val="21"/>
          <w:lang w:val="en-GB"/>
        </w:rPr>
        <w:t>族</w:t>
      </w:r>
      <w:r>
        <w:rPr>
          <w:rFonts w:hAnsi="SimSun"/>
          <w:snapToGrid/>
          <w:szCs w:val="21"/>
          <w:lang w:val="en-GB"/>
        </w:rPr>
        <w:t>传统，根据</w:t>
      </w:r>
      <w:r>
        <w:rPr>
          <w:snapToGrid/>
          <w:szCs w:val="21"/>
          <w:lang w:val="en-GB"/>
        </w:rPr>
        <w:t>土库曼斯坦总统令</w:t>
      </w:r>
      <w:r>
        <w:rPr>
          <w:rFonts w:hAnsi="SimSun"/>
          <w:snapToGrid/>
          <w:szCs w:val="21"/>
          <w:lang w:val="en-GB"/>
        </w:rPr>
        <w:t>保障宗教信仰自由，每年斋月结束时，庆祝宗教节日</w:t>
      </w:r>
      <w:r>
        <w:rPr>
          <w:snapToGrid/>
          <w:szCs w:val="21"/>
          <w:lang w:val="en-GB"/>
        </w:rPr>
        <w:t>奥</w:t>
      </w:r>
      <w:r>
        <w:rPr>
          <w:rFonts w:hAnsi="SimSun"/>
          <w:snapToGrid/>
          <w:szCs w:val="21"/>
          <w:lang w:val="en-GB"/>
        </w:rPr>
        <w:t>拉兹拜拉姆</w:t>
      </w:r>
      <w:r>
        <w:rPr>
          <w:snapToGrid/>
          <w:szCs w:val="21"/>
          <w:lang w:val="en-GB"/>
        </w:rPr>
        <w:t>(1</w:t>
      </w:r>
      <w:r>
        <w:rPr>
          <w:rFonts w:hAnsi="SimSun"/>
          <w:snapToGrid/>
          <w:szCs w:val="21"/>
          <w:lang w:val="en-GB"/>
        </w:rPr>
        <w:t>个假日</w:t>
      </w:r>
      <w:r>
        <w:rPr>
          <w:snapToGrid/>
          <w:szCs w:val="21"/>
          <w:lang w:val="en-GB"/>
        </w:rPr>
        <w:t>)</w:t>
      </w:r>
      <w:r>
        <w:rPr>
          <w:rFonts w:hAnsi="SimSun"/>
          <w:snapToGrid/>
          <w:szCs w:val="21"/>
          <w:lang w:val="en-GB"/>
        </w:rPr>
        <w:t>和库尔班拜拉姆</w:t>
      </w:r>
      <w:r>
        <w:rPr>
          <w:snapToGrid/>
          <w:szCs w:val="21"/>
          <w:lang w:val="en-GB"/>
        </w:rPr>
        <w:t>(3</w:t>
      </w:r>
      <w:r>
        <w:rPr>
          <w:rFonts w:hAnsi="SimSun"/>
          <w:snapToGrid/>
          <w:szCs w:val="21"/>
          <w:lang w:val="en-GB"/>
        </w:rPr>
        <w:t>个假日</w:t>
      </w:r>
      <w:r>
        <w:rPr>
          <w:snapToGrid/>
          <w:szCs w:val="21"/>
          <w:lang w:val="en-GB"/>
        </w:rPr>
        <w:t>)</w:t>
      </w:r>
      <w:r>
        <w:rPr>
          <w:rFonts w:hAnsi="SimSun"/>
          <w:snapToGrid/>
          <w:szCs w:val="21"/>
          <w:lang w:val="en-GB"/>
        </w:rPr>
        <w:t>。在</w:t>
      </w:r>
      <w:r>
        <w:rPr>
          <w:snapToGrid/>
          <w:szCs w:val="21"/>
          <w:lang w:val="en-GB"/>
        </w:rPr>
        <w:t>土库曼斯坦，所有教派代表都在此期间欢庆节日。</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根据《土库曼斯坦劳动法典》第</w:t>
      </w:r>
      <w:r>
        <w:rPr>
          <w:snapToGrid/>
          <w:szCs w:val="21"/>
          <w:lang w:val="en-GB"/>
        </w:rPr>
        <w:t>16</w:t>
      </w:r>
      <w:r>
        <w:rPr>
          <w:snapToGrid/>
          <w:szCs w:val="21"/>
          <w:lang w:val="en-GB"/>
        </w:rPr>
        <w:t>条，不论性别、种族、民族、语言、社会出身、财产状况、居住地、宗教信仰、政治信仰、所在社会团体，以及与劳动者业务素养无关的其它情况如何，禁止任何在招工时根据性别直接或间接限制权利或者确立直接或间接优先权的行为。</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2004</w:t>
      </w:r>
      <w:r>
        <w:rPr>
          <w:snapToGrid/>
          <w:szCs w:val="21"/>
          <w:lang w:val="en-GB"/>
        </w:rPr>
        <w:t>年，土库曼斯坦向相关条约机构提交了关于《消除一切形式种族歧视国际公约》、《消除对妇女一切形式歧视公约》执行情况的国家报告。根据《公约》</w:t>
      </w:r>
      <w:r>
        <w:rPr>
          <w:rFonts w:hint="eastAsia"/>
          <w:snapToGrid/>
          <w:szCs w:val="21"/>
          <w:lang w:val="en-GB"/>
        </w:rPr>
        <w:t>关于禁止歧视的第二</w:t>
      </w:r>
      <w:r>
        <w:rPr>
          <w:snapToGrid/>
          <w:szCs w:val="21"/>
          <w:lang w:val="en-GB"/>
        </w:rPr>
        <w:t>条提供的补充信息被编写在</w:t>
      </w:r>
      <w:r>
        <w:rPr>
          <w:rFonts w:hint="eastAsia"/>
          <w:snapToGrid/>
          <w:szCs w:val="21"/>
          <w:lang w:val="en-GB"/>
        </w:rPr>
        <w:t>这些</w:t>
      </w:r>
      <w:r>
        <w:rPr>
          <w:snapToGrid/>
          <w:szCs w:val="21"/>
          <w:lang w:val="en-GB"/>
        </w:rPr>
        <w:t>报告中。</w:t>
      </w:r>
    </w:p>
    <w:p w:rsidR="00A93F62" w:rsidRDefault="00A93F62">
      <w:pPr>
        <w:pStyle w:val="H1GC"/>
        <w:rPr>
          <w:snapToGrid/>
          <w:szCs w:val="24"/>
          <w:lang w:val="en-GB"/>
        </w:rPr>
      </w:pPr>
      <w:r>
        <w:rPr>
          <w:rFonts w:hint="eastAsia"/>
          <w:snapToGrid/>
          <w:szCs w:val="24"/>
          <w:lang w:val="en-GB"/>
        </w:rPr>
        <w:tab/>
      </w:r>
      <w:r>
        <w:rPr>
          <w:rFonts w:hint="eastAsia"/>
          <w:snapToGrid/>
          <w:szCs w:val="24"/>
          <w:lang w:val="en-GB"/>
        </w:rPr>
        <w:tab/>
      </w:r>
      <w:r>
        <w:rPr>
          <w:snapToGrid/>
          <w:szCs w:val="24"/>
          <w:lang w:val="en-GB"/>
        </w:rPr>
        <w:t>第三条</w:t>
      </w:r>
      <w:r>
        <w:rPr>
          <w:snapToGrid/>
          <w:szCs w:val="24"/>
          <w:lang w:val="en-GB"/>
        </w:rPr>
        <w:t xml:space="preserve"> </w:t>
      </w:r>
      <w:r>
        <w:rPr>
          <w:rFonts w:hint="eastAsia"/>
          <w:snapToGrid/>
          <w:szCs w:val="24"/>
          <w:lang w:val="en-GB"/>
        </w:rPr>
        <w:br/>
      </w:r>
      <w:r>
        <w:rPr>
          <w:snapToGrid/>
          <w:szCs w:val="24"/>
          <w:lang w:val="en-GB"/>
        </w:rPr>
        <w:t>男女平等</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男女平等原则是土库曼斯坦法制不可分割的部分，被《宪法》所巩固，并根据所有现行国家法律予以保障。《宪法》第</w:t>
      </w:r>
      <w:r>
        <w:rPr>
          <w:snapToGrid/>
          <w:szCs w:val="21"/>
          <w:lang w:val="en-GB"/>
        </w:rPr>
        <w:t>20</w:t>
      </w:r>
      <w:r>
        <w:rPr>
          <w:snapToGrid/>
          <w:szCs w:val="21"/>
          <w:lang w:val="en-GB"/>
        </w:rPr>
        <w:t>条规定，土库曼斯坦的女性同男性享有平等的公民权利。</w:t>
      </w:r>
      <w:r>
        <w:rPr>
          <w:snapToGrid/>
          <w:szCs w:val="21"/>
          <w:lang w:val="en-GB" w:eastAsia="en-US"/>
        </w:rPr>
        <w:t>违反性别平等的行为将依法承担责任。</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目前人口结构中，女性比例为</w:t>
      </w:r>
      <w:r>
        <w:rPr>
          <w:snapToGrid/>
          <w:szCs w:val="21"/>
          <w:lang w:val="en-GB"/>
        </w:rPr>
        <w:t>50.1%</w:t>
      </w:r>
      <w:r>
        <w:rPr>
          <w:snapToGrid/>
          <w:szCs w:val="21"/>
          <w:lang w:val="en-GB"/>
        </w:rPr>
        <w:t>，男性为</w:t>
      </w:r>
      <w:r>
        <w:rPr>
          <w:snapToGrid/>
          <w:szCs w:val="21"/>
          <w:lang w:val="en-GB"/>
        </w:rPr>
        <w:t>49.9%</w:t>
      </w:r>
      <w:r>
        <w:rPr>
          <w:snapToGrid/>
          <w:szCs w:val="21"/>
          <w:lang w:val="en-GB"/>
        </w:rPr>
        <w:t>。</w:t>
      </w:r>
      <w:smartTag w:uri="urn:schemas-microsoft-com:office:smarttags" w:element="chsdate">
        <w:smartTagPr>
          <w:attr w:name="IsROCDate" w:val="False"/>
          <w:attr w:name="IsLunarDate" w:val="False"/>
          <w:attr w:name="Day" w:val="14"/>
          <w:attr w:name="Month" w:val="12"/>
          <w:attr w:name="Year" w:val="2008"/>
        </w:smartTagPr>
        <w:r>
          <w:rPr>
            <w:snapToGrid/>
            <w:szCs w:val="21"/>
            <w:lang w:val="en-GB"/>
          </w:rPr>
          <w:t>2008</w:t>
        </w:r>
        <w:r>
          <w:rPr>
            <w:snapToGrid/>
            <w:szCs w:val="21"/>
            <w:lang w:val="en-GB"/>
          </w:rPr>
          <w:t>年</w:t>
        </w:r>
        <w:r>
          <w:rPr>
            <w:snapToGrid/>
            <w:szCs w:val="21"/>
            <w:lang w:val="en-GB"/>
          </w:rPr>
          <w:t>12</w:t>
        </w:r>
        <w:r>
          <w:rPr>
            <w:snapToGrid/>
            <w:szCs w:val="21"/>
            <w:lang w:val="en-GB"/>
          </w:rPr>
          <w:t>月</w:t>
        </w:r>
        <w:r>
          <w:rPr>
            <w:snapToGrid/>
            <w:szCs w:val="21"/>
            <w:lang w:val="en-GB"/>
          </w:rPr>
          <w:t>14</w:t>
        </w:r>
        <w:r>
          <w:rPr>
            <w:snapToGrid/>
            <w:szCs w:val="21"/>
            <w:lang w:val="en-GB"/>
          </w:rPr>
          <w:t>日</w:t>
        </w:r>
      </w:smartTag>
      <w:r>
        <w:rPr>
          <w:snapToGrid/>
          <w:szCs w:val="21"/>
          <w:lang w:val="en-GB"/>
        </w:rPr>
        <w:t>选举的土库曼斯坦议会代表中，有</w:t>
      </w:r>
      <w:r>
        <w:rPr>
          <w:snapToGrid/>
          <w:szCs w:val="21"/>
          <w:lang w:val="en-GB"/>
        </w:rPr>
        <w:t>17%</w:t>
      </w:r>
      <w:r>
        <w:rPr>
          <w:snapToGrid/>
          <w:szCs w:val="21"/>
          <w:lang w:val="en-GB"/>
        </w:rPr>
        <w:t>是女性。她们还在各级国家政府与行政机构中任职。</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smartTag w:uri="urn:schemas-microsoft-com:office:smarttags" w:element="chsdate">
        <w:smartTagPr>
          <w:attr w:name="IsROCDate" w:val="False"/>
          <w:attr w:name="IsLunarDate" w:val="False"/>
          <w:attr w:name="Day" w:val="14"/>
          <w:attr w:name="Month" w:val="12"/>
          <w:attr w:name="Year" w:val="2007"/>
        </w:smartTagPr>
        <w:r>
          <w:rPr>
            <w:snapToGrid/>
            <w:szCs w:val="21"/>
            <w:lang w:val="en-GB"/>
          </w:rPr>
          <w:t>2007</w:t>
        </w:r>
        <w:r>
          <w:rPr>
            <w:snapToGrid/>
            <w:szCs w:val="21"/>
            <w:lang w:val="en-GB"/>
          </w:rPr>
          <w:t>年</w:t>
        </w:r>
        <w:r>
          <w:rPr>
            <w:snapToGrid/>
            <w:szCs w:val="21"/>
            <w:lang w:val="en-GB"/>
          </w:rPr>
          <w:t>12</w:t>
        </w:r>
        <w:r>
          <w:rPr>
            <w:snapToGrid/>
            <w:szCs w:val="21"/>
            <w:lang w:val="en-GB"/>
          </w:rPr>
          <w:t>月</w:t>
        </w:r>
        <w:r>
          <w:rPr>
            <w:snapToGrid/>
            <w:szCs w:val="21"/>
            <w:lang w:val="en-GB"/>
          </w:rPr>
          <w:t>14</w:t>
        </w:r>
        <w:r>
          <w:rPr>
            <w:snapToGrid/>
            <w:szCs w:val="21"/>
            <w:lang w:val="en-GB"/>
          </w:rPr>
          <w:t>日</w:t>
        </w:r>
      </w:smartTag>
      <w:r>
        <w:rPr>
          <w:snapToGrid/>
          <w:szCs w:val="21"/>
          <w:lang w:val="en-GB"/>
        </w:rPr>
        <w:t>，通过了土库曼斯坦《国家保障妇女权利法》。该法旨在落实土库曼斯坦人权保护方面政策的主要原则，消除对妇女一切形式的歧视，保证妇女全面发展和进步，并对实现妇女在政治、经济、社会、文化和其他领域享有与男性同等的权利和自由实施国家保障。</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以土库曼斯坦英雄班索尔坦埃赫命名的土库曼斯坦妇女协会参与了致力于提升妇女的潜力，协助增加她们的机会与能力的计划。在此计划框架内，落实了联合国开发计划署与</w:t>
      </w:r>
      <w:r>
        <w:rPr>
          <w:snapToGrid/>
          <w:szCs w:val="21"/>
          <w:lang w:val="en-GB"/>
        </w:rPr>
        <w:t>“</w:t>
      </w:r>
      <w:r>
        <w:rPr>
          <w:snapToGrid/>
          <w:szCs w:val="21"/>
          <w:lang w:val="en-GB"/>
        </w:rPr>
        <w:t>将性别态度深入到土库曼斯坦战略决策的制订与实施中</w:t>
      </w:r>
      <w:r>
        <w:rPr>
          <w:snapToGrid/>
          <w:szCs w:val="21"/>
          <w:lang w:val="en-GB"/>
        </w:rPr>
        <w:t xml:space="preserve">” </w:t>
      </w:r>
      <w:r>
        <w:rPr>
          <w:snapToGrid/>
          <w:szCs w:val="21"/>
          <w:lang w:val="en-GB"/>
        </w:rPr>
        <w:t>妇女协会的合作方案。方案致力于实现</w:t>
      </w:r>
      <w:r>
        <w:rPr>
          <w:snapToGrid/>
          <w:szCs w:val="21"/>
          <w:lang w:val="en-GB"/>
        </w:rPr>
        <w:t>3</w:t>
      </w:r>
      <w:r>
        <w:rPr>
          <w:snapToGrid/>
          <w:szCs w:val="21"/>
          <w:lang w:val="en-GB"/>
        </w:rPr>
        <w:t>个主要目的：</w:t>
      </w:r>
      <w:r>
        <w:rPr>
          <w:snapToGrid/>
          <w:szCs w:val="21"/>
          <w:lang w:val="en-GB"/>
        </w:rPr>
        <w:t>a)</w:t>
      </w:r>
      <w:r>
        <w:rPr>
          <w:snapToGrid/>
          <w:szCs w:val="21"/>
          <w:lang w:val="en-GB"/>
        </w:rPr>
        <w:t>强化性别平等法律基础的目的性；</w:t>
      </w:r>
      <w:r>
        <w:rPr>
          <w:snapToGrid/>
          <w:szCs w:val="21"/>
          <w:lang w:val="en-GB"/>
        </w:rPr>
        <w:t>b)</w:t>
      </w:r>
      <w:r>
        <w:rPr>
          <w:snapToGrid/>
          <w:szCs w:val="21"/>
          <w:lang w:val="en-GB"/>
        </w:rPr>
        <w:t>加强所批准的有关性别问题的公约与条约的汇报和执行措施；</w:t>
      </w:r>
      <w:r>
        <w:rPr>
          <w:snapToGrid/>
          <w:szCs w:val="21"/>
          <w:lang w:val="en-GB"/>
        </w:rPr>
        <w:t>c)</w:t>
      </w:r>
      <w:r>
        <w:rPr>
          <w:snapToGrid/>
          <w:szCs w:val="21"/>
          <w:lang w:val="en-GB"/>
        </w:rPr>
        <w:t>巩固国家在性别分析与性别方法推行方面的机制。</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为实现《北京宣言》和《行动纲要》，土库曼斯坦制订了《</w:t>
      </w:r>
      <w:r>
        <w:rPr>
          <w:snapToGrid/>
          <w:szCs w:val="21"/>
          <w:lang w:val="en-GB"/>
        </w:rPr>
        <w:t>2005-2010</w:t>
      </w:r>
      <w:r>
        <w:rPr>
          <w:snapToGrid/>
          <w:szCs w:val="21"/>
          <w:lang w:val="en-GB"/>
        </w:rPr>
        <w:t>年期间国家行动计划》。其中确定了国家妇女政策的总体战略和优先方向。该国家计划旨在于：根据《土库曼斯坦宪法》、国家所需履行的国际义务、第四次妇女问题世界会议的建议，根据土库曼斯坦实际的社会经济情况，实现权利与自由平等的原则，为妇女与男子创造新的机会。根据该《国家行动计划》，协助建立并增加妇女协会机制，全力支持妇女协会工作，推行性别方法，是妇女协会的主要活动方向。目前已在此领域取得一定成果。例如，</w:t>
      </w:r>
      <w:r>
        <w:rPr>
          <w:snapToGrid/>
          <w:szCs w:val="21"/>
          <w:lang w:val="en-GB"/>
        </w:rPr>
        <w:t>“</w:t>
      </w:r>
      <w:r>
        <w:rPr>
          <w:snapToGrid/>
          <w:szCs w:val="21"/>
          <w:lang w:val="en-GB"/>
        </w:rPr>
        <w:t>巩固妇女在土库曼斯坦社会经济发展中的作用</w:t>
      </w:r>
      <w:r>
        <w:rPr>
          <w:snapToGrid/>
          <w:szCs w:val="21"/>
          <w:lang w:val="en-GB"/>
        </w:rPr>
        <w:t>”</w:t>
      </w:r>
      <w:r>
        <w:rPr>
          <w:snapToGrid/>
          <w:szCs w:val="21"/>
          <w:lang w:val="en-GB"/>
        </w:rPr>
        <w:t>方案</w:t>
      </w:r>
      <w:r>
        <w:rPr>
          <w:snapToGrid/>
          <w:szCs w:val="21"/>
          <w:lang w:val="en-GB"/>
        </w:rPr>
        <w:t>(1998-2001</w:t>
      </w:r>
      <w:r>
        <w:rPr>
          <w:snapToGrid/>
          <w:szCs w:val="21"/>
          <w:lang w:val="en-GB"/>
        </w:rPr>
        <w:t>年间</w:t>
      </w:r>
      <w:r>
        <w:rPr>
          <w:snapToGrid/>
          <w:szCs w:val="21"/>
          <w:lang w:val="en-GB"/>
        </w:rPr>
        <w:t>)</w:t>
      </w:r>
      <w:r>
        <w:rPr>
          <w:snapToGrid/>
          <w:szCs w:val="21"/>
          <w:lang w:val="en-GB"/>
        </w:rPr>
        <w:t>已成功实施。</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通过教程、进修班、会议，普及性别差别的统计数据，发行报纸、刊物、关于妇女权利和性别问题的其它材料，包括工作报告，如</w:t>
      </w:r>
      <w:r>
        <w:rPr>
          <w:snapToGrid/>
          <w:szCs w:val="21"/>
          <w:lang w:val="en-GB"/>
        </w:rPr>
        <w:t>“</w:t>
      </w:r>
      <w:r>
        <w:rPr>
          <w:snapToGrid/>
          <w:szCs w:val="21"/>
          <w:lang w:val="en-GB"/>
        </w:rPr>
        <w:t>土库曼斯坦妇女及性别统计</w:t>
      </w:r>
      <w:r>
        <w:rPr>
          <w:snapToGrid/>
          <w:szCs w:val="21"/>
          <w:lang w:val="en-GB"/>
        </w:rPr>
        <w:t>”</w:t>
      </w:r>
      <w:r>
        <w:rPr>
          <w:snapToGrid/>
          <w:szCs w:val="21"/>
          <w:lang w:val="en-GB"/>
        </w:rPr>
        <w:t>、</w:t>
      </w:r>
      <w:r>
        <w:rPr>
          <w:snapToGrid/>
          <w:szCs w:val="21"/>
          <w:lang w:val="en-GB"/>
        </w:rPr>
        <w:t>“</w:t>
      </w:r>
      <w:r>
        <w:rPr>
          <w:snapToGrid/>
          <w:szCs w:val="21"/>
          <w:lang w:val="en-GB"/>
        </w:rPr>
        <w:t>土库曼斯坦妇女的权利</w:t>
      </w:r>
      <w:r>
        <w:rPr>
          <w:snapToGrid/>
          <w:szCs w:val="21"/>
          <w:lang w:val="en-GB"/>
        </w:rPr>
        <w:t>”</w:t>
      </w:r>
      <w:r>
        <w:rPr>
          <w:snapToGrid/>
          <w:szCs w:val="21"/>
          <w:lang w:val="en-GB"/>
        </w:rPr>
        <w:t>和</w:t>
      </w:r>
      <w:r>
        <w:rPr>
          <w:snapToGrid/>
          <w:szCs w:val="21"/>
          <w:lang w:val="en-GB"/>
        </w:rPr>
        <w:t>“</w:t>
      </w:r>
      <w:r>
        <w:rPr>
          <w:snapToGrid/>
          <w:szCs w:val="21"/>
          <w:lang w:val="en-GB"/>
        </w:rPr>
        <w:t>土库曼斯坦妇女问题报告</w:t>
      </w:r>
      <w:r>
        <w:rPr>
          <w:snapToGrid/>
          <w:szCs w:val="21"/>
          <w:lang w:val="en-GB"/>
        </w:rPr>
        <w:t>”</w:t>
      </w:r>
      <w:r>
        <w:rPr>
          <w:snapToGrid/>
          <w:szCs w:val="21"/>
          <w:lang w:val="en-GB"/>
        </w:rPr>
        <w:t>；印刷品</w:t>
      </w:r>
      <w:r>
        <w:rPr>
          <w:snapToGrid/>
          <w:szCs w:val="21"/>
          <w:lang w:val="en-GB"/>
        </w:rPr>
        <w:t>“</w:t>
      </w:r>
      <w:r>
        <w:rPr>
          <w:snapToGrid/>
          <w:szCs w:val="21"/>
          <w:lang w:val="en-GB"/>
        </w:rPr>
        <w:t>性别准则</w:t>
      </w:r>
      <w:r>
        <w:rPr>
          <w:snapToGrid/>
          <w:szCs w:val="21"/>
          <w:lang w:val="en-GB"/>
        </w:rPr>
        <w:t>”</w:t>
      </w:r>
      <w:r>
        <w:rPr>
          <w:snapToGrid/>
          <w:szCs w:val="21"/>
          <w:lang w:val="en-GB"/>
        </w:rPr>
        <w:t>、</w:t>
      </w:r>
      <w:r>
        <w:rPr>
          <w:snapToGrid/>
          <w:szCs w:val="21"/>
          <w:lang w:val="en-GB"/>
        </w:rPr>
        <w:t>“</w:t>
      </w:r>
      <w:r>
        <w:rPr>
          <w:snapToGrid/>
          <w:szCs w:val="21"/>
          <w:lang w:val="en-GB"/>
        </w:rPr>
        <w:t>性别与性别平等</w:t>
      </w:r>
      <w:r>
        <w:rPr>
          <w:snapToGrid/>
          <w:szCs w:val="21"/>
          <w:lang w:val="en-GB"/>
        </w:rPr>
        <w:t>”</w:t>
      </w:r>
      <w:r>
        <w:rPr>
          <w:snapToGrid/>
          <w:szCs w:val="21"/>
          <w:lang w:val="en-GB"/>
        </w:rPr>
        <w:t>、</w:t>
      </w:r>
      <w:r>
        <w:rPr>
          <w:snapToGrid/>
          <w:szCs w:val="21"/>
          <w:lang w:val="en-GB"/>
        </w:rPr>
        <w:t>“</w:t>
      </w:r>
      <w:r>
        <w:rPr>
          <w:snapToGrid/>
          <w:szCs w:val="21"/>
          <w:lang w:val="en-GB"/>
        </w:rPr>
        <w:t>性别与性</w:t>
      </w:r>
      <w:r>
        <w:rPr>
          <w:snapToGrid/>
          <w:szCs w:val="21"/>
          <w:lang w:val="en-GB"/>
        </w:rPr>
        <w:t>”</w:t>
      </w:r>
      <w:r>
        <w:rPr>
          <w:snapToGrid/>
          <w:szCs w:val="21"/>
          <w:lang w:val="en-GB"/>
        </w:rPr>
        <w:t>、</w:t>
      </w:r>
      <w:r>
        <w:rPr>
          <w:snapToGrid/>
          <w:szCs w:val="21"/>
          <w:lang w:val="en-GB"/>
        </w:rPr>
        <w:t>“</w:t>
      </w:r>
      <w:r>
        <w:rPr>
          <w:snapToGrid/>
          <w:szCs w:val="21"/>
          <w:lang w:val="en-GB"/>
        </w:rPr>
        <w:t>妇女的三重角色</w:t>
      </w:r>
      <w:r>
        <w:rPr>
          <w:snapToGrid/>
          <w:szCs w:val="21"/>
          <w:lang w:val="en-GB"/>
        </w:rPr>
        <w:t>”</w:t>
      </w:r>
      <w:r>
        <w:rPr>
          <w:snapToGrid/>
          <w:szCs w:val="21"/>
          <w:lang w:val="en-GB"/>
        </w:rPr>
        <w:t>，在提高国家机构、社会团体的工作人员，以及全体居民的性别教育方面，也取得了一定的成果。在国家所有省份，当地政府与公众代表就性别问题、宣传《消除对妇女一切形式歧视公约》问题进行讨论。媒体代表也举办了名为</w:t>
      </w:r>
      <w:r>
        <w:rPr>
          <w:snapToGrid/>
          <w:szCs w:val="21"/>
          <w:lang w:val="en-GB"/>
        </w:rPr>
        <w:t>“</w:t>
      </w:r>
      <w:r>
        <w:rPr>
          <w:snapToGrid/>
          <w:szCs w:val="21"/>
          <w:lang w:val="en-GB"/>
        </w:rPr>
        <w:t>妇女与媒体</w:t>
      </w:r>
      <w:r>
        <w:rPr>
          <w:rFonts w:hAnsi="SimSun"/>
          <w:snapToGrid/>
          <w:szCs w:val="21"/>
          <w:lang w:val="en-GB"/>
        </w:rPr>
        <w:t>－</w:t>
      </w:r>
      <w:r>
        <w:rPr>
          <w:snapToGrid/>
          <w:szCs w:val="21"/>
          <w:lang w:val="en-GB"/>
        </w:rPr>
        <w:t>性别态度</w:t>
      </w:r>
      <w:r>
        <w:rPr>
          <w:snapToGrid/>
          <w:szCs w:val="21"/>
          <w:lang w:val="en-GB"/>
        </w:rPr>
        <w:t>”</w:t>
      </w:r>
      <w:r>
        <w:rPr>
          <w:snapToGrid/>
          <w:szCs w:val="21"/>
          <w:lang w:val="en-GB"/>
        </w:rPr>
        <w:t>的讨论会，在中小学校、高校、中等专科学校的教师之间开展了名为</w:t>
      </w:r>
      <w:r>
        <w:rPr>
          <w:snapToGrid/>
          <w:szCs w:val="21"/>
          <w:lang w:val="en-GB"/>
        </w:rPr>
        <w:t xml:space="preserve"> “</w:t>
      </w:r>
      <w:r>
        <w:rPr>
          <w:snapToGrid/>
          <w:szCs w:val="21"/>
          <w:lang w:val="en-GB"/>
        </w:rPr>
        <w:t>土库曼斯坦性别问题的研究与教学</w:t>
      </w:r>
      <w:r>
        <w:rPr>
          <w:snapToGrid/>
          <w:szCs w:val="21"/>
          <w:lang w:val="en-GB"/>
        </w:rPr>
        <w:t>”</w:t>
      </w:r>
      <w:r>
        <w:rPr>
          <w:snapToGrid/>
          <w:szCs w:val="21"/>
          <w:lang w:val="en-GB"/>
        </w:rPr>
        <w:t>的讨论。</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在联合国开发计划署的支持下，妇女协会在全国各地区建立了</w:t>
      </w:r>
      <w:r>
        <w:rPr>
          <w:snapToGrid/>
          <w:szCs w:val="21"/>
          <w:lang w:val="en-GB"/>
        </w:rPr>
        <w:t>30</w:t>
      </w:r>
      <w:r>
        <w:rPr>
          <w:snapToGrid/>
          <w:szCs w:val="21"/>
          <w:lang w:val="en-GB"/>
        </w:rPr>
        <w:t>多家妇女信息与资源中心。资源中心在提高妇女的政治、法律、经济、生态、生殖、信息的普及性，进一步发挥她们在社会生活各领域的积极性，包括参加国家性别平等方面的改革，都起到了重要的作用。</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为支持妇女协会，制订了帮助妇女协会的文件。它们是：协调劳动、家庭和不歧视妇女问题的妇女权利与自由保护方面土库曼斯坦现行法律的系统摘要；《消除对妇女一切形式歧视公约》的宣传材料，以及研究妇女权利与自由国际保护问题的参考资料。文件被制成电子版和纸样发行。</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提高妇女在市场改革中的作用，创造条件使她们积极参加到各个活动领域中，建立法律与社会保障，使履行母亲职责与生产经营积极性的提高有机结合，在根本变革的大背景下，需要实施新的规划，为此进行了社会调查。依照联合国开发计划署与</w:t>
      </w:r>
      <w:r>
        <w:rPr>
          <w:snapToGrid/>
          <w:szCs w:val="21"/>
          <w:lang w:val="en-GB"/>
        </w:rPr>
        <w:t xml:space="preserve"> “</w:t>
      </w:r>
      <w:r>
        <w:rPr>
          <w:snapToGrid/>
          <w:szCs w:val="21"/>
          <w:lang w:val="en-GB"/>
        </w:rPr>
        <w:t>将性别态度深入到土库曼斯坦战略决策的制订与实施中</w:t>
      </w:r>
      <w:r>
        <w:rPr>
          <w:snapToGrid/>
          <w:szCs w:val="21"/>
          <w:lang w:val="en-GB"/>
        </w:rPr>
        <w:t xml:space="preserve">” </w:t>
      </w:r>
      <w:r>
        <w:rPr>
          <w:snapToGrid/>
          <w:szCs w:val="21"/>
          <w:lang w:val="en-GB"/>
        </w:rPr>
        <w:t>妇女协会的合作方案，根据</w:t>
      </w:r>
      <w:r>
        <w:rPr>
          <w:snapToGrid/>
          <w:szCs w:val="21"/>
          <w:lang w:val="en-GB"/>
        </w:rPr>
        <w:t>2006</w:t>
      </w:r>
      <w:r>
        <w:rPr>
          <w:snapToGrid/>
          <w:szCs w:val="21"/>
          <w:lang w:val="en-GB"/>
        </w:rPr>
        <w:t>年进行的妇女社会调查资料，编写了分析报告。</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该国家行动计划的一个优先方向是妇女参与经济活动。此优先方向的选择与妇女在新经济形成及社会转型中的作用有关。就业机会使妇女经济独立，并且巩固了其社会与政治地位。妇女在中小型企业中所占的比例稳步提升。目前，一定数量的妇女在不成立法人的情况下从事个体劳动和经营活动。考虑到问卷妇女向商业方向发展的意向，必须通过训练，督促实施女业主技能发展计划，游说使用特别信贷计划机制，使银行家和支持创立中小企业的单位提高性别敏感性。</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在联合国开发计划署的支持下，土库曼斯坦妇女协会已制订计划，向农村妇女提供自主就业的机会。借助于实用教育训练班，以及使妇女掌握自立知识的措施的落实，得以发展本国妇女潜力，创造妇女自我就业的条件。农村地区不富裕家庭的无业和</w:t>
      </w:r>
      <w:r>
        <w:rPr>
          <w:snapToGrid/>
          <w:szCs w:val="21"/>
          <w:lang w:val="en-GB"/>
        </w:rPr>
        <w:t>/</w:t>
      </w:r>
      <w:r>
        <w:rPr>
          <w:snapToGrid/>
          <w:szCs w:val="21"/>
          <w:lang w:val="en-GB"/>
        </w:rPr>
        <w:t>或未完全就业的妇女是方案的目标群体。向这些妇女群体培训自主就业需要的技能。教学大纲的编写应考虑妇女的能力和当地市场的状况。应组织展会，使妇女不仅可以宣传产品，还可以找到有潜力的客户和销售市场。</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建立女记者中心，不仅可以提高记者的职业水平，还可以通过这个中心为在中央、地方媒体工作的职业妇女提供机会阐述社会性别教育问题。联合国开发计划署支持的妇女协会发行名为</w:t>
      </w:r>
      <w:r>
        <w:rPr>
          <w:snapToGrid/>
          <w:szCs w:val="21"/>
          <w:lang w:val="en-GB"/>
        </w:rPr>
        <w:t>“</w:t>
      </w:r>
      <w:r>
        <w:rPr>
          <w:snapToGrid/>
          <w:szCs w:val="21"/>
          <w:lang w:val="en-GB"/>
        </w:rPr>
        <w:t>埃涅</w:t>
      </w:r>
      <w:r>
        <w:rPr>
          <w:snapToGrid/>
          <w:szCs w:val="21"/>
          <w:lang w:val="en-GB"/>
        </w:rPr>
        <w:t>·</w:t>
      </w:r>
      <w:r>
        <w:rPr>
          <w:snapToGrid/>
          <w:szCs w:val="21"/>
          <w:lang w:val="en-GB"/>
        </w:rPr>
        <w:t>米亚赫利</w:t>
      </w:r>
      <w:r>
        <w:rPr>
          <w:snapToGrid/>
          <w:szCs w:val="21"/>
          <w:lang w:val="en-GB"/>
        </w:rPr>
        <w:t>”</w:t>
      </w:r>
      <w:r>
        <w:rPr>
          <w:snapToGrid/>
          <w:szCs w:val="21"/>
          <w:lang w:val="en-GB"/>
        </w:rPr>
        <w:t>的网上报纸，报道关于性别、健康与教育的迫切问题。</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土库曼斯坦妇女协会十分关注生态问题。在联合国开发计划署的支持下，各区已举办系列讨论会，探讨环境及相关因素问题。提出了有关保护植物不受虫害、人类活动对农业多样性与生物多样性的影响，以及食品污染与食品安全等生态安全方法的问题。采取的措施得到了社会各界的广泛积极回应。</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根据名为</w:t>
      </w:r>
      <w:r>
        <w:rPr>
          <w:snapToGrid/>
          <w:szCs w:val="21"/>
          <w:lang w:val="en-GB"/>
        </w:rPr>
        <w:t>“</w:t>
      </w:r>
      <w:r>
        <w:rPr>
          <w:snapToGrid/>
          <w:szCs w:val="21"/>
          <w:lang w:val="en-GB"/>
        </w:rPr>
        <w:t>健康</w:t>
      </w:r>
      <w:r>
        <w:rPr>
          <w:snapToGrid/>
          <w:szCs w:val="21"/>
          <w:lang w:val="en-GB"/>
        </w:rPr>
        <w:t>”</w:t>
      </w:r>
      <w:r>
        <w:rPr>
          <w:snapToGrid/>
          <w:szCs w:val="21"/>
          <w:lang w:val="en-GB"/>
        </w:rPr>
        <w:t>的国家计划，进行妇女健康保护工作，强健妇女体格、保护家庭的生殖健康。土库曼斯坦妇女协会实行的计划，首先规定要加强预防工作，加大宣传健康的生活方式，使卫生习惯落实到日常生活中，根除不良生活方式，如吸烟、饮酒、吸食毒品、暴饮暴食等。</w:t>
      </w:r>
    </w:p>
    <w:p w:rsidR="00A93F62" w:rsidRDefault="00A93F62">
      <w:pPr>
        <w:pStyle w:val="H1GC"/>
        <w:rPr>
          <w:rFonts w:hint="eastAsia"/>
          <w:snapToGrid/>
          <w:szCs w:val="24"/>
          <w:lang w:val="en-GB"/>
        </w:rPr>
      </w:pPr>
      <w:r>
        <w:rPr>
          <w:rFonts w:hint="eastAsia"/>
          <w:snapToGrid/>
          <w:szCs w:val="24"/>
          <w:lang w:val="en-GB"/>
        </w:rPr>
        <w:tab/>
      </w:r>
      <w:r>
        <w:rPr>
          <w:rFonts w:hint="eastAsia"/>
          <w:snapToGrid/>
          <w:szCs w:val="24"/>
          <w:lang w:val="en-GB"/>
        </w:rPr>
        <w:tab/>
      </w:r>
      <w:r>
        <w:rPr>
          <w:snapToGrid/>
          <w:szCs w:val="24"/>
          <w:lang w:val="en-GB"/>
        </w:rPr>
        <w:t>第四条</w:t>
      </w:r>
      <w:r>
        <w:rPr>
          <w:snapToGrid/>
          <w:szCs w:val="24"/>
          <w:lang w:val="en-GB"/>
        </w:rPr>
        <w:t xml:space="preserve"> </w:t>
      </w:r>
      <w:r>
        <w:rPr>
          <w:rFonts w:hint="eastAsia"/>
          <w:snapToGrid/>
          <w:szCs w:val="24"/>
          <w:lang w:val="en-GB"/>
        </w:rPr>
        <w:br/>
      </w:r>
      <w:r>
        <w:rPr>
          <w:rFonts w:hint="eastAsia"/>
          <w:snapToGrid/>
          <w:szCs w:val="24"/>
          <w:lang w:val="en-GB"/>
        </w:rPr>
        <w:t>对权利</w:t>
      </w:r>
      <w:r>
        <w:rPr>
          <w:snapToGrid/>
          <w:szCs w:val="24"/>
          <w:lang w:val="en-GB"/>
        </w:rPr>
        <w:t>实施</w:t>
      </w:r>
      <w:r>
        <w:rPr>
          <w:rFonts w:hint="eastAsia"/>
          <w:snapToGrid/>
          <w:szCs w:val="24"/>
          <w:lang w:val="en-GB"/>
        </w:rPr>
        <w:t>的限制</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根据《宪法》第</w:t>
      </w:r>
      <w:r>
        <w:rPr>
          <w:snapToGrid/>
          <w:szCs w:val="21"/>
          <w:lang w:val="en-GB"/>
        </w:rPr>
        <w:t>18</w:t>
      </w:r>
      <w:r>
        <w:rPr>
          <w:snapToGrid/>
          <w:szCs w:val="21"/>
          <w:lang w:val="en-GB"/>
        </w:rPr>
        <w:t>条，人的权利与自由不可侵犯，不可转让。任何人都无权剥夺一个人的任何权利和自由，或者限制他的权利，根据《宪法》和法律规定的情形除外。《宪法》和法律规定的人的权利和自由不能用于损害或减少其他的权利和自由。</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人的权利不能被限制，也不能被剥夺，否则将根据法律</w:t>
      </w:r>
      <w:r>
        <w:rPr>
          <w:snapToGrid/>
          <w:szCs w:val="21"/>
          <w:lang w:val="en-GB"/>
        </w:rPr>
        <w:t>(</w:t>
      </w:r>
      <w:r>
        <w:rPr>
          <w:snapToGrid/>
          <w:szCs w:val="21"/>
          <w:lang w:val="en-GB"/>
        </w:rPr>
        <w:t>《土库曼斯坦宪法》第</w:t>
      </w:r>
      <w:r>
        <w:rPr>
          <w:snapToGrid/>
          <w:szCs w:val="21"/>
          <w:lang w:val="en-GB"/>
        </w:rPr>
        <w:t>23</w:t>
      </w:r>
      <w:r>
        <w:rPr>
          <w:snapToGrid/>
          <w:szCs w:val="21"/>
          <w:lang w:val="en-GB"/>
        </w:rPr>
        <w:t>条</w:t>
      </w:r>
      <w:r>
        <w:rPr>
          <w:snapToGrid/>
          <w:szCs w:val="21"/>
          <w:lang w:val="en-GB"/>
        </w:rPr>
        <w:t>)</w:t>
      </w:r>
      <w:r>
        <w:rPr>
          <w:snapToGrid/>
          <w:szCs w:val="21"/>
          <w:lang w:val="en-GB"/>
        </w:rPr>
        <w:t>被定罪或惩处。</w:t>
      </w:r>
    </w:p>
    <w:p w:rsidR="00A93F62" w:rsidRDefault="00A93F62">
      <w:pPr>
        <w:numPr>
          <w:ilvl w:val="0"/>
          <w:numId w:val="40"/>
        </w:numPr>
        <w:suppressAutoHyphens/>
        <w:overflowPunct/>
        <w:adjustRightInd/>
        <w:snapToGrid/>
        <w:spacing w:after="120" w:line="320" w:lineRule="atLeast"/>
        <w:ind w:left="1134" w:right="1134" w:firstLine="0"/>
        <w:rPr>
          <w:snapToGrid/>
          <w:szCs w:val="21"/>
          <w:lang w:val="en-GB"/>
        </w:rPr>
      </w:pPr>
      <w:r>
        <w:rPr>
          <w:snapToGrid/>
          <w:szCs w:val="21"/>
          <w:lang w:val="en-GB"/>
        </w:rPr>
        <w:t>根据《土库曼斯坦民法》第</w:t>
      </w:r>
      <w:r>
        <w:rPr>
          <w:snapToGrid/>
          <w:szCs w:val="21"/>
          <w:lang w:val="en-GB"/>
        </w:rPr>
        <w:t>1</w:t>
      </w:r>
      <w:r>
        <w:rPr>
          <w:snapToGrid/>
          <w:szCs w:val="21"/>
          <w:lang w:val="en-GB"/>
        </w:rPr>
        <w:t>条，只有为维护他人的道德、健康、权利与合法利益，保障社会与国家安全，保护环境时，才能依照法律，限制公民的权利。</w:t>
      </w:r>
      <w:r>
        <w:rPr>
          <w:snapToGrid/>
          <w:szCs w:val="21"/>
          <w:lang w:val="en-GB"/>
        </w:rPr>
        <w:t xml:space="preserve"> </w:t>
      </w:r>
    </w:p>
    <w:p w:rsidR="00A93F62" w:rsidRDefault="00A93F62">
      <w:pPr>
        <w:pStyle w:val="H1GC"/>
        <w:rPr>
          <w:snapToGrid/>
          <w:szCs w:val="24"/>
          <w:lang w:val="en-GB"/>
        </w:rPr>
      </w:pPr>
      <w:r>
        <w:rPr>
          <w:rFonts w:hint="eastAsia"/>
          <w:snapToGrid/>
          <w:szCs w:val="24"/>
          <w:lang w:val="en-GB"/>
        </w:rPr>
        <w:tab/>
      </w:r>
      <w:r>
        <w:rPr>
          <w:rFonts w:hint="eastAsia"/>
          <w:snapToGrid/>
          <w:szCs w:val="24"/>
          <w:lang w:val="en-GB"/>
        </w:rPr>
        <w:tab/>
      </w:r>
      <w:r>
        <w:rPr>
          <w:snapToGrid/>
          <w:szCs w:val="24"/>
          <w:lang w:val="en-GB"/>
        </w:rPr>
        <w:t>第五条</w:t>
      </w:r>
      <w:r>
        <w:rPr>
          <w:snapToGrid/>
          <w:szCs w:val="24"/>
          <w:lang w:val="en-GB"/>
        </w:rPr>
        <w:t xml:space="preserve"> </w:t>
      </w:r>
      <w:r>
        <w:rPr>
          <w:rFonts w:hint="eastAsia"/>
          <w:snapToGrid/>
          <w:szCs w:val="24"/>
          <w:lang w:val="en-GB"/>
        </w:rPr>
        <w:br/>
      </w:r>
      <w:r>
        <w:rPr>
          <w:snapToGrid/>
          <w:szCs w:val="24"/>
          <w:lang w:val="en-GB"/>
        </w:rPr>
        <w:t>禁止</w:t>
      </w:r>
      <w:r>
        <w:rPr>
          <w:rFonts w:hint="eastAsia"/>
          <w:snapToGrid/>
          <w:szCs w:val="24"/>
          <w:lang w:val="en-GB"/>
        </w:rPr>
        <w:t>旨在破坏</w:t>
      </w:r>
      <w:r>
        <w:rPr>
          <w:snapToGrid/>
          <w:szCs w:val="24"/>
          <w:lang w:val="en-GB"/>
        </w:rPr>
        <w:t>任何权利与自由</w:t>
      </w:r>
      <w:r>
        <w:rPr>
          <w:rFonts w:hint="eastAsia"/>
          <w:snapToGrid/>
          <w:szCs w:val="24"/>
          <w:lang w:val="en-GB"/>
        </w:rPr>
        <w:t>、</w:t>
      </w:r>
      <w:r>
        <w:rPr>
          <w:snapToGrid/>
          <w:szCs w:val="24"/>
          <w:lang w:val="en-GB"/>
        </w:rPr>
        <w:t>限制或</w:t>
      </w:r>
      <w:r>
        <w:rPr>
          <w:rFonts w:hint="eastAsia"/>
          <w:snapToGrid/>
          <w:szCs w:val="24"/>
          <w:lang w:val="en-GB"/>
        </w:rPr>
        <w:t>克减</w:t>
      </w:r>
      <w:r>
        <w:rPr>
          <w:snapToGrid/>
          <w:szCs w:val="24"/>
          <w:lang w:val="en-GB"/>
        </w:rPr>
        <w:t>基本人权的活动与行为</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43.</w:t>
      </w:r>
      <w:r>
        <w:rPr>
          <w:rFonts w:hint="eastAsia"/>
          <w:snapToGrid/>
          <w:szCs w:val="21"/>
          <w:lang w:val="en-GB"/>
        </w:rPr>
        <w:t xml:space="preserve"> </w:t>
      </w:r>
      <w:r>
        <w:rPr>
          <w:snapToGrid/>
          <w:szCs w:val="21"/>
          <w:lang w:val="en-GB"/>
        </w:rPr>
        <w:t xml:space="preserve"> </w:t>
      </w:r>
      <w:r>
        <w:rPr>
          <w:snapToGrid/>
          <w:szCs w:val="21"/>
          <w:lang w:val="en-GB"/>
        </w:rPr>
        <w:t>在土库曼斯坦共和国，人是社会和国家最宝贵的东西。国家对每个公民负责，并保证为其自由发展创造条件。国家捍卫公民的生命、人格、尊严、自由、个人不可侵犯性、自然和不可转让的权利</w:t>
      </w:r>
      <w:r>
        <w:rPr>
          <w:snapToGrid/>
          <w:szCs w:val="21"/>
          <w:lang w:val="en-GB"/>
        </w:rPr>
        <w:t>(</w:t>
      </w:r>
      <w:r>
        <w:rPr>
          <w:snapToGrid/>
          <w:szCs w:val="21"/>
          <w:lang w:val="en-GB"/>
        </w:rPr>
        <w:t>《土库曼斯坦宪法》第</w:t>
      </w:r>
      <w:r>
        <w:rPr>
          <w:snapToGrid/>
          <w:szCs w:val="21"/>
          <w:lang w:val="en-GB"/>
        </w:rPr>
        <w:t>3</w:t>
      </w:r>
      <w:r>
        <w:rPr>
          <w:snapToGrid/>
          <w:szCs w:val="21"/>
          <w:lang w:val="en-GB"/>
        </w:rPr>
        <w:t>条</w:t>
      </w:r>
      <w:r>
        <w:rPr>
          <w:snapToGrid/>
          <w:szCs w:val="21"/>
          <w:lang w:val="en-GB"/>
        </w:rPr>
        <w:t>)</w:t>
      </w:r>
      <w:r>
        <w:rPr>
          <w:snapToGrid/>
          <w:szCs w:val="21"/>
          <w:lang w:val="en-GB"/>
        </w:rPr>
        <w:t>。公民根据《宪法》所享有的权利和自由只有在发生紧急情况或者战争，并根据《宪法》和法律规定的程序与限制而临时中止</w:t>
      </w:r>
      <w:r>
        <w:rPr>
          <w:snapToGrid/>
          <w:szCs w:val="21"/>
          <w:lang w:val="en-GB"/>
        </w:rPr>
        <w:t>(</w:t>
      </w:r>
      <w:r>
        <w:rPr>
          <w:snapToGrid/>
          <w:szCs w:val="21"/>
          <w:lang w:val="en-GB"/>
        </w:rPr>
        <w:t>《土库曼斯坦宣言》第四十七条</w:t>
      </w:r>
      <w:r>
        <w:rPr>
          <w:snapToGrid/>
          <w:szCs w:val="21"/>
          <w:lang w:val="en-GB"/>
        </w:rPr>
        <w:t>)</w:t>
      </w:r>
      <w:r>
        <w:rPr>
          <w:snapToGrid/>
          <w:szCs w:val="21"/>
          <w:lang w:val="en-GB"/>
        </w:rPr>
        <w:t>。</w:t>
      </w:r>
    </w:p>
    <w:p w:rsidR="00A93F62" w:rsidRDefault="00A93F62">
      <w:pPr>
        <w:pStyle w:val="H1GC"/>
        <w:rPr>
          <w:snapToGrid/>
          <w:szCs w:val="24"/>
          <w:lang w:val="en-GB"/>
        </w:rPr>
      </w:pPr>
      <w:r>
        <w:rPr>
          <w:rFonts w:hint="eastAsia"/>
          <w:snapToGrid/>
          <w:szCs w:val="24"/>
          <w:lang w:val="en-GB"/>
        </w:rPr>
        <w:tab/>
      </w:r>
      <w:r>
        <w:rPr>
          <w:rFonts w:hint="eastAsia"/>
          <w:snapToGrid/>
          <w:szCs w:val="24"/>
          <w:lang w:val="en-GB"/>
        </w:rPr>
        <w:tab/>
      </w:r>
      <w:r>
        <w:rPr>
          <w:snapToGrid/>
          <w:szCs w:val="24"/>
          <w:lang w:val="en-GB"/>
        </w:rPr>
        <w:t>第六条</w:t>
      </w:r>
      <w:r>
        <w:rPr>
          <w:snapToGrid/>
          <w:szCs w:val="24"/>
          <w:lang w:val="en-GB"/>
        </w:rPr>
        <w:t xml:space="preserve"> </w:t>
      </w:r>
      <w:r>
        <w:rPr>
          <w:rFonts w:hint="eastAsia"/>
          <w:snapToGrid/>
          <w:szCs w:val="24"/>
          <w:lang w:val="en-GB"/>
        </w:rPr>
        <w:br/>
      </w:r>
      <w:r>
        <w:rPr>
          <w:rFonts w:hint="eastAsia"/>
          <w:snapToGrid/>
          <w:szCs w:val="24"/>
          <w:lang w:val="en-GB"/>
        </w:rPr>
        <w:t>工作</w:t>
      </w:r>
      <w:r>
        <w:rPr>
          <w:snapToGrid/>
          <w:szCs w:val="24"/>
          <w:lang w:val="en-GB"/>
        </w:rPr>
        <w:t>权</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44. </w:t>
      </w:r>
      <w:r>
        <w:rPr>
          <w:rFonts w:hint="eastAsia"/>
          <w:snapToGrid/>
          <w:szCs w:val="21"/>
          <w:lang w:val="en-GB"/>
        </w:rPr>
        <w:t xml:space="preserve"> </w:t>
      </w:r>
      <w:r>
        <w:rPr>
          <w:snapToGrid/>
          <w:szCs w:val="21"/>
          <w:lang w:val="en-GB"/>
        </w:rPr>
        <w:t>《土库曼斯坦宪法》第</w:t>
      </w:r>
      <w:r>
        <w:rPr>
          <w:snapToGrid/>
          <w:szCs w:val="21"/>
          <w:lang w:val="en-GB"/>
        </w:rPr>
        <w:t>33</w:t>
      </w:r>
      <w:r>
        <w:rPr>
          <w:snapToGrid/>
          <w:szCs w:val="21"/>
          <w:lang w:val="en-GB"/>
        </w:rPr>
        <w:t>条保证公民享有</w:t>
      </w:r>
      <w:r>
        <w:rPr>
          <w:rFonts w:hint="eastAsia"/>
          <w:snapToGrid/>
          <w:szCs w:val="21"/>
          <w:lang w:val="en-GB"/>
        </w:rPr>
        <w:t>工作</w:t>
      </w:r>
      <w:r>
        <w:rPr>
          <w:snapToGrid/>
          <w:szCs w:val="21"/>
          <w:lang w:val="en-GB"/>
        </w:rPr>
        <w:t>权，可以自由选择职业、工种、工作地点，以及健康安全的劳动条件。《土库曼斯坦劳动法典》禁止劳动者有任何例外或特权，不论其是何人种、性别、宗教信仰、民族、出身、职务、财产状况。聘用人员有权得到与自身劳动相符的酬金。酬金不得少于国家规定的最低生活保障金。</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45. </w:t>
      </w:r>
      <w:r>
        <w:rPr>
          <w:rFonts w:hint="eastAsia"/>
          <w:snapToGrid/>
          <w:szCs w:val="21"/>
          <w:lang w:val="en-GB"/>
        </w:rPr>
        <w:t xml:space="preserve"> </w:t>
      </w:r>
      <w:r>
        <w:rPr>
          <w:snapToGrid/>
          <w:szCs w:val="21"/>
          <w:lang w:val="en-GB"/>
        </w:rPr>
        <w:t>劳动关系由《土库曼斯坦劳动法典》来协调，该法于</w:t>
      </w:r>
      <w:smartTag w:uri="urn:schemas-microsoft-com:office:smarttags" w:element="chsdate">
        <w:smartTagPr>
          <w:attr w:name="IsROCDate" w:val="False"/>
          <w:attr w:name="IsLunarDate" w:val="False"/>
          <w:attr w:name="Day" w:val="28"/>
          <w:attr w:name="Month" w:val="6"/>
          <w:attr w:name="Year" w:val="1972"/>
        </w:smartTagPr>
        <w:r>
          <w:rPr>
            <w:snapToGrid/>
            <w:szCs w:val="21"/>
            <w:lang w:val="en-GB"/>
          </w:rPr>
          <w:t>1972</w:t>
        </w:r>
        <w:r>
          <w:rPr>
            <w:snapToGrid/>
            <w:szCs w:val="21"/>
            <w:lang w:val="en-GB"/>
          </w:rPr>
          <w:t>年</w:t>
        </w:r>
        <w:r>
          <w:rPr>
            <w:snapToGrid/>
            <w:szCs w:val="21"/>
            <w:lang w:val="en-GB"/>
          </w:rPr>
          <w:t>6</w:t>
        </w:r>
        <w:r>
          <w:rPr>
            <w:snapToGrid/>
            <w:szCs w:val="21"/>
            <w:lang w:val="en-GB"/>
          </w:rPr>
          <w:t>月</w:t>
        </w:r>
        <w:r>
          <w:rPr>
            <w:snapToGrid/>
            <w:szCs w:val="21"/>
            <w:lang w:val="en-GB"/>
          </w:rPr>
          <w:t>28</w:t>
        </w:r>
        <w:r>
          <w:rPr>
            <w:snapToGrid/>
            <w:szCs w:val="21"/>
            <w:lang w:val="en-GB"/>
          </w:rPr>
          <w:t>日</w:t>
        </w:r>
      </w:smartTag>
      <w:r>
        <w:rPr>
          <w:snapToGrid/>
          <w:szCs w:val="21"/>
          <w:lang w:val="en-GB"/>
        </w:rPr>
        <w:t>颁布，</w:t>
      </w:r>
      <w:smartTag w:uri="urn:schemas-microsoft-com:office:smarttags" w:element="chsdate">
        <w:smartTagPr>
          <w:attr w:name="IsROCDate" w:val="False"/>
          <w:attr w:name="IsLunarDate" w:val="False"/>
          <w:attr w:name="Day" w:val="1"/>
          <w:attr w:name="Month" w:val="10"/>
          <w:attr w:name="Year" w:val="1993"/>
        </w:smartTagPr>
        <w:r>
          <w:rPr>
            <w:snapToGrid/>
            <w:szCs w:val="21"/>
            <w:lang w:val="en-GB"/>
          </w:rPr>
          <w:t>1993</w:t>
        </w:r>
        <w:r>
          <w:rPr>
            <w:snapToGrid/>
            <w:szCs w:val="21"/>
            <w:lang w:val="en-GB"/>
          </w:rPr>
          <w:t>年</w:t>
        </w:r>
        <w:r>
          <w:rPr>
            <w:snapToGrid/>
            <w:szCs w:val="21"/>
            <w:lang w:val="en-GB"/>
          </w:rPr>
          <w:t>10</w:t>
        </w:r>
        <w:r>
          <w:rPr>
            <w:snapToGrid/>
            <w:szCs w:val="21"/>
            <w:lang w:val="en-GB"/>
          </w:rPr>
          <w:t>月</w:t>
        </w:r>
        <w:r>
          <w:rPr>
            <w:snapToGrid/>
            <w:szCs w:val="21"/>
            <w:lang w:val="en-GB"/>
          </w:rPr>
          <w:t>1</w:t>
        </w:r>
        <w:r>
          <w:rPr>
            <w:snapToGrid/>
            <w:szCs w:val="21"/>
            <w:lang w:val="en-GB"/>
          </w:rPr>
          <w:t>日</w:t>
        </w:r>
      </w:smartTag>
      <w:r>
        <w:rPr>
          <w:snapToGrid/>
          <w:szCs w:val="21"/>
          <w:lang w:val="en-GB"/>
        </w:rPr>
        <w:t>重新校订。除了法典，还有大量关于劳动与社会问题的法律文件。</w:t>
      </w:r>
    </w:p>
    <w:p w:rsidR="00A93F62" w:rsidRDefault="00A93F62">
      <w:pPr>
        <w:tabs>
          <w:tab w:val="clear" w:pos="431"/>
        </w:tabs>
        <w:suppressAutoHyphens/>
        <w:overflowPunct/>
        <w:adjustRightInd/>
        <w:snapToGrid/>
        <w:spacing w:after="120" w:line="320" w:lineRule="atLeast"/>
        <w:ind w:left="1134" w:right="1134"/>
        <w:rPr>
          <w:rFonts w:hint="eastAsia"/>
          <w:snapToGrid/>
          <w:szCs w:val="21"/>
          <w:lang w:val="en-GB"/>
        </w:rPr>
      </w:pPr>
      <w:r>
        <w:rPr>
          <w:snapToGrid/>
          <w:szCs w:val="21"/>
          <w:lang w:val="en-GB"/>
        </w:rPr>
        <w:t xml:space="preserve">46. </w:t>
      </w:r>
      <w:r>
        <w:rPr>
          <w:rFonts w:hint="eastAsia"/>
          <w:snapToGrid/>
          <w:szCs w:val="21"/>
          <w:lang w:val="en-GB"/>
        </w:rPr>
        <w:t xml:space="preserve"> </w:t>
      </w:r>
      <w:r>
        <w:rPr>
          <w:snapToGrid/>
          <w:szCs w:val="21"/>
          <w:lang w:val="en-GB"/>
        </w:rPr>
        <w:t>国家保证在土库曼斯坦居住的公民拥有选择工种的自由，法律保护他不被无故解雇，根据其才能、职业培训与受教育程度，无偿帮助他选择合适的工作和就业，保护他不受任何歧视，并保证所有公民平等获得就业职业与工作机会，选择就业和劳动条件，向年轻的专业人员</w:t>
      </w:r>
      <w:r>
        <w:rPr>
          <w:rFonts w:hint="eastAsia"/>
          <w:snapToGrid/>
          <w:spacing w:val="-50"/>
          <w:szCs w:val="21"/>
          <w:lang w:val="en-GB"/>
        </w:rPr>
        <w:t>―</w:t>
      </w:r>
      <w:r>
        <w:rPr>
          <w:rFonts w:hint="eastAsia"/>
          <w:snapToGrid/>
          <w:szCs w:val="21"/>
          <w:lang w:val="en-GB"/>
        </w:rPr>
        <w:t>―</w:t>
      </w:r>
      <w:r>
        <w:rPr>
          <w:snapToGrid/>
          <w:szCs w:val="21"/>
          <w:lang w:val="en-GB"/>
        </w:rPr>
        <w:t>专家</w:t>
      </w:r>
      <w:r>
        <w:rPr>
          <w:rFonts w:hint="eastAsia"/>
          <w:snapToGrid/>
          <w:spacing w:val="-50"/>
          <w:szCs w:val="21"/>
          <w:lang w:val="en-GB"/>
        </w:rPr>
        <w:t>―</w:t>
      </w:r>
      <w:r>
        <w:rPr>
          <w:rFonts w:hint="eastAsia"/>
          <w:snapToGrid/>
          <w:szCs w:val="21"/>
          <w:lang w:val="en-GB"/>
        </w:rPr>
        <w:t>―</w:t>
      </w:r>
      <w:r>
        <w:rPr>
          <w:snapToGrid/>
          <w:szCs w:val="21"/>
          <w:lang w:val="en-GB"/>
        </w:rPr>
        <w:t>高校与中等专科学校的毕业生提供合适的工作，向进修人员提供工作机会，他们根据与企业和单位的合同，按照就业服务机构的委派，进行进修；保证免费获得职业定向、培训、进修和技能提高方面的帮助，根据现行法律</w:t>
      </w:r>
      <w:r>
        <w:rPr>
          <w:snapToGrid/>
          <w:szCs w:val="21"/>
          <w:lang w:val="en-GB"/>
        </w:rPr>
        <w:t>(</w:t>
      </w:r>
      <w:r>
        <w:rPr>
          <w:snapToGrid/>
          <w:szCs w:val="21"/>
          <w:lang w:val="en-GB"/>
        </w:rPr>
        <w:t>土库曼斯坦《就业法》第</w:t>
      </w:r>
      <w:r>
        <w:rPr>
          <w:snapToGrid/>
          <w:szCs w:val="21"/>
          <w:lang w:val="en-GB"/>
        </w:rPr>
        <w:t>11</w:t>
      </w:r>
      <w:r>
        <w:rPr>
          <w:snapToGrid/>
          <w:szCs w:val="21"/>
          <w:lang w:val="en-GB"/>
        </w:rPr>
        <w:t>条和《土库曼斯坦劳动法典》第</w:t>
      </w:r>
      <w:r>
        <w:rPr>
          <w:snapToGrid/>
          <w:szCs w:val="21"/>
          <w:lang w:val="en-GB"/>
        </w:rPr>
        <w:t>43</w:t>
      </w:r>
      <w:r>
        <w:rPr>
          <w:snapToGrid/>
          <w:szCs w:val="21"/>
          <w:lang w:val="en-GB"/>
        </w:rPr>
        <w:t>条</w:t>
      </w:r>
      <w:r>
        <w:rPr>
          <w:snapToGrid/>
          <w:szCs w:val="21"/>
          <w:lang w:val="en-GB"/>
        </w:rPr>
        <w:t>)</w:t>
      </w:r>
      <w:r>
        <w:rPr>
          <w:snapToGrid/>
          <w:szCs w:val="21"/>
          <w:lang w:val="en-GB"/>
        </w:rPr>
        <w:t>，补偿外派工作的经费开支。</w:t>
      </w:r>
    </w:p>
    <w:p w:rsidR="00A93F62" w:rsidRDefault="00A93F62">
      <w:pPr>
        <w:pStyle w:val="SingleTxtGC"/>
        <w:rPr>
          <w:snapToGrid/>
          <w:lang w:val="en-GB"/>
        </w:rPr>
      </w:pPr>
      <w:r>
        <w:rPr>
          <w:snapToGrid/>
          <w:lang w:val="en-GB"/>
        </w:rPr>
        <w:t xml:space="preserve">47. </w:t>
      </w:r>
      <w:r>
        <w:rPr>
          <w:rFonts w:hint="eastAsia"/>
          <w:snapToGrid/>
          <w:lang w:val="en-GB"/>
        </w:rPr>
        <w:t xml:space="preserve"> </w:t>
      </w:r>
      <w:r>
        <w:rPr>
          <w:snapToGrid/>
          <w:lang w:val="en-GB"/>
        </w:rPr>
        <w:t>为确保保证土库曼斯坦立法在人和公民权利与自由领域与国际标准保持一致，《土库曼斯坦劳动法典》第</w:t>
      </w:r>
      <w:r>
        <w:rPr>
          <w:snapToGrid/>
          <w:lang w:val="en-GB"/>
        </w:rPr>
        <w:t>6</w:t>
      </w:r>
      <w:r>
        <w:rPr>
          <w:snapToGrid/>
          <w:lang w:val="en-GB"/>
        </w:rPr>
        <w:t>条规定，如果土库曼斯坦加入的国际公约，规定了与其劳动法不同的其他条款，则实行以该公约条款为准。</w:t>
      </w:r>
    </w:p>
    <w:p w:rsidR="00A93F62" w:rsidRDefault="00A93F62">
      <w:pPr>
        <w:pStyle w:val="SingleTxtGC"/>
        <w:rPr>
          <w:snapToGrid/>
          <w:lang w:val="en-GB"/>
        </w:rPr>
      </w:pPr>
      <w:r>
        <w:rPr>
          <w:snapToGrid/>
          <w:lang w:val="en-GB"/>
        </w:rPr>
        <w:t xml:space="preserve">48. </w:t>
      </w:r>
      <w:r>
        <w:rPr>
          <w:rFonts w:hint="eastAsia"/>
          <w:snapToGrid/>
          <w:lang w:val="en-GB"/>
        </w:rPr>
        <w:t xml:space="preserve"> </w:t>
      </w:r>
      <w:r>
        <w:rPr>
          <w:snapToGrid/>
          <w:lang w:val="en-GB"/>
        </w:rPr>
        <w:t>自</w:t>
      </w:r>
      <w:smartTag w:uri="urn:schemas-microsoft-com:office:smarttags" w:element="chsdate">
        <w:smartTagPr>
          <w:attr w:name="IsROCDate" w:val="False"/>
          <w:attr w:name="IsLunarDate" w:val="False"/>
          <w:attr w:name="Day" w:val="24"/>
          <w:attr w:name="Month" w:val="9"/>
          <w:attr w:name="Year" w:val="1993"/>
        </w:smartTagPr>
        <w:r>
          <w:rPr>
            <w:snapToGrid/>
            <w:lang w:val="en-GB"/>
          </w:rPr>
          <w:t>1993</w:t>
        </w:r>
        <w:r>
          <w:rPr>
            <w:snapToGrid/>
            <w:lang w:val="en-GB"/>
          </w:rPr>
          <w:t>年</w:t>
        </w:r>
        <w:r>
          <w:rPr>
            <w:snapToGrid/>
            <w:lang w:val="en-GB"/>
          </w:rPr>
          <w:t>9</w:t>
        </w:r>
        <w:r>
          <w:rPr>
            <w:snapToGrid/>
            <w:lang w:val="en-GB"/>
          </w:rPr>
          <w:t>月</w:t>
        </w:r>
        <w:r>
          <w:rPr>
            <w:snapToGrid/>
            <w:lang w:val="en-GB"/>
          </w:rPr>
          <w:t>24</w:t>
        </w:r>
        <w:r>
          <w:rPr>
            <w:snapToGrid/>
            <w:lang w:val="en-GB"/>
          </w:rPr>
          <w:t>日</w:t>
        </w:r>
      </w:smartTag>
      <w:r>
        <w:rPr>
          <w:snapToGrid/>
          <w:lang w:val="en-GB"/>
        </w:rPr>
        <w:t>起，土库曼斯坦成为国际劳工组织的成员，并加入了国际劳工组织的七个公约：</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515"/>
        <w:gridCol w:w="3735"/>
        <w:gridCol w:w="2120"/>
      </w:tblGrid>
      <w:tr w:rsidR="00A93F62">
        <w:tc>
          <w:tcPr>
            <w:tcW w:w="1500" w:type="dxa"/>
            <w:tcBorders>
              <w:top w:val="single" w:sz="4" w:space="0" w:color="auto"/>
              <w:bottom w:val="single" w:sz="12" w:space="0" w:color="auto"/>
            </w:tcBorders>
            <w:shd w:val="clear" w:color="auto" w:fill="auto"/>
            <w:vAlign w:val="bottom"/>
          </w:tcPr>
          <w:p w:rsidR="00A93F62" w:rsidRDefault="00A93F62">
            <w:pPr>
              <w:pStyle w:val="a"/>
              <w:rPr>
                <w:i/>
                <w:snapToGrid/>
                <w:lang w:val="en-GB"/>
              </w:rPr>
            </w:pPr>
            <w:r>
              <w:rPr>
                <w:snapToGrid/>
                <w:lang w:val="en-GB"/>
              </w:rPr>
              <w:t>序号</w:t>
            </w:r>
          </w:p>
        </w:tc>
        <w:tc>
          <w:tcPr>
            <w:tcW w:w="3700" w:type="dxa"/>
            <w:tcBorders>
              <w:top w:val="single" w:sz="4" w:space="0" w:color="auto"/>
              <w:bottom w:val="single" w:sz="12" w:space="0" w:color="auto"/>
            </w:tcBorders>
            <w:shd w:val="clear" w:color="auto" w:fill="auto"/>
            <w:vAlign w:val="bottom"/>
          </w:tcPr>
          <w:p w:rsidR="00A93F62" w:rsidRDefault="00A93F62">
            <w:pPr>
              <w:pStyle w:val="a"/>
              <w:rPr>
                <w:i/>
                <w:snapToGrid/>
                <w:lang w:val="en-GB"/>
              </w:rPr>
            </w:pPr>
            <w:r>
              <w:rPr>
                <w:snapToGrid/>
                <w:lang w:val="en-GB"/>
              </w:rPr>
              <w:t>公约名称</w:t>
            </w:r>
          </w:p>
        </w:tc>
        <w:tc>
          <w:tcPr>
            <w:tcW w:w="2100" w:type="dxa"/>
            <w:tcBorders>
              <w:top w:val="single" w:sz="4" w:space="0" w:color="auto"/>
              <w:bottom w:val="single" w:sz="12" w:space="0" w:color="auto"/>
            </w:tcBorders>
            <w:shd w:val="clear" w:color="auto" w:fill="auto"/>
            <w:vAlign w:val="bottom"/>
          </w:tcPr>
          <w:p w:rsidR="00A93F62" w:rsidRDefault="00A93F62">
            <w:pPr>
              <w:pStyle w:val="a"/>
              <w:rPr>
                <w:snapToGrid/>
                <w:lang w:val="en-GB"/>
              </w:rPr>
            </w:pPr>
            <w:r>
              <w:rPr>
                <w:snapToGrid/>
                <w:lang w:val="en-GB"/>
              </w:rPr>
              <w:t>批准日期</w:t>
            </w:r>
          </w:p>
        </w:tc>
      </w:tr>
      <w:tr w:rsidR="00A93F62">
        <w:tc>
          <w:tcPr>
            <w:tcW w:w="1500" w:type="dxa"/>
            <w:tcBorders>
              <w:top w:val="single" w:sz="12" w:space="0" w:color="auto"/>
            </w:tcBorders>
            <w:shd w:val="clear" w:color="auto" w:fill="auto"/>
          </w:tcPr>
          <w:p w:rsidR="00A93F62" w:rsidRDefault="00A93F62">
            <w:pPr>
              <w:pStyle w:val="a0"/>
              <w:suppressAutoHyphens w:val="0"/>
              <w:overflowPunct/>
              <w:spacing w:after="60"/>
              <w:jc w:val="left"/>
              <w:rPr>
                <w:snapToGrid/>
                <w:lang w:val="en-GB"/>
              </w:rPr>
            </w:pPr>
            <w:r>
              <w:rPr>
                <w:snapToGrid/>
                <w:lang w:val="en-GB"/>
              </w:rPr>
              <w:t>第</w:t>
            </w:r>
            <w:r>
              <w:rPr>
                <w:snapToGrid/>
                <w:lang w:val="en-GB"/>
              </w:rPr>
              <w:t>87</w:t>
            </w:r>
            <w:r>
              <w:rPr>
                <w:snapToGrid/>
                <w:lang w:val="en-GB"/>
              </w:rPr>
              <w:t>号公约</w:t>
            </w:r>
          </w:p>
        </w:tc>
        <w:tc>
          <w:tcPr>
            <w:tcW w:w="3700" w:type="dxa"/>
            <w:tcBorders>
              <w:top w:val="single" w:sz="12" w:space="0" w:color="auto"/>
            </w:tcBorders>
            <w:shd w:val="clear" w:color="auto" w:fill="auto"/>
          </w:tcPr>
          <w:p w:rsidR="00A93F62" w:rsidRDefault="00A93F62">
            <w:pPr>
              <w:pStyle w:val="a0"/>
              <w:suppressAutoHyphens w:val="0"/>
              <w:overflowPunct/>
              <w:spacing w:after="60"/>
              <w:jc w:val="left"/>
              <w:rPr>
                <w:snapToGrid/>
                <w:lang w:val="en-GB"/>
              </w:rPr>
            </w:pPr>
            <w:r>
              <w:rPr>
                <w:snapToGrid/>
                <w:lang w:val="en-GB"/>
              </w:rPr>
              <w:t>结社自由</w:t>
            </w:r>
            <w:r>
              <w:rPr>
                <w:rFonts w:hint="eastAsia"/>
                <w:snapToGrid/>
                <w:lang w:val="en-GB"/>
              </w:rPr>
              <w:t>及</w:t>
            </w:r>
            <w:r>
              <w:rPr>
                <w:snapToGrid/>
                <w:lang w:val="en-GB"/>
              </w:rPr>
              <w:t>保护组织权公约</w:t>
            </w:r>
            <w:r>
              <w:rPr>
                <w:snapToGrid/>
                <w:lang w:val="en-GB"/>
              </w:rPr>
              <w:t>(1948</w:t>
            </w:r>
            <w:r>
              <w:rPr>
                <w:snapToGrid/>
                <w:lang w:val="en-GB"/>
              </w:rPr>
              <w:t>年</w:t>
            </w:r>
            <w:r>
              <w:rPr>
                <w:snapToGrid/>
                <w:lang w:val="en-GB"/>
              </w:rPr>
              <w:t>)</w:t>
            </w:r>
          </w:p>
        </w:tc>
        <w:tc>
          <w:tcPr>
            <w:tcW w:w="2100" w:type="dxa"/>
            <w:tcBorders>
              <w:top w:val="single" w:sz="12" w:space="0" w:color="auto"/>
            </w:tcBorders>
            <w:shd w:val="clear" w:color="auto" w:fill="auto"/>
          </w:tcPr>
          <w:p w:rsidR="00A93F62" w:rsidRDefault="00A93F62">
            <w:pPr>
              <w:pStyle w:val="a0"/>
              <w:suppressAutoHyphens w:val="0"/>
              <w:overflowPunct/>
              <w:spacing w:after="60"/>
              <w:jc w:val="left"/>
              <w:rPr>
                <w:snapToGrid/>
                <w:lang w:val="en-GB"/>
              </w:rPr>
            </w:pPr>
            <w:smartTag w:uri="urn:schemas-microsoft-com:office:smarttags" w:element="chsdate">
              <w:smartTagPr>
                <w:attr w:name="IsROCDate" w:val="False"/>
                <w:attr w:name="IsLunarDate" w:val="False"/>
                <w:attr w:name="Day" w:val="20"/>
                <w:attr w:name="Month" w:val="12"/>
                <w:attr w:name="Year" w:val="1996"/>
              </w:smartTagPr>
              <w:r>
                <w:rPr>
                  <w:snapToGrid/>
                  <w:lang w:val="en-GB"/>
                </w:rPr>
                <w:t>1996</w:t>
              </w:r>
              <w:r>
                <w:rPr>
                  <w:snapToGrid/>
                  <w:lang w:val="en-GB"/>
                </w:rPr>
                <w:t>年</w:t>
              </w:r>
              <w:r>
                <w:rPr>
                  <w:snapToGrid/>
                  <w:lang w:val="en-GB"/>
                </w:rPr>
                <w:t>12</w:t>
              </w:r>
              <w:r>
                <w:rPr>
                  <w:snapToGrid/>
                  <w:lang w:val="en-GB"/>
                </w:rPr>
                <w:t>月</w:t>
              </w:r>
              <w:r>
                <w:rPr>
                  <w:snapToGrid/>
                  <w:lang w:val="en-GB"/>
                </w:rPr>
                <w:t>20</w:t>
              </w:r>
              <w:r>
                <w:rPr>
                  <w:snapToGrid/>
                  <w:lang w:val="en-GB"/>
                </w:rPr>
                <w:t>日</w:t>
              </w:r>
            </w:smartTag>
          </w:p>
        </w:tc>
      </w:tr>
      <w:tr w:rsidR="00A93F62">
        <w:tc>
          <w:tcPr>
            <w:tcW w:w="1500" w:type="dxa"/>
            <w:shd w:val="clear" w:color="auto" w:fill="auto"/>
          </w:tcPr>
          <w:p w:rsidR="00A93F62" w:rsidRDefault="00A93F62">
            <w:pPr>
              <w:pStyle w:val="a0"/>
              <w:suppressAutoHyphens w:val="0"/>
              <w:overflowPunct/>
              <w:spacing w:after="60"/>
              <w:jc w:val="left"/>
              <w:rPr>
                <w:snapToGrid/>
                <w:lang w:val="en-GB"/>
              </w:rPr>
            </w:pPr>
            <w:r>
              <w:rPr>
                <w:snapToGrid/>
                <w:lang w:val="en-GB"/>
              </w:rPr>
              <w:t>第</w:t>
            </w:r>
            <w:r>
              <w:rPr>
                <w:snapToGrid/>
                <w:lang w:val="en-GB"/>
              </w:rPr>
              <w:t>29</w:t>
            </w:r>
            <w:r>
              <w:rPr>
                <w:snapToGrid/>
                <w:lang w:val="en-GB"/>
              </w:rPr>
              <w:t>号公约</w:t>
            </w:r>
          </w:p>
        </w:tc>
        <w:tc>
          <w:tcPr>
            <w:tcW w:w="3700" w:type="dxa"/>
            <w:shd w:val="clear" w:color="auto" w:fill="auto"/>
          </w:tcPr>
          <w:p w:rsidR="00A93F62" w:rsidRDefault="00A93F62">
            <w:pPr>
              <w:pStyle w:val="a0"/>
              <w:suppressAutoHyphens w:val="0"/>
              <w:overflowPunct/>
              <w:spacing w:after="60"/>
              <w:jc w:val="left"/>
              <w:rPr>
                <w:snapToGrid/>
                <w:lang w:val="en-GB"/>
              </w:rPr>
            </w:pPr>
            <w:r>
              <w:rPr>
                <w:snapToGrid/>
                <w:lang w:val="en-GB"/>
              </w:rPr>
              <w:t>强迫劳动公约</w:t>
            </w:r>
            <w:r>
              <w:rPr>
                <w:snapToGrid/>
                <w:lang w:val="en-GB"/>
              </w:rPr>
              <w:t>(1930</w:t>
            </w:r>
            <w:r>
              <w:rPr>
                <w:snapToGrid/>
                <w:lang w:val="en-GB"/>
              </w:rPr>
              <w:t>年</w:t>
            </w:r>
            <w:r>
              <w:rPr>
                <w:snapToGrid/>
                <w:lang w:val="en-GB"/>
              </w:rPr>
              <w:t>)</w:t>
            </w:r>
          </w:p>
        </w:tc>
        <w:tc>
          <w:tcPr>
            <w:tcW w:w="2100" w:type="dxa"/>
            <w:shd w:val="clear" w:color="auto" w:fill="auto"/>
          </w:tcPr>
          <w:p w:rsidR="00A93F62" w:rsidRDefault="00A93F62">
            <w:pPr>
              <w:pStyle w:val="a0"/>
              <w:suppressAutoHyphens w:val="0"/>
              <w:overflowPunct/>
              <w:spacing w:after="60"/>
              <w:jc w:val="left"/>
              <w:rPr>
                <w:snapToGrid/>
                <w:lang w:val="en-GB"/>
              </w:rPr>
            </w:pPr>
            <w:smartTag w:uri="urn:schemas-microsoft-com:office:smarttags" w:element="chsdate">
              <w:smartTagPr>
                <w:attr w:name="IsROCDate" w:val="False"/>
                <w:attr w:name="IsLunarDate" w:val="False"/>
                <w:attr w:name="Day" w:val="20"/>
                <w:attr w:name="Month" w:val="12"/>
                <w:attr w:name="Year" w:val="1996"/>
              </w:smartTagPr>
              <w:r>
                <w:rPr>
                  <w:snapToGrid/>
                  <w:lang w:val="en-GB"/>
                </w:rPr>
                <w:t>1996</w:t>
              </w:r>
              <w:r>
                <w:rPr>
                  <w:snapToGrid/>
                  <w:lang w:val="en-GB"/>
                </w:rPr>
                <w:t>年</w:t>
              </w:r>
              <w:r>
                <w:rPr>
                  <w:snapToGrid/>
                  <w:lang w:val="en-GB"/>
                </w:rPr>
                <w:t>12</w:t>
              </w:r>
              <w:r>
                <w:rPr>
                  <w:snapToGrid/>
                  <w:lang w:val="en-GB"/>
                </w:rPr>
                <w:t>月</w:t>
              </w:r>
              <w:r>
                <w:rPr>
                  <w:snapToGrid/>
                  <w:lang w:val="en-GB"/>
                </w:rPr>
                <w:t>20</w:t>
              </w:r>
              <w:r>
                <w:rPr>
                  <w:snapToGrid/>
                  <w:lang w:val="en-GB"/>
                </w:rPr>
                <w:t>日</w:t>
              </w:r>
            </w:smartTag>
          </w:p>
        </w:tc>
      </w:tr>
      <w:tr w:rsidR="00A93F62">
        <w:tc>
          <w:tcPr>
            <w:tcW w:w="1500" w:type="dxa"/>
            <w:shd w:val="clear" w:color="auto" w:fill="auto"/>
          </w:tcPr>
          <w:p w:rsidR="00A93F62" w:rsidRDefault="00A93F62">
            <w:pPr>
              <w:pStyle w:val="a0"/>
              <w:suppressAutoHyphens w:val="0"/>
              <w:overflowPunct/>
              <w:spacing w:after="60"/>
              <w:jc w:val="left"/>
              <w:rPr>
                <w:snapToGrid/>
                <w:lang w:val="en-GB"/>
              </w:rPr>
            </w:pPr>
            <w:r>
              <w:rPr>
                <w:snapToGrid/>
                <w:lang w:val="en-GB"/>
              </w:rPr>
              <w:t>第</w:t>
            </w:r>
            <w:r>
              <w:rPr>
                <w:snapToGrid/>
                <w:lang w:val="en-GB"/>
              </w:rPr>
              <w:t>111</w:t>
            </w:r>
            <w:r>
              <w:rPr>
                <w:snapToGrid/>
                <w:lang w:val="en-GB"/>
              </w:rPr>
              <w:t>号公约</w:t>
            </w:r>
          </w:p>
        </w:tc>
        <w:tc>
          <w:tcPr>
            <w:tcW w:w="3700" w:type="dxa"/>
            <w:shd w:val="clear" w:color="auto" w:fill="auto"/>
          </w:tcPr>
          <w:p w:rsidR="00A93F62" w:rsidRDefault="00A93F62">
            <w:pPr>
              <w:pStyle w:val="a0"/>
              <w:suppressAutoHyphens w:val="0"/>
              <w:overflowPunct/>
              <w:spacing w:after="60"/>
              <w:jc w:val="left"/>
              <w:rPr>
                <w:snapToGrid/>
                <w:lang w:val="en-GB"/>
              </w:rPr>
            </w:pPr>
            <w:r>
              <w:rPr>
                <w:snapToGrid/>
                <w:lang w:val="en-GB"/>
              </w:rPr>
              <w:t>就业和职业歧视公约</w:t>
            </w:r>
            <w:r>
              <w:rPr>
                <w:snapToGrid/>
                <w:lang w:val="en-GB"/>
              </w:rPr>
              <w:t>(1958</w:t>
            </w:r>
            <w:r>
              <w:rPr>
                <w:snapToGrid/>
                <w:lang w:val="en-GB"/>
              </w:rPr>
              <w:t>年</w:t>
            </w:r>
            <w:r>
              <w:rPr>
                <w:snapToGrid/>
                <w:lang w:val="en-GB"/>
              </w:rPr>
              <w:t>)</w:t>
            </w:r>
          </w:p>
        </w:tc>
        <w:tc>
          <w:tcPr>
            <w:tcW w:w="2100" w:type="dxa"/>
            <w:shd w:val="clear" w:color="auto" w:fill="auto"/>
          </w:tcPr>
          <w:p w:rsidR="00A93F62" w:rsidRDefault="00A93F62">
            <w:pPr>
              <w:pStyle w:val="a0"/>
              <w:suppressAutoHyphens w:val="0"/>
              <w:overflowPunct/>
              <w:spacing w:after="60"/>
              <w:jc w:val="left"/>
              <w:rPr>
                <w:snapToGrid/>
                <w:lang w:val="en-GB"/>
              </w:rPr>
            </w:pPr>
            <w:smartTag w:uri="urn:schemas-microsoft-com:office:smarttags" w:element="chsdate">
              <w:smartTagPr>
                <w:attr w:name="IsROCDate" w:val="False"/>
                <w:attr w:name="IsLunarDate" w:val="False"/>
                <w:attr w:name="Day" w:val="20"/>
                <w:attr w:name="Month" w:val="12"/>
                <w:attr w:name="Year" w:val="1996"/>
              </w:smartTagPr>
              <w:r>
                <w:rPr>
                  <w:snapToGrid/>
                  <w:lang w:val="en-GB"/>
                </w:rPr>
                <w:t>1996</w:t>
              </w:r>
              <w:r>
                <w:rPr>
                  <w:snapToGrid/>
                  <w:lang w:val="en-GB"/>
                </w:rPr>
                <w:t>年</w:t>
              </w:r>
              <w:r>
                <w:rPr>
                  <w:snapToGrid/>
                  <w:lang w:val="en-GB"/>
                </w:rPr>
                <w:t>12</w:t>
              </w:r>
              <w:r>
                <w:rPr>
                  <w:snapToGrid/>
                  <w:lang w:val="en-GB"/>
                </w:rPr>
                <w:t>月</w:t>
              </w:r>
              <w:r>
                <w:rPr>
                  <w:snapToGrid/>
                  <w:lang w:val="en-GB"/>
                </w:rPr>
                <w:t>20</w:t>
              </w:r>
              <w:r>
                <w:rPr>
                  <w:snapToGrid/>
                  <w:lang w:val="en-GB"/>
                </w:rPr>
                <w:t>日</w:t>
              </w:r>
            </w:smartTag>
          </w:p>
        </w:tc>
      </w:tr>
      <w:tr w:rsidR="00A93F62">
        <w:tc>
          <w:tcPr>
            <w:tcW w:w="1500" w:type="dxa"/>
            <w:shd w:val="clear" w:color="auto" w:fill="auto"/>
          </w:tcPr>
          <w:p w:rsidR="00A93F62" w:rsidRDefault="00A93F62">
            <w:pPr>
              <w:pStyle w:val="a0"/>
              <w:suppressAutoHyphens w:val="0"/>
              <w:overflowPunct/>
              <w:spacing w:after="60"/>
              <w:jc w:val="left"/>
              <w:rPr>
                <w:snapToGrid/>
                <w:lang w:val="en-GB"/>
              </w:rPr>
            </w:pPr>
            <w:r>
              <w:rPr>
                <w:snapToGrid/>
                <w:lang w:val="en-GB"/>
              </w:rPr>
              <w:t>第</w:t>
            </w:r>
            <w:r>
              <w:rPr>
                <w:snapToGrid/>
                <w:lang w:val="en-GB"/>
              </w:rPr>
              <w:t>98</w:t>
            </w:r>
            <w:r>
              <w:rPr>
                <w:snapToGrid/>
                <w:lang w:val="en-GB"/>
              </w:rPr>
              <w:t>号公约</w:t>
            </w:r>
          </w:p>
        </w:tc>
        <w:tc>
          <w:tcPr>
            <w:tcW w:w="3700" w:type="dxa"/>
            <w:shd w:val="clear" w:color="auto" w:fill="auto"/>
          </w:tcPr>
          <w:p w:rsidR="00A93F62" w:rsidRDefault="00A93F62">
            <w:pPr>
              <w:pStyle w:val="a0"/>
              <w:suppressAutoHyphens w:val="0"/>
              <w:overflowPunct/>
              <w:spacing w:after="60"/>
              <w:jc w:val="left"/>
              <w:rPr>
                <w:snapToGrid/>
                <w:lang w:val="en-GB"/>
              </w:rPr>
            </w:pPr>
            <w:r>
              <w:rPr>
                <w:snapToGrid/>
                <w:lang w:val="en-GB"/>
              </w:rPr>
              <w:t>组织</w:t>
            </w:r>
            <w:r>
              <w:rPr>
                <w:rFonts w:hint="eastAsia"/>
                <w:snapToGrid/>
                <w:lang w:val="en-GB"/>
              </w:rPr>
              <w:t>及共同交涉权</w:t>
            </w:r>
            <w:r>
              <w:rPr>
                <w:snapToGrid/>
                <w:lang w:val="en-GB"/>
              </w:rPr>
              <w:t>公约</w:t>
            </w:r>
            <w:r>
              <w:rPr>
                <w:snapToGrid/>
                <w:lang w:val="en-GB"/>
              </w:rPr>
              <w:t>(1949</w:t>
            </w:r>
            <w:r>
              <w:rPr>
                <w:snapToGrid/>
                <w:lang w:val="en-GB"/>
              </w:rPr>
              <w:t>年</w:t>
            </w:r>
            <w:r>
              <w:rPr>
                <w:snapToGrid/>
                <w:lang w:val="en-GB"/>
              </w:rPr>
              <w:t>)</w:t>
            </w:r>
          </w:p>
        </w:tc>
        <w:tc>
          <w:tcPr>
            <w:tcW w:w="2100" w:type="dxa"/>
            <w:shd w:val="clear" w:color="auto" w:fill="auto"/>
          </w:tcPr>
          <w:p w:rsidR="00A93F62" w:rsidRDefault="00A93F62">
            <w:pPr>
              <w:pStyle w:val="a0"/>
              <w:suppressAutoHyphens w:val="0"/>
              <w:overflowPunct/>
              <w:spacing w:after="60"/>
              <w:jc w:val="left"/>
              <w:rPr>
                <w:snapToGrid/>
                <w:lang w:val="en-GB"/>
              </w:rPr>
            </w:pPr>
            <w:smartTag w:uri="urn:schemas-microsoft-com:office:smarttags" w:element="chsdate">
              <w:smartTagPr>
                <w:attr w:name="IsROCDate" w:val="False"/>
                <w:attr w:name="IsLunarDate" w:val="False"/>
                <w:attr w:name="Day" w:val="20"/>
                <w:attr w:name="Month" w:val="12"/>
                <w:attr w:name="Year" w:val="1996"/>
              </w:smartTagPr>
              <w:r>
                <w:rPr>
                  <w:snapToGrid/>
                  <w:lang w:val="en-GB"/>
                </w:rPr>
                <w:t>1996</w:t>
              </w:r>
              <w:r>
                <w:rPr>
                  <w:snapToGrid/>
                  <w:lang w:val="en-GB"/>
                </w:rPr>
                <w:t>年</w:t>
              </w:r>
              <w:r>
                <w:rPr>
                  <w:snapToGrid/>
                  <w:lang w:val="en-GB"/>
                </w:rPr>
                <w:t>12</w:t>
              </w:r>
              <w:r>
                <w:rPr>
                  <w:snapToGrid/>
                  <w:lang w:val="en-GB"/>
                </w:rPr>
                <w:t>月</w:t>
              </w:r>
              <w:r>
                <w:rPr>
                  <w:snapToGrid/>
                  <w:lang w:val="en-GB"/>
                </w:rPr>
                <w:t>20</w:t>
              </w:r>
              <w:r>
                <w:rPr>
                  <w:snapToGrid/>
                  <w:lang w:val="en-GB"/>
                </w:rPr>
                <w:t>日</w:t>
              </w:r>
            </w:smartTag>
          </w:p>
        </w:tc>
      </w:tr>
      <w:tr w:rsidR="00A93F62">
        <w:tc>
          <w:tcPr>
            <w:tcW w:w="1500" w:type="dxa"/>
            <w:shd w:val="clear" w:color="auto" w:fill="auto"/>
          </w:tcPr>
          <w:p w:rsidR="00A93F62" w:rsidRDefault="00A93F62">
            <w:pPr>
              <w:pStyle w:val="a0"/>
              <w:suppressAutoHyphens w:val="0"/>
              <w:overflowPunct/>
              <w:spacing w:after="60"/>
              <w:jc w:val="left"/>
              <w:rPr>
                <w:snapToGrid/>
                <w:lang w:val="en-GB"/>
              </w:rPr>
            </w:pPr>
            <w:r>
              <w:rPr>
                <w:snapToGrid/>
                <w:lang w:val="en-GB"/>
              </w:rPr>
              <w:t>第</w:t>
            </w:r>
            <w:r>
              <w:rPr>
                <w:snapToGrid/>
                <w:lang w:val="en-GB"/>
              </w:rPr>
              <w:t>100</w:t>
            </w:r>
            <w:r>
              <w:rPr>
                <w:snapToGrid/>
                <w:lang w:val="en-GB"/>
              </w:rPr>
              <w:t>号公约</w:t>
            </w:r>
          </w:p>
        </w:tc>
        <w:tc>
          <w:tcPr>
            <w:tcW w:w="3700" w:type="dxa"/>
            <w:shd w:val="clear" w:color="auto" w:fill="auto"/>
          </w:tcPr>
          <w:p w:rsidR="00A93F62" w:rsidRDefault="00A93F62">
            <w:pPr>
              <w:pStyle w:val="a0"/>
              <w:suppressAutoHyphens w:val="0"/>
              <w:overflowPunct/>
              <w:spacing w:after="60"/>
              <w:jc w:val="left"/>
              <w:rPr>
                <w:snapToGrid/>
                <w:lang w:val="en-GB"/>
              </w:rPr>
            </w:pPr>
            <w:r>
              <w:rPr>
                <w:snapToGrid/>
                <w:lang w:val="en-GB"/>
              </w:rPr>
              <w:t>男女工人同工同酬公约</w:t>
            </w:r>
            <w:r>
              <w:rPr>
                <w:snapToGrid/>
                <w:lang w:val="en-GB"/>
              </w:rPr>
              <w:t>(1951</w:t>
            </w:r>
            <w:r>
              <w:rPr>
                <w:snapToGrid/>
                <w:lang w:val="en-GB"/>
              </w:rPr>
              <w:t>年</w:t>
            </w:r>
            <w:r>
              <w:rPr>
                <w:snapToGrid/>
                <w:lang w:val="en-GB"/>
              </w:rPr>
              <w:t>)</w:t>
            </w:r>
          </w:p>
        </w:tc>
        <w:tc>
          <w:tcPr>
            <w:tcW w:w="2100" w:type="dxa"/>
            <w:shd w:val="clear" w:color="auto" w:fill="auto"/>
          </w:tcPr>
          <w:p w:rsidR="00A93F62" w:rsidRDefault="00A93F62">
            <w:pPr>
              <w:pStyle w:val="a0"/>
              <w:suppressAutoHyphens w:val="0"/>
              <w:overflowPunct/>
              <w:spacing w:after="60"/>
              <w:jc w:val="left"/>
              <w:rPr>
                <w:snapToGrid/>
                <w:lang w:val="en-GB"/>
              </w:rPr>
            </w:pPr>
            <w:smartTag w:uri="urn:schemas-microsoft-com:office:smarttags" w:element="chsdate">
              <w:smartTagPr>
                <w:attr w:name="IsROCDate" w:val="False"/>
                <w:attr w:name="IsLunarDate" w:val="False"/>
                <w:attr w:name="Day" w:val="20"/>
                <w:attr w:name="Month" w:val="12"/>
                <w:attr w:name="Year" w:val="1996"/>
              </w:smartTagPr>
              <w:r>
                <w:rPr>
                  <w:snapToGrid/>
                  <w:lang w:val="en-GB"/>
                </w:rPr>
                <w:t>1996</w:t>
              </w:r>
              <w:r>
                <w:rPr>
                  <w:snapToGrid/>
                  <w:lang w:val="en-GB"/>
                </w:rPr>
                <w:t>年</w:t>
              </w:r>
              <w:r>
                <w:rPr>
                  <w:snapToGrid/>
                  <w:lang w:val="en-GB"/>
                </w:rPr>
                <w:t>12</w:t>
              </w:r>
              <w:r>
                <w:rPr>
                  <w:snapToGrid/>
                  <w:lang w:val="en-GB"/>
                </w:rPr>
                <w:t>月</w:t>
              </w:r>
              <w:r>
                <w:rPr>
                  <w:snapToGrid/>
                  <w:lang w:val="en-GB"/>
                </w:rPr>
                <w:t>20</w:t>
              </w:r>
              <w:r>
                <w:rPr>
                  <w:snapToGrid/>
                  <w:lang w:val="en-GB"/>
                </w:rPr>
                <w:t>日</w:t>
              </w:r>
            </w:smartTag>
          </w:p>
        </w:tc>
      </w:tr>
      <w:tr w:rsidR="00A93F62">
        <w:tc>
          <w:tcPr>
            <w:tcW w:w="1500" w:type="dxa"/>
            <w:shd w:val="clear" w:color="auto" w:fill="auto"/>
          </w:tcPr>
          <w:p w:rsidR="00A93F62" w:rsidRDefault="00A93F62">
            <w:pPr>
              <w:pStyle w:val="a0"/>
              <w:suppressAutoHyphens w:val="0"/>
              <w:overflowPunct/>
              <w:spacing w:after="60"/>
              <w:jc w:val="left"/>
              <w:rPr>
                <w:snapToGrid/>
                <w:lang w:val="en-GB"/>
              </w:rPr>
            </w:pPr>
            <w:r>
              <w:rPr>
                <w:snapToGrid/>
                <w:lang w:val="en-GB"/>
              </w:rPr>
              <w:t>第</w:t>
            </w:r>
            <w:r>
              <w:rPr>
                <w:snapToGrid/>
                <w:lang w:val="en-GB"/>
              </w:rPr>
              <w:t>105</w:t>
            </w:r>
            <w:r>
              <w:rPr>
                <w:snapToGrid/>
                <w:lang w:val="en-GB"/>
              </w:rPr>
              <w:t>号公约</w:t>
            </w:r>
          </w:p>
        </w:tc>
        <w:tc>
          <w:tcPr>
            <w:tcW w:w="3700" w:type="dxa"/>
            <w:shd w:val="clear" w:color="auto" w:fill="auto"/>
          </w:tcPr>
          <w:p w:rsidR="00A93F62" w:rsidRDefault="00A93F62">
            <w:pPr>
              <w:pStyle w:val="a0"/>
              <w:suppressAutoHyphens w:val="0"/>
              <w:overflowPunct/>
              <w:spacing w:after="60"/>
              <w:jc w:val="left"/>
              <w:rPr>
                <w:snapToGrid/>
                <w:lang w:val="en-GB"/>
              </w:rPr>
            </w:pPr>
            <w:r>
              <w:rPr>
                <w:snapToGrid/>
                <w:lang w:val="en-GB"/>
              </w:rPr>
              <w:t>废止强迫劳动公约</w:t>
            </w:r>
            <w:r>
              <w:rPr>
                <w:snapToGrid/>
                <w:lang w:val="en-GB"/>
              </w:rPr>
              <w:t>(1957</w:t>
            </w:r>
            <w:r>
              <w:rPr>
                <w:snapToGrid/>
                <w:lang w:val="en-GB"/>
              </w:rPr>
              <w:t>年</w:t>
            </w:r>
            <w:r>
              <w:rPr>
                <w:snapToGrid/>
                <w:lang w:val="en-GB"/>
              </w:rPr>
              <w:t>)</w:t>
            </w:r>
          </w:p>
        </w:tc>
        <w:tc>
          <w:tcPr>
            <w:tcW w:w="2100" w:type="dxa"/>
            <w:shd w:val="clear" w:color="auto" w:fill="auto"/>
          </w:tcPr>
          <w:p w:rsidR="00A93F62" w:rsidRDefault="00A93F62">
            <w:pPr>
              <w:pStyle w:val="a0"/>
              <w:suppressAutoHyphens w:val="0"/>
              <w:overflowPunct/>
              <w:spacing w:after="60"/>
              <w:jc w:val="left"/>
              <w:rPr>
                <w:snapToGrid/>
                <w:lang w:val="en-GB"/>
              </w:rPr>
            </w:pPr>
            <w:smartTag w:uri="urn:schemas-microsoft-com:office:smarttags" w:element="chsdate">
              <w:smartTagPr>
                <w:attr w:name="IsROCDate" w:val="False"/>
                <w:attr w:name="IsLunarDate" w:val="False"/>
                <w:attr w:name="Day" w:val="20"/>
                <w:attr w:name="Month" w:val="12"/>
                <w:attr w:name="Year" w:val="1996"/>
              </w:smartTagPr>
              <w:r>
                <w:rPr>
                  <w:snapToGrid/>
                  <w:lang w:val="en-GB"/>
                </w:rPr>
                <w:t>1996</w:t>
              </w:r>
              <w:r>
                <w:rPr>
                  <w:snapToGrid/>
                  <w:lang w:val="en-GB"/>
                </w:rPr>
                <w:t>年</w:t>
              </w:r>
              <w:r>
                <w:rPr>
                  <w:snapToGrid/>
                  <w:lang w:val="en-GB"/>
                </w:rPr>
                <w:t>12</w:t>
              </w:r>
              <w:r>
                <w:rPr>
                  <w:snapToGrid/>
                  <w:lang w:val="en-GB"/>
                </w:rPr>
                <w:t>月</w:t>
              </w:r>
              <w:r>
                <w:rPr>
                  <w:snapToGrid/>
                  <w:lang w:val="en-GB"/>
                </w:rPr>
                <w:t>20</w:t>
              </w:r>
              <w:r>
                <w:rPr>
                  <w:snapToGrid/>
                  <w:lang w:val="en-GB"/>
                </w:rPr>
                <w:t>日</w:t>
              </w:r>
            </w:smartTag>
          </w:p>
        </w:tc>
      </w:tr>
      <w:tr w:rsidR="00A93F62">
        <w:tc>
          <w:tcPr>
            <w:tcW w:w="1500" w:type="dxa"/>
            <w:shd w:val="clear" w:color="auto" w:fill="auto"/>
          </w:tcPr>
          <w:p w:rsidR="00A93F62" w:rsidRDefault="00A93F62">
            <w:pPr>
              <w:pStyle w:val="a0"/>
              <w:suppressAutoHyphens w:val="0"/>
              <w:overflowPunct/>
              <w:spacing w:after="60"/>
              <w:jc w:val="left"/>
              <w:rPr>
                <w:snapToGrid/>
                <w:lang w:val="en-GB"/>
              </w:rPr>
            </w:pPr>
            <w:r>
              <w:rPr>
                <w:snapToGrid/>
                <w:lang w:val="en-GB"/>
              </w:rPr>
              <w:t>第</w:t>
            </w:r>
            <w:r>
              <w:rPr>
                <w:snapToGrid/>
                <w:lang w:val="en-GB"/>
              </w:rPr>
              <w:t>138</w:t>
            </w:r>
            <w:r>
              <w:rPr>
                <w:snapToGrid/>
                <w:lang w:val="en-GB"/>
              </w:rPr>
              <w:t>号公约</w:t>
            </w:r>
          </w:p>
        </w:tc>
        <w:tc>
          <w:tcPr>
            <w:tcW w:w="3700" w:type="dxa"/>
            <w:shd w:val="clear" w:color="auto" w:fill="auto"/>
          </w:tcPr>
          <w:p w:rsidR="00A93F62" w:rsidRDefault="00A93F62">
            <w:pPr>
              <w:pStyle w:val="a0"/>
              <w:suppressAutoHyphens w:val="0"/>
              <w:overflowPunct/>
              <w:spacing w:after="60"/>
              <w:jc w:val="left"/>
              <w:rPr>
                <w:snapToGrid/>
                <w:lang w:val="en-GB"/>
              </w:rPr>
            </w:pPr>
            <w:r>
              <w:rPr>
                <w:snapToGrid/>
                <w:lang w:val="en-GB"/>
              </w:rPr>
              <w:t>准予就业最低年龄公约</w:t>
            </w:r>
            <w:r>
              <w:rPr>
                <w:snapToGrid/>
                <w:lang w:val="en-GB"/>
              </w:rPr>
              <w:t>(1973</w:t>
            </w:r>
            <w:r>
              <w:rPr>
                <w:snapToGrid/>
                <w:lang w:val="en-GB"/>
              </w:rPr>
              <w:t>年</w:t>
            </w:r>
            <w:r>
              <w:rPr>
                <w:snapToGrid/>
                <w:lang w:val="en-GB"/>
              </w:rPr>
              <w:t>)</w:t>
            </w:r>
          </w:p>
        </w:tc>
        <w:tc>
          <w:tcPr>
            <w:tcW w:w="2100" w:type="dxa"/>
            <w:shd w:val="clear" w:color="auto" w:fill="auto"/>
          </w:tcPr>
          <w:p w:rsidR="00A93F62" w:rsidRDefault="00A93F62">
            <w:pPr>
              <w:pStyle w:val="a0"/>
              <w:suppressAutoHyphens w:val="0"/>
              <w:overflowPunct/>
              <w:spacing w:after="60"/>
              <w:jc w:val="left"/>
              <w:rPr>
                <w:snapToGrid/>
                <w:lang w:val="en-GB"/>
              </w:rPr>
            </w:pPr>
            <w:smartTag w:uri="urn:schemas-microsoft-com:office:smarttags" w:element="chsdate">
              <w:smartTagPr>
                <w:attr w:name="IsROCDate" w:val="False"/>
                <w:attr w:name="IsLunarDate" w:val="False"/>
                <w:attr w:name="Day" w:val="20"/>
                <w:attr w:name="Month" w:val="12"/>
                <w:attr w:name="Year" w:val="1996"/>
              </w:smartTagPr>
              <w:r>
                <w:rPr>
                  <w:snapToGrid/>
                  <w:lang w:val="en-GB"/>
                </w:rPr>
                <w:t>1996</w:t>
              </w:r>
              <w:r>
                <w:rPr>
                  <w:snapToGrid/>
                  <w:lang w:val="en-GB"/>
                </w:rPr>
                <w:t>年</w:t>
              </w:r>
              <w:r>
                <w:rPr>
                  <w:snapToGrid/>
                  <w:lang w:val="en-GB"/>
                </w:rPr>
                <w:t>12</w:t>
              </w:r>
              <w:r>
                <w:rPr>
                  <w:snapToGrid/>
                  <w:lang w:val="en-GB"/>
                </w:rPr>
                <w:t>月</w:t>
              </w:r>
              <w:r>
                <w:rPr>
                  <w:snapToGrid/>
                  <w:lang w:val="en-GB"/>
                </w:rPr>
                <w:t>20</w:t>
              </w:r>
              <w:r>
                <w:rPr>
                  <w:snapToGrid/>
                  <w:lang w:val="en-GB"/>
                </w:rPr>
                <w:t>日</w:t>
              </w:r>
            </w:smartTag>
          </w:p>
        </w:tc>
      </w:tr>
    </w:tbl>
    <w:p w:rsidR="00A93F62" w:rsidRDefault="00A93F62">
      <w:pPr>
        <w:pStyle w:val="SingleTxtGC"/>
        <w:spacing w:beforeLines="50" w:before="163"/>
        <w:rPr>
          <w:snapToGrid/>
          <w:lang w:val="en-GB"/>
        </w:rPr>
      </w:pPr>
      <w:r>
        <w:rPr>
          <w:snapToGrid/>
          <w:lang w:val="en-GB"/>
        </w:rPr>
        <w:t xml:space="preserve">49. </w:t>
      </w:r>
      <w:r>
        <w:rPr>
          <w:rFonts w:hint="eastAsia"/>
          <w:snapToGrid/>
          <w:lang w:val="en-GB"/>
        </w:rPr>
        <w:t xml:space="preserve"> </w:t>
      </w:r>
      <w:r>
        <w:rPr>
          <w:snapToGrid/>
          <w:lang w:val="en-GB"/>
        </w:rPr>
        <w:t>《土库曼斯坦劳动法典》第</w:t>
      </w:r>
      <w:r>
        <w:rPr>
          <w:snapToGrid/>
          <w:lang w:val="en-GB"/>
        </w:rPr>
        <w:t>2</w:t>
      </w:r>
      <w:r>
        <w:rPr>
          <w:snapToGrid/>
          <w:lang w:val="en-GB"/>
        </w:rPr>
        <w:t>条规定了劳动者有权：</w:t>
      </w:r>
    </w:p>
    <w:p w:rsidR="00A93F62" w:rsidRDefault="00A93F62">
      <w:pPr>
        <w:pStyle w:val="Bullet1GC"/>
        <w:numPr>
          <w:ilvl w:val="0"/>
          <w:numId w:val="14"/>
        </w:numPr>
        <w:rPr>
          <w:snapToGrid/>
          <w:lang w:val="en-GB"/>
        </w:rPr>
      </w:pPr>
      <w:r>
        <w:rPr>
          <w:snapToGrid/>
          <w:lang w:val="en-GB"/>
        </w:rPr>
        <w:t>获得符合安全与卫生要求的劳动条件；</w:t>
      </w:r>
    </w:p>
    <w:p w:rsidR="00A93F62" w:rsidRDefault="00A93F62">
      <w:pPr>
        <w:pStyle w:val="Bullet1GC"/>
        <w:numPr>
          <w:ilvl w:val="0"/>
          <w:numId w:val="14"/>
        </w:numPr>
        <w:rPr>
          <w:snapToGrid/>
          <w:lang w:val="en-GB"/>
        </w:rPr>
      </w:pPr>
      <w:r>
        <w:rPr>
          <w:snapToGrid/>
          <w:lang w:val="en-GB"/>
        </w:rPr>
        <w:t>对工伤提出赔偿；</w:t>
      </w:r>
    </w:p>
    <w:p w:rsidR="00A93F62" w:rsidRDefault="00A93F62">
      <w:pPr>
        <w:pStyle w:val="Bullet1GC"/>
        <w:numPr>
          <w:ilvl w:val="0"/>
          <w:numId w:val="14"/>
        </w:numPr>
        <w:rPr>
          <w:snapToGrid/>
          <w:lang w:val="en-GB"/>
        </w:rPr>
      </w:pPr>
      <w:r>
        <w:rPr>
          <w:snapToGrid/>
          <w:lang w:val="en-GB"/>
        </w:rPr>
        <w:t>获得没有任何歧视的同工同酬，且酬金不低于法律规定的最低工资额度；</w:t>
      </w:r>
    </w:p>
    <w:p w:rsidR="00A93F62" w:rsidRDefault="00A93F62">
      <w:pPr>
        <w:pStyle w:val="Bullet1GC"/>
        <w:numPr>
          <w:ilvl w:val="0"/>
          <w:numId w:val="14"/>
        </w:numPr>
        <w:rPr>
          <w:snapToGrid/>
          <w:lang w:val="en-GB"/>
        </w:rPr>
      </w:pPr>
      <w:r>
        <w:rPr>
          <w:snapToGrid/>
          <w:lang w:val="en-GB"/>
        </w:rPr>
        <w:t>享受职业与工作所规定的工时限制，每周休息日、纪念日与节假日，以及带薪休假的休息权；</w:t>
      </w:r>
    </w:p>
    <w:p w:rsidR="00A93F62" w:rsidRDefault="00A93F62">
      <w:pPr>
        <w:pStyle w:val="Bullet1GC"/>
        <w:numPr>
          <w:ilvl w:val="0"/>
          <w:numId w:val="14"/>
        </w:numPr>
        <w:rPr>
          <w:snapToGrid/>
          <w:lang w:val="en-GB"/>
        </w:rPr>
      </w:pPr>
      <w:r>
        <w:rPr>
          <w:snapToGrid/>
          <w:lang w:val="en-GB"/>
        </w:rPr>
        <w:t>加入职业协会；</w:t>
      </w:r>
    </w:p>
    <w:p w:rsidR="00A93F62" w:rsidRDefault="00A93F62">
      <w:pPr>
        <w:pStyle w:val="Bullet1GC"/>
        <w:numPr>
          <w:ilvl w:val="0"/>
          <w:numId w:val="14"/>
        </w:numPr>
        <w:rPr>
          <w:snapToGrid/>
          <w:lang w:val="en-GB"/>
        </w:rPr>
      </w:pPr>
      <w:r>
        <w:rPr>
          <w:snapToGrid/>
          <w:lang w:val="en-GB"/>
        </w:rPr>
        <w:t>在丧失劳动能力和法律规定的其它情况下，享受与年龄有关的社会保障权利；</w:t>
      </w:r>
    </w:p>
    <w:p w:rsidR="00A93F62" w:rsidRDefault="00A93F62">
      <w:pPr>
        <w:pStyle w:val="Bullet1GC"/>
        <w:numPr>
          <w:ilvl w:val="0"/>
          <w:numId w:val="14"/>
        </w:numPr>
        <w:rPr>
          <w:snapToGrid/>
          <w:lang w:val="en-GB"/>
        </w:rPr>
      </w:pPr>
      <w:r>
        <w:rPr>
          <w:snapToGrid/>
          <w:lang w:val="en-GB"/>
        </w:rPr>
        <w:t>提起诉讼维护自己的劳动权。</w:t>
      </w:r>
    </w:p>
    <w:p w:rsidR="00A93F62" w:rsidRDefault="00A93F62">
      <w:pPr>
        <w:pStyle w:val="SingleTxtGC"/>
        <w:rPr>
          <w:snapToGrid/>
          <w:lang w:val="en-GB"/>
        </w:rPr>
      </w:pPr>
      <w:r>
        <w:rPr>
          <w:snapToGrid/>
          <w:lang w:val="en-GB"/>
        </w:rPr>
        <w:t>50.</w:t>
      </w:r>
      <w:r>
        <w:rPr>
          <w:rFonts w:hint="eastAsia"/>
          <w:snapToGrid/>
          <w:lang w:val="en-GB"/>
        </w:rPr>
        <w:t xml:space="preserve"> </w:t>
      </w:r>
      <w:r w:rsidR="00AC06A9">
        <w:rPr>
          <w:snapToGrid/>
          <w:lang w:val="en-GB"/>
        </w:rPr>
        <w:t xml:space="preserve"> </w:t>
      </w:r>
      <w:r>
        <w:rPr>
          <w:snapToGrid/>
          <w:lang w:val="en-GB"/>
        </w:rPr>
        <w:t>《土库曼斯坦公民就业法》的第</w:t>
      </w:r>
      <w:r>
        <w:rPr>
          <w:snapToGrid/>
          <w:lang w:val="en-GB"/>
        </w:rPr>
        <w:t>1</w:t>
      </w:r>
      <w:r>
        <w:rPr>
          <w:snapToGrid/>
          <w:lang w:val="en-GB"/>
        </w:rPr>
        <w:t>条规定，保证公民自由选择法律允许的工种。他们有权施展才华，从事生产和创造性劳动。不许以任何形式的行政手段强迫劳动，土库曼斯坦法律另有规定的除外。而公民自愿不工作也不能成为追究其行政、刑事或其他责任的理由。</w:t>
      </w:r>
    </w:p>
    <w:p w:rsidR="00A93F62" w:rsidRDefault="00A93F62">
      <w:pPr>
        <w:pStyle w:val="SingleTxtGC"/>
        <w:rPr>
          <w:snapToGrid/>
          <w:lang w:val="en-GB"/>
        </w:rPr>
      </w:pPr>
      <w:r>
        <w:rPr>
          <w:snapToGrid/>
          <w:lang w:val="en-GB"/>
        </w:rPr>
        <w:t xml:space="preserve">51. </w:t>
      </w:r>
      <w:r>
        <w:rPr>
          <w:rFonts w:hint="eastAsia"/>
          <w:snapToGrid/>
          <w:lang w:val="en-GB"/>
        </w:rPr>
        <w:t xml:space="preserve"> </w:t>
      </w:r>
      <w:r>
        <w:rPr>
          <w:snapToGrid/>
          <w:lang w:val="en-GB"/>
        </w:rPr>
        <w:t>根据法律，以下是居民就业领域主要的国家政策原则：</w:t>
      </w:r>
    </w:p>
    <w:p w:rsidR="00A93F62" w:rsidRDefault="00A93F62">
      <w:pPr>
        <w:pStyle w:val="Bullet1GC"/>
        <w:numPr>
          <w:ilvl w:val="0"/>
          <w:numId w:val="14"/>
        </w:numPr>
        <w:rPr>
          <w:snapToGrid/>
          <w:lang w:val="en-GB"/>
        </w:rPr>
      </w:pPr>
      <w:r>
        <w:rPr>
          <w:snapToGrid/>
          <w:lang w:val="en-GB"/>
        </w:rPr>
        <w:t>不受种族、性别、宗教信仰、年龄、政治信念、民族、社会地位的限制，保证土库曼斯坦的所有公民在行使劳动与自由择业权方面机会均等；</w:t>
      </w:r>
    </w:p>
    <w:p w:rsidR="00A93F62" w:rsidRDefault="00A93F62">
      <w:pPr>
        <w:pStyle w:val="Bullet1GC"/>
        <w:numPr>
          <w:ilvl w:val="0"/>
          <w:numId w:val="14"/>
        </w:numPr>
        <w:rPr>
          <w:snapToGrid/>
          <w:lang w:val="en-GB"/>
        </w:rPr>
      </w:pPr>
      <w:r>
        <w:rPr>
          <w:snapToGrid/>
          <w:lang w:val="en-GB"/>
        </w:rPr>
        <w:t>劳动自愿，劳动建立在公民自由意愿的基础之上；</w:t>
      </w:r>
    </w:p>
    <w:p w:rsidR="00A93F62" w:rsidRDefault="00A93F62">
      <w:pPr>
        <w:pStyle w:val="Bullet1GC"/>
        <w:numPr>
          <w:ilvl w:val="0"/>
          <w:numId w:val="14"/>
        </w:numPr>
        <w:rPr>
          <w:snapToGrid/>
          <w:lang w:val="en-GB"/>
        </w:rPr>
      </w:pPr>
      <w:r>
        <w:rPr>
          <w:snapToGrid/>
          <w:lang w:val="en-GB"/>
        </w:rPr>
        <w:t>协助居民，保障其有效与自由选择的工作，防止失业；</w:t>
      </w:r>
    </w:p>
    <w:p w:rsidR="00A93F62" w:rsidRDefault="00A93F62">
      <w:pPr>
        <w:pStyle w:val="Bullet1GC"/>
        <w:numPr>
          <w:ilvl w:val="0"/>
          <w:numId w:val="14"/>
        </w:numPr>
        <w:rPr>
          <w:snapToGrid/>
          <w:lang w:val="en-GB"/>
        </w:rPr>
      </w:pPr>
      <w:r>
        <w:rPr>
          <w:snapToGrid/>
          <w:lang w:val="en-GB"/>
        </w:rPr>
        <w:t>在就业方面提供社会保护，采取专门措施，促进择业困难的公民就业；</w:t>
      </w:r>
    </w:p>
    <w:p w:rsidR="00A93F62" w:rsidRDefault="00A93F62">
      <w:pPr>
        <w:pStyle w:val="Bullet1GC"/>
        <w:numPr>
          <w:ilvl w:val="0"/>
          <w:numId w:val="14"/>
        </w:numPr>
        <w:rPr>
          <w:snapToGrid/>
          <w:lang w:val="en-GB"/>
        </w:rPr>
      </w:pPr>
      <w:r>
        <w:rPr>
          <w:snapToGrid/>
          <w:lang w:val="en-GB"/>
        </w:rPr>
        <w:t>使就业领域的工作与经济与社会政策的其它方向保持一致；</w:t>
      </w:r>
    </w:p>
    <w:p w:rsidR="00A93F62" w:rsidRDefault="00A93F62">
      <w:pPr>
        <w:pStyle w:val="Bullet1GC"/>
        <w:numPr>
          <w:ilvl w:val="0"/>
          <w:numId w:val="14"/>
        </w:numPr>
        <w:rPr>
          <w:snapToGrid/>
          <w:lang w:val="en-GB"/>
        </w:rPr>
      </w:pPr>
      <w:r>
        <w:rPr>
          <w:snapToGrid/>
          <w:lang w:val="en-GB"/>
        </w:rPr>
        <w:t>职业联盟、协会</w:t>
      </w:r>
      <w:r>
        <w:rPr>
          <w:snapToGrid/>
          <w:lang w:val="en-GB"/>
        </w:rPr>
        <w:t>(</w:t>
      </w:r>
      <w:r>
        <w:rPr>
          <w:snapToGrid/>
          <w:lang w:val="en-GB"/>
        </w:rPr>
        <w:t>企业家联盟</w:t>
      </w:r>
      <w:r>
        <w:rPr>
          <w:snapToGrid/>
          <w:lang w:val="en-GB"/>
        </w:rPr>
        <w:t>)</w:t>
      </w:r>
      <w:r>
        <w:rPr>
          <w:snapToGrid/>
          <w:lang w:val="en-GB"/>
        </w:rPr>
        <w:t>与政府机构互相配合，参加就业保证措施的制订、实施与监督执行工作；</w:t>
      </w:r>
    </w:p>
    <w:p w:rsidR="00A93F62" w:rsidRDefault="00A93F62">
      <w:pPr>
        <w:pStyle w:val="Bullet1GC"/>
        <w:numPr>
          <w:ilvl w:val="0"/>
          <w:numId w:val="14"/>
        </w:numPr>
        <w:rPr>
          <w:snapToGrid/>
          <w:lang w:val="en-GB"/>
        </w:rPr>
      </w:pPr>
      <w:r>
        <w:rPr>
          <w:snapToGrid/>
          <w:lang w:val="en-GB"/>
        </w:rPr>
        <w:t>解决居民就业问题方面的国际合作，包括土库曼斯坦公民在境外与外国公民在土库曼斯坦的劳务活动；</w:t>
      </w:r>
    </w:p>
    <w:p w:rsidR="00A93F62" w:rsidRDefault="00A93F62">
      <w:pPr>
        <w:tabs>
          <w:tab w:val="clear" w:pos="431"/>
        </w:tabs>
        <w:suppressAutoHyphens/>
        <w:overflowPunct/>
        <w:adjustRightInd/>
        <w:snapToGrid/>
        <w:spacing w:after="120" w:line="320" w:lineRule="atLeast"/>
        <w:ind w:left="1134" w:right="1134"/>
        <w:rPr>
          <w:rFonts w:hint="eastAsia"/>
          <w:snapToGrid/>
          <w:szCs w:val="21"/>
          <w:lang w:val="en-GB"/>
        </w:rPr>
      </w:pPr>
      <w:r>
        <w:rPr>
          <w:snapToGrid/>
          <w:szCs w:val="21"/>
          <w:lang w:val="en-GB"/>
        </w:rPr>
        <w:t xml:space="preserve">52. </w:t>
      </w:r>
      <w:r>
        <w:rPr>
          <w:rFonts w:hint="eastAsia"/>
          <w:snapToGrid/>
          <w:szCs w:val="21"/>
          <w:lang w:val="en-GB"/>
        </w:rPr>
        <w:t xml:space="preserve"> </w:t>
      </w:r>
      <w:r>
        <w:rPr>
          <w:snapToGrid/>
          <w:szCs w:val="21"/>
          <w:lang w:val="en-GB"/>
        </w:rPr>
        <w:t>独立后，国家采取具体措施，以保证居民就业。这些年来，国家新建和投产了不同方面与领域的许多大型工程项目，使成千上万的土库曼斯坦公民获得就业机会。可以土库曼斯坦的主要部门</w:t>
      </w:r>
      <w:r>
        <w:rPr>
          <w:rFonts w:hint="eastAsia"/>
          <w:snapToGrid/>
          <w:spacing w:val="-50"/>
          <w:szCs w:val="21"/>
          <w:lang w:val="en-GB"/>
        </w:rPr>
        <w:t>―</w:t>
      </w:r>
      <w:r>
        <w:rPr>
          <w:rFonts w:hint="eastAsia"/>
          <w:snapToGrid/>
          <w:szCs w:val="21"/>
          <w:lang w:val="en-GB"/>
        </w:rPr>
        <w:t>―</w:t>
      </w:r>
      <w:r>
        <w:rPr>
          <w:snapToGrid/>
          <w:szCs w:val="21"/>
          <w:lang w:val="en-GB"/>
        </w:rPr>
        <w:t>石油和纺织行业为例。独立后，纺织业的</w:t>
      </w:r>
      <w:r>
        <w:rPr>
          <w:snapToGrid/>
          <w:szCs w:val="21"/>
          <w:lang w:val="en-GB"/>
        </w:rPr>
        <w:t>20</w:t>
      </w:r>
      <w:r>
        <w:rPr>
          <w:snapToGrid/>
          <w:szCs w:val="21"/>
          <w:lang w:val="en-GB"/>
        </w:rPr>
        <w:t>多个现代化工厂和纺织综合体投产，为成千上万的土库曼斯坦公民，特别是妇女提供了就业机会。</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53. </w:t>
      </w:r>
      <w:r>
        <w:rPr>
          <w:rFonts w:hint="eastAsia"/>
          <w:snapToGrid/>
          <w:szCs w:val="21"/>
          <w:lang w:val="en-GB"/>
        </w:rPr>
        <w:t xml:space="preserve"> </w:t>
      </w:r>
      <w:r>
        <w:rPr>
          <w:snapToGrid/>
          <w:szCs w:val="21"/>
          <w:lang w:val="en-GB"/>
        </w:rPr>
        <w:t>根据公民劳动权利、自由和机会均等的原则，妇女与男子一样享有</w:t>
      </w:r>
      <w:r>
        <w:rPr>
          <w:rFonts w:hint="eastAsia"/>
          <w:snapToGrid/>
          <w:szCs w:val="21"/>
          <w:lang w:val="en-GB"/>
        </w:rPr>
        <w:t>工作</w:t>
      </w:r>
      <w:r>
        <w:rPr>
          <w:snapToGrid/>
          <w:szCs w:val="21"/>
          <w:lang w:val="en-GB"/>
        </w:rPr>
        <w:t>权。妇女可以平等自由地选择职业、工种和工作地点。禁止由于性别原因，在劳动中规定任何限制。土库曼斯坦法律对未成年的公民和女性十分关心，在就业、安置、劳动条件和劳动保护方面提供了一些优惠条件。除了《土库曼斯坦居民就业法》以外，《土库曼斯坦劳动法典》、土库曼斯坦《劳动保护法》、《保障青年的劳动法》也是规定有优惠条件的主要标准法令。例如，《土库曼斯坦劳动法典》的第六章和第七章，对对妇女和青年的劳动权利做出了相应规定。</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54. </w:t>
      </w:r>
      <w:r>
        <w:rPr>
          <w:rFonts w:hint="eastAsia"/>
          <w:snapToGrid/>
          <w:szCs w:val="21"/>
          <w:lang w:val="en-GB"/>
        </w:rPr>
        <w:t xml:space="preserve"> </w:t>
      </w:r>
      <w:r>
        <w:rPr>
          <w:snapToGrid/>
          <w:szCs w:val="21"/>
          <w:lang w:val="en-GB"/>
        </w:rPr>
        <w:t>《劳动法典》第</w:t>
      </w:r>
      <w:r>
        <w:rPr>
          <w:snapToGrid/>
          <w:szCs w:val="21"/>
          <w:lang w:val="en-GB"/>
        </w:rPr>
        <w:t>165</w:t>
      </w:r>
      <w:r>
        <w:rPr>
          <w:snapToGrid/>
          <w:szCs w:val="21"/>
          <w:lang w:val="en-GB"/>
        </w:rPr>
        <w:t>条规定了禁止妇女从事的工作种类。土库曼斯坦政府规定禁止让妇女从事重体力劳动、在有害劳动条件下工作，还禁止让妇女提升和移动超过为她们规定的最大限额的重物。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55. </w:t>
      </w:r>
      <w:r>
        <w:rPr>
          <w:rFonts w:hint="eastAsia"/>
          <w:snapToGrid/>
          <w:szCs w:val="21"/>
          <w:lang w:val="en-GB"/>
        </w:rPr>
        <w:t xml:space="preserve"> </w:t>
      </w:r>
      <w:r>
        <w:rPr>
          <w:snapToGrid/>
          <w:szCs w:val="21"/>
          <w:lang w:val="en-GB"/>
        </w:rPr>
        <w:t>不允许让妇女从事夜间工作，除非某些国民经济部门有必要这样做和被允许作为临时措施。《土库曼斯坦劳动法典》第</w:t>
      </w:r>
      <w:r>
        <w:rPr>
          <w:snapToGrid/>
          <w:szCs w:val="21"/>
          <w:lang w:val="en-GB"/>
        </w:rPr>
        <w:t>167</w:t>
      </w:r>
      <w:r>
        <w:rPr>
          <w:snapToGrid/>
          <w:szCs w:val="21"/>
          <w:lang w:val="en-GB"/>
        </w:rPr>
        <w:t>条和</w:t>
      </w:r>
      <w:r>
        <w:rPr>
          <w:snapToGrid/>
          <w:szCs w:val="21"/>
          <w:lang w:val="en-GB"/>
        </w:rPr>
        <w:t>168</w:t>
      </w:r>
      <w:r>
        <w:rPr>
          <w:snapToGrid/>
          <w:szCs w:val="21"/>
          <w:lang w:val="en-GB"/>
        </w:rPr>
        <w:t>条规定，不允许让孕妇和有</w:t>
      </w:r>
      <w:r>
        <w:rPr>
          <w:snapToGrid/>
          <w:szCs w:val="21"/>
          <w:lang w:val="en-GB"/>
        </w:rPr>
        <w:t>3</w:t>
      </w:r>
      <w:r>
        <w:rPr>
          <w:snapToGrid/>
          <w:szCs w:val="21"/>
          <w:lang w:val="en-GB"/>
        </w:rPr>
        <w:t>岁以下子女的妇女在夜间工作、加班。不能让有</w:t>
      </w:r>
      <w:r>
        <w:rPr>
          <w:snapToGrid/>
          <w:szCs w:val="21"/>
          <w:lang w:val="en-GB"/>
        </w:rPr>
        <w:t>3</w:t>
      </w:r>
      <w:r>
        <w:rPr>
          <w:snapToGrid/>
          <w:szCs w:val="21"/>
          <w:lang w:val="en-GB"/>
        </w:rPr>
        <w:t>岁至</w:t>
      </w:r>
      <w:r>
        <w:rPr>
          <w:snapToGrid/>
          <w:szCs w:val="21"/>
          <w:lang w:val="en-GB"/>
        </w:rPr>
        <w:t>14</w:t>
      </w:r>
      <w:r>
        <w:rPr>
          <w:snapToGrid/>
          <w:szCs w:val="21"/>
          <w:lang w:val="en-GB"/>
        </w:rPr>
        <w:t>岁子女</w:t>
      </w:r>
      <w:r>
        <w:rPr>
          <w:snapToGrid/>
          <w:szCs w:val="21"/>
          <w:lang w:val="en-GB"/>
        </w:rPr>
        <w:t>(16</w:t>
      </w:r>
      <w:r>
        <w:rPr>
          <w:snapToGrid/>
          <w:szCs w:val="21"/>
          <w:lang w:val="en-GB"/>
        </w:rPr>
        <w:t>岁以下残疾子女</w:t>
      </w:r>
      <w:r>
        <w:rPr>
          <w:snapToGrid/>
          <w:szCs w:val="21"/>
          <w:lang w:val="en-GB"/>
        </w:rPr>
        <w:t>)</w:t>
      </w:r>
      <w:r>
        <w:rPr>
          <w:snapToGrid/>
          <w:szCs w:val="21"/>
          <w:lang w:val="en-GB"/>
        </w:rPr>
        <w:t>的妇女加班或未经本人同意派她们出差。</w:t>
      </w:r>
    </w:p>
    <w:p w:rsidR="00A93F62" w:rsidRDefault="00A93F62">
      <w:pPr>
        <w:tabs>
          <w:tab w:val="clear" w:pos="431"/>
        </w:tabs>
        <w:suppressAutoHyphens/>
        <w:overflowPunct/>
        <w:adjustRightInd/>
        <w:snapToGrid/>
        <w:spacing w:after="120" w:line="320" w:lineRule="atLeast"/>
        <w:ind w:left="1134" w:right="1134"/>
        <w:rPr>
          <w:rFonts w:hint="eastAsia"/>
          <w:snapToGrid/>
          <w:szCs w:val="21"/>
          <w:lang w:val="en-GB"/>
        </w:rPr>
      </w:pPr>
      <w:r>
        <w:rPr>
          <w:snapToGrid/>
          <w:szCs w:val="21"/>
          <w:lang w:val="en-GB"/>
        </w:rPr>
        <w:t xml:space="preserve">56. </w:t>
      </w:r>
      <w:r>
        <w:rPr>
          <w:rFonts w:hint="eastAsia"/>
          <w:snapToGrid/>
          <w:szCs w:val="21"/>
          <w:lang w:val="en-GB"/>
        </w:rPr>
        <w:t xml:space="preserve"> </w:t>
      </w:r>
      <w:r>
        <w:rPr>
          <w:snapToGrid/>
          <w:szCs w:val="21"/>
          <w:lang w:val="en-GB"/>
        </w:rPr>
        <w:t>规定为在农村田间劳动的孕期妇女削减每天的工作时间为六小时，同时为其发放平均工资。减少孕妇的工作定额，让孕妇从事更为轻松的、不受不良生产因素影响的工作，保留原工作岗位的平均工资。</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57. </w:t>
      </w:r>
      <w:r>
        <w:rPr>
          <w:rFonts w:hint="eastAsia"/>
          <w:snapToGrid/>
          <w:szCs w:val="21"/>
          <w:lang w:val="en-GB"/>
        </w:rPr>
        <w:t xml:space="preserve"> </w:t>
      </w:r>
      <w:r>
        <w:rPr>
          <w:snapToGrid/>
          <w:szCs w:val="21"/>
          <w:lang w:val="en-GB"/>
        </w:rPr>
        <w:t>根据《土库曼斯坦劳动法典》第</w:t>
      </w:r>
      <w:r>
        <w:rPr>
          <w:snapToGrid/>
          <w:szCs w:val="21"/>
          <w:lang w:val="en-GB"/>
        </w:rPr>
        <w:t>175</w:t>
      </w:r>
      <w:r>
        <w:rPr>
          <w:snapToGrid/>
          <w:szCs w:val="21"/>
          <w:lang w:val="en-GB"/>
        </w:rPr>
        <w:t>条，对于有年龄在一岁半以下子女的妇女，除了向她们提供一般的休息和用餐时间外，还向她们提供喂养婴儿的时间，按平均工资付酬。</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58.</w:t>
      </w:r>
      <w:r>
        <w:rPr>
          <w:rFonts w:hint="eastAsia"/>
          <w:snapToGrid/>
          <w:szCs w:val="21"/>
          <w:lang w:val="en-GB"/>
        </w:rPr>
        <w:t xml:space="preserve"> </w:t>
      </w:r>
      <w:r>
        <w:rPr>
          <w:snapToGrid/>
          <w:szCs w:val="21"/>
          <w:lang w:val="en-GB"/>
        </w:rPr>
        <w:t xml:space="preserve"> </w:t>
      </w:r>
      <w:r>
        <w:rPr>
          <w:snapToGrid/>
          <w:szCs w:val="21"/>
          <w:lang w:val="en-GB"/>
        </w:rPr>
        <w:t>根据《劳动法典》第</w:t>
      </w:r>
      <w:r>
        <w:rPr>
          <w:snapToGrid/>
          <w:szCs w:val="21"/>
          <w:lang w:val="en-GB"/>
        </w:rPr>
        <w:t>176</w:t>
      </w:r>
      <w:r>
        <w:rPr>
          <w:snapToGrid/>
          <w:szCs w:val="21"/>
          <w:lang w:val="en-GB"/>
        </w:rPr>
        <w:t>条，规定有用工保障，禁止辞退孕妇和孩子不到</w:t>
      </w:r>
      <w:r>
        <w:rPr>
          <w:snapToGrid/>
          <w:szCs w:val="21"/>
          <w:lang w:val="en-GB"/>
        </w:rPr>
        <w:t>3</w:t>
      </w:r>
      <w:r>
        <w:rPr>
          <w:snapToGrid/>
          <w:szCs w:val="21"/>
          <w:lang w:val="en-GB"/>
        </w:rPr>
        <w:t>岁的妇女</w:t>
      </w:r>
      <w:r>
        <w:rPr>
          <w:snapToGrid/>
          <w:szCs w:val="21"/>
          <w:lang w:val="en-GB"/>
        </w:rPr>
        <w:t>(</w:t>
      </w:r>
      <w:r>
        <w:rPr>
          <w:snapToGrid/>
          <w:szCs w:val="21"/>
          <w:lang w:val="en-GB"/>
        </w:rPr>
        <w:t>残疾孩子</w:t>
      </w:r>
      <w:r>
        <w:rPr>
          <w:rFonts w:hint="eastAsia"/>
          <w:snapToGrid/>
          <w:spacing w:val="-50"/>
          <w:szCs w:val="21"/>
          <w:lang w:val="en-GB"/>
        </w:rPr>
        <w:t>―</w:t>
      </w:r>
      <w:r>
        <w:rPr>
          <w:rFonts w:hint="eastAsia"/>
          <w:snapToGrid/>
          <w:szCs w:val="21"/>
          <w:lang w:val="en-GB"/>
        </w:rPr>
        <w:t>―</w:t>
      </w:r>
      <w:r>
        <w:rPr>
          <w:snapToGrid/>
          <w:szCs w:val="21"/>
          <w:lang w:val="en-GB"/>
        </w:rPr>
        <w:t>到</w:t>
      </w:r>
      <w:r>
        <w:rPr>
          <w:snapToGrid/>
          <w:szCs w:val="21"/>
          <w:lang w:val="en-GB"/>
        </w:rPr>
        <w:t>6</w:t>
      </w:r>
      <w:r>
        <w:rPr>
          <w:snapToGrid/>
          <w:szCs w:val="21"/>
          <w:lang w:val="en-GB"/>
        </w:rPr>
        <w:t>岁</w:t>
      </w:r>
      <w:r>
        <w:rPr>
          <w:snapToGrid/>
          <w:szCs w:val="21"/>
          <w:lang w:val="en-GB"/>
        </w:rPr>
        <w:t>)</w:t>
      </w:r>
      <w:r>
        <w:rPr>
          <w:snapToGrid/>
          <w:szCs w:val="21"/>
          <w:lang w:val="en-GB"/>
        </w:rPr>
        <w:t>。单亲母亲</w:t>
      </w:r>
      <w:r>
        <w:rPr>
          <w:rFonts w:hint="eastAsia"/>
          <w:snapToGrid/>
          <w:spacing w:val="-50"/>
          <w:szCs w:val="21"/>
          <w:lang w:val="en-GB"/>
        </w:rPr>
        <w:t>―</w:t>
      </w:r>
      <w:r>
        <w:rPr>
          <w:rFonts w:hint="eastAsia"/>
          <w:snapToGrid/>
          <w:szCs w:val="21"/>
          <w:lang w:val="en-GB"/>
        </w:rPr>
        <w:t>―</w:t>
      </w:r>
      <w:r>
        <w:rPr>
          <w:snapToGrid/>
          <w:szCs w:val="21"/>
          <w:lang w:val="en-GB"/>
        </w:rPr>
        <w:t>到</w:t>
      </w:r>
      <w:r>
        <w:rPr>
          <w:snapToGrid/>
          <w:szCs w:val="21"/>
          <w:lang w:val="en-GB"/>
        </w:rPr>
        <w:t>14</w:t>
      </w:r>
      <w:r>
        <w:rPr>
          <w:snapToGrid/>
          <w:szCs w:val="21"/>
          <w:lang w:val="en-GB"/>
        </w:rPr>
        <w:t>岁。</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59. </w:t>
      </w:r>
      <w:r>
        <w:rPr>
          <w:rFonts w:hint="eastAsia"/>
          <w:snapToGrid/>
          <w:szCs w:val="21"/>
          <w:lang w:val="en-GB"/>
        </w:rPr>
        <w:t xml:space="preserve"> </w:t>
      </w:r>
      <w:r>
        <w:rPr>
          <w:snapToGrid/>
          <w:szCs w:val="21"/>
          <w:lang w:val="en-GB"/>
        </w:rPr>
        <w:t>对于孕妇、有不到十四岁、包括受其监护孩子的妇女</w:t>
      </w:r>
      <w:r>
        <w:rPr>
          <w:snapToGrid/>
          <w:szCs w:val="21"/>
          <w:lang w:val="en-GB"/>
        </w:rPr>
        <w:t>(</w:t>
      </w:r>
      <w:r>
        <w:rPr>
          <w:snapToGrid/>
          <w:szCs w:val="21"/>
          <w:lang w:val="en-GB"/>
        </w:rPr>
        <w:t>残疾孩子－到十六岁</w:t>
      </w:r>
      <w:r>
        <w:rPr>
          <w:snapToGrid/>
          <w:szCs w:val="21"/>
          <w:lang w:val="en-GB"/>
        </w:rPr>
        <w:t>)</w:t>
      </w:r>
      <w:r>
        <w:rPr>
          <w:snapToGrid/>
          <w:szCs w:val="21"/>
          <w:lang w:val="en-GB"/>
        </w:rPr>
        <w:t>，或是应照顾生病家人的员工，根据其请求，凭医生结论，雇主应为其规定非全天工作日或是非全部工作周。这种情况下，非全部工时的工作不影响劳动者年假、计算工龄和其它劳动权利。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60. </w:t>
      </w:r>
      <w:r>
        <w:rPr>
          <w:rFonts w:hint="eastAsia"/>
          <w:snapToGrid/>
          <w:szCs w:val="21"/>
          <w:lang w:val="en-GB"/>
        </w:rPr>
        <w:t xml:space="preserve"> </w:t>
      </w:r>
      <w:r>
        <w:rPr>
          <w:snapToGrid/>
          <w:szCs w:val="21"/>
          <w:lang w:val="en-GB"/>
        </w:rPr>
        <w:t>《劳动法典》规定，在有大量女性工作的企业中要为妇女提供服务。在这些企业中要有托儿所和幼儿园，哺乳室，在全天工作制的情况下要有女工个人更衣室。</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61. </w:t>
      </w:r>
      <w:r>
        <w:rPr>
          <w:rFonts w:hint="eastAsia"/>
          <w:snapToGrid/>
          <w:szCs w:val="21"/>
          <w:lang w:val="en-GB"/>
        </w:rPr>
        <w:t xml:space="preserve"> </w:t>
      </w:r>
      <w:r>
        <w:rPr>
          <w:snapToGrid/>
          <w:szCs w:val="21"/>
          <w:lang w:val="en-GB"/>
        </w:rPr>
        <w:t>对独立抚养孩子的父亲，以及未成年人的监护人也适用为孕期、哺乳期妇女提供的保障与照顾。</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62. </w:t>
      </w:r>
      <w:r>
        <w:rPr>
          <w:rFonts w:hint="eastAsia"/>
          <w:snapToGrid/>
          <w:szCs w:val="21"/>
          <w:lang w:val="en-GB"/>
        </w:rPr>
        <w:t xml:space="preserve"> </w:t>
      </w:r>
      <w:r>
        <w:rPr>
          <w:snapToGrid/>
          <w:szCs w:val="21"/>
          <w:lang w:val="en-GB"/>
        </w:rPr>
        <w:t>根据</w:t>
      </w:r>
      <w:r>
        <w:rPr>
          <w:snapToGrid/>
          <w:szCs w:val="21"/>
          <w:lang w:val="en-GB"/>
        </w:rPr>
        <w:t>2000</w:t>
      </w:r>
      <w:r>
        <w:rPr>
          <w:snapToGrid/>
          <w:szCs w:val="21"/>
          <w:lang w:val="en-GB"/>
        </w:rPr>
        <w:t>年土库曼斯坦</w:t>
      </w:r>
      <w:r>
        <w:rPr>
          <w:snapToGrid/>
          <w:szCs w:val="21"/>
          <w:lang w:val="en-GB"/>
        </w:rPr>
        <w:t>“</w:t>
      </w:r>
      <w:r>
        <w:rPr>
          <w:snapToGrid/>
          <w:szCs w:val="21"/>
          <w:lang w:val="en-GB"/>
        </w:rPr>
        <w:t>关于扩大十六岁以上公民的权利</w:t>
      </w:r>
      <w:r>
        <w:rPr>
          <w:snapToGrid/>
          <w:szCs w:val="21"/>
          <w:lang w:val="en-GB"/>
        </w:rPr>
        <w:t>”</w:t>
      </w:r>
      <w:r>
        <w:rPr>
          <w:snapToGrid/>
          <w:szCs w:val="21"/>
          <w:lang w:val="en-GB"/>
        </w:rPr>
        <w:t>的总统令，未成年公民可以与企业、公司和各种所有制的机构签订劳动关系协议。</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63. </w:t>
      </w:r>
      <w:r>
        <w:rPr>
          <w:rFonts w:hint="eastAsia"/>
          <w:snapToGrid/>
          <w:szCs w:val="21"/>
          <w:lang w:val="en-GB"/>
        </w:rPr>
        <w:t xml:space="preserve"> </w:t>
      </w:r>
      <w:r>
        <w:rPr>
          <w:snapToGrid/>
          <w:szCs w:val="21"/>
          <w:lang w:val="en-GB"/>
        </w:rPr>
        <w:t>为实施国际公约准则，</w:t>
      </w:r>
      <w:r>
        <w:rPr>
          <w:snapToGrid/>
          <w:szCs w:val="21"/>
          <w:lang w:val="en-GB"/>
        </w:rPr>
        <w:t>2005</w:t>
      </w:r>
      <w:r>
        <w:rPr>
          <w:snapToGrid/>
          <w:szCs w:val="21"/>
          <w:lang w:val="en-GB"/>
        </w:rPr>
        <w:t>年，议会通过了土库曼斯坦</w:t>
      </w:r>
      <w:r>
        <w:rPr>
          <w:snapToGrid/>
          <w:szCs w:val="21"/>
          <w:lang w:val="en-GB"/>
        </w:rPr>
        <w:t>“</w:t>
      </w:r>
      <w:r>
        <w:rPr>
          <w:snapToGrid/>
          <w:szCs w:val="21"/>
          <w:lang w:val="en-GB"/>
        </w:rPr>
        <w:t>关于保障青年劳动权利法</w:t>
      </w:r>
      <w:r>
        <w:rPr>
          <w:snapToGrid/>
          <w:szCs w:val="21"/>
          <w:lang w:val="en-GB"/>
        </w:rPr>
        <w:t>”</w:t>
      </w:r>
      <w:r>
        <w:rPr>
          <w:snapToGrid/>
          <w:szCs w:val="21"/>
          <w:lang w:val="en-GB"/>
        </w:rPr>
        <w:t>。该法规定必须保护儿童不受使用暴力手段的经济剥削，以及不能发生有可能给儿童健康造成伤害或者妨碍其获得教育，或者是对他的健康状况带来损害，损害他的身体、智力和精神发展，违背心灵自由原则的事情发生。</w:t>
      </w:r>
    </w:p>
    <w:p w:rsidR="00A93F62" w:rsidRDefault="00A93F62">
      <w:pPr>
        <w:pStyle w:val="SingleTxtGC"/>
        <w:tabs>
          <w:tab w:val="clear" w:pos="1565"/>
        </w:tabs>
        <w:rPr>
          <w:snapToGrid/>
          <w:lang w:val="en-GB"/>
        </w:rPr>
      </w:pPr>
      <w:r>
        <w:rPr>
          <w:snapToGrid/>
          <w:lang w:val="en-GB"/>
        </w:rPr>
        <w:t>64.</w:t>
      </w:r>
      <w:r>
        <w:rPr>
          <w:rFonts w:hint="eastAsia"/>
          <w:snapToGrid/>
          <w:lang w:val="en-GB"/>
        </w:rPr>
        <w:t xml:space="preserve">  </w:t>
      </w:r>
      <w:r>
        <w:rPr>
          <w:snapToGrid/>
          <w:lang w:val="en-GB"/>
        </w:rPr>
        <w:t>根据该法令，不允许与年龄未达到</w:t>
      </w:r>
      <w:r>
        <w:rPr>
          <w:snapToGrid/>
          <w:lang w:val="en-GB"/>
        </w:rPr>
        <w:t>16</w:t>
      </w:r>
      <w:r>
        <w:rPr>
          <w:snapToGrid/>
          <w:lang w:val="en-GB"/>
        </w:rPr>
        <w:t>岁的孩子签署劳动合同。得到一位家长的书面同意后，年满</w:t>
      </w:r>
      <w:r>
        <w:rPr>
          <w:snapToGrid/>
          <w:lang w:val="en-GB"/>
        </w:rPr>
        <w:t>15</w:t>
      </w:r>
      <w:r>
        <w:rPr>
          <w:snapToGrid/>
          <w:lang w:val="en-GB"/>
        </w:rPr>
        <w:t>岁的孩子</w:t>
      </w:r>
      <w:r>
        <w:rPr>
          <w:snapToGrid/>
          <w:lang w:val="en-GB"/>
        </w:rPr>
        <w:t>(</w:t>
      </w:r>
      <w:r>
        <w:rPr>
          <w:snapToGrid/>
          <w:lang w:val="en-GB"/>
        </w:rPr>
        <w:t>取代以前的</w:t>
      </w:r>
      <w:r>
        <w:rPr>
          <w:snapToGrid/>
          <w:lang w:val="en-GB"/>
        </w:rPr>
        <w:t>14</w:t>
      </w:r>
      <w:r>
        <w:rPr>
          <w:snapToGrid/>
          <w:lang w:val="en-GB"/>
        </w:rPr>
        <w:t>岁</w:t>
      </w:r>
      <w:r>
        <w:rPr>
          <w:snapToGrid/>
          <w:lang w:val="en-GB"/>
        </w:rPr>
        <w:t>)</w:t>
      </w:r>
      <w:r>
        <w:rPr>
          <w:snapToGrid/>
          <w:lang w:val="en-GB"/>
        </w:rPr>
        <w:t>，才可以被录用，前提是不影响在校学习。禁止任何所有制形式的雇主雇佣年龄未满</w:t>
      </w:r>
      <w:r>
        <w:rPr>
          <w:snapToGrid/>
          <w:lang w:val="en-GB"/>
        </w:rPr>
        <w:t>18</w:t>
      </w:r>
      <w:r>
        <w:rPr>
          <w:snapToGrid/>
          <w:lang w:val="en-GB"/>
        </w:rPr>
        <w:t>岁的人员从事劳动条件较差的工作。根据《土库曼斯坦劳动法典》第七章，向未成年公民提供以下优惠条件：未满十八岁的工作者在劳动关系中享有同成人一样的权利，但在劳动保护、工作时间、休假等方面应享有《土库曼斯坦劳动法典》和其他有关劳动的法律条文规定的照顾。</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65. </w:t>
      </w:r>
      <w:r>
        <w:rPr>
          <w:rFonts w:hint="eastAsia"/>
          <w:snapToGrid/>
          <w:szCs w:val="21"/>
          <w:lang w:val="en-GB"/>
        </w:rPr>
        <w:t xml:space="preserve"> </w:t>
      </w:r>
      <w:r>
        <w:rPr>
          <w:snapToGrid/>
          <w:szCs w:val="21"/>
          <w:lang w:val="en-GB"/>
        </w:rPr>
        <w:t>招收未满十八岁的人员做工时，必须事先对他们进行体检，并且在未来他们满十八岁之前的每一年都应进行体检。体检应利用工作时间进行，并保留工人的平均工资。</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66. </w:t>
      </w:r>
      <w:r>
        <w:rPr>
          <w:rFonts w:hint="eastAsia"/>
          <w:snapToGrid/>
          <w:szCs w:val="21"/>
          <w:lang w:val="en-GB"/>
        </w:rPr>
        <w:t xml:space="preserve"> </w:t>
      </w:r>
      <w:r>
        <w:rPr>
          <w:snapToGrid/>
          <w:szCs w:val="21"/>
          <w:lang w:val="en-GB"/>
        </w:rPr>
        <w:t>禁止让未满十八岁的工人上夜班和加班，禁止在节假日和纪念日里让其工作。</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67. </w:t>
      </w:r>
      <w:r>
        <w:rPr>
          <w:rFonts w:hint="eastAsia"/>
          <w:snapToGrid/>
          <w:szCs w:val="21"/>
          <w:lang w:val="en-GB"/>
        </w:rPr>
        <w:t xml:space="preserve"> </w:t>
      </w:r>
      <w:r>
        <w:rPr>
          <w:snapToGrid/>
          <w:szCs w:val="21"/>
          <w:lang w:val="en-GB"/>
        </w:rPr>
        <w:t>应根据成年工人的劳动额度，与未满十八岁人员缩短的工时成比例，规定其劳动额度。这种情况下，应支付他们相应等级工人全天工时的工资。</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68. </w:t>
      </w:r>
      <w:r>
        <w:rPr>
          <w:rFonts w:hint="eastAsia"/>
          <w:snapToGrid/>
          <w:szCs w:val="21"/>
          <w:lang w:val="en-GB"/>
        </w:rPr>
        <w:t xml:space="preserve"> </w:t>
      </w:r>
      <w:r>
        <w:rPr>
          <w:snapToGrid/>
          <w:szCs w:val="21"/>
          <w:lang w:val="en-GB"/>
        </w:rPr>
        <w:t>用工单位可以解聘未满十八岁的工作人员，除了要遵守解聘的普通程序外，只需要经未成年人事务委员会的同意。个别情况下，在未安排好其他工作时不许解聘他们。与未满十八岁工作人员签署的劳动合同可以在他们父母、养父母和监护人，以及监护机关和其他有责任监控劳动法执行情况的部门的要求下终止，条件是如果继续履行合同会对威胁未成年人的身体健康或者是侵害了他们的合法权益。</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69. </w:t>
      </w:r>
      <w:r>
        <w:rPr>
          <w:rFonts w:hint="eastAsia"/>
          <w:snapToGrid/>
          <w:szCs w:val="21"/>
          <w:lang w:val="en-GB"/>
        </w:rPr>
        <w:t xml:space="preserve"> </w:t>
      </w:r>
      <w:r>
        <w:rPr>
          <w:snapToGrid/>
          <w:szCs w:val="21"/>
          <w:lang w:val="en-GB"/>
        </w:rPr>
        <w:t>《土库曼斯坦劳动保护法》</w:t>
      </w:r>
      <w:r>
        <w:rPr>
          <w:snapToGrid/>
          <w:szCs w:val="21"/>
          <w:lang w:val="en-GB"/>
        </w:rPr>
        <w:t>(</w:t>
      </w:r>
      <w:r>
        <w:rPr>
          <w:snapToGrid/>
          <w:szCs w:val="21"/>
          <w:lang w:val="en-GB"/>
        </w:rPr>
        <w:t>第</w:t>
      </w:r>
      <w:r>
        <w:rPr>
          <w:snapToGrid/>
          <w:szCs w:val="21"/>
          <w:lang w:val="en-GB"/>
        </w:rPr>
        <w:t>14</w:t>
      </w:r>
      <w:r>
        <w:rPr>
          <w:snapToGrid/>
          <w:szCs w:val="21"/>
          <w:lang w:val="en-GB"/>
        </w:rPr>
        <w:t>条</w:t>
      </w:r>
      <w:r>
        <w:rPr>
          <w:snapToGrid/>
          <w:szCs w:val="21"/>
          <w:lang w:val="en-GB"/>
        </w:rPr>
        <w:t>)</w:t>
      </w:r>
      <w:r>
        <w:rPr>
          <w:snapToGrid/>
          <w:szCs w:val="21"/>
          <w:lang w:val="en-GB"/>
        </w:rPr>
        <w:t>规定，针对个别工作群体</w:t>
      </w:r>
      <w:r>
        <w:rPr>
          <w:snapToGrid/>
          <w:szCs w:val="21"/>
          <w:lang w:val="en-GB"/>
        </w:rPr>
        <w:t>(</w:t>
      </w:r>
      <w:r>
        <w:rPr>
          <w:snapToGrid/>
          <w:szCs w:val="21"/>
          <w:lang w:val="en-GB"/>
        </w:rPr>
        <w:t>妇女、青年、残疾人</w:t>
      </w:r>
      <w:r>
        <w:rPr>
          <w:snapToGrid/>
          <w:szCs w:val="21"/>
          <w:lang w:val="en-GB"/>
        </w:rPr>
        <w:t>)</w:t>
      </w:r>
      <w:r>
        <w:rPr>
          <w:snapToGrid/>
          <w:szCs w:val="21"/>
          <w:lang w:val="en-GB"/>
        </w:rPr>
        <w:t>以及繁重工种和在有害或危险条件下工作的人员，在劳动保护方面要采取特别措施。</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70.</w:t>
      </w:r>
      <w:r>
        <w:rPr>
          <w:rFonts w:hint="eastAsia"/>
          <w:snapToGrid/>
          <w:szCs w:val="21"/>
          <w:lang w:val="en-GB"/>
        </w:rPr>
        <w:t xml:space="preserve"> </w:t>
      </w:r>
      <w:r>
        <w:rPr>
          <w:snapToGrid/>
          <w:szCs w:val="21"/>
          <w:lang w:val="en-GB"/>
        </w:rPr>
        <w:t xml:space="preserve"> </w:t>
      </w:r>
      <w:r>
        <w:rPr>
          <w:snapToGrid/>
          <w:szCs w:val="21"/>
          <w:lang w:val="en-GB"/>
        </w:rPr>
        <w:t>土库曼斯坦的人口特点是出生率高，这是由经济活跃居民的绝对增长决定的。向商品生产与服务提供劳动力的经济活跃居民</w:t>
      </w:r>
      <w:r>
        <w:rPr>
          <w:snapToGrid/>
          <w:szCs w:val="21"/>
          <w:lang w:val="en-GB"/>
        </w:rPr>
        <w:t>2007</w:t>
      </w:r>
      <w:r>
        <w:rPr>
          <w:snapToGrid/>
          <w:szCs w:val="21"/>
          <w:lang w:val="en-GB"/>
        </w:rPr>
        <w:t>年为</w:t>
      </w:r>
      <w:r>
        <w:rPr>
          <w:snapToGrid/>
          <w:szCs w:val="21"/>
          <w:lang w:val="en-GB"/>
        </w:rPr>
        <w:t>260</w:t>
      </w:r>
      <w:r>
        <w:rPr>
          <w:snapToGrid/>
          <w:szCs w:val="21"/>
          <w:lang w:val="en-GB"/>
        </w:rPr>
        <w:t>万人，是</w:t>
      </w:r>
      <w:r>
        <w:rPr>
          <w:snapToGrid/>
          <w:szCs w:val="21"/>
          <w:lang w:val="en-GB"/>
        </w:rPr>
        <w:t>1997</w:t>
      </w:r>
      <w:r>
        <w:rPr>
          <w:snapToGrid/>
          <w:szCs w:val="21"/>
          <w:lang w:val="en-GB"/>
        </w:rPr>
        <w:t>年的</w:t>
      </w:r>
      <w:r>
        <w:rPr>
          <w:snapToGrid/>
          <w:szCs w:val="21"/>
          <w:lang w:val="en-GB"/>
        </w:rPr>
        <w:t>1.5</w:t>
      </w:r>
      <w:r>
        <w:rPr>
          <w:snapToGrid/>
          <w:szCs w:val="21"/>
          <w:lang w:val="en-GB"/>
        </w:rPr>
        <w:t>倍。</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71. </w:t>
      </w:r>
      <w:r>
        <w:rPr>
          <w:rFonts w:hint="eastAsia"/>
          <w:snapToGrid/>
          <w:szCs w:val="21"/>
          <w:lang w:val="en-GB"/>
        </w:rPr>
        <w:t xml:space="preserve"> </w:t>
      </w:r>
      <w:r>
        <w:rPr>
          <w:snapToGrid/>
          <w:szCs w:val="21"/>
          <w:lang w:val="en-GB"/>
        </w:rPr>
        <w:t>经济活跃居民水平决定了其人口增长，从事家务的妇女在此类居民中比重增加，决定了土库曼斯坦的人口增长。千百年来形成的家庭习俗与传统大大影响了就业妇女的结构。家庭、孩子是土库曼斯坦妇女最珍视的。实际上，每三个家庭中，就有一家的孩子数量会超过</w:t>
      </w:r>
      <w:r>
        <w:rPr>
          <w:snapToGrid/>
          <w:szCs w:val="21"/>
          <w:lang w:val="en-GB"/>
        </w:rPr>
        <w:t>5</w:t>
      </w:r>
      <w:r>
        <w:rPr>
          <w:snapToGrid/>
          <w:szCs w:val="21"/>
          <w:lang w:val="en-GB"/>
        </w:rPr>
        <w:t>个。由于培养孩子社会职能的重要性，许多妇女从事家务。妇女成为家庭主妇，除了培养孩子这一传统原因外，还有其它原因。原因之一就是家庭成员收入增加，可以使家庭有较高的生活水平。</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72. </w:t>
      </w:r>
      <w:r>
        <w:rPr>
          <w:rFonts w:hint="eastAsia"/>
          <w:snapToGrid/>
          <w:szCs w:val="21"/>
          <w:lang w:val="en-GB"/>
        </w:rPr>
        <w:t xml:space="preserve"> </w:t>
      </w:r>
      <w:r>
        <w:rPr>
          <w:snapToGrid/>
          <w:szCs w:val="21"/>
          <w:lang w:val="en-GB"/>
        </w:rPr>
        <w:t>土库曼斯坦进行的经济改革，致力于使企业与单位，首先是非国有经济体增加用工需求。独立期间，土库曼斯坦成功地建立了市场基础设施，掌握了许多市场管理方法，人民的经济意识与行为发生了一定的变化。由于使用股份、合资、外资资金产生的变化，决定了就业方面的积极趋势，它表现在消除国有经济体就业垄断，在其它所有制形式企业就业的机会增多。</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73. </w:t>
      </w:r>
      <w:r>
        <w:rPr>
          <w:rFonts w:hint="eastAsia"/>
          <w:snapToGrid/>
          <w:szCs w:val="21"/>
          <w:lang w:val="en-GB"/>
        </w:rPr>
        <w:t xml:space="preserve"> </w:t>
      </w:r>
      <w:r>
        <w:rPr>
          <w:snapToGrid/>
          <w:szCs w:val="21"/>
          <w:lang w:val="en-GB"/>
        </w:rPr>
        <w:t>土库曼斯坦主要的劳动领域是农业。国家的这一经济特色是由于适宜农业生产的良好气候条件，土地辽阔，地形独特，土库曼斯坦超过一半的人口居住在农村；还有国家制定的要保证粮食自给自足的任务。这还很大程度上得益于在农村实行土地改革，增加分给农户实行农业生产的耕地面积。将土地分给个人使用，提高居民的劳动积极性促进了农副业的发展，这反映在居民在不成立法人的情况下从事企业活动。</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74. </w:t>
      </w:r>
      <w:r>
        <w:rPr>
          <w:rFonts w:hint="eastAsia"/>
          <w:snapToGrid/>
          <w:szCs w:val="21"/>
          <w:lang w:val="en-GB"/>
        </w:rPr>
        <w:t xml:space="preserve"> </w:t>
      </w:r>
      <w:r>
        <w:rPr>
          <w:snapToGrid/>
          <w:szCs w:val="21"/>
          <w:lang w:val="en-GB"/>
        </w:rPr>
        <w:t>因此，</w:t>
      </w:r>
      <w:r>
        <w:rPr>
          <w:snapToGrid/>
          <w:szCs w:val="21"/>
          <w:lang w:val="en-GB"/>
        </w:rPr>
        <w:t>2007</w:t>
      </w:r>
      <w:r>
        <w:rPr>
          <w:snapToGrid/>
          <w:szCs w:val="21"/>
          <w:lang w:val="en-GB"/>
        </w:rPr>
        <w:t>年经济领域的就业居民人数比</w:t>
      </w:r>
      <w:r>
        <w:rPr>
          <w:snapToGrid/>
          <w:szCs w:val="21"/>
          <w:lang w:val="en-GB"/>
        </w:rPr>
        <w:t>1997</w:t>
      </w:r>
      <w:r>
        <w:rPr>
          <w:snapToGrid/>
          <w:szCs w:val="21"/>
          <w:lang w:val="en-GB"/>
        </w:rPr>
        <w:t>年增加了</w:t>
      </w:r>
      <w:r>
        <w:rPr>
          <w:snapToGrid/>
          <w:szCs w:val="21"/>
          <w:lang w:val="en-GB"/>
        </w:rPr>
        <w:t>1.25</w:t>
      </w:r>
      <w:r>
        <w:rPr>
          <w:snapToGrid/>
          <w:szCs w:val="21"/>
          <w:lang w:val="en-GB"/>
        </w:rPr>
        <w:t>倍。这时，非国有经济体就业居民人数增加了</w:t>
      </w:r>
      <w:r>
        <w:rPr>
          <w:snapToGrid/>
          <w:szCs w:val="21"/>
          <w:lang w:val="en-GB"/>
        </w:rPr>
        <w:t>1.5</w:t>
      </w:r>
      <w:r>
        <w:rPr>
          <w:snapToGrid/>
          <w:szCs w:val="21"/>
          <w:lang w:val="en-GB"/>
        </w:rPr>
        <w:t>倍。</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75. </w:t>
      </w:r>
      <w:r>
        <w:rPr>
          <w:rFonts w:hint="eastAsia"/>
          <w:snapToGrid/>
          <w:szCs w:val="21"/>
          <w:lang w:val="en-GB"/>
        </w:rPr>
        <w:t xml:space="preserve"> </w:t>
      </w:r>
      <w:r>
        <w:rPr>
          <w:snapToGrid/>
          <w:szCs w:val="21"/>
          <w:lang w:val="en-GB"/>
        </w:rPr>
        <w:t>就业居民中，从事无法人企业活动的人员是一个很大的群体。他们的份额从</w:t>
      </w:r>
      <w:r>
        <w:rPr>
          <w:snapToGrid/>
          <w:szCs w:val="21"/>
          <w:lang w:val="en-GB"/>
        </w:rPr>
        <w:t>1997</w:t>
      </w:r>
      <w:r>
        <w:rPr>
          <w:snapToGrid/>
          <w:szCs w:val="21"/>
          <w:lang w:val="en-GB"/>
        </w:rPr>
        <w:t>年的</w:t>
      </w:r>
      <w:r>
        <w:rPr>
          <w:snapToGrid/>
          <w:szCs w:val="21"/>
          <w:lang w:val="en-GB"/>
        </w:rPr>
        <w:t>7%</w:t>
      </w:r>
      <w:r>
        <w:rPr>
          <w:snapToGrid/>
          <w:szCs w:val="21"/>
          <w:lang w:val="en-GB"/>
        </w:rPr>
        <w:t>增加到</w:t>
      </w:r>
      <w:r>
        <w:rPr>
          <w:snapToGrid/>
          <w:szCs w:val="21"/>
          <w:lang w:val="en-GB"/>
        </w:rPr>
        <w:t>2007</w:t>
      </w:r>
      <w:r>
        <w:rPr>
          <w:snapToGrid/>
          <w:szCs w:val="21"/>
          <w:lang w:val="en-GB"/>
        </w:rPr>
        <w:t>年的</w:t>
      </w:r>
      <w:r>
        <w:rPr>
          <w:snapToGrid/>
          <w:szCs w:val="21"/>
          <w:lang w:val="en-GB"/>
        </w:rPr>
        <w:t>20%</w:t>
      </w:r>
      <w:r>
        <w:rPr>
          <w:snapToGrid/>
          <w:szCs w:val="21"/>
          <w:lang w:val="en-GB"/>
        </w:rPr>
        <w:t>。私营、合资、外资企业飞速发展，就业人员数量占劳动力的数量</w:t>
      </w:r>
      <w:r>
        <w:rPr>
          <w:snapToGrid/>
          <w:szCs w:val="21"/>
          <w:lang w:val="en-GB"/>
        </w:rPr>
        <w:t>2.5%</w:t>
      </w:r>
      <w:r>
        <w:rPr>
          <w:snapToGrid/>
          <w:szCs w:val="21"/>
          <w:lang w:val="en-GB"/>
        </w:rPr>
        <w:t>。这一过程仍呈动态趋势发展，更多的劳动力被吸纳进来。这些企业的就业增长并不迅速，但这块业务领域仍有发展空间。</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76.</w:t>
      </w:r>
      <w:r>
        <w:rPr>
          <w:rFonts w:hint="eastAsia"/>
          <w:snapToGrid/>
          <w:szCs w:val="21"/>
          <w:lang w:val="en-GB"/>
        </w:rPr>
        <w:t xml:space="preserve"> </w:t>
      </w:r>
      <w:r>
        <w:rPr>
          <w:snapToGrid/>
          <w:szCs w:val="21"/>
          <w:lang w:val="en-GB"/>
        </w:rPr>
        <w:t xml:space="preserve"> </w:t>
      </w:r>
      <w:r>
        <w:rPr>
          <w:snapToGrid/>
          <w:szCs w:val="21"/>
          <w:lang w:val="en-GB"/>
        </w:rPr>
        <w:t>经济领域居民的分布特点是从事商品生产的人员占多数。</w:t>
      </w:r>
      <w:r>
        <w:rPr>
          <w:snapToGrid/>
          <w:szCs w:val="21"/>
          <w:lang w:val="en-GB"/>
        </w:rPr>
        <w:t>2007</w:t>
      </w:r>
      <w:r>
        <w:rPr>
          <w:snapToGrid/>
          <w:szCs w:val="21"/>
          <w:lang w:val="en-GB"/>
        </w:rPr>
        <w:t>年，国家经济就业人口总数的</w:t>
      </w:r>
      <w:r>
        <w:rPr>
          <w:snapToGrid/>
          <w:szCs w:val="21"/>
          <w:lang w:val="en-GB"/>
        </w:rPr>
        <w:t>69.3%</w:t>
      </w:r>
      <w:r>
        <w:rPr>
          <w:snapToGrid/>
          <w:szCs w:val="21"/>
          <w:lang w:val="en-GB"/>
        </w:rPr>
        <w:t>在商品生产领域工作。其中，</w:t>
      </w:r>
      <w:r>
        <w:rPr>
          <w:snapToGrid/>
          <w:szCs w:val="21"/>
          <w:lang w:val="en-GB"/>
        </w:rPr>
        <w:t>48.7%</w:t>
      </w:r>
      <w:r>
        <w:rPr>
          <w:snapToGrid/>
          <w:szCs w:val="21"/>
          <w:lang w:val="en-GB"/>
        </w:rPr>
        <w:t>是农业、林业和渔业的劳动者，</w:t>
      </w:r>
      <w:r>
        <w:rPr>
          <w:snapToGrid/>
          <w:szCs w:val="21"/>
          <w:lang w:val="en-GB"/>
        </w:rPr>
        <w:t>14.7%</w:t>
      </w:r>
      <w:r>
        <w:rPr>
          <w:snapToGrid/>
          <w:szCs w:val="21"/>
          <w:lang w:val="en-GB"/>
        </w:rPr>
        <w:t>是工业制造者，</w:t>
      </w:r>
      <w:r>
        <w:rPr>
          <w:snapToGrid/>
          <w:szCs w:val="21"/>
          <w:lang w:val="en-GB"/>
        </w:rPr>
        <w:t>5.9%</w:t>
      </w:r>
      <w:r>
        <w:rPr>
          <w:snapToGrid/>
          <w:szCs w:val="21"/>
          <w:lang w:val="en-GB"/>
        </w:rPr>
        <w:t>是建筑工人。</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77. </w:t>
      </w:r>
      <w:r>
        <w:rPr>
          <w:rFonts w:hint="eastAsia"/>
          <w:snapToGrid/>
          <w:szCs w:val="21"/>
          <w:lang w:val="en-GB"/>
        </w:rPr>
        <w:t xml:space="preserve"> </w:t>
      </w:r>
      <w:r>
        <w:rPr>
          <w:snapToGrid/>
          <w:szCs w:val="21"/>
          <w:lang w:val="en-GB"/>
        </w:rPr>
        <w:t>30.7%</w:t>
      </w:r>
      <w:r>
        <w:rPr>
          <w:snapToGrid/>
          <w:szCs w:val="21"/>
          <w:lang w:val="en-GB"/>
        </w:rPr>
        <w:t>的劳动者从事有偿服务。大部分从事有偿服务的劳动者，集中在教育、贸易、公共饮食、运输与通讯领域。</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78. </w:t>
      </w:r>
      <w:r>
        <w:rPr>
          <w:rFonts w:hint="eastAsia"/>
          <w:snapToGrid/>
          <w:szCs w:val="21"/>
          <w:lang w:val="en-GB"/>
        </w:rPr>
        <w:t xml:space="preserve"> </w:t>
      </w:r>
      <w:r>
        <w:rPr>
          <w:snapToGrid/>
          <w:szCs w:val="21"/>
          <w:lang w:val="en-GB"/>
        </w:rPr>
        <w:t>在一系列促进国家经济发展行业中的就业率有了切实提高。就业人口的大幅增加也体现在工业领域</w:t>
      </w:r>
      <w:r>
        <w:rPr>
          <w:snapToGrid/>
          <w:szCs w:val="21"/>
          <w:lang w:val="en-GB"/>
        </w:rPr>
        <w:t>(</w:t>
      </w:r>
      <w:r>
        <w:rPr>
          <w:snapToGrid/>
          <w:szCs w:val="21"/>
          <w:lang w:val="en-GB"/>
        </w:rPr>
        <w:t>增长</w:t>
      </w:r>
      <w:r>
        <w:rPr>
          <w:snapToGrid/>
          <w:szCs w:val="21"/>
          <w:lang w:val="en-GB"/>
        </w:rPr>
        <w:t>2</w:t>
      </w:r>
      <w:r>
        <w:rPr>
          <w:snapToGrid/>
          <w:szCs w:val="21"/>
          <w:lang w:val="en-GB"/>
        </w:rPr>
        <w:t>倍</w:t>
      </w:r>
      <w:r>
        <w:rPr>
          <w:snapToGrid/>
          <w:szCs w:val="21"/>
          <w:lang w:val="en-GB"/>
        </w:rPr>
        <w:t>)</w:t>
      </w:r>
      <w:r>
        <w:rPr>
          <w:snapToGrid/>
          <w:szCs w:val="21"/>
          <w:lang w:val="en-GB"/>
        </w:rPr>
        <w:t>。工业加工企业的就业率也发生了实实在在的改变，这表明原材料价格的下降。</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79. </w:t>
      </w:r>
      <w:r>
        <w:rPr>
          <w:rFonts w:hint="eastAsia"/>
          <w:snapToGrid/>
          <w:szCs w:val="21"/>
          <w:lang w:val="en-GB"/>
        </w:rPr>
        <w:t xml:space="preserve"> </w:t>
      </w:r>
      <w:r>
        <w:rPr>
          <w:snapToGrid/>
          <w:szCs w:val="21"/>
          <w:lang w:val="en-GB"/>
        </w:rPr>
        <w:t>自</w:t>
      </w:r>
      <w:r>
        <w:rPr>
          <w:snapToGrid/>
          <w:szCs w:val="21"/>
          <w:lang w:val="en-GB"/>
        </w:rPr>
        <w:t>1990</w:t>
      </w:r>
      <w:r>
        <w:rPr>
          <w:snapToGrid/>
          <w:szCs w:val="21"/>
          <w:lang w:val="en-GB"/>
        </w:rPr>
        <w:t>年代初开始，非正式的劳动市场出现在土库曼斯坦的经济中。它实际上是独立的劳动市场部分，有大量某些活动的从业人员。在确定土库曼斯坦个体经营就业规模时，采用了劳动力调查资料。试图最充分反应从事产品生产和有偿服务人员的数量，决定了可以查明从事非正式</w:t>
      </w:r>
      <w:r>
        <w:rPr>
          <w:snapToGrid/>
          <w:szCs w:val="21"/>
          <w:lang w:val="en-GB"/>
        </w:rPr>
        <w:t>(</w:t>
      </w:r>
      <w:r>
        <w:rPr>
          <w:snapToGrid/>
          <w:szCs w:val="21"/>
          <w:lang w:val="en-GB"/>
        </w:rPr>
        <w:t>未登记</w:t>
      </w:r>
      <w:r>
        <w:rPr>
          <w:snapToGrid/>
          <w:szCs w:val="21"/>
          <w:lang w:val="en-GB"/>
        </w:rPr>
        <w:t>)</w:t>
      </w:r>
      <w:r>
        <w:rPr>
          <w:snapToGrid/>
          <w:szCs w:val="21"/>
          <w:lang w:val="en-GB"/>
        </w:rPr>
        <w:t>活动人员的数量。这与国际核算与统计实践相符合。</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80. </w:t>
      </w:r>
      <w:r>
        <w:rPr>
          <w:rFonts w:hint="eastAsia"/>
          <w:snapToGrid/>
          <w:szCs w:val="21"/>
          <w:lang w:val="en-GB"/>
        </w:rPr>
        <w:t xml:space="preserve"> </w:t>
      </w:r>
      <w:r>
        <w:rPr>
          <w:snapToGrid/>
          <w:szCs w:val="21"/>
          <w:lang w:val="en-GB"/>
        </w:rPr>
        <w:t>土库曼斯坦失业率水平也较低</w:t>
      </w:r>
      <w:r>
        <w:rPr>
          <w:snapToGrid/>
          <w:szCs w:val="21"/>
          <w:lang w:val="en-GB"/>
        </w:rPr>
        <w:t>(</w:t>
      </w:r>
      <w:r>
        <w:rPr>
          <w:snapToGrid/>
          <w:szCs w:val="21"/>
          <w:lang w:val="en-GB"/>
        </w:rPr>
        <w:t>借助于劳动交易所和自谋职业</w:t>
      </w:r>
      <w:r>
        <w:rPr>
          <w:snapToGrid/>
          <w:szCs w:val="21"/>
          <w:lang w:val="en-GB"/>
        </w:rPr>
        <w:t>)</w:t>
      </w:r>
      <w:r>
        <w:rPr>
          <w:snapToGrid/>
          <w:szCs w:val="21"/>
          <w:lang w:val="en-GB"/>
        </w:rPr>
        <w:t>，</w:t>
      </w:r>
      <w:r>
        <w:rPr>
          <w:snapToGrid/>
          <w:szCs w:val="21"/>
          <w:lang w:val="en-GB"/>
        </w:rPr>
        <w:t>2007</w:t>
      </w:r>
      <w:r>
        <w:rPr>
          <w:snapToGrid/>
          <w:szCs w:val="21"/>
          <w:lang w:val="en-GB"/>
        </w:rPr>
        <w:t>年占有劳动能力人口数量的</w:t>
      </w:r>
      <w:r>
        <w:rPr>
          <w:snapToGrid/>
          <w:szCs w:val="21"/>
          <w:lang w:val="en-GB"/>
        </w:rPr>
        <w:t>5%</w:t>
      </w:r>
      <w:r>
        <w:rPr>
          <w:snapToGrid/>
          <w:szCs w:val="21"/>
          <w:lang w:val="en-GB"/>
        </w:rPr>
        <w:t>，</w:t>
      </w:r>
      <w:r>
        <w:rPr>
          <w:snapToGrid/>
          <w:szCs w:val="21"/>
          <w:lang w:val="en-GB"/>
        </w:rPr>
        <w:t xml:space="preserve"> 1997</w:t>
      </w:r>
      <w:r>
        <w:rPr>
          <w:snapToGrid/>
          <w:szCs w:val="21"/>
          <w:lang w:val="en-GB"/>
        </w:rPr>
        <w:t>年为</w:t>
      </w:r>
      <w:r>
        <w:rPr>
          <w:snapToGrid/>
          <w:szCs w:val="21"/>
          <w:lang w:val="en-GB"/>
        </w:rPr>
        <w:t>6.3%</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81. </w:t>
      </w:r>
      <w:r>
        <w:rPr>
          <w:rFonts w:hint="eastAsia"/>
          <w:snapToGrid/>
          <w:szCs w:val="21"/>
          <w:lang w:val="en-GB"/>
        </w:rPr>
        <w:t xml:space="preserve"> </w:t>
      </w:r>
      <w:r>
        <w:rPr>
          <w:snapToGrid/>
          <w:szCs w:val="21"/>
          <w:lang w:val="en-GB"/>
        </w:rPr>
        <w:t>土库曼斯坦对需要社会救助和无法按平等条件在劳动市场竞争的有劳动能力的适龄人员提供额外就业保障。这种保障在《土库曼斯坦居民就业法》第</w:t>
      </w:r>
      <w:r>
        <w:rPr>
          <w:snapToGrid/>
          <w:szCs w:val="21"/>
          <w:lang w:val="en-GB"/>
        </w:rPr>
        <w:t>12</w:t>
      </w:r>
      <w:r>
        <w:rPr>
          <w:snapToGrid/>
          <w:szCs w:val="21"/>
          <w:lang w:val="en-GB"/>
        </w:rPr>
        <w:t>条中有所规定。他们包括：青年；抚养未成年子女或残疾子女的单身父母和多子女的父母；接近退休年龄的人员</w:t>
      </w:r>
      <w:r>
        <w:rPr>
          <w:snapToGrid/>
          <w:szCs w:val="21"/>
          <w:lang w:val="en-GB"/>
        </w:rPr>
        <w:t>(</w:t>
      </w:r>
      <w:r>
        <w:rPr>
          <w:snapToGrid/>
          <w:szCs w:val="21"/>
          <w:lang w:val="en-GB"/>
        </w:rPr>
        <w:t>女性至五十三岁，男性至五十八岁</w:t>
      </w:r>
      <w:r>
        <w:rPr>
          <w:snapToGrid/>
          <w:szCs w:val="21"/>
          <w:lang w:val="en-GB"/>
        </w:rPr>
        <w:t>)</w:t>
      </w:r>
      <w:r>
        <w:rPr>
          <w:snapToGrid/>
          <w:szCs w:val="21"/>
          <w:lang w:val="en-GB"/>
        </w:rPr>
        <w:t>；参加过国际战争的老战士；残疾人员；长期没有工作的人；被法院判决遭受处罚而被单位开除的人员。这些保障措施通过创造额外工作岗位和成立专业公司，其中包括适宜残疾人劳动的公司、社会康复中心组织专业培训及其他方式来实现。</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82. </w:t>
      </w:r>
      <w:r>
        <w:rPr>
          <w:rFonts w:hint="eastAsia"/>
          <w:snapToGrid/>
          <w:szCs w:val="21"/>
          <w:lang w:val="en-GB"/>
        </w:rPr>
        <w:t xml:space="preserve"> </w:t>
      </w:r>
      <w:r>
        <w:rPr>
          <w:snapToGrid/>
          <w:szCs w:val="21"/>
          <w:lang w:val="en-GB"/>
        </w:rPr>
        <w:t>上述法律规定，地方执行机关每年应向企业、机关和公司确定不超过整个用人岗位</w:t>
      </w:r>
      <w:r>
        <w:rPr>
          <w:snapToGrid/>
          <w:szCs w:val="21"/>
          <w:lang w:val="en-GB"/>
        </w:rPr>
        <w:t>5%</w:t>
      </w:r>
      <w:r>
        <w:rPr>
          <w:snapToGrid/>
          <w:szCs w:val="21"/>
          <w:lang w:val="en-GB"/>
        </w:rPr>
        <w:t>的定额来招工，其中包括为残疾人创造就业岗位。</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83. </w:t>
      </w:r>
      <w:r>
        <w:rPr>
          <w:rFonts w:hint="eastAsia"/>
          <w:snapToGrid/>
          <w:szCs w:val="21"/>
          <w:lang w:val="en-GB"/>
        </w:rPr>
        <w:t xml:space="preserve"> </w:t>
      </w:r>
      <w:r>
        <w:rPr>
          <w:snapToGrid/>
          <w:szCs w:val="21"/>
          <w:lang w:val="en-GB"/>
        </w:rPr>
        <w:t>《土库曼斯坦劳动法典》第</w:t>
      </w:r>
      <w:r>
        <w:rPr>
          <w:snapToGrid/>
          <w:szCs w:val="21"/>
          <w:lang w:val="en-GB"/>
        </w:rPr>
        <w:t>431</w:t>
      </w:r>
      <w:r>
        <w:rPr>
          <w:snapToGrid/>
          <w:szCs w:val="21"/>
          <w:lang w:val="en-GB"/>
        </w:rPr>
        <w:t>条规定，保障长期居住在土库曼斯坦的公民的劳动权，这些权利是：</w:t>
      </w:r>
    </w:p>
    <w:p w:rsidR="00A93F62" w:rsidRDefault="00A93F62">
      <w:pPr>
        <w:pStyle w:val="Bullet1GC"/>
        <w:numPr>
          <w:ilvl w:val="0"/>
          <w:numId w:val="14"/>
        </w:numPr>
        <w:rPr>
          <w:snapToGrid/>
          <w:lang w:val="en-GB"/>
        </w:rPr>
      </w:pPr>
      <w:r>
        <w:rPr>
          <w:snapToGrid/>
          <w:lang w:val="en-GB"/>
        </w:rPr>
        <w:t>选择工种的自由，其中包括有各种劳动制度的工作；</w:t>
      </w:r>
    </w:p>
    <w:p w:rsidR="00A93F62" w:rsidRDefault="00A93F62">
      <w:pPr>
        <w:pStyle w:val="Bullet1GC"/>
        <w:numPr>
          <w:ilvl w:val="0"/>
          <w:numId w:val="14"/>
        </w:numPr>
        <w:rPr>
          <w:snapToGrid/>
          <w:lang w:val="en-GB"/>
        </w:rPr>
      </w:pPr>
      <w:r>
        <w:rPr>
          <w:snapToGrid/>
          <w:lang w:val="en-GB"/>
        </w:rPr>
        <w:t>从国家就业部门角度，免费协助选择合适的工作并帮助就业；</w:t>
      </w:r>
    </w:p>
    <w:p w:rsidR="00A93F62" w:rsidRDefault="00A93F62">
      <w:pPr>
        <w:pStyle w:val="Bullet1GC"/>
        <w:numPr>
          <w:ilvl w:val="0"/>
          <w:numId w:val="14"/>
        </w:numPr>
        <w:rPr>
          <w:snapToGrid/>
          <w:lang w:val="en-GB"/>
        </w:rPr>
      </w:pPr>
      <w:r>
        <w:rPr>
          <w:snapToGrid/>
          <w:lang w:val="en-GB"/>
        </w:rPr>
        <w:t>根据企业预先的工作要求，向其提供院校的毕业生；</w:t>
      </w:r>
    </w:p>
    <w:p w:rsidR="00A93F62" w:rsidRDefault="00A93F62">
      <w:pPr>
        <w:pStyle w:val="Bullet1GC"/>
        <w:numPr>
          <w:ilvl w:val="0"/>
          <w:numId w:val="14"/>
        </w:numPr>
        <w:rPr>
          <w:snapToGrid/>
          <w:lang w:val="en-GB"/>
        </w:rPr>
      </w:pPr>
      <w:r>
        <w:rPr>
          <w:snapToGrid/>
          <w:lang w:val="en-GB"/>
        </w:rPr>
        <w:t>免费的新职业</w:t>
      </w:r>
      <w:r>
        <w:rPr>
          <w:snapToGrid/>
          <w:lang w:val="en-GB"/>
        </w:rPr>
        <w:t>(</w:t>
      </w:r>
      <w:r>
        <w:rPr>
          <w:snapToGrid/>
          <w:lang w:val="en-GB"/>
        </w:rPr>
        <w:t>专业</w:t>
      </w:r>
      <w:r>
        <w:rPr>
          <w:snapToGrid/>
          <w:lang w:val="en-GB"/>
        </w:rPr>
        <w:t>)</w:t>
      </w:r>
      <w:r>
        <w:rPr>
          <w:snapToGrid/>
          <w:lang w:val="en-GB"/>
        </w:rPr>
        <w:t>培训，在就业服务系统内得到技能提高，或是受其派遣，在其它院校享受助学金学习；</w:t>
      </w:r>
      <w:r>
        <w:rPr>
          <w:snapToGrid/>
          <w:lang w:val="en-GB"/>
        </w:rPr>
        <w:t xml:space="preserve"> </w:t>
      </w:r>
    </w:p>
    <w:p w:rsidR="00A93F62" w:rsidRDefault="00A93F62">
      <w:pPr>
        <w:pStyle w:val="Bullet1GC"/>
        <w:numPr>
          <w:ilvl w:val="0"/>
          <w:numId w:val="14"/>
        </w:numPr>
        <w:rPr>
          <w:snapToGrid/>
          <w:lang w:val="en-GB"/>
        </w:rPr>
      </w:pPr>
      <w:r>
        <w:rPr>
          <w:snapToGrid/>
          <w:lang w:val="en-GB"/>
        </w:rPr>
        <w:t>被派到其它地区工作，应根据法律补偿资金开支；</w:t>
      </w:r>
    </w:p>
    <w:p w:rsidR="00A93F62" w:rsidRDefault="00A93F62">
      <w:pPr>
        <w:pStyle w:val="Bullet1GC"/>
        <w:numPr>
          <w:ilvl w:val="0"/>
          <w:numId w:val="14"/>
        </w:numPr>
        <w:rPr>
          <w:snapToGrid/>
          <w:lang w:val="en-GB"/>
        </w:rPr>
      </w:pPr>
      <w:r>
        <w:rPr>
          <w:snapToGrid/>
          <w:lang w:val="en-GB"/>
        </w:rPr>
        <w:t>可以签署参加有偿社会工作的定期劳动合同，但应考虑到公民年龄或其它特点；</w:t>
      </w:r>
    </w:p>
    <w:p w:rsidR="00A93F62" w:rsidRDefault="00A93F62">
      <w:pPr>
        <w:pStyle w:val="Bullet1GC"/>
        <w:numPr>
          <w:ilvl w:val="0"/>
          <w:numId w:val="14"/>
        </w:numPr>
        <w:rPr>
          <w:snapToGrid/>
          <w:lang w:val="en-GB"/>
        </w:rPr>
      </w:pPr>
      <w:r>
        <w:rPr>
          <w:snapToGrid/>
          <w:lang w:val="en-GB"/>
        </w:rPr>
        <w:t>法律保护无故被解雇人员。</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szCs w:val="21"/>
          <w:lang w:val="en-GB"/>
        </w:rPr>
        <w:t>法律确定了保障就业的立法、经济和组织条件，并保证公民的劳动权利得以实现。居住在土库曼斯坦的外国公民权利也不受限制。土库曼斯坦立法保证在土库曼斯坦居住的外国公民得到劳动许可，同时调整他们参加工作的条件和机制。《外国公民在土库曼斯坦的法律地位法》第</w:t>
      </w:r>
      <w:r>
        <w:rPr>
          <w:snapToGrid/>
          <w:szCs w:val="21"/>
          <w:lang w:val="en-GB"/>
        </w:rPr>
        <w:t>3</w:t>
      </w:r>
      <w:r>
        <w:rPr>
          <w:snapToGrid/>
          <w:szCs w:val="21"/>
          <w:lang w:val="en-GB"/>
        </w:rPr>
        <w:t>条确定了这一点。如果《土库曼斯坦宪法》、土库曼斯坦上述法律和其它法令未另作规定的话，土库曼斯坦的外国公民享有同土库曼斯坦公民相同的权利与自由，并承担相应的义务。</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84. </w:t>
      </w:r>
      <w:r>
        <w:rPr>
          <w:rFonts w:hint="eastAsia"/>
          <w:snapToGrid/>
          <w:szCs w:val="21"/>
          <w:lang w:val="en-GB"/>
        </w:rPr>
        <w:t xml:space="preserve"> </w:t>
      </w:r>
      <w:r>
        <w:rPr>
          <w:snapToGrid/>
          <w:szCs w:val="21"/>
          <w:lang w:val="en-GB"/>
        </w:rPr>
        <w:t>上述法律第</w:t>
      </w:r>
      <w:r>
        <w:rPr>
          <w:snapToGrid/>
          <w:szCs w:val="21"/>
          <w:lang w:val="en-GB"/>
        </w:rPr>
        <w:t>7</w:t>
      </w:r>
      <w:r>
        <w:rPr>
          <w:snapToGrid/>
          <w:szCs w:val="21"/>
          <w:lang w:val="en-GB"/>
        </w:rPr>
        <w:t>条规定了外国公民的</w:t>
      </w:r>
      <w:r>
        <w:rPr>
          <w:rFonts w:hint="eastAsia"/>
          <w:snapToGrid/>
          <w:szCs w:val="21"/>
          <w:lang w:val="en-GB"/>
        </w:rPr>
        <w:t>工作</w:t>
      </w:r>
      <w:r>
        <w:rPr>
          <w:snapToGrid/>
          <w:szCs w:val="21"/>
          <w:lang w:val="en-GB"/>
        </w:rPr>
        <w:t>权。长期居住在土库曼斯坦的外国公民，可以在企业、机关和单位作为工人或职员工作，或是根据适用于土库曼斯坦公民的法律，以相应方式从事其它的劳动活动。临时在土库曼斯坦逗留的外国公民也可以就业，如果与他们逗留目的相符，并且他们的就业方式不违反土库曼斯坦的法律。但是，如果依据土库曼斯坦法律，出于国籍原因，外国公民不得担任某些职务，或是从事某些工作，则他们必须依法行事。外国公民在劳动关系中享有同土库曼斯坦公民同样的权利，承担同样的义务。</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85. </w:t>
      </w:r>
      <w:r>
        <w:rPr>
          <w:rFonts w:hint="eastAsia"/>
          <w:snapToGrid/>
          <w:szCs w:val="21"/>
          <w:lang w:val="en-GB"/>
        </w:rPr>
        <w:t xml:space="preserve"> </w:t>
      </w:r>
      <w:r>
        <w:rPr>
          <w:snapToGrid/>
          <w:szCs w:val="21"/>
          <w:lang w:val="en-GB"/>
        </w:rPr>
        <w:t>《土库曼斯坦公民就业法》的第</w:t>
      </w:r>
      <w:r>
        <w:rPr>
          <w:snapToGrid/>
          <w:szCs w:val="21"/>
          <w:lang w:val="en-GB"/>
        </w:rPr>
        <w:t>1</w:t>
      </w:r>
      <w:r>
        <w:rPr>
          <w:snapToGrid/>
          <w:szCs w:val="21"/>
          <w:lang w:val="en-GB"/>
        </w:rPr>
        <w:t>条规定，不许以任何形式的行政手段强迫劳动，土库曼斯坦法律另有规定的除外。而公民自愿不工作也不能成为追究其行政、刑事或其他责任的理由。</w:t>
      </w:r>
    </w:p>
    <w:p w:rsidR="00A93F62" w:rsidRDefault="00A93F62">
      <w:pPr>
        <w:pStyle w:val="SingleTxtGC"/>
        <w:rPr>
          <w:snapToGrid/>
          <w:lang w:val="en-GB"/>
        </w:rPr>
      </w:pPr>
      <w:r>
        <w:rPr>
          <w:snapToGrid/>
          <w:lang w:val="en-GB"/>
        </w:rPr>
        <w:t>该法第</w:t>
      </w:r>
      <w:r>
        <w:rPr>
          <w:snapToGrid/>
          <w:lang w:val="en-GB"/>
        </w:rPr>
        <w:t>4</w:t>
      </w:r>
      <w:r>
        <w:rPr>
          <w:snapToGrid/>
          <w:lang w:val="en-GB"/>
        </w:rPr>
        <w:t>条说明了国家在居民就业方面的基本原则。即：不论其人种、性别、宗教信仰、年龄、政治信念、民主、社会地位，保障土库曼斯坦所有公民劳动权利机会均等，可以自由选择就业，并根据公民自由意愿，自愿参加劳动。</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86. </w:t>
      </w:r>
      <w:r>
        <w:rPr>
          <w:rFonts w:hint="eastAsia"/>
          <w:snapToGrid/>
          <w:szCs w:val="21"/>
          <w:lang w:val="en-GB"/>
        </w:rPr>
        <w:t xml:space="preserve"> </w:t>
      </w:r>
      <w:r>
        <w:rPr>
          <w:snapToGrid/>
          <w:szCs w:val="21"/>
          <w:lang w:val="en-GB"/>
        </w:rPr>
        <w:t>遵循上述公民平等原则，该法第</w:t>
      </w:r>
      <w:r>
        <w:rPr>
          <w:snapToGrid/>
          <w:szCs w:val="21"/>
          <w:lang w:val="en-GB"/>
        </w:rPr>
        <w:t>7</w:t>
      </w:r>
      <w:r>
        <w:rPr>
          <w:snapToGrid/>
          <w:szCs w:val="21"/>
          <w:lang w:val="en-GB"/>
        </w:rPr>
        <w:t>条规定，公民有免费职业咨询、培训和进修的权利，以选择工种、职业和工作地点。</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87.</w:t>
      </w:r>
      <w:r>
        <w:rPr>
          <w:rFonts w:hint="eastAsia"/>
          <w:snapToGrid/>
          <w:szCs w:val="21"/>
          <w:lang w:val="en-GB"/>
        </w:rPr>
        <w:t xml:space="preserve"> </w:t>
      </w:r>
      <w:r>
        <w:rPr>
          <w:snapToGrid/>
          <w:szCs w:val="21"/>
          <w:lang w:val="en-GB"/>
        </w:rPr>
        <w:t xml:space="preserve"> </w:t>
      </w:r>
      <w:r>
        <w:rPr>
          <w:snapToGrid/>
          <w:szCs w:val="21"/>
          <w:lang w:val="en-GB"/>
        </w:rPr>
        <w:t>根据《土库曼斯坦公民就业法》第</w:t>
      </w:r>
      <w:r>
        <w:rPr>
          <w:snapToGrid/>
          <w:szCs w:val="21"/>
          <w:lang w:val="en-GB"/>
        </w:rPr>
        <w:t>11</w:t>
      </w:r>
      <w:r>
        <w:rPr>
          <w:snapToGrid/>
          <w:szCs w:val="21"/>
          <w:lang w:val="en-GB"/>
        </w:rPr>
        <w:t>条规定，居住在土库曼斯坦的公民享有如下保障：</w:t>
      </w:r>
    </w:p>
    <w:p w:rsidR="00A93F62" w:rsidRDefault="00A93F62">
      <w:pPr>
        <w:pStyle w:val="Bullet1GC"/>
        <w:numPr>
          <w:ilvl w:val="0"/>
          <w:numId w:val="14"/>
        </w:numPr>
        <w:rPr>
          <w:snapToGrid/>
          <w:lang w:val="en-GB"/>
        </w:rPr>
      </w:pPr>
      <w:r>
        <w:rPr>
          <w:snapToGrid/>
          <w:lang w:val="en-GB"/>
        </w:rPr>
        <w:t>自由选择工种，被无故解雇时受法律保护；</w:t>
      </w:r>
    </w:p>
    <w:p w:rsidR="00A93F62" w:rsidRDefault="00A93F62">
      <w:pPr>
        <w:pStyle w:val="Bullet1GC"/>
        <w:numPr>
          <w:ilvl w:val="0"/>
          <w:numId w:val="14"/>
        </w:numPr>
        <w:rPr>
          <w:snapToGrid/>
          <w:lang w:val="en-GB"/>
        </w:rPr>
      </w:pPr>
      <w:r>
        <w:rPr>
          <w:snapToGrid/>
          <w:lang w:val="en-GB"/>
        </w:rPr>
        <w:t>根据才能、职业培训与受教育程度，免费选择合适工作并被安置就业；</w:t>
      </w:r>
    </w:p>
    <w:p w:rsidR="00A93F62" w:rsidRDefault="00A93F62">
      <w:pPr>
        <w:pStyle w:val="Bullet1GC"/>
        <w:numPr>
          <w:ilvl w:val="0"/>
          <w:numId w:val="14"/>
        </w:numPr>
        <w:rPr>
          <w:snapToGrid/>
          <w:lang w:val="en-GB"/>
        </w:rPr>
      </w:pPr>
      <w:r>
        <w:rPr>
          <w:snapToGrid/>
          <w:lang w:val="en-GB"/>
        </w:rPr>
        <w:t>被保护免受任何形式的歧视，保障所有公民在获得职业和工作，选择就业与劳动条件方面，机会均等；</w:t>
      </w:r>
      <w:r>
        <w:rPr>
          <w:snapToGrid/>
          <w:lang w:val="en-GB"/>
        </w:rPr>
        <w:t xml:space="preserve"> </w:t>
      </w:r>
    </w:p>
    <w:p w:rsidR="00A93F62" w:rsidRDefault="00A93F62">
      <w:pPr>
        <w:pStyle w:val="Bullet1GC"/>
        <w:numPr>
          <w:ilvl w:val="0"/>
          <w:numId w:val="14"/>
        </w:numPr>
        <w:rPr>
          <w:snapToGrid/>
          <w:lang w:val="en-GB"/>
        </w:rPr>
      </w:pPr>
      <w:r>
        <w:rPr>
          <w:snapToGrid/>
          <w:lang w:val="en-GB"/>
        </w:rPr>
        <w:t>在不少于三年期间，向年轻专业人员</w:t>
      </w:r>
      <w:r>
        <w:rPr>
          <w:rFonts w:hint="eastAsia"/>
          <w:snapToGrid/>
          <w:spacing w:val="-50"/>
          <w:lang w:val="en-GB"/>
        </w:rPr>
        <w:t>―</w:t>
      </w:r>
      <w:r>
        <w:rPr>
          <w:rFonts w:hint="eastAsia"/>
          <w:snapToGrid/>
          <w:lang w:val="en-GB"/>
        </w:rPr>
        <w:t>―</w:t>
      </w:r>
      <w:r>
        <w:rPr>
          <w:snapToGrid/>
          <w:lang w:val="en-GB"/>
        </w:rPr>
        <w:t>雇主曾经申请的国家高校和中等专业院校、职业技术学校的毕业生提供合适工作；</w:t>
      </w:r>
    </w:p>
    <w:p w:rsidR="00A93F62" w:rsidRDefault="00A93F62">
      <w:pPr>
        <w:pStyle w:val="Bullet1GC"/>
        <w:numPr>
          <w:ilvl w:val="0"/>
          <w:numId w:val="14"/>
        </w:numPr>
        <w:rPr>
          <w:snapToGrid/>
          <w:lang w:val="en-GB"/>
        </w:rPr>
      </w:pPr>
      <w:r>
        <w:rPr>
          <w:snapToGrid/>
          <w:lang w:val="en-GB"/>
        </w:rPr>
        <w:t>对根据与企业、单位签订的合同，受就业服务部门派遣的进修人员提供工作；</w:t>
      </w:r>
    </w:p>
    <w:p w:rsidR="00A93F62" w:rsidRDefault="00A93F62">
      <w:pPr>
        <w:pStyle w:val="Bullet1GC"/>
        <w:numPr>
          <w:ilvl w:val="0"/>
          <w:numId w:val="14"/>
        </w:numPr>
        <w:rPr>
          <w:snapToGrid/>
          <w:lang w:val="en-GB"/>
        </w:rPr>
      </w:pPr>
      <w:r>
        <w:rPr>
          <w:snapToGrid/>
          <w:lang w:val="en-GB"/>
        </w:rPr>
        <w:t>对在就业服务机构登记求职的人员，提供免费的职业定位、培训、进修与技能提高机会，如受部门派遣，赴其它院校学习，要支付助学金；</w:t>
      </w:r>
    </w:p>
    <w:p w:rsidR="00A93F62" w:rsidRDefault="00A93F62">
      <w:pPr>
        <w:pStyle w:val="Bullet1GC"/>
        <w:numPr>
          <w:ilvl w:val="0"/>
          <w:numId w:val="14"/>
        </w:numPr>
        <w:rPr>
          <w:snapToGrid/>
          <w:lang w:val="en-GB"/>
        </w:rPr>
      </w:pPr>
      <w:r>
        <w:rPr>
          <w:snapToGrid/>
          <w:lang w:val="en-GB"/>
        </w:rPr>
        <w:t>根据现行法律，被派到其它地区工作时，补偿资金开支；</w:t>
      </w:r>
    </w:p>
    <w:p w:rsidR="00A93F62" w:rsidRDefault="00A93F62">
      <w:pPr>
        <w:pStyle w:val="Bullet1GC"/>
        <w:numPr>
          <w:ilvl w:val="0"/>
          <w:numId w:val="14"/>
        </w:numPr>
        <w:rPr>
          <w:snapToGrid/>
          <w:lang w:val="en-GB"/>
        </w:rPr>
      </w:pPr>
      <w:r>
        <w:rPr>
          <w:snapToGrid/>
          <w:lang w:val="en-GB"/>
        </w:rPr>
        <w:t>可以签署参加有偿社会工作的定期劳动合同，但应考虑到公民年龄或其它特点。</w:t>
      </w:r>
    </w:p>
    <w:p w:rsidR="00A93F62" w:rsidRDefault="00A93F62">
      <w:pPr>
        <w:tabs>
          <w:tab w:val="clear" w:pos="431"/>
        </w:tabs>
        <w:suppressAutoHyphens/>
        <w:overflowPunct/>
        <w:adjustRightInd/>
        <w:snapToGrid/>
        <w:spacing w:after="120" w:line="320" w:lineRule="atLeast"/>
        <w:ind w:left="1134" w:right="1134"/>
        <w:rPr>
          <w:rFonts w:hint="eastAsia"/>
          <w:snapToGrid/>
          <w:szCs w:val="21"/>
          <w:lang w:val="en-GB"/>
        </w:rPr>
      </w:pPr>
      <w:r>
        <w:rPr>
          <w:snapToGrid/>
          <w:szCs w:val="21"/>
          <w:lang w:val="en-GB"/>
        </w:rPr>
        <w:t xml:space="preserve">88. </w:t>
      </w:r>
      <w:r>
        <w:rPr>
          <w:rFonts w:hint="eastAsia"/>
          <w:snapToGrid/>
          <w:szCs w:val="21"/>
          <w:lang w:val="en-GB"/>
        </w:rPr>
        <w:t xml:space="preserve"> </w:t>
      </w:r>
      <w:r>
        <w:rPr>
          <w:snapToGrid/>
          <w:szCs w:val="21"/>
          <w:lang w:val="en-GB"/>
        </w:rPr>
        <w:t>为了及时解决公民安置，建立市场关系条件下的职业定向机制，根据</w:t>
      </w:r>
      <w:r>
        <w:rPr>
          <w:snapToGrid/>
          <w:szCs w:val="21"/>
          <w:lang w:val="en-GB"/>
        </w:rPr>
        <w:t>1997</w:t>
      </w:r>
      <w:r>
        <w:rPr>
          <w:snapToGrid/>
          <w:szCs w:val="21"/>
          <w:lang w:val="en-GB"/>
        </w:rPr>
        <w:t>年</w:t>
      </w:r>
      <w:r>
        <w:rPr>
          <w:snapToGrid/>
          <w:szCs w:val="21"/>
          <w:lang w:val="en-GB"/>
        </w:rPr>
        <w:t>5</w:t>
      </w:r>
      <w:r>
        <w:rPr>
          <w:snapToGrid/>
          <w:szCs w:val="21"/>
          <w:lang w:val="en-GB"/>
        </w:rPr>
        <w:t>月第</w:t>
      </w:r>
      <w:r>
        <w:rPr>
          <w:snapToGrid/>
          <w:szCs w:val="21"/>
          <w:lang w:val="en-GB"/>
        </w:rPr>
        <w:t>3171</w:t>
      </w:r>
      <w:r>
        <w:rPr>
          <w:snapToGrid/>
          <w:szCs w:val="21"/>
          <w:lang w:val="en-GB"/>
        </w:rPr>
        <w:t>号土库曼斯坦总统令，建立经济核算的劳动市场，由各地区和阿什哈巴德市的地方行政当局主管。在各地区之间进行劳动力供需协调，统计未就业人口，并协助就业。在各地区和阿什哈巴德市的劳动市场，向居民提供充分详实的空闲工作岗位与空缺信息，公布劳动力供需情况、就业机会的统计数据与信息资料，职业培训与进修、职业定向与社会劳动康复计划。各地区</w:t>
      </w:r>
      <w:r>
        <w:rPr>
          <w:snapToGrid/>
          <w:szCs w:val="21"/>
          <w:lang w:val="en-GB"/>
        </w:rPr>
        <w:t>(</w:t>
      </w:r>
      <w:r>
        <w:rPr>
          <w:snapToGrid/>
          <w:szCs w:val="21"/>
          <w:lang w:val="en-GB"/>
        </w:rPr>
        <w:t>州</w:t>
      </w:r>
      <w:r>
        <w:rPr>
          <w:snapToGrid/>
          <w:szCs w:val="21"/>
          <w:lang w:val="en-GB"/>
        </w:rPr>
        <w:t>)</w:t>
      </w:r>
      <w:r>
        <w:rPr>
          <w:snapToGrid/>
          <w:szCs w:val="21"/>
          <w:lang w:val="en-GB"/>
        </w:rPr>
        <w:t>的劳动市场对咨询就业安置问题的公民进行登记和统计，并帮助他们选择合适工作并安置就业。通过媒体向居民提供空缺工作岗位消息，并帮助雇主选择他们需要的劳动者。向企业领导提供咨询，使其了解劳动市场的情况。会同地方行政当局、企业与单位，定期举办</w:t>
      </w:r>
      <w:r>
        <w:rPr>
          <w:snapToGrid/>
          <w:szCs w:val="21"/>
          <w:lang w:val="en-GB"/>
        </w:rPr>
        <w:t>“</w:t>
      </w:r>
      <w:r>
        <w:rPr>
          <w:snapToGrid/>
          <w:szCs w:val="21"/>
          <w:lang w:val="en-GB"/>
        </w:rPr>
        <w:t>空缺岗位洽谈会</w:t>
      </w:r>
      <w:r>
        <w:rPr>
          <w:snapToGrid/>
          <w:szCs w:val="21"/>
          <w:lang w:val="en-GB"/>
        </w:rPr>
        <w:t>”</w:t>
      </w:r>
      <w:r>
        <w:rPr>
          <w:snapToGrid/>
          <w:szCs w:val="21"/>
          <w:lang w:val="en-GB"/>
        </w:rPr>
        <w:t>。</w:t>
      </w:r>
      <w:r>
        <w:rPr>
          <w:rFonts w:hint="eastAsia"/>
          <w:snapToGrid/>
          <w:szCs w:val="21"/>
          <w:lang w:val="en-GB"/>
        </w:rPr>
        <w:t xml:space="preserve"> </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89. </w:t>
      </w:r>
      <w:r>
        <w:rPr>
          <w:rFonts w:hint="eastAsia"/>
          <w:snapToGrid/>
          <w:szCs w:val="21"/>
          <w:lang w:val="en-GB"/>
        </w:rPr>
        <w:t xml:space="preserve"> </w:t>
      </w:r>
      <w:r>
        <w:rPr>
          <w:snapToGrid/>
          <w:szCs w:val="21"/>
          <w:lang w:val="en-GB"/>
        </w:rPr>
        <w:t>2007</w:t>
      </w:r>
      <w:r>
        <w:rPr>
          <w:snapToGrid/>
          <w:szCs w:val="21"/>
          <w:lang w:val="en-GB"/>
        </w:rPr>
        <w:t>年，劳动市场登记有</w:t>
      </w:r>
      <w:r>
        <w:rPr>
          <w:snapToGrid/>
          <w:szCs w:val="21"/>
          <w:lang w:val="en-GB"/>
        </w:rPr>
        <w:t>92 000</w:t>
      </w:r>
      <w:r>
        <w:rPr>
          <w:snapToGrid/>
          <w:szCs w:val="21"/>
          <w:lang w:val="en-GB"/>
        </w:rPr>
        <w:t>人，比</w:t>
      </w:r>
      <w:r>
        <w:rPr>
          <w:snapToGrid/>
          <w:szCs w:val="21"/>
          <w:lang w:val="en-GB"/>
        </w:rPr>
        <w:t>1998</w:t>
      </w:r>
      <w:r>
        <w:rPr>
          <w:snapToGrid/>
          <w:szCs w:val="21"/>
          <w:lang w:val="en-GB"/>
        </w:rPr>
        <w:t>年增多了</w:t>
      </w:r>
      <w:r>
        <w:rPr>
          <w:snapToGrid/>
          <w:szCs w:val="21"/>
          <w:lang w:val="en-GB"/>
        </w:rPr>
        <w:t>19%</w:t>
      </w:r>
      <w:r>
        <w:rPr>
          <w:snapToGrid/>
          <w:szCs w:val="21"/>
          <w:lang w:val="en-GB"/>
        </w:rPr>
        <w:t>。劳动市场安置的公民比重有增加的趋势</w:t>
      </w:r>
      <w:r>
        <w:rPr>
          <w:rFonts w:hint="eastAsia"/>
          <w:snapToGrid/>
          <w:spacing w:val="-50"/>
          <w:szCs w:val="21"/>
          <w:lang w:val="en-GB"/>
        </w:rPr>
        <w:t>―</w:t>
      </w:r>
      <w:r>
        <w:rPr>
          <w:rFonts w:hint="eastAsia"/>
          <w:snapToGrid/>
          <w:szCs w:val="21"/>
          <w:lang w:val="en-GB"/>
        </w:rPr>
        <w:t>―</w:t>
      </w:r>
      <w:r>
        <w:rPr>
          <w:snapToGrid/>
          <w:szCs w:val="21"/>
          <w:lang w:val="en-GB"/>
        </w:rPr>
        <w:t>从</w:t>
      </w:r>
      <w:r>
        <w:rPr>
          <w:snapToGrid/>
          <w:szCs w:val="21"/>
          <w:lang w:val="en-GB"/>
        </w:rPr>
        <w:t>1998</w:t>
      </w:r>
      <w:r>
        <w:rPr>
          <w:snapToGrid/>
          <w:szCs w:val="21"/>
          <w:lang w:val="en-GB"/>
        </w:rPr>
        <w:t>年的</w:t>
      </w:r>
      <w:r>
        <w:rPr>
          <w:snapToGrid/>
          <w:szCs w:val="21"/>
          <w:lang w:val="en-GB"/>
        </w:rPr>
        <w:t>30.5%</w:t>
      </w:r>
      <w:r>
        <w:rPr>
          <w:snapToGrid/>
          <w:szCs w:val="21"/>
          <w:lang w:val="en-GB"/>
        </w:rPr>
        <w:t>到</w:t>
      </w:r>
      <w:r>
        <w:rPr>
          <w:snapToGrid/>
          <w:szCs w:val="21"/>
          <w:lang w:val="en-GB"/>
        </w:rPr>
        <w:t>2007</w:t>
      </w:r>
      <w:r>
        <w:rPr>
          <w:snapToGrid/>
          <w:szCs w:val="21"/>
          <w:lang w:val="en-GB"/>
        </w:rPr>
        <w:t>年的</w:t>
      </w:r>
      <w:r>
        <w:rPr>
          <w:snapToGrid/>
          <w:szCs w:val="21"/>
          <w:lang w:val="en-GB"/>
        </w:rPr>
        <w:t>62%</w:t>
      </w:r>
      <w:r>
        <w:rPr>
          <w:snapToGrid/>
          <w:szCs w:val="21"/>
          <w:lang w:val="en-GB"/>
        </w:rPr>
        <w:t>。劳动市场的数据显示，男子比妇女</w:t>
      </w:r>
      <w:r>
        <w:rPr>
          <w:snapToGrid/>
          <w:szCs w:val="21"/>
          <w:lang w:val="en-GB"/>
        </w:rPr>
        <w:t>(1998</w:t>
      </w:r>
      <w:r>
        <w:rPr>
          <w:snapToGrid/>
          <w:szCs w:val="21"/>
          <w:lang w:val="en-GB"/>
        </w:rPr>
        <w:t>年为</w:t>
      </w:r>
      <w:r>
        <w:rPr>
          <w:snapToGrid/>
          <w:szCs w:val="21"/>
          <w:lang w:val="en-GB"/>
        </w:rPr>
        <w:t>42.3%</w:t>
      </w:r>
      <w:r>
        <w:rPr>
          <w:snapToGrid/>
          <w:szCs w:val="21"/>
          <w:lang w:val="en-GB"/>
        </w:rPr>
        <w:t>，</w:t>
      </w:r>
      <w:r>
        <w:rPr>
          <w:snapToGrid/>
          <w:szCs w:val="21"/>
          <w:lang w:val="en-GB"/>
        </w:rPr>
        <w:t>2007</w:t>
      </w:r>
      <w:r>
        <w:rPr>
          <w:snapToGrid/>
          <w:szCs w:val="21"/>
          <w:lang w:val="en-GB"/>
        </w:rPr>
        <w:t>年为</w:t>
      </w:r>
      <w:r>
        <w:rPr>
          <w:snapToGrid/>
          <w:szCs w:val="21"/>
          <w:lang w:val="en-GB"/>
        </w:rPr>
        <w:t>35.7%)</w:t>
      </w:r>
      <w:r>
        <w:rPr>
          <w:snapToGrid/>
          <w:szCs w:val="21"/>
          <w:lang w:val="en-GB"/>
        </w:rPr>
        <w:t>更主动到劳动市场求职。此外，男子的劳动安置水平比妇女高。例如，</w:t>
      </w:r>
      <w:r>
        <w:rPr>
          <w:snapToGrid/>
          <w:szCs w:val="21"/>
          <w:lang w:val="en-GB"/>
        </w:rPr>
        <w:t>2007</w:t>
      </w:r>
      <w:r>
        <w:rPr>
          <w:snapToGrid/>
          <w:szCs w:val="21"/>
          <w:lang w:val="en-GB"/>
        </w:rPr>
        <w:t>年，被安置工作的妇女人数占全部登记求职妇女总人数的</w:t>
      </w:r>
      <w:r>
        <w:rPr>
          <w:snapToGrid/>
          <w:szCs w:val="21"/>
          <w:lang w:val="en-GB"/>
        </w:rPr>
        <w:t>48.8%</w:t>
      </w:r>
      <w:r>
        <w:rPr>
          <w:snapToGrid/>
          <w:szCs w:val="21"/>
          <w:lang w:val="en-GB"/>
        </w:rPr>
        <w:t>，</w:t>
      </w:r>
      <w:r>
        <w:rPr>
          <w:snapToGrid/>
          <w:szCs w:val="21"/>
          <w:lang w:val="en-GB"/>
        </w:rPr>
        <w:t>1998</w:t>
      </w:r>
      <w:r>
        <w:rPr>
          <w:snapToGrid/>
          <w:szCs w:val="21"/>
          <w:lang w:val="en-GB"/>
        </w:rPr>
        <w:t>年这个比例为</w:t>
      </w:r>
      <w:r>
        <w:rPr>
          <w:snapToGrid/>
          <w:szCs w:val="21"/>
          <w:lang w:val="en-GB"/>
        </w:rPr>
        <w:t>25%</w:t>
      </w:r>
      <w:r>
        <w:rPr>
          <w:snapToGrid/>
          <w:szCs w:val="21"/>
          <w:lang w:val="en-GB"/>
        </w:rPr>
        <w:t>，而男子，分别为</w:t>
      </w:r>
      <w:r>
        <w:rPr>
          <w:snapToGrid/>
          <w:szCs w:val="21"/>
          <w:lang w:val="en-GB"/>
        </w:rPr>
        <w:t>69.3%</w:t>
      </w:r>
      <w:r>
        <w:rPr>
          <w:snapToGrid/>
          <w:szCs w:val="21"/>
          <w:lang w:val="en-GB"/>
        </w:rPr>
        <w:t>和</w:t>
      </w:r>
      <w:r>
        <w:rPr>
          <w:snapToGrid/>
          <w:szCs w:val="21"/>
          <w:lang w:val="en-GB"/>
        </w:rPr>
        <w:t>34.4%</w:t>
      </w:r>
      <w:r>
        <w:rPr>
          <w:snapToGrid/>
          <w:szCs w:val="21"/>
          <w:lang w:val="en-GB"/>
        </w:rPr>
        <w:t>。这主要是因为土库曼斯坦劳动市场提供的工作岗位更具有针对性，更利于男子就业，因为他们的职业水平更符合市场需求。</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90.</w:t>
      </w:r>
      <w:r>
        <w:rPr>
          <w:rFonts w:hint="eastAsia"/>
          <w:snapToGrid/>
          <w:szCs w:val="21"/>
          <w:lang w:val="en-GB"/>
        </w:rPr>
        <w:t xml:space="preserve"> </w:t>
      </w:r>
      <w:r>
        <w:rPr>
          <w:snapToGrid/>
          <w:szCs w:val="21"/>
          <w:lang w:val="en-GB"/>
        </w:rPr>
        <w:t xml:space="preserve"> </w:t>
      </w:r>
      <w:r>
        <w:rPr>
          <w:snapToGrid/>
          <w:szCs w:val="21"/>
          <w:lang w:val="en-GB"/>
        </w:rPr>
        <w:t>为改善居民就业状况，提高安置率，土库曼斯坦设立了许多新的工作岗位，并保留前景看好企业的就业率，完善再就业以及脱产劳动者的职业培训与进修体系。</w:t>
      </w:r>
      <w:r>
        <w:rPr>
          <w:snapToGrid/>
          <w:color w:val="000000"/>
          <w:szCs w:val="21"/>
          <w:lang w:val="en-GB"/>
        </w:rPr>
        <w:t>《土库曼斯坦至</w:t>
      </w:r>
      <w:r>
        <w:rPr>
          <w:snapToGrid/>
          <w:color w:val="000000"/>
          <w:szCs w:val="21"/>
          <w:lang w:val="en-GB"/>
        </w:rPr>
        <w:t>2020</w:t>
      </w:r>
      <w:r>
        <w:rPr>
          <w:snapToGrid/>
          <w:color w:val="000000"/>
          <w:szCs w:val="21"/>
          <w:lang w:val="en-GB"/>
        </w:rPr>
        <w:t>年经济、政治和文化发展战略》</w:t>
      </w:r>
      <w:r>
        <w:rPr>
          <w:snapToGrid/>
          <w:szCs w:val="21"/>
          <w:lang w:val="en-GB"/>
        </w:rPr>
        <w:t>国家规划成为国家管理劳动市场就业流程的有效工具。考虑到国家的自然资源和劳动人口状况，从行业与地域角度，确定了长远的工作岗位发展方向。独立后，国家建立了多部门工业，配备了新设备，并采用了先进工艺。基础经济领域快速发展：石化、电力、化学、纺织工业。运输与通信、工业与民用建筑行业也不断发展。从根本上改变了农业生产结构，农工综合体保障了国家对主要农产品的需求，农产品加工得以发展。</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91. </w:t>
      </w:r>
      <w:r>
        <w:rPr>
          <w:rFonts w:hint="eastAsia"/>
          <w:snapToGrid/>
          <w:szCs w:val="21"/>
          <w:lang w:val="en-GB"/>
        </w:rPr>
        <w:t xml:space="preserve"> </w:t>
      </w:r>
      <w:r>
        <w:rPr>
          <w:snapToGrid/>
          <w:szCs w:val="21"/>
          <w:lang w:val="en-GB"/>
        </w:rPr>
        <w:t>工厂的重新装备、配备现代化设备的新综合体与企业的投产，促进了更良好劳动条件在土库曼斯坦各经济领域的形成，使在不利劳动条件下工作的劳动者数量不断降低。土库曼斯坦大中型企业的劳动条件明显改善，在不符合卫生保健标准的条件下工作，从事重体力劳动的劳动者数量呈下降趋势。根据土库曼斯坦法律，应向在这种条件下工作的劳动者提供各种福利与补偿。额外休假、劳动条件与强度津贴、提供免费牛奶或其它等价食品，是最基本的福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92. </w:t>
      </w:r>
      <w:r>
        <w:rPr>
          <w:rFonts w:hint="eastAsia"/>
          <w:snapToGrid/>
          <w:szCs w:val="21"/>
          <w:lang w:val="en-GB"/>
        </w:rPr>
        <w:t xml:space="preserve"> </w:t>
      </w:r>
      <w:r>
        <w:rPr>
          <w:snapToGrid/>
          <w:szCs w:val="21"/>
          <w:lang w:val="en-GB"/>
        </w:rPr>
        <w:t>向国家大中型企业不良劳动条件下工作的劳动者提供的福利与补偿总费用，</w:t>
      </w:r>
      <w:r>
        <w:rPr>
          <w:snapToGrid/>
          <w:szCs w:val="21"/>
          <w:lang w:val="en-GB"/>
        </w:rPr>
        <w:t>2007</w:t>
      </w:r>
      <w:r>
        <w:rPr>
          <w:snapToGrid/>
          <w:szCs w:val="21"/>
          <w:lang w:val="en-GB"/>
        </w:rPr>
        <w:t>年比</w:t>
      </w:r>
      <w:r>
        <w:rPr>
          <w:snapToGrid/>
          <w:szCs w:val="21"/>
          <w:lang w:val="en-GB"/>
        </w:rPr>
        <w:t>1997</w:t>
      </w:r>
      <w:r>
        <w:rPr>
          <w:snapToGrid/>
          <w:szCs w:val="21"/>
          <w:lang w:val="en-GB"/>
        </w:rPr>
        <w:t>年增加了</w:t>
      </w:r>
      <w:r>
        <w:rPr>
          <w:snapToGrid/>
          <w:szCs w:val="21"/>
          <w:lang w:val="en-GB"/>
        </w:rPr>
        <w:t>10</w:t>
      </w:r>
      <w:r>
        <w:rPr>
          <w:snapToGrid/>
          <w:szCs w:val="21"/>
          <w:lang w:val="en-GB"/>
        </w:rPr>
        <w:t>倍以上。</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93. </w:t>
      </w:r>
      <w:r>
        <w:rPr>
          <w:rFonts w:hint="eastAsia"/>
          <w:snapToGrid/>
          <w:szCs w:val="21"/>
          <w:lang w:val="en-GB"/>
        </w:rPr>
        <w:t xml:space="preserve"> </w:t>
      </w:r>
      <w:r>
        <w:rPr>
          <w:snapToGrid/>
          <w:szCs w:val="21"/>
          <w:lang w:val="en-GB"/>
        </w:rPr>
        <w:t>土库曼斯坦是《</w:t>
      </w:r>
      <w:r>
        <w:rPr>
          <w:snapToGrid/>
          <w:szCs w:val="21"/>
          <w:lang w:val="en-GB"/>
        </w:rPr>
        <w:t>1951</w:t>
      </w:r>
      <w:r>
        <w:rPr>
          <w:snapToGrid/>
          <w:szCs w:val="21"/>
          <w:lang w:val="en-GB"/>
        </w:rPr>
        <w:t>年男女工人同工同酬公约》的缔约国。通过土库曼斯坦《国家保障妇女权利法》，土库曼斯坦规定了国家要提供保障，以确保妇女在下列方面享有与男子平等的权利：</w:t>
      </w:r>
    </w:p>
    <w:p w:rsidR="00A93F62" w:rsidRDefault="00A93F62">
      <w:pPr>
        <w:pStyle w:val="Bullet1GC"/>
        <w:numPr>
          <w:ilvl w:val="0"/>
          <w:numId w:val="14"/>
        </w:numPr>
        <w:rPr>
          <w:snapToGrid/>
          <w:lang w:val="en-GB"/>
        </w:rPr>
      </w:pPr>
      <w:r>
        <w:rPr>
          <w:snapToGrid/>
          <w:lang w:val="en-GB"/>
        </w:rPr>
        <w:t>保护劳动权利与合法利益；</w:t>
      </w:r>
    </w:p>
    <w:p w:rsidR="00A93F62" w:rsidRDefault="00A93F62">
      <w:pPr>
        <w:pStyle w:val="Bullet1GC"/>
        <w:numPr>
          <w:ilvl w:val="0"/>
          <w:numId w:val="14"/>
        </w:numPr>
        <w:rPr>
          <w:snapToGrid/>
          <w:lang w:val="en-GB"/>
        </w:rPr>
      </w:pPr>
      <w:r>
        <w:rPr>
          <w:snapToGrid/>
          <w:lang w:val="en-GB"/>
        </w:rPr>
        <w:t>聘用；</w:t>
      </w:r>
    </w:p>
    <w:p w:rsidR="00A93F62" w:rsidRDefault="00A93F62">
      <w:pPr>
        <w:pStyle w:val="Bullet1GC"/>
        <w:numPr>
          <w:ilvl w:val="0"/>
          <w:numId w:val="14"/>
        </w:numPr>
        <w:rPr>
          <w:snapToGrid/>
          <w:lang w:val="en-GB"/>
        </w:rPr>
      </w:pPr>
      <w:r>
        <w:rPr>
          <w:snapToGrid/>
          <w:lang w:val="en-GB"/>
        </w:rPr>
        <w:t>兴办企业；</w:t>
      </w:r>
    </w:p>
    <w:p w:rsidR="00A93F62" w:rsidRDefault="00A93F62">
      <w:pPr>
        <w:pStyle w:val="Bullet1GC"/>
        <w:numPr>
          <w:ilvl w:val="0"/>
          <w:numId w:val="14"/>
        </w:numPr>
        <w:rPr>
          <w:snapToGrid/>
          <w:lang w:val="en-GB"/>
        </w:rPr>
      </w:pPr>
      <w:r>
        <w:rPr>
          <w:snapToGrid/>
          <w:lang w:val="en-GB"/>
        </w:rPr>
        <w:t>根据才能与职业培训获得空缺岗位；</w:t>
      </w:r>
    </w:p>
    <w:p w:rsidR="00A93F62" w:rsidRDefault="00A93F62">
      <w:pPr>
        <w:pStyle w:val="Bullet1GC"/>
        <w:numPr>
          <w:ilvl w:val="0"/>
          <w:numId w:val="14"/>
        </w:numPr>
        <w:rPr>
          <w:snapToGrid/>
          <w:lang w:val="en-GB"/>
        </w:rPr>
      </w:pPr>
      <w:r>
        <w:rPr>
          <w:snapToGrid/>
          <w:lang w:val="en-GB"/>
        </w:rPr>
        <w:t>同工同酬，获得与工作相关的福利，并提供同等价值劳动的同等条件，以同样方法评价工作质量；</w:t>
      </w:r>
    </w:p>
    <w:p w:rsidR="00A93F62" w:rsidRDefault="00A93F62">
      <w:pPr>
        <w:pStyle w:val="Bullet1GC"/>
        <w:numPr>
          <w:ilvl w:val="0"/>
          <w:numId w:val="14"/>
        </w:numPr>
        <w:rPr>
          <w:snapToGrid/>
          <w:lang w:val="en-GB"/>
        </w:rPr>
      </w:pPr>
      <w:r>
        <w:rPr>
          <w:snapToGrid/>
          <w:lang w:val="en-GB"/>
        </w:rPr>
        <w:t>包括为孕妇和有孩子的妇女提供健康安全的劳动条件；</w:t>
      </w:r>
    </w:p>
    <w:p w:rsidR="00A93F62" w:rsidRDefault="00A93F62">
      <w:pPr>
        <w:pStyle w:val="Bullet1GC"/>
        <w:numPr>
          <w:ilvl w:val="0"/>
          <w:numId w:val="14"/>
        </w:numPr>
        <w:rPr>
          <w:snapToGrid/>
          <w:lang w:val="en-GB"/>
        </w:rPr>
      </w:pPr>
      <w:r>
        <w:rPr>
          <w:snapToGrid/>
          <w:lang w:val="en-GB"/>
        </w:rPr>
        <w:t>推荐工作，提高技能，获得进修；</w:t>
      </w:r>
    </w:p>
    <w:p w:rsidR="00A93F62" w:rsidRDefault="00A93F62">
      <w:pPr>
        <w:pStyle w:val="Bullet1GC"/>
        <w:numPr>
          <w:ilvl w:val="0"/>
          <w:numId w:val="14"/>
        </w:numPr>
        <w:rPr>
          <w:snapToGrid/>
          <w:lang w:val="en-GB"/>
        </w:rPr>
      </w:pPr>
      <w:r>
        <w:rPr>
          <w:snapToGrid/>
          <w:lang w:val="en-GB"/>
        </w:rPr>
        <w:t>将为人父母的责任同工作相结合。</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szCs w:val="21"/>
          <w:lang w:val="en-GB"/>
        </w:rPr>
        <w:t>并在本法中巩固了这些权利。国家向妇女提供与男子同样的条件去管理企业。劳动平等原则也适用于家务劳动，它不应成为歧视妇女的手段，家务应在平等的基础上由男女共同操持。《土库曼斯坦劳动法典》第</w:t>
      </w:r>
      <w:r>
        <w:rPr>
          <w:snapToGrid/>
          <w:szCs w:val="21"/>
          <w:lang w:val="en-GB"/>
        </w:rPr>
        <w:t>Ⅲ-А</w:t>
      </w:r>
      <w:r>
        <w:rPr>
          <w:snapToGrid/>
          <w:szCs w:val="21"/>
          <w:lang w:val="en-GB"/>
        </w:rPr>
        <w:t>章内容涉及就业保障和公民劳动权利实施保证。在该法第</w:t>
      </w:r>
      <w:r>
        <w:rPr>
          <w:snapToGrid/>
          <w:szCs w:val="21"/>
          <w:lang w:val="en-GB"/>
        </w:rPr>
        <w:t>43</w:t>
      </w:r>
      <w:r>
        <w:rPr>
          <w:snapToGrid/>
          <w:szCs w:val="21"/>
          <w:lang w:val="en-GB"/>
        </w:rPr>
        <w:t>条中指出，保证长期在土库曼斯坦居住的公民可自由选择工种，包括各种劳动制度的工作。</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94. </w:t>
      </w:r>
      <w:r>
        <w:rPr>
          <w:rFonts w:hint="eastAsia"/>
          <w:snapToGrid/>
          <w:szCs w:val="21"/>
          <w:lang w:val="en-GB"/>
        </w:rPr>
        <w:t xml:space="preserve"> </w:t>
      </w:r>
      <w:r>
        <w:rPr>
          <w:snapToGrid/>
          <w:szCs w:val="21"/>
          <w:lang w:val="en-GB"/>
        </w:rPr>
        <w:t>为维护公民劳动关系方面的权利与保障，《土库曼斯坦刑法》第</w:t>
      </w:r>
      <w:r>
        <w:rPr>
          <w:snapToGrid/>
          <w:szCs w:val="21"/>
          <w:lang w:val="en-GB"/>
        </w:rPr>
        <w:t>145</w:t>
      </w:r>
      <w:r>
        <w:rPr>
          <w:snapToGrid/>
          <w:szCs w:val="21"/>
          <w:lang w:val="en-GB"/>
        </w:rPr>
        <w:t>和</w:t>
      </w:r>
      <w:r>
        <w:rPr>
          <w:snapToGrid/>
          <w:szCs w:val="21"/>
          <w:lang w:val="en-GB"/>
        </w:rPr>
        <w:t>152</w:t>
      </w:r>
      <w:r>
        <w:rPr>
          <w:snapToGrid/>
          <w:szCs w:val="21"/>
          <w:lang w:val="en-GB"/>
        </w:rPr>
        <w:t>条规定，侵犯公民权利平等，无故拒绝录用或无故辞退孕妇，应承担刑事责任。例如，由于性别、种族、民族、语言、出身、财产或职务状况、居住地、宗教信仰、信念、所在社会团体的原因，直接或间接地侵犯或限制人与公民的权利与自由，可以采用罚款、劳动改造或剥夺自由方式进行处罚</w:t>
      </w:r>
      <w:r>
        <w:rPr>
          <w:snapToGrid/>
          <w:szCs w:val="21"/>
          <w:lang w:val="en-GB"/>
        </w:rPr>
        <w:t>(</w:t>
      </w:r>
      <w:r>
        <w:rPr>
          <w:snapToGrid/>
          <w:szCs w:val="21"/>
          <w:lang w:val="en-GB"/>
        </w:rPr>
        <w:t>《土库曼斯坦刑法》第</w:t>
      </w:r>
      <w:r>
        <w:rPr>
          <w:snapToGrid/>
          <w:szCs w:val="21"/>
          <w:lang w:val="en-GB"/>
        </w:rPr>
        <w:t>145</w:t>
      </w:r>
      <w:r>
        <w:rPr>
          <w:snapToGrid/>
          <w:szCs w:val="21"/>
          <w:lang w:val="en-GB"/>
        </w:rPr>
        <w:t>条</w:t>
      </w:r>
      <w:r>
        <w:rPr>
          <w:snapToGrid/>
          <w:szCs w:val="21"/>
          <w:lang w:val="en-GB"/>
        </w:rPr>
        <w:t>)</w:t>
      </w:r>
      <w:r>
        <w:rPr>
          <w:snapToGrid/>
          <w:szCs w:val="21"/>
          <w:lang w:val="en-GB"/>
        </w:rPr>
        <w:t>。因怀孕无故拒绝录用妇女，与因怀孕无故解雇妇女同样，剥夺其担当相应职务、从事相应工作的权利，或处以罚款</w:t>
      </w:r>
      <w:r>
        <w:rPr>
          <w:snapToGrid/>
          <w:szCs w:val="21"/>
          <w:lang w:val="en-GB"/>
        </w:rPr>
        <w:t>(</w:t>
      </w:r>
      <w:r>
        <w:rPr>
          <w:snapToGrid/>
          <w:szCs w:val="21"/>
          <w:lang w:val="en-GB"/>
        </w:rPr>
        <w:t>《刑法》第</w:t>
      </w:r>
      <w:r>
        <w:rPr>
          <w:snapToGrid/>
          <w:szCs w:val="21"/>
          <w:lang w:val="en-GB"/>
        </w:rPr>
        <w:t>152</w:t>
      </w:r>
      <w:r>
        <w:rPr>
          <w:snapToGrid/>
          <w:szCs w:val="21"/>
          <w:lang w:val="en-GB"/>
        </w:rPr>
        <w:t>条</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95. </w:t>
      </w:r>
      <w:r>
        <w:rPr>
          <w:rFonts w:hint="eastAsia"/>
          <w:snapToGrid/>
          <w:szCs w:val="21"/>
          <w:lang w:val="en-GB"/>
        </w:rPr>
        <w:t xml:space="preserve"> </w:t>
      </w:r>
      <w:r>
        <w:rPr>
          <w:snapToGrid/>
          <w:szCs w:val="21"/>
          <w:lang w:val="en-GB"/>
        </w:rPr>
        <w:t>根据《土库曼斯坦劳动法典》第</w:t>
      </w:r>
      <w:r>
        <w:rPr>
          <w:snapToGrid/>
          <w:szCs w:val="21"/>
          <w:lang w:val="en-GB"/>
        </w:rPr>
        <w:t>250</w:t>
      </w:r>
      <w:r>
        <w:rPr>
          <w:snapToGrid/>
          <w:szCs w:val="21"/>
          <w:lang w:val="en-GB"/>
        </w:rPr>
        <w:t>条，以下机构负责监督劳动立法与劳动保护条例的执行情况：</w:t>
      </w:r>
    </w:p>
    <w:p w:rsidR="00A93F62" w:rsidRDefault="00A93F62">
      <w:pPr>
        <w:pStyle w:val="Bullet1GC"/>
        <w:numPr>
          <w:ilvl w:val="0"/>
          <w:numId w:val="14"/>
        </w:numPr>
        <w:rPr>
          <w:snapToGrid/>
          <w:lang w:val="en-GB"/>
        </w:rPr>
      </w:pPr>
      <w:r>
        <w:rPr>
          <w:snapToGrid/>
          <w:lang w:val="en-GB"/>
        </w:rPr>
        <w:t>被专门授权的国家机构和监察机关，其活动不受企业领导及其上级机关的影响；</w:t>
      </w:r>
    </w:p>
    <w:p w:rsidR="00A93F62" w:rsidRDefault="00A93F62">
      <w:pPr>
        <w:pStyle w:val="Bullet1GC"/>
        <w:numPr>
          <w:ilvl w:val="0"/>
          <w:numId w:val="14"/>
        </w:numPr>
        <w:rPr>
          <w:snapToGrid/>
          <w:lang w:val="en-GB"/>
        </w:rPr>
      </w:pPr>
      <w:r>
        <w:rPr>
          <w:snapToGrid/>
          <w:lang w:val="en-GB"/>
        </w:rPr>
        <w:t>工会，以及负责其执行的劳动技术监督与法律监察机构。</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96. </w:t>
      </w:r>
      <w:r>
        <w:rPr>
          <w:rFonts w:hint="eastAsia"/>
          <w:snapToGrid/>
          <w:szCs w:val="21"/>
          <w:lang w:val="en-GB"/>
        </w:rPr>
        <w:t xml:space="preserve"> </w:t>
      </w:r>
      <w:r>
        <w:rPr>
          <w:snapToGrid/>
          <w:szCs w:val="21"/>
          <w:lang w:val="en-GB"/>
        </w:rPr>
        <w:t>《土库曼斯坦教育法》规定，教育作为人类社会精神、社会、经济和文化进步的基础，成为国家优先发展的领域。以国家和全人类价值观为基础的人的全面发展，是其最终目的。相关法律致力于保障和保护公民受教育的宪法权利。土库曼斯坦的教育建立在人道主义、民主、民族自觉、人与各民族间相互尊重的初级阶段。《土库曼斯坦教育法》第</w:t>
      </w:r>
      <w:r>
        <w:rPr>
          <w:snapToGrid/>
          <w:szCs w:val="21"/>
          <w:lang w:val="en-GB"/>
        </w:rPr>
        <w:t>3</w:t>
      </w:r>
      <w:r>
        <w:rPr>
          <w:snapToGrid/>
          <w:szCs w:val="21"/>
          <w:lang w:val="en-GB"/>
        </w:rPr>
        <w:t>条规定，国家为每个公民提供各种的所有形式与类型的教育，适用于每个公民，这是国家教育的主要原则之一。土库曼斯坦公民可以根据其天赋、兴趣、才能，获得各种所有等级的专业教育。法律制定了统一的教育体系结构，包括职业教育、技能提高、人才进修。从童年时代起，教育体系以最直接的方式，与居民劳动培训方面的劳动市场与居民就业建立联系。学前教育大纲在一定程度上规定了最初的劳动教育考试。不论其种族、肤色、民族，人人平等精神的培养，是土库曼斯坦整个教育结构的特点，从学前教育机构</w:t>
      </w:r>
      <w:r>
        <w:rPr>
          <w:snapToGrid/>
          <w:szCs w:val="21"/>
          <w:lang w:val="en-GB"/>
        </w:rPr>
        <w:t>(</w:t>
      </w:r>
      <w:r>
        <w:rPr>
          <w:snapToGrid/>
          <w:szCs w:val="21"/>
          <w:lang w:val="en-GB"/>
        </w:rPr>
        <w:t>托儿所与幼儿园</w:t>
      </w:r>
      <w:r>
        <w:rPr>
          <w:snapToGrid/>
          <w:szCs w:val="21"/>
          <w:lang w:val="en-GB"/>
        </w:rPr>
        <w:t>)</w:t>
      </w:r>
      <w:r>
        <w:rPr>
          <w:snapToGrid/>
          <w:szCs w:val="21"/>
          <w:lang w:val="en-GB"/>
        </w:rPr>
        <w:t>到高校。在学前机构学习土库曼斯坦语、俄语和英语。根据大纲，使其具有权利平等素养，不论任何社会、财产状况、人种和民族。他们在以后的教育体系结构，包括职业教育中得到进一步发展。职业教育是培训工人技师的教育体系的主要结构。</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97. </w:t>
      </w:r>
      <w:r>
        <w:rPr>
          <w:rFonts w:hint="eastAsia"/>
          <w:snapToGrid/>
          <w:szCs w:val="21"/>
          <w:lang w:val="en-GB"/>
        </w:rPr>
        <w:t xml:space="preserve"> </w:t>
      </w:r>
      <w:r>
        <w:rPr>
          <w:snapToGrid/>
          <w:szCs w:val="21"/>
          <w:lang w:val="en-GB"/>
        </w:rPr>
        <w:t>独立后，职业教育体系发生了根本变革。《土库曼斯坦教育法》第</w:t>
      </w:r>
      <w:r>
        <w:rPr>
          <w:snapToGrid/>
          <w:szCs w:val="21"/>
          <w:lang w:val="en-GB"/>
        </w:rPr>
        <w:t>14</w:t>
      </w:r>
      <w:r>
        <w:rPr>
          <w:snapToGrid/>
          <w:szCs w:val="21"/>
          <w:lang w:val="en-GB"/>
        </w:rPr>
        <w:t>条指出：</w:t>
      </w:r>
      <w:r>
        <w:rPr>
          <w:snapToGrid/>
          <w:szCs w:val="21"/>
          <w:lang w:val="en-GB"/>
        </w:rPr>
        <w:t>“</w:t>
      </w:r>
      <w:r>
        <w:rPr>
          <w:snapToGrid/>
          <w:szCs w:val="21"/>
          <w:lang w:val="en-GB"/>
        </w:rPr>
        <w:t>根据其天赋、兴趣、才能，职业教育保证土库曼斯坦公民获得职业</w:t>
      </w:r>
      <w:r>
        <w:rPr>
          <w:snapToGrid/>
          <w:szCs w:val="21"/>
          <w:lang w:val="en-GB"/>
        </w:rPr>
        <w:t>(</w:t>
      </w:r>
      <w:r>
        <w:rPr>
          <w:snapToGrid/>
          <w:szCs w:val="21"/>
          <w:lang w:val="en-GB"/>
        </w:rPr>
        <w:t>专业</w:t>
      </w:r>
      <w:r>
        <w:rPr>
          <w:snapToGrid/>
          <w:szCs w:val="21"/>
          <w:lang w:val="en-GB"/>
        </w:rPr>
        <w:t>)</w:t>
      </w:r>
      <w:r>
        <w:rPr>
          <w:snapToGrid/>
          <w:szCs w:val="21"/>
          <w:lang w:val="en-GB"/>
        </w:rPr>
        <w:t>。职业教育在以普通中等教育为基础的各类职业学校施行</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98. </w:t>
      </w:r>
      <w:r>
        <w:rPr>
          <w:rFonts w:hint="eastAsia"/>
          <w:snapToGrid/>
          <w:szCs w:val="21"/>
          <w:lang w:val="en-GB"/>
        </w:rPr>
        <w:t xml:space="preserve"> </w:t>
      </w:r>
      <w:r>
        <w:rPr>
          <w:snapToGrid/>
          <w:szCs w:val="21"/>
          <w:lang w:val="en-GB"/>
        </w:rPr>
        <w:t>土库曼斯坦进行专业人员培训的有</w:t>
      </w:r>
      <w:r>
        <w:rPr>
          <w:snapToGrid/>
          <w:szCs w:val="21"/>
          <w:lang w:val="en-GB"/>
        </w:rPr>
        <w:t>18</w:t>
      </w:r>
      <w:r>
        <w:rPr>
          <w:snapToGrid/>
          <w:szCs w:val="21"/>
          <w:lang w:val="en-GB"/>
        </w:rPr>
        <w:t>所高等学府，其中有</w:t>
      </w:r>
      <w:r>
        <w:rPr>
          <w:snapToGrid/>
          <w:szCs w:val="21"/>
          <w:lang w:val="en-GB"/>
        </w:rPr>
        <w:t>9</w:t>
      </w:r>
      <w:r>
        <w:rPr>
          <w:snapToGrid/>
          <w:szCs w:val="21"/>
          <w:lang w:val="en-GB"/>
        </w:rPr>
        <w:t>所是在独立后设立的，</w:t>
      </w:r>
      <w:r>
        <w:rPr>
          <w:snapToGrid/>
          <w:szCs w:val="21"/>
          <w:lang w:val="en-GB"/>
        </w:rPr>
        <w:t>18</w:t>
      </w:r>
      <w:r>
        <w:rPr>
          <w:snapToGrid/>
          <w:szCs w:val="21"/>
          <w:lang w:val="en-GB"/>
        </w:rPr>
        <w:t>所中等技术培训学校和</w:t>
      </w:r>
      <w:r>
        <w:rPr>
          <w:snapToGrid/>
          <w:szCs w:val="21"/>
          <w:lang w:val="en-GB"/>
        </w:rPr>
        <w:t>131</w:t>
      </w:r>
      <w:r>
        <w:rPr>
          <w:snapToGrid/>
          <w:szCs w:val="21"/>
          <w:lang w:val="en-GB"/>
        </w:rPr>
        <w:t>所职业学校。</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99. </w:t>
      </w:r>
      <w:r>
        <w:rPr>
          <w:rFonts w:hint="eastAsia"/>
          <w:snapToGrid/>
          <w:szCs w:val="21"/>
          <w:lang w:val="en-GB"/>
        </w:rPr>
        <w:t xml:space="preserve"> </w:t>
      </w:r>
      <w:r>
        <w:rPr>
          <w:snapToGrid/>
          <w:szCs w:val="21"/>
          <w:lang w:val="en-GB"/>
        </w:rPr>
        <w:t>职业学校是专业培训学校的一种。土库曼斯坦工人干部的培训工作在初等职业学校、以及直接在生产中完成。全国初等职业学校接收了</w:t>
      </w:r>
      <w:r>
        <w:rPr>
          <w:snapToGrid/>
          <w:szCs w:val="21"/>
          <w:lang w:val="en-GB"/>
        </w:rPr>
        <w:t>2.5</w:t>
      </w:r>
      <w:r>
        <w:rPr>
          <w:snapToGrid/>
          <w:szCs w:val="21"/>
          <w:lang w:val="en-GB"/>
        </w:rPr>
        <w:t>万人。目前，职业中等学校隶属于相关部委、部门和地方行政机构，它们根据各部门与地区的要求，自行决定工人技术的培训规模。</w:t>
      </w:r>
    </w:p>
    <w:p w:rsidR="00A93F62" w:rsidRDefault="00A93F62">
      <w:pPr>
        <w:pStyle w:val="SingleTxtGC"/>
        <w:rPr>
          <w:snapToGrid/>
          <w:lang w:val="en-GB"/>
        </w:rPr>
      </w:pPr>
      <w:r>
        <w:rPr>
          <w:snapToGrid/>
          <w:lang w:val="en-GB"/>
        </w:rPr>
        <w:t>100.</w:t>
      </w:r>
      <w:r>
        <w:rPr>
          <w:rFonts w:hint="eastAsia"/>
          <w:snapToGrid/>
          <w:lang w:val="en-GB"/>
        </w:rPr>
        <w:t xml:space="preserve">  </w:t>
      </w:r>
      <w:r>
        <w:rPr>
          <w:snapToGrid/>
          <w:lang w:val="en-GB"/>
        </w:rPr>
        <w:t>依靠直接在生产和训练班中培训熟练劳动，来保证企业和单位对熟练劳工的需求。</w:t>
      </w:r>
      <w:r>
        <w:rPr>
          <w:snapToGrid/>
          <w:lang w:val="en-GB"/>
        </w:rPr>
        <w:t>2007</w:t>
      </w:r>
      <w:r>
        <w:rPr>
          <w:snapToGrid/>
          <w:lang w:val="en-GB"/>
        </w:rPr>
        <w:t>年，有</w:t>
      </w:r>
      <w:r>
        <w:rPr>
          <w:snapToGrid/>
          <w:lang w:val="en-GB"/>
        </w:rPr>
        <w:t>31 300</w:t>
      </w:r>
      <w:r>
        <w:rPr>
          <w:snapToGrid/>
          <w:lang w:val="en-GB"/>
        </w:rPr>
        <w:t>名劳动者</w:t>
      </w:r>
      <w:r>
        <w:rPr>
          <w:snapToGrid/>
          <w:lang w:val="en-GB"/>
        </w:rPr>
        <w:t>(</w:t>
      </w:r>
      <w:r>
        <w:rPr>
          <w:snapToGrid/>
          <w:lang w:val="en-GB"/>
        </w:rPr>
        <w:t>其中有</w:t>
      </w:r>
      <w:r>
        <w:rPr>
          <w:snapToGrid/>
          <w:lang w:val="en-GB"/>
        </w:rPr>
        <w:t>15 500</w:t>
      </w:r>
      <w:r>
        <w:rPr>
          <w:snapToGrid/>
          <w:lang w:val="en-GB"/>
        </w:rPr>
        <w:t>名工人</w:t>
      </w:r>
      <w:r>
        <w:rPr>
          <w:snapToGrid/>
          <w:lang w:val="en-GB"/>
        </w:rPr>
        <w:t>)</w:t>
      </w:r>
      <w:r>
        <w:rPr>
          <w:snapToGrid/>
          <w:lang w:val="en-GB"/>
        </w:rPr>
        <w:t>，在国营企业里提高了技能水平，或通过了职业培训。根据</w:t>
      </w:r>
      <w:smartTag w:uri="urn:schemas-microsoft-com:office:smarttags" w:element="chsdate">
        <w:smartTagPr>
          <w:attr w:name="IsROCDate" w:val="False"/>
          <w:attr w:name="IsLunarDate" w:val="False"/>
          <w:attr w:name="Day" w:val="5"/>
          <w:attr w:name="Month" w:val="8"/>
          <w:attr w:name="Year" w:val="1997"/>
        </w:smartTagPr>
        <w:r>
          <w:rPr>
            <w:snapToGrid/>
            <w:lang w:val="en-GB"/>
          </w:rPr>
          <w:t>1997</w:t>
        </w:r>
        <w:r>
          <w:rPr>
            <w:snapToGrid/>
            <w:lang w:val="en-GB"/>
          </w:rPr>
          <w:t>年</w:t>
        </w:r>
        <w:r>
          <w:rPr>
            <w:snapToGrid/>
            <w:lang w:val="en-GB"/>
          </w:rPr>
          <w:t>8</w:t>
        </w:r>
        <w:r>
          <w:rPr>
            <w:snapToGrid/>
            <w:lang w:val="en-GB"/>
          </w:rPr>
          <w:t>月</w:t>
        </w:r>
        <w:r>
          <w:rPr>
            <w:snapToGrid/>
            <w:lang w:val="en-GB"/>
          </w:rPr>
          <w:t>5</w:t>
        </w:r>
        <w:r>
          <w:rPr>
            <w:snapToGrid/>
            <w:lang w:val="en-GB"/>
          </w:rPr>
          <w:t>日</w:t>
        </w:r>
      </w:smartTag>
      <w:r>
        <w:rPr>
          <w:snapToGrid/>
          <w:lang w:val="en-GB"/>
        </w:rPr>
        <w:t>第</w:t>
      </w:r>
      <w:r>
        <w:rPr>
          <w:snapToGrid/>
          <w:lang w:val="en-GB"/>
        </w:rPr>
        <w:t>3281</w:t>
      </w:r>
      <w:r>
        <w:rPr>
          <w:snapToGrid/>
          <w:lang w:val="en-GB"/>
        </w:rPr>
        <w:t>号土库曼斯坦总统令，委托土库曼斯坦教育部、各地区和阿什哈巴德市的地方行政当局，会同各部委与部门一起，组织定期培训班，对普通教育学校的毕业生进行职业培训。还举办了劳动市场无业公民的职业培训。</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101.</w:t>
      </w:r>
      <w:r>
        <w:rPr>
          <w:rFonts w:hint="eastAsia"/>
          <w:snapToGrid/>
          <w:szCs w:val="21"/>
          <w:lang w:val="en-GB"/>
        </w:rPr>
        <w:t xml:space="preserve">  </w:t>
      </w:r>
      <w:r>
        <w:rPr>
          <w:snapToGrid/>
          <w:szCs w:val="21"/>
          <w:lang w:val="en-GB"/>
        </w:rPr>
        <w:t>根据《土库曼斯坦公民就业法》第</w:t>
      </w:r>
      <w:r>
        <w:rPr>
          <w:snapToGrid/>
          <w:szCs w:val="21"/>
          <w:lang w:val="en-GB"/>
        </w:rPr>
        <w:t>22</w:t>
      </w:r>
      <w:r>
        <w:rPr>
          <w:snapToGrid/>
          <w:szCs w:val="21"/>
          <w:lang w:val="en-GB"/>
        </w:rPr>
        <w:t>条规定，以下情况，在就业服务部门登记的求职人员可以得到职业培训、进修和技能提高机会：</w:t>
      </w:r>
    </w:p>
    <w:p w:rsidR="00A93F62" w:rsidRDefault="00A93F62">
      <w:pPr>
        <w:pStyle w:val="Bullet1GC"/>
        <w:numPr>
          <w:ilvl w:val="0"/>
          <w:numId w:val="14"/>
        </w:numPr>
        <w:rPr>
          <w:snapToGrid/>
          <w:lang w:val="en-GB"/>
        </w:rPr>
      </w:pPr>
      <w:r>
        <w:rPr>
          <w:snapToGrid/>
          <w:lang w:val="en-GB"/>
        </w:rPr>
        <w:t>该公民由于未经过职业培训或缺乏必要的从业资格，不能选到合适的工作；</w:t>
      </w:r>
    </w:p>
    <w:p w:rsidR="00A93F62" w:rsidRDefault="00A93F62">
      <w:pPr>
        <w:pStyle w:val="Bullet1GC"/>
        <w:numPr>
          <w:ilvl w:val="0"/>
          <w:numId w:val="14"/>
        </w:numPr>
        <w:rPr>
          <w:snapToGrid/>
          <w:lang w:val="en-GB"/>
        </w:rPr>
      </w:pPr>
      <w:r>
        <w:rPr>
          <w:snapToGrid/>
          <w:lang w:val="en-GB"/>
        </w:rPr>
        <w:t>由于没有工作符合公民现有的职业技能，必须改变职业</w:t>
      </w:r>
      <w:r>
        <w:rPr>
          <w:snapToGrid/>
          <w:lang w:val="en-GB"/>
        </w:rPr>
        <w:t>(</w:t>
      </w:r>
      <w:r>
        <w:rPr>
          <w:snapToGrid/>
          <w:lang w:val="en-GB"/>
        </w:rPr>
        <w:t>技能</w:t>
      </w:r>
      <w:r>
        <w:rPr>
          <w:snapToGrid/>
          <w:lang w:val="en-GB"/>
        </w:rPr>
        <w:t>)</w:t>
      </w:r>
      <w:r>
        <w:rPr>
          <w:snapToGrid/>
          <w:lang w:val="en-GB"/>
        </w:rPr>
        <w:t>；</w:t>
      </w:r>
    </w:p>
    <w:p w:rsidR="00A93F62" w:rsidRDefault="00A93F62">
      <w:pPr>
        <w:pStyle w:val="Bullet1GC"/>
        <w:numPr>
          <w:ilvl w:val="0"/>
          <w:numId w:val="14"/>
        </w:numPr>
        <w:rPr>
          <w:snapToGrid/>
          <w:lang w:val="en-GB"/>
        </w:rPr>
      </w:pPr>
      <w:r>
        <w:rPr>
          <w:snapToGrid/>
          <w:lang w:val="en-GB"/>
        </w:rPr>
        <w:t>完成以前工作的能力丧失。</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szCs w:val="21"/>
          <w:lang w:val="en-GB"/>
        </w:rPr>
        <w:t>对这些人进行</w:t>
      </w:r>
      <w:bookmarkStart w:id="0" w:name="OLE_LINK1"/>
      <w:r>
        <w:rPr>
          <w:snapToGrid/>
          <w:szCs w:val="21"/>
          <w:lang w:val="en-GB"/>
        </w:rPr>
        <w:t>职业培训、再培训和提高其劳动技能</w:t>
      </w:r>
      <w:bookmarkEnd w:id="0"/>
      <w:r>
        <w:rPr>
          <w:snapToGrid/>
          <w:szCs w:val="21"/>
          <w:lang w:val="en-GB"/>
        </w:rPr>
        <w:t>是通过就业署在就业署的教学中心或其他培训机构来完成的。</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102. </w:t>
      </w:r>
      <w:r>
        <w:rPr>
          <w:rFonts w:hint="eastAsia"/>
          <w:snapToGrid/>
          <w:szCs w:val="21"/>
          <w:lang w:val="en-GB"/>
        </w:rPr>
        <w:t xml:space="preserve"> </w:t>
      </w:r>
      <w:r>
        <w:rPr>
          <w:snapToGrid/>
          <w:szCs w:val="21"/>
          <w:lang w:val="en-GB"/>
        </w:rPr>
        <w:t>通过就业署进行培训的优先权首先提供给拥有被赡养人以及有工龄的失业者，及从部队、边防军、内务部、铁路及其他兵种退役的人员。参与职业培训、再培训和提高其劳动技能的时间计入连续的总工龄时间。</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103.</w:t>
      </w:r>
      <w:r>
        <w:rPr>
          <w:rFonts w:hint="eastAsia"/>
          <w:snapToGrid/>
          <w:szCs w:val="21"/>
          <w:lang w:val="en-GB"/>
        </w:rPr>
        <w:t xml:space="preserve">  </w:t>
      </w:r>
      <w:r>
        <w:rPr>
          <w:snapToGrid/>
          <w:szCs w:val="21"/>
          <w:lang w:val="en-GB"/>
        </w:rPr>
        <w:t>土库曼斯坦的所有标准法令都禁止职业教育、劳动和学习领域的任何歧视，本报告前述条款也对此进行了说明。这个领域不存在任何歧视，实际上这是土库曼斯坦居民的生活准则。土库曼斯坦的法律未规定有任何基于人种、肤色、性别、宗教信仰、民族出身的例外与特权。</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104. </w:t>
      </w:r>
      <w:r>
        <w:rPr>
          <w:rFonts w:hint="eastAsia"/>
          <w:snapToGrid/>
          <w:szCs w:val="21"/>
          <w:lang w:val="en-GB"/>
        </w:rPr>
        <w:t xml:space="preserve"> </w:t>
      </w:r>
      <w:r>
        <w:rPr>
          <w:snapToGrid/>
          <w:szCs w:val="21"/>
          <w:lang w:val="en-GB"/>
        </w:rPr>
        <w:t>坚实的物质基础、国家经济持续稳定的发展、投资活跃、新工艺的引进，为保证工资相对于消费物价的增长提供了良好的条件。因此，工资水平大幅增长，可以保证相应生活水平的劳动报酬水平得以实现。依靠企业、单位和机关结构的优化，生产能力、劳动者生产率使用效率的提高，使土库曼斯坦的社会经济发展稳定，自</w:t>
      </w:r>
      <w:smartTag w:uri="urn:schemas-microsoft-com:office:smarttags" w:element="chsdate">
        <w:smartTagPr>
          <w:attr w:name="IsROCDate" w:val="False"/>
          <w:attr w:name="IsLunarDate" w:val="False"/>
          <w:attr w:name="Day" w:val="1"/>
          <w:attr w:name="Month" w:val="1"/>
          <w:attr w:name="Year" w:val="2009"/>
        </w:smartTagPr>
        <w:r>
          <w:rPr>
            <w:snapToGrid/>
            <w:szCs w:val="21"/>
            <w:lang w:val="en-GB"/>
          </w:rPr>
          <w:t>2009</w:t>
        </w:r>
        <w:r>
          <w:rPr>
            <w:snapToGrid/>
            <w:szCs w:val="21"/>
            <w:lang w:val="en-GB"/>
          </w:rPr>
          <w:t>年</w:t>
        </w:r>
        <w:r>
          <w:rPr>
            <w:snapToGrid/>
            <w:szCs w:val="21"/>
            <w:lang w:val="en-GB"/>
          </w:rPr>
          <w:t>1</w:t>
        </w:r>
        <w:r>
          <w:rPr>
            <w:snapToGrid/>
            <w:szCs w:val="21"/>
            <w:lang w:val="en-GB"/>
          </w:rPr>
          <w:t>月</w:t>
        </w:r>
        <w:r>
          <w:rPr>
            <w:snapToGrid/>
            <w:szCs w:val="21"/>
            <w:lang w:val="en-GB"/>
          </w:rPr>
          <w:t>1</w:t>
        </w:r>
        <w:r>
          <w:rPr>
            <w:snapToGrid/>
            <w:szCs w:val="21"/>
            <w:lang w:val="en-GB"/>
          </w:rPr>
          <w:t>日</w:t>
        </w:r>
      </w:smartTag>
      <w:r>
        <w:rPr>
          <w:snapToGrid/>
          <w:szCs w:val="21"/>
          <w:lang w:val="en-GB"/>
        </w:rPr>
        <w:t>起，所有经济领域的劳动者报酬均有所增加。根据</w:t>
      </w:r>
      <w:r>
        <w:rPr>
          <w:snapToGrid/>
          <w:color w:val="000000"/>
          <w:szCs w:val="21"/>
          <w:lang w:val="en-GB"/>
        </w:rPr>
        <w:t>《土库曼斯坦至</w:t>
      </w:r>
      <w:r>
        <w:rPr>
          <w:snapToGrid/>
          <w:color w:val="000000"/>
          <w:szCs w:val="21"/>
          <w:lang w:val="en-GB"/>
        </w:rPr>
        <w:t>2020</w:t>
      </w:r>
      <w:r>
        <w:rPr>
          <w:snapToGrid/>
          <w:color w:val="000000"/>
          <w:szCs w:val="21"/>
          <w:lang w:val="en-GB"/>
        </w:rPr>
        <w:t>年经济、政治和文化发展战略》，</w:t>
      </w:r>
      <w:r>
        <w:rPr>
          <w:snapToGrid/>
          <w:szCs w:val="21"/>
          <w:lang w:val="en-GB"/>
        </w:rPr>
        <w:t>《土库曼斯坦</w:t>
      </w:r>
      <w:r>
        <w:rPr>
          <w:snapToGrid/>
          <w:szCs w:val="21"/>
          <w:lang w:val="en-GB"/>
        </w:rPr>
        <w:t>2020</w:t>
      </w:r>
      <w:r>
        <w:rPr>
          <w:snapToGrid/>
          <w:szCs w:val="21"/>
          <w:lang w:val="en-GB"/>
        </w:rPr>
        <w:t>年经济、政治和文化发展战略》国家规划计划，保证居民生活稳定提高，每五年工资增加一倍</w:t>
      </w:r>
      <w:r>
        <w:rPr>
          <w:snapToGrid/>
          <w:szCs w:val="21"/>
          <w:lang w:val="en-GB"/>
        </w:rPr>
        <w:t>(</w:t>
      </w:r>
      <w:r>
        <w:rPr>
          <w:snapToGrid/>
          <w:szCs w:val="21"/>
          <w:lang w:val="en-GB"/>
        </w:rPr>
        <w:t>即近期加薪为</w:t>
      </w:r>
      <w:r>
        <w:rPr>
          <w:snapToGrid/>
          <w:szCs w:val="21"/>
          <w:lang w:val="en-GB"/>
        </w:rPr>
        <w:t>2010</w:t>
      </w:r>
      <w:r>
        <w:rPr>
          <w:snapToGrid/>
          <w:szCs w:val="21"/>
          <w:lang w:val="en-GB"/>
        </w:rPr>
        <w:t>年将进行最近一次加薪</w:t>
      </w:r>
      <w:r>
        <w:rPr>
          <w:snapToGrid/>
          <w:szCs w:val="21"/>
          <w:lang w:val="en-GB"/>
        </w:rPr>
        <w:t>)</w:t>
      </w:r>
      <w:r>
        <w:rPr>
          <w:snapToGrid/>
          <w:szCs w:val="21"/>
          <w:lang w:val="en-GB"/>
        </w:rPr>
        <w:t>，是国家社会政策的重要任务。通过不断提高工资，以保证居民收入及其实际薪金的增长，是国家计划的实施机制。工资在居民收入中占重要地位。工资将不断增加，以使土库曼斯坦人民的生活接近世界发达国家水平。</w:t>
      </w:r>
    </w:p>
    <w:p w:rsidR="00A93F62" w:rsidRDefault="00A93F62">
      <w:pPr>
        <w:pStyle w:val="H1GC"/>
        <w:rPr>
          <w:snapToGrid/>
          <w:szCs w:val="24"/>
          <w:lang w:val="en-GB"/>
        </w:rPr>
      </w:pPr>
      <w:r>
        <w:rPr>
          <w:rFonts w:hint="eastAsia"/>
          <w:snapToGrid/>
          <w:szCs w:val="24"/>
          <w:lang w:val="en-GB"/>
        </w:rPr>
        <w:tab/>
      </w:r>
      <w:r>
        <w:rPr>
          <w:rFonts w:hint="eastAsia"/>
          <w:snapToGrid/>
          <w:szCs w:val="24"/>
          <w:lang w:val="en-GB"/>
        </w:rPr>
        <w:tab/>
      </w:r>
      <w:r>
        <w:rPr>
          <w:snapToGrid/>
          <w:szCs w:val="24"/>
          <w:lang w:val="en-GB"/>
        </w:rPr>
        <w:t>第七条</w:t>
      </w:r>
      <w:r>
        <w:rPr>
          <w:snapToGrid/>
          <w:szCs w:val="24"/>
          <w:lang w:val="en-GB"/>
        </w:rPr>
        <w:t xml:space="preserve"> </w:t>
      </w:r>
      <w:r>
        <w:rPr>
          <w:rFonts w:hint="eastAsia"/>
          <w:snapToGrid/>
          <w:szCs w:val="24"/>
          <w:lang w:val="en-GB"/>
        </w:rPr>
        <w:br/>
      </w:r>
      <w:r>
        <w:rPr>
          <w:rFonts w:hint="eastAsia"/>
          <w:snapToGrid/>
          <w:szCs w:val="24"/>
          <w:lang w:val="en-GB"/>
        </w:rPr>
        <w:t>享受</w:t>
      </w:r>
      <w:r>
        <w:rPr>
          <w:snapToGrid/>
          <w:szCs w:val="24"/>
          <w:lang w:val="en-GB"/>
        </w:rPr>
        <w:t>公正</w:t>
      </w:r>
      <w:r>
        <w:rPr>
          <w:rFonts w:hint="eastAsia"/>
          <w:snapToGrid/>
          <w:szCs w:val="24"/>
          <w:lang w:val="en-GB"/>
        </w:rPr>
        <w:t>和</w:t>
      </w:r>
      <w:r>
        <w:rPr>
          <w:snapToGrid/>
          <w:szCs w:val="24"/>
          <w:lang w:val="en-GB"/>
        </w:rPr>
        <w:t>良好</w:t>
      </w:r>
      <w:r>
        <w:rPr>
          <w:rFonts w:hint="eastAsia"/>
          <w:snapToGrid/>
          <w:szCs w:val="24"/>
          <w:lang w:val="en-GB"/>
        </w:rPr>
        <w:t>的工作</w:t>
      </w:r>
      <w:r>
        <w:rPr>
          <w:snapToGrid/>
          <w:szCs w:val="24"/>
          <w:lang w:val="en-GB"/>
        </w:rPr>
        <w:t>条件的权利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105.</w:t>
      </w:r>
      <w:r>
        <w:rPr>
          <w:rFonts w:hint="eastAsia"/>
          <w:snapToGrid/>
          <w:szCs w:val="21"/>
          <w:lang w:val="en-GB"/>
        </w:rPr>
        <w:t xml:space="preserve">  </w:t>
      </w:r>
      <w:r>
        <w:rPr>
          <w:snapToGrid/>
          <w:szCs w:val="21"/>
          <w:lang w:val="en-GB"/>
        </w:rPr>
        <w:t>根据《宪法》第</w:t>
      </w:r>
      <w:r>
        <w:rPr>
          <w:snapToGrid/>
          <w:szCs w:val="21"/>
          <w:lang w:val="en-GB"/>
        </w:rPr>
        <w:t>33</w:t>
      </w:r>
      <w:r>
        <w:rPr>
          <w:snapToGrid/>
          <w:szCs w:val="21"/>
          <w:lang w:val="en-GB"/>
        </w:rPr>
        <w:t>条第</w:t>
      </w:r>
      <w:r>
        <w:rPr>
          <w:snapToGrid/>
          <w:szCs w:val="21"/>
          <w:lang w:val="en-GB"/>
        </w:rPr>
        <w:t>2</w:t>
      </w:r>
      <w:r>
        <w:rPr>
          <w:snapToGrid/>
          <w:szCs w:val="21"/>
          <w:lang w:val="en-GB"/>
        </w:rPr>
        <w:t>款，在土库曼斯坦，受雇者有权得到与劳动的数量和质量相符合的报酬，这种报酬不能低于国家规定的最低生活费。</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106. </w:t>
      </w:r>
      <w:r>
        <w:rPr>
          <w:rFonts w:hint="eastAsia"/>
          <w:snapToGrid/>
          <w:szCs w:val="21"/>
          <w:lang w:val="en-GB"/>
        </w:rPr>
        <w:t xml:space="preserve"> </w:t>
      </w:r>
      <w:r>
        <w:rPr>
          <w:snapToGrid/>
          <w:szCs w:val="21"/>
          <w:lang w:val="en-GB"/>
        </w:rPr>
        <w:t>《土库曼斯坦劳动法典》</w:t>
      </w:r>
      <w:r>
        <w:rPr>
          <w:snapToGrid/>
          <w:szCs w:val="21"/>
          <w:lang w:val="en-GB"/>
        </w:rPr>
        <w:t>(</w:t>
      </w:r>
      <w:r>
        <w:rPr>
          <w:snapToGrid/>
          <w:szCs w:val="21"/>
          <w:lang w:val="en-GB"/>
        </w:rPr>
        <w:t>第</w:t>
      </w:r>
      <w:r>
        <w:rPr>
          <w:snapToGrid/>
          <w:szCs w:val="21"/>
          <w:lang w:val="en-GB"/>
        </w:rPr>
        <w:t>78</w:t>
      </w:r>
      <w:r>
        <w:rPr>
          <w:snapToGrid/>
          <w:szCs w:val="21"/>
          <w:lang w:val="en-GB"/>
        </w:rPr>
        <w:t>条</w:t>
      </w:r>
      <w:r>
        <w:rPr>
          <w:snapToGrid/>
          <w:szCs w:val="21"/>
          <w:lang w:val="en-GB"/>
        </w:rPr>
        <w:t>)</w:t>
      </w:r>
      <w:r>
        <w:rPr>
          <w:snapToGrid/>
          <w:szCs w:val="21"/>
          <w:lang w:val="en-GB"/>
        </w:rPr>
        <w:t>规定，每个劳动者的工资，都与其个人劳动贡献、劳动质量有关，最高工资额度无上限。禁止由于性别、年龄、人种、民族、宗教信仰、所在社会团体的原因，降低工资额度。</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107. </w:t>
      </w:r>
      <w:r>
        <w:rPr>
          <w:rFonts w:hint="eastAsia"/>
          <w:snapToGrid/>
          <w:szCs w:val="21"/>
          <w:lang w:val="en-GB"/>
        </w:rPr>
        <w:t xml:space="preserve"> </w:t>
      </w:r>
      <w:r>
        <w:rPr>
          <w:snapToGrid/>
          <w:szCs w:val="21"/>
          <w:lang w:val="en-GB"/>
        </w:rPr>
        <w:t>根据土库曼斯坦法律，雇主应为劳动者提供健康、安全的劳动条件，采用新设施与工艺，遵守卫生保健的标准与劳动保护的要求。</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108.</w:t>
      </w:r>
      <w:r>
        <w:rPr>
          <w:rFonts w:hint="eastAsia"/>
          <w:snapToGrid/>
          <w:szCs w:val="21"/>
          <w:lang w:val="en-GB"/>
        </w:rPr>
        <w:t xml:space="preserve">  </w:t>
      </w:r>
      <w:r>
        <w:rPr>
          <w:snapToGrid/>
          <w:szCs w:val="21"/>
          <w:lang w:val="en-GB"/>
        </w:rPr>
        <w:t>劳动合同、契约的条款应符合劳动保护立法的要求。劳动合同、契约中，应说明工作岗位的准确特点，包括有害或危险的生产因素，以及对繁重劳动，在有害或危险劳动条件下工作的优惠与补偿金额度。</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109.</w:t>
      </w:r>
      <w:r>
        <w:rPr>
          <w:rFonts w:hint="eastAsia"/>
          <w:snapToGrid/>
          <w:szCs w:val="21"/>
          <w:lang w:val="en-GB"/>
        </w:rPr>
        <w:t xml:space="preserve">  </w:t>
      </w:r>
      <w:r>
        <w:rPr>
          <w:snapToGrid/>
          <w:szCs w:val="21"/>
          <w:lang w:val="en-GB"/>
        </w:rPr>
        <w:t>管理者</w:t>
      </w:r>
      <w:r>
        <w:rPr>
          <w:snapToGrid/>
          <w:szCs w:val="21"/>
          <w:lang w:val="en-GB"/>
        </w:rPr>
        <w:t>(</w:t>
      </w:r>
      <w:r>
        <w:rPr>
          <w:snapToGrid/>
          <w:szCs w:val="21"/>
          <w:lang w:val="en-GB"/>
        </w:rPr>
        <w:t>雇主</w:t>
      </w:r>
      <w:r>
        <w:rPr>
          <w:snapToGrid/>
          <w:szCs w:val="21"/>
          <w:lang w:val="en-GB"/>
        </w:rPr>
        <w:t>)</w:t>
      </w:r>
      <w:r>
        <w:rPr>
          <w:snapToGrid/>
          <w:szCs w:val="21"/>
          <w:lang w:val="en-GB"/>
        </w:rPr>
        <w:t>应采用现代化的劳动保护设施，保障劳动条件能够符合安全与卫生要求，防止工伤和职业病。如劳动条件不符合标准要求，或未能保障劳动者必要的个人防护设施，劳动者有权拒绝工作，直到工作岗位符合劳动保护标准的要求。如果劳动合同、契约未另作规定，劳动者由于劳动条件不良或危险而拒绝工作，不应追究其责任。由于管理者</w:t>
      </w:r>
      <w:r>
        <w:rPr>
          <w:snapToGrid/>
          <w:szCs w:val="21"/>
          <w:lang w:val="en-GB"/>
        </w:rPr>
        <w:t>(</w:t>
      </w:r>
      <w:r>
        <w:rPr>
          <w:snapToGrid/>
          <w:szCs w:val="21"/>
          <w:lang w:val="en-GB"/>
        </w:rPr>
        <w:t>雇主</w:t>
      </w:r>
      <w:r>
        <w:rPr>
          <w:snapToGrid/>
          <w:szCs w:val="21"/>
          <w:lang w:val="en-GB"/>
        </w:rPr>
        <w:t>)</w:t>
      </w:r>
      <w:r>
        <w:rPr>
          <w:snapToGrid/>
          <w:szCs w:val="21"/>
          <w:lang w:val="en-GB"/>
        </w:rPr>
        <w:t>的过失造成的被迫停工期间，劳动者的岗位</w:t>
      </w:r>
      <w:r>
        <w:rPr>
          <w:snapToGrid/>
          <w:szCs w:val="21"/>
          <w:lang w:val="en-GB"/>
        </w:rPr>
        <w:t>(</w:t>
      </w:r>
      <w:r>
        <w:rPr>
          <w:snapToGrid/>
          <w:szCs w:val="21"/>
          <w:lang w:val="en-GB"/>
        </w:rPr>
        <w:t>职务</w:t>
      </w:r>
      <w:r>
        <w:rPr>
          <w:snapToGrid/>
          <w:szCs w:val="21"/>
          <w:lang w:val="en-GB"/>
        </w:rPr>
        <w:t>)</w:t>
      </w:r>
      <w:r>
        <w:rPr>
          <w:snapToGrid/>
          <w:szCs w:val="21"/>
          <w:lang w:val="en-GB"/>
        </w:rPr>
        <w:t>与平均工资继续保留。</w:t>
      </w:r>
    </w:p>
    <w:p w:rsidR="00A93F62" w:rsidRDefault="00A93F62">
      <w:pPr>
        <w:tabs>
          <w:tab w:val="clear" w:pos="431"/>
        </w:tabs>
        <w:suppressAutoHyphens/>
        <w:overflowPunct/>
        <w:adjustRightInd/>
        <w:snapToGrid/>
        <w:spacing w:after="120" w:line="320" w:lineRule="atLeast"/>
        <w:ind w:left="1134" w:right="1134"/>
        <w:rPr>
          <w:rFonts w:hint="eastAsia"/>
          <w:snapToGrid/>
          <w:szCs w:val="21"/>
          <w:lang w:val="en-GB"/>
        </w:rPr>
      </w:pPr>
      <w:r>
        <w:rPr>
          <w:snapToGrid/>
          <w:szCs w:val="21"/>
          <w:lang w:val="en-GB"/>
        </w:rPr>
        <w:t>110.</w:t>
      </w:r>
      <w:r>
        <w:rPr>
          <w:rFonts w:hint="eastAsia"/>
          <w:snapToGrid/>
          <w:szCs w:val="21"/>
          <w:lang w:val="en-GB"/>
        </w:rPr>
        <w:t xml:space="preserve">  </w:t>
      </w:r>
      <w:r>
        <w:rPr>
          <w:snapToGrid/>
          <w:szCs w:val="21"/>
          <w:lang w:val="en-GB"/>
        </w:rPr>
        <w:t>国家公职人员和公务员在行使权力时，有权根据忠实履行自己职责的业务水平、职业素养、才能，在职务上提升。薪水、津贴以及工作业绩奖金，构成了国家公务员的薪资。</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111.</w:t>
      </w:r>
      <w:r>
        <w:rPr>
          <w:rFonts w:hint="eastAsia"/>
          <w:snapToGrid/>
          <w:szCs w:val="21"/>
          <w:lang w:val="en-GB"/>
        </w:rPr>
        <w:t xml:space="preserve">  </w:t>
      </w:r>
      <w:r>
        <w:rPr>
          <w:snapToGrid/>
          <w:szCs w:val="21"/>
          <w:lang w:val="en-GB"/>
        </w:rPr>
        <w:t>根据国家或工作需要，考虑到领导与组织工作的经验，业务水平和职业培训，进行国家公职人员和公务员的职务调动。</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112.</w:t>
      </w:r>
      <w:r>
        <w:rPr>
          <w:rFonts w:hint="eastAsia"/>
          <w:snapToGrid/>
          <w:szCs w:val="21"/>
          <w:lang w:val="en-GB"/>
        </w:rPr>
        <w:t xml:space="preserve">  </w:t>
      </w:r>
      <w:r>
        <w:rPr>
          <w:snapToGrid/>
          <w:szCs w:val="21"/>
          <w:lang w:val="en-GB"/>
        </w:rPr>
        <w:t>根据《土库曼斯坦劳动法典》第</w:t>
      </w:r>
      <w:r>
        <w:rPr>
          <w:snapToGrid/>
          <w:szCs w:val="21"/>
          <w:lang w:val="en-GB"/>
        </w:rPr>
        <w:t>45</w:t>
      </w:r>
      <w:r>
        <w:rPr>
          <w:snapToGrid/>
          <w:szCs w:val="21"/>
          <w:lang w:val="en-GB"/>
        </w:rPr>
        <w:t>条，劳动者在企业的正常工作时间，每周不应超过</w:t>
      </w:r>
      <w:r>
        <w:rPr>
          <w:snapToGrid/>
          <w:szCs w:val="21"/>
          <w:lang w:val="en-GB"/>
        </w:rPr>
        <w:t>40</w:t>
      </w:r>
      <w:r>
        <w:rPr>
          <w:snapToGrid/>
          <w:szCs w:val="21"/>
          <w:lang w:val="en-GB"/>
        </w:rPr>
        <w:t>小时。《土库曼斯坦劳动法典》第</w:t>
      </w:r>
      <w:r>
        <w:rPr>
          <w:snapToGrid/>
          <w:szCs w:val="21"/>
          <w:lang w:val="en-GB"/>
        </w:rPr>
        <w:t>46</w:t>
      </w:r>
      <w:r>
        <w:rPr>
          <w:snapToGrid/>
          <w:szCs w:val="21"/>
          <w:lang w:val="en-GB"/>
        </w:rPr>
        <w:t>条规定，缩短以下人员的工作时间：</w:t>
      </w:r>
      <w:r>
        <w:rPr>
          <w:snapToGrid/>
          <w:szCs w:val="21"/>
          <w:lang w:val="en-GB"/>
        </w:rPr>
        <w:t>16-18</w:t>
      </w:r>
      <w:r>
        <w:rPr>
          <w:snapToGrid/>
          <w:szCs w:val="21"/>
          <w:lang w:val="en-GB"/>
        </w:rPr>
        <w:t>岁的劳动者</w:t>
      </w:r>
      <w:r>
        <w:rPr>
          <w:rFonts w:hint="eastAsia"/>
          <w:snapToGrid/>
          <w:spacing w:val="-50"/>
          <w:szCs w:val="21"/>
          <w:lang w:val="en-GB"/>
        </w:rPr>
        <w:t>―</w:t>
      </w:r>
      <w:r>
        <w:rPr>
          <w:rFonts w:hint="eastAsia"/>
          <w:snapToGrid/>
          <w:szCs w:val="21"/>
          <w:lang w:val="en-GB"/>
        </w:rPr>
        <w:t>―</w:t>
      </w:r>
      <w:r>
        <w:rPr>
          <w:snapToGrid/>
          <w:szCs w:val="21"/>
          <w:lang w:val="en-GB"/>
        </w:rPr>
        <w:t>每周工作</w:t>
      </w:r>
      <w:r>
        <w:rPr>
          <w:snapToGrid/>
          <w:szCs w:val="21"/>
          <w:lang w:val="en-GB"/>
        </w:rPr>
        <w:t>36</w:t>
      </w:r>
      <w:r>
        <w:rPr>
          <w:snapToGrid/>
          <w:szCs w:val="21"/>
          <w:lang w:val="en-GB"/>
        </w:rPr>
        <w:t>小时，</w:t>
      </w:r>
      <w:r>
        <w:rPr>
          <w:snapToGrid/>
          <w:szCs w:val="21"/>
          <w:lang w:val="en-GB"/>
        </w:rPr>
        <w:t>15-16</w:t>
      </w:r>
      <w:r>
        <w:rPr>
          <w:snapToGrid/>
          <w:szCs w:val="21"/>
          <w:lang w:val="en-GB"/>
        </w:rPr>
        <w:t>岁的人员</w:t>
      </w:r>
      <w:r>
        <w:rPr>
          <w:snapToGrid/>
          <w:szCs w:val="21"/>
          <w:lang w:val="en-GB"/>
        </w:rPr>
        <w:t>(</w:t>
      </w:r>
      <w:r>
        <w:rPr>
          <w:snapToGrid/>
          <w:szCs w:val="21"/>
          <w:lang w:val="en-GB"/>
        </w:rPr>
        <w:t>假期打工的学生为</w:t>
      </w:r>
      <w:r>
        <w:rPr>
          <w:snapToGrid/>
          <w:szCs w:val="21"/>
          <w:lang w:val="en-GB"/>
        </w:rPr>
        <w:t>14-15</w:t>
      </w:r>
      <w:r>
        <w:rPr>
          <w:snapToGrid/>
          <w:szCs w:val="21"/>
          <w:lang w:val="en-GB"/>
        </w:rPr>
        <w:t>岁</w:t>
      </w:r>
      <w:r>
        <w:rPr>
          <w:snapToGrid/>
          <w:szCs w:val="21"/>
          <w:lang w:val="en-GB"/>
        </w:rPr>
        <w:t>(</w:t>
      </w:r>
      <w:r>
        <w:rPr>
          <w:snapToGrid/>
          <w:szCs w:val="21"/>
          <w:lang w:val="en-GB"/>
        </w:rPr>
        <w:t>第</w:t>
      </w:r>
      <w:r>
        <w:rPr>
          <w:snapToGrid/>
          <w:szCs w:val="21"/>
          <w:lang w:val="en-GB"/>
        </w:rPr>
        <w:t>179</w:t>
      </w:r>
      <w:r>
        <w:rPr>
          <w:snapToGrid/>
          <w:szCs w:val="21"/>
          <w:lang w:val="en-GB"/>
        </w:rPr>
        <w:t>条</w:t>
      </w:r>
      <w:r>
        <w:rPr>
          <w:snapToGrid/>
          <w:szCs w:val="21"/>
          <w:lang w:val="en-GB"/>
        </w:rPr>
        <w:t>))</w:t>
      </w:r>
      <w:r>
        <w:rPr>
          <w:rFonts w:hint="eastAsia"/>
          <w:snapToGrid/>
          <w:spacing w:val="-50"/>
          <w:szCs w:val="21"/>
          <w:lang w:val="en-GB"/>
        </w:rPr>
        <w:t xml:space="preserve"> </w:t>
      </w:r>
      <w:r>
        <w:rPr>
          <w:rFonts w:hint="eastAsia"/>
          <w:snapToGrid/>
          <w:spacing w:val="-50"/>
          <w:szCs w:val="21"/>
          <w:lang w:val="en-GB"/>
        </w:rPr>
        <w:t>―</w:t>
      </w:r>
      <w:r>
        <w:rPr>
          <w:rFonts w:hint="eastAsia"/>
          <w:snapToGrid/>
          <w:szCs w:val="21"/>
          <w:lang w:val="en-GB"/>
        </w:rPr>
        <w:t>―</w:t>
      </w:r>
      <w:r>
        <w:rPr>
          <w:snapToGrid/>
          <w:szCs w:val="21"/>
          <w:lang w:val="en-GB"/>
        </w:rPr>
        <w:t>每周工作</w:t>
      </w:r>
      <w:r>
        <w:rPr>
          <w:snapToGrid/>
          <w:szCs w:val="21"/>
          <w:lang w:val="en-GB"/>
        </w:rPr>
        <w:t>24</w:t>
      </w:r>
      <w:r>
        <w:rPr>
          <w:snapToGrid/>
          <w:szCs w:val="21"/>
          <w:lang w:val="en-GB"/>
        </w:rPr>
        <w:t>小时。在学年期间课余打工学生的工作时间，不能超过本条款第一段规定的、相应年龄人员最长工作时间的一半。在有害</w:t>
      </w:r>
      <w:r>
        <w:rPr>
          <w:rFonts w:hint="eastAsia"/>
          <w:snapToGrid/>
          <w:spacing w:val="-50"/>
          <w:szCs w:val="21"/>
          <w:lang w:val="en-GB"/>
        </w:rPr>
        <w:t>―</w:t>
      </w:r>
      <w:r>
        <w:rPr>
          <w:rFonts w:hint="eastAsia"/>
          <w:snapToGrid/>
          <w:szCs w:val="21"/>
          <w:lang w:val="en-GB"/>
        </w:rPr>
        <w:t>―</w:t>
      </w:r>
      <w:r>
        <w:rPr>
          <w:snapToGrid/>
          <w:vanish/>
          <w:szCs w:val="21"/>
          <w:lang w:val="en-GB"/>
        </w:rPr>
        <w:t>劳动条件下工作的劳动者</w:t>
      </w:r>
      <w:r>
        <w:rPr>
          <w:rFonts w:hint="eastAsia"/>
          <w:snapToGrid/>
          <w:spacing w:val="-50"/>
          <w:szCs w:val="21"/>
          <w:lang w:val="en-GB"/>
        </w:rPr>
        <w:t>―</w:t>
      </w:r>
      <w:r>
        <w:rPr>
          <w:rFonts w:hint="eastAsia"/>
          <w:snapToGrid/>
          <w:szCs w:val="21"/>
          <w:lang w:val="en-GB"/>
        </w:rPr>
        <w:t>―</w:t>
      </w:r>
      <w:r>
        <w:rPr>
          <w:snapToGrid/>
          <w:szCs w:val="21"/>
          <w:lang w:val="en-GB"/>
        </w:rPr>
        <w:t>每周工作不超过</w:t>
      </w:r>
      <w:r>
        <w:rPr>
          <w:snapToGrid/>
          <w:szCs w:val="21"/>
          <w:lang w:val="en-GB"/>
        </w:rPr>
        <w:t>36</w:t>
      </w:r>
      <w:r>
        <w:rPr>
          <w:snapToGrid/>
          <w:szCs w:val="21"/>
          <w:lang w:val="en-GB"/>
        </w:rPr>
        <w:t>小时。土库曼斯坦部长内阁规定，劳动条件有害的生产、车间、职业和职位，享有缩短工作时间的权利。法律还规定，某些类别的劳动者享有缩短的工作时间</w:t>
      </w:r>
      <w:r>
        <w:rPr>
          <w:snapToGrid/>
          <w:szCs w:val="21"/>
          <w:lang w:val="en-GB"/>
        </w:rPr>
        <w:t>(</w:t>
      </w:r>
      <w:r>
        <w:rPr>
          <w:snapToGrid/>
          <w:szCs w:val="21"/>
          <w:lang w:val="en-GB"/>
        </w:rPr>
        <w:t>教师、医生、田间工作的妇女等</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113. </w:t>
      </w:r>
      <w:r>
        <w:rPr>
          <w:rFonts w:hint="eastAsia"/>
          <w:snapToGrid/>
          <w:szCs w:val="21"/>
          <w:lang w:val="en-GB"/>
        </w:rPr>
        <w:t xml:space="preserve"> </w:t>
      </w:r>
      <w:r>
        <w:rPr>
          <w:snapToGrid/>
          <w:szCs w:val="21"/>
          <w:lang w:val="en-GB"/>
        </w:rPr>
        <w:t>《宪法》第</w:t>
      </w:r>
      <w:r>
        <w:rPr>
          <w:snapToGrid/>
          <w:szCs w:val="21"/>
          <w:lang w:val="en-GB"/>
        </w:rPr>
        <w:t>34</w:t>
      </w:r>
      <w:r>
        <w:rPr>
          <w:snapToGrid/>
          <w:szCs w:val="21"/>
          <w:lang w:val="en-GB"/>
        </w:rPr>
        <w:t>条保障了休息权。公民有休息权，这种权利表现在规定每个星期的工作时间、每年</w:t>
      </w:r>
      <w:r>
        <w:rPr>
          <w:snapToGrid/>
          <w:vanish/>
          <w:szCs w:val="21"/>
          <w:lang w:val="en-GB"/>
        </w:rPr>
        <w:t>享受</w:t>
      </w:r>
      <w:r>
        <w:rPr>
          <w:snapToGrid/>
          <w:szCs w:val="21"/>
          <w:lang w:val="en-GB"/>
        </w:rPr>
        <w:t>付酬休假和每星期休息的天数。国家提供良好的休息与支配自由时间的条件。</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114.</w:t>
      </w:r>
      <w:r>
        <w:rPr>
          <w:rFonts w:hint="eastAsia"/>
          <w:snapToGrid/>
          <w:szCs w:val="21"/>
          <w:lang w:val="en-GB"/>
        </w:rPr>
        <w:t xml:space="preserve">  </w:t>
      </w:r>
      <w:r>
        <w:rPr>
          <w:snapToGrid/>
          <w:szCs w:val="21"/>
          <w:lang w:val="en-GB"/>
        </w:rPr>
        <w:t>每周连续休息时间应不少于</w:t>
      </w:r>
      <w:r>
        <w:rPr>
          <w:snapToGrid/>
          <w:szCs w:val="21"/>
          <w:lang w:val="en-GB"/>
        </w:rPr>
        <w:t>42</w:t>
      </w:r>
      <w:r>
        <w:rPr>
          <w:snapToGrid/>
          <w:szCs w:val="21"/>
          <w:lang w:val="en-GB"/>
        </w:rPr>
        <w:t>小时。根据《土库曼斯坦劳动法典》</w:t>
      </w:r>
      <w:r>
        <w:rPr>
          <w:snapToGrid/>
          <w:szCs w:val="21"/>
          <w:lang w:val="en-GB"/>
        </w:rPr>
        <w:t>(</w:t>
      </w:r>
      <w:r>
        <w:rPr>
          <w:snapToGrid/>
          <w:szCs w:val="21"/>
          <w:lang w:val="en-GB"/>
        </w:rPr>
        <w:t>第</w:t>
      </w:r>
      <w:r>
        <w:rPr>
          <w:snapToGrid/>
          <w:szCs w:val="21"/>
          <w:lang w:val="en-GB"/>
        </w:rPr>
        <w:t>59</w:t>
      </w:r>
      <w:r>
        <w:rPr>
          <w:snapToGrid/>
          <w:szCs w:val="21"/>
          <w:lang w:val="en-GB"/>
        </w:rPr>
        <w:t>条</w:t>
      </w:r>
      <w:r>
        <w:rPr>
          <w:snapToGrid/>
          <w:szCs w:val="21"/>
          <w:lang w:val="en-GB"/>
        </w:rPr>
        <w:t>)</w:t>
      </w:r>
      <w:r>
        <w:rPr>
          <w:snapToGrid/>
          <w:szCs w:val="21"/>
          <w:lang w:val="en-GB"/>
        </w:rPr>
        <w:t>规定，应向劳动者提供不超过两小时的休息和就餐时间。休息不计入工作时间内。通常应在工作开始后每四个小时，提供就餐与休息间歇。根据部长内部劳动规章确定间歇的开始与结束时间。劳动者自行利用间歇时间。这段时间他们可以离开工作岗位。因生产条件而不能间歇的岗位，应允许劳动者在工作期间进餐。管理者应与企业工会或劳动集体的代表机构协商，规定具体岗位、用餐的方式与地点。</w:t>
      </w:r>
    </w:p>
    <w:p w:rsidR="00A93F62" w:rsidRDefault="00A93F62">
      <w:pPr>
        <w:tabs>
          <w:tab w:val="clear" w:pos="431"/>
        </w:tabs>
        <w:suppressAutoHyphens/>
        <w:overflowPunct/>
        <w:adjustRightInd/>
        <w:snapToGrid/>
        <w:spacing w:after="120" w:line="320" w:lineRule="atLeast"/>
        <w:ind w:left="1134" w:right="1134"/>
        <w:rPr>
          <w:rFonts w:hint="eastAsia"/>
          <w:snapToGrid/>
          <w:szCs w:val="21"/>
          <w:lang w:val="en-GB"/>
        </w:rPr>
      </w:pPr>
      <w:r>
        <w:rPr>
          <w:snapToGrid/>
          <w:szCs w:val="21"/>
          <w:lang w:val="en-GB"/>
        </w:rPr>
        <w:t>115.</w:t>
      </w:r>
      <w:r>
        <w:rPr>
          <w:rFonts w:hint="eastAsia"/>
          <w:snapToGrid/>
          <w:szCs w:val="21"/>
          <w:lang w:val="en-GB"/>
        </w:rPr>
        <w:t xml:space="preserve">  </w:t>
      </w:r>
      <w:r>
        <w:rPr>
          <w:snapToGrid/>
          <w:szCs w:val="21"/>
          <w:lang w:val="en-GB"/>
        </w:rPr>
        <w:t>炎热季节在露天或室内作业时，如果局部气候条件不符合土库曼斯坦部长内阁规定的卫生标准，劳动者应暂时休息或中止工作。炎热季节因高温中止工作时，雇主有权将劳动者调往从事劳动条件良好的其它工作</w:t>
      </w:r>
      <w:r>
        <w:rPr>
          <w:snapToGrid/>
          <w:szCs w:val="21"/>
          <w:lang w:val="en-GB"/>
        </w:rPr>
        <w:t>(</w:t>
      </w:r>
      <w:r>
        <w:rPr>
          <w:snapToGrid/>
          <w:szCs w:val="21"/>
          <w:lang w:val="en-GB"/>
        </w:rPr>
        <w:t>《土库曼斯坦劳动法典》第</w:t>
      </w:r>
      <w:r>
        <w:rPr>
          <w:snapToGrid/>
          <w:szCs w:val="21"/>
          <w:lang w:val="en-GB"/>
        </w:rPr>
        <w:t>59-1</w:t>
      </w:r>
      <w:r>
        <w:rPr>
          <w:snapToGrid/>
          <w:szCs w:val="21"/>
          <w:lang w:val="en-GB"/>
        </w:rPr>
        <w:t>条</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116.</w:t>
      </w:r>
      <w:r>
        <w:rPr>
          <w:rFonts w:hint="eastAsia"/>
          <w:snapToGrid/>
          <w:szCs w:val="21"/>
          <w:lang w:val="en-GB"/>
        </w:rPr>
        <w:t xml:space="preserve">  </w:t>
      </w:r>
      <w:r>
        <w:rPr>
          <w:snapToGrid/>
          <w:szCs w:val="21"/>
          <w:lang w:val="en-GB"/>
        </w:rPr>
        <w:t>一周五天工作日时，</w:t>
      </w:r>
      <w:r>
        <w:rPr>
          <w:snapToGrid/>
          <w:vanish/>
          <w:szCs w:val="21"/>
          <w:lang w:val="en-GB"/>
        </w:rPr>
        <w:t>劳动者</w:t>
      </w:r>
      <w:r>
        <w:rPr>
          <w:snapToGrid/>
          <w:szCs w:val="21"/>
          <w:lang w:val="en-GB"/>
        </w:rPr>
        <w:t>享受两天休息日，一周六天工作日时</w:t>
      </w:r>
      <w:r>
        <w:rPr>
          <w:rFonts w:hint="eastAsia"/>
          <w:snapToGrid/>
          <w:spacing w:val="-50"/>
          <w:szCs w:val="21"/>
          <w:lang w:val="en-GB"/>
        </w:rPr>
        <w:t>―</w:t>
      </w:r>
      <w:r>
        <w:rPr>
          <w:rFonts w:hint="eastAsia"/>
          <w:snapToGrid/>
          <w:szCs w:val="21"/>
          <w:lang w:val="en-GB"/>
        </w:rPr>
        <w:t>―</w:t>
      </w:r>
      <w:r>
        <w:rPr>
          <w:snapToGrid/>
          <w:szCs w:val="21"/>
          <w:lang w:val="en-GB"/>
        </w:rPr>
        <w:t>一个休息日。星期日是公共休息日。一周五天工作日的第二个休息日，如果法律未作规定，则由企业的工作计划确定，通常，应与公共休息日连在一起。</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117.</w:t>
      </w:r>
      <w:r>
        <w:rPr>
          <w:rFonts w:hint="eastAsia"/>
          <w:snapToGrid/>
          <w:szCs w:val="21"/>
          <w:lang w:val="en-GB"/>
        </w:rPr>
        <w:t xml:space="preserve">  </w:t>
      </w:r>
      <w:r>
        <w:rPr>
          <w:snapToGrid/>
          <w:szCs w:val="21"/>
          <w:lang w:val="en-GB"/>
        </w:rPr>
        <w:t>由于生产技术条件或</w:t>
      </w:r>
      <w:r>
        <w:rPr>
          <w:snapToGrid/>
          <w:vanish/>
          <w:szCs w:val="21"/>
          <w:lang w:val="en-GB"/>
        </w:rPr>
        <w:t>居民</w:t>
      </w:r>
      <w:r>
        <w:rPr>
          <w:snapToGrid/>
          <w:szCs w:val="21"/>
          <w:lang w:val="en-GB"/>
        </w:rPr>
        <w:t>需要不间断服务而不能停业的企业，需要连续生产的其它企业，根据轮班制，向每个班组依次提供每周不同日子的休息日。</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118.</w:t>
      </w:r>
      <w:r>
        <w:rPr>
          <w:rFonts w:hint="eastAsia"/>
          <w:snapToGrid/>
          <w:szCs w:val="21"/>
          <w:lang w:val="en-GB"/>
        </w:rPr>
        <w:t xml:space="preserve">  </w:t>
      </w:r>
      <w:r>
        <w:rPr>
          <w:snapToGrid/>
          <w:szCs w:val="21"/>
          <w:lang w:val="en-GB"/>
        </w:rPr>
        <w:t>由于居民服务需要，在公共休息日不能中断营业的企业</w:t>
      </w:r>
      <w:r>
        <w:rPr>
          <w:snapToGrid/>
          <w:szCs w:val="21"/>
          <w:lang w:val="en-GB"/>
        </w:rPr>
        <w:t>(</w:t>
      </w:r>
      <w:r>
        <w:rPr>
          <w:snapToGrid/>
          <w:szCs w:val="21"/>
          <w:lang w:val="en-GB"/>
        </w:rPr>
        <w:t>商店、生活服务企业、剧场、博物馆等</w:t>
      </w:r>
      <w:r>
        <w:rPr>
          <w:snapToGrid/>
          <w:szCs w:val="21"/>
          <w:lang w:val="en-GB"/>
        </w:rPr>
        <w:t>)</w:t>
      </w:r>
      <w:r>
        <w:rPr>
          <w:snapToGrid/>
          <w:szCs w:val="21"/>
          <w:lang w:val="en-GB"/>
        </w:rPr>
        <w:t>，由地方行政当局规定休息日。</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119.</w:t>
      </w:r>
      <w:r>
        <w:rPr>
          <w:rFonts w:hint="eastAsia"/>
          <w:snapToGrid/>
          <w:szCs w:val="21"/>
          <w:lang w:val="en-GB"/>
        </w:rPr>
        <w:t xml:space="preserve">  </w:t>
      </w:r>
      <w:r>
        <w:rPr>
          <w:snapToGrid/>
          <w:szCs w:val="21"/>
          <w:lang w:val="en-GB"/>
        </w:rPr>
        <w:t>在节日与纪念日工作</w:t>
      </w:r>
      <w:r>
        <w:rPr>
          <w:snapToGrid/>
          <w:szCs w:val="21"/>
          <w:lang w:val="en-GB"/>
        </w:rPr>
        <w:t>(</w:t>
      </w:r>
      <w:r>
        <w:rPr>
          <w:snapToGrid/>
          <w:vanish/>
          <w:szCs w:val="21"/>
          <w:lang w:val="en-GB"/>
        </w:rPr>
        <w:t>《劳动法典》</w:t>
      </w:r>
      <w:r>
        <w:rPr>
          <w:snapToGrid/>
          <w:szCs w:val="21"/>
          <w:lang w:val="en-GB"/>
        </w:rPr>
        <w:t>第</w:t>
      </w:r>
      <w:r>
        <w:rPr>
          <w:snapToGrid/>
          <w:szCs w:val="21"/>
          <w:lang w:val="en-GB"/>
        </w:rPr>
        <w:t>67</w:t>
      </w:r>
      <w:r>
        <w:rPr>
          <w:snapToGrid/>
          <w:szCs w:val="21"/>
          <w:lang w:val="en-GB"/>
        </w:rPr>
        <w:t>条</w:t>
      </w:r>
      <w:r>
        <w:rPr>
          <w:snapToGrid/>
          <w:szCs w:val="21"/>
          <w:lang w:val="en-GB"/>
        </w:rPr>
        <w:t>)</w:t>
      </w:r>
      <w:r>
        <w:rPr>
          <w:snapToGrid/>
          <w:szCs w:val="21"/>
          <w:lang w:val="en-GB"/>
        </w:rPr>
        <w:t>，应支付双倍工资：</w:t>
      </w:r>
    </w:p>
    <w:p w:rsidR="00A93F62" w:rsidRDefault="00A93F62">
      <w:pPr>
        <w:pStyle w:val="SingleTxtGC"/>
        <w:numPr>
          <w:ilvl w:val="0"/>
          <w:numId w:val="46"/>
        </w:numPr>
        <w:tabs>
          <w:tab w:val="clear" w:pos="431"/>
          <w:tab w:val="clear" w:pos="1134"/>
          <w:tab w:val="clear" w:pos="1565"/>
          <w:tab w:val="clear" w:pos="1996"/>
          <w:tab w:val="clear" w:pos="2211"/>
          <w:tab w:val="clear" w:pos="2427"/>
          <w:tab w:val="left" w:pos="2100"/>
        </w:tabs>
        <w:ind w:left="1134" w:firstLine="448"/>
        <w:rPr>
          <w:snapToGrid/>
          <w:lang w:val="en-GB"/>
        </w:rPr>
      </w:pPr>
      <w:r>
        <w:rPr>
          <w:snapToGrid/>
          <w:lang w:val="en-GB"/>
        </w:rPr>
        <w:t>计件工人</w:t>
      </w:r>
      <w:r>
        <w:rPr>
          <w:rFonts w:hint="eastAsia"/>
          <w:snapToGrid/>
          <w:spacing w:val="-50"/>
          <w:lang w:val="en-GB"/>
        </w:rPr>
        <w:t>―</w:t>
      </w:r>
      <w:r>
        <w:rPr>
          <w:rFonts w:hint="eastAsia"/>
          <w:snapToGrid/>
          <w:lang w:val="en-GB"/>
        </w:rPr>
        <w:t>―</w:t>
      </w:r>
      <w:r>
        <w:rPr>
          <w:snapToGrid/>
          <w:lang w:val="en-GB"/>
        </w:rPr>
        <w:t>双倍计件工资额；</w:t>
      </w:r>
    </w:p>
    <w:p w:rsidR="00A93F62" w:rsidRDefault="00A93F62">
      <w:pPr>
        <w:pStyle w:val="SingleTxtGC"/>
        <w:numPr>
          <w:ilvl w:val="0"/>
          <w:numId w:val="46"/>
        </w:numPr>
        <w:tabs>
          <w:tab w:val="clear" w:pos="431"/>
          <w:tab w:val="clear" w:pos="1134"/>
          <w:tab w:val="clear" w:pos="1565"/>
          <w:tab w:val="clear" w:pos="1996"/>
          <w:tab w:val="clear" w:pos="2211"/>
          <w:tab w:val="clear" w:pos="2427"/>
          <w:tab w:val="left" w:pos="2100"/>
        </w:tabs>
        <w:ind w:left="1134" w:firstLine="448"/>
        <w:rPr>
          <w:snapToGrid/>
          <w:lang w:val="en-GB"/>
        </w:rPr>
      </w:pPr>
      <w:r>
        <w:rPr>
          <w:snapToGrid/>
          <w:lang w:val="en-GB"/>
        </w:rPr>
        <w:t>按小时或天数支付工资的劳动者</w:t>
      </w:r>
      <w:r>
        <w:rPr>
          <w:rFonts w:hint="eastAsia"/>
          <w:snapToGrid/>
          <w:spacing w:val="-50"/>
          <w:lang w:val="en-GB"/>
        </w:rPr>
        <w:t>―</w:t>
      </w:r>
      <w:r>
        <w:rPr>
          <w:rFonts w:hint="eastAsia"/>
          <w:snapToGrid/>
          <w:lang w:val="en-GB"/>
        </w:rPr>
        <w:t>―</w:t>
      </w:r>
      <w:r>
        <w:rPr>
          <w:snapToGrid/>
          <w:lang w:val="en-GB"/>
        </w:rPr>
        <w:t>双倍的小时或天数工资；</w:t>
      </w:r>
    </w:p>
    <w:p w:rsidR="00A93F62" w:rsidRDefault="00A93F62">
      <w:pPr>
        <w:pStyle w:val="SingleTxtGC"/>
        <w:numPr>
          <w:ilvl w:val="0"/>
          <w:numId w:val="46"/>
        </w:numPr>
        <w:tabs>
          <w:tab w:val="clear" w:pos="431"/>
          <w:tab w:val="clear" w:pos="1134"/>
          <w:tab w:val="clear" w:pos="1565"/>
          <w:tab w:val="clear" w:pos="1996"/>
          <w:tab w:val="clear" w:pos="2211"/>
          <w:tab w:val="clear" w:pos="2427"/>
          <w:tab w:val="left" w:pos="2100"/>
        </w:tabs>
        <w:ind w:left="1134" w:firstLine="448"/>
        <w:rPr>
          <w:snapToGrid/>
          <w:lang w:val="en-GB"/>
        </w:rPr>
      </w:pPr>
      <w:r>
        <w:rPr>
          <w:snapToGrid/>
          <w:lang w:val="en-GB"/>
        </w:rPr>
        <w:t>领取月薪的劳动者，如果节日和纪念日进行的工作是在每月标准的工作时间范围内，支付月薪以外的单倍小时或天数工资；如果工作超过了每月标准的工作时间，支付月薪以外的双倍小时或天数工资。</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szCs w:val="21"/>
          <w:lang w:val="en-GB"/>
        </w:rPr>
        <w:t>根据节日和纪念日工作的劳动者意愿，可以给他另外提供休息日。</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120.</w:t>
      </w:r>
      <w:r>
        <w:rPr>
          <w:rFonts w:hint="eastAsia"/>
          <w:snapToGrid/>
          <w:szCs w:val="21"/>
          <w:lang w:val="en-GB"/>
        </w:rPr>
        <w:t xml:space="preserve">  </w:t>
      </w:r>
      <w:r>
        <w:rPr>
          <w:snapToGrid/>
          <w:szCs w:val="21"/>
          <w:lang w:val="en-GB"/>
        </w:rPr>
        <w:t>1997</w:t>
      </w:r>
      <w:r>
        <w:rPr>
          <w:snapToGrid/>
          <w:szCs w:val="21"/>
          <w:lang w:val="en-GB"/>
        </w:rPr>
        <w:t>年通过的</w:t>
      </w:r>
      <w:r>
        <w:rPr>
          <w:snapToGrid/>
          <w:vanish/>
          <w:szCs w:val="21"/>
          <w:lang w:val="en-GB"/>
        </w:rPr>
        <w:t>《土库曼斯坦休假法》</w:t>
      </w:r>
      <w:r>
        <w:rPr>
          <w:snapToGrid/>
          <w:szCs w:val="21"/>
          <w:lang w:val="en-GB"/>
        </w:rPr>
        <w:t>，保障了土库曼斯坦公民行使休息权，并调整了休假的时间和条件。该法规定公民享有如下假期：</w:t>
      </w:r>
      <w:r>
        <w:rPr>
          <w:snapToGrid/>
          <w:szCs w:val="21"/>
          <w:lang w:val="en-GB"/>
        </w:rPr>
        <w:t>24</w:t>
      </w:r>
      <w:r>
        <w:rPr>
          <w:snapToGrid/>
          <w:szCs w:val="21"/>
          <w:lang w:val="en-GB"/>
        </w:rPr>
        <w:t>天的带薪年假，教育机构的教育工作者以及残疾人</w:t>
      </w:r>
      <w:r>
        <w:rPr>
          <w:rFonts w:hint="eastAsia"/>
          <w:snapToGrid/>
          <w:spacing w:val="-50"/>
          <w:szCs w:val="21"/>
          <w:lang w:val="en-GB"/>
        </w:rPr>
        <w:t>―</w:t>
      </w:r>
      <w:r>
        <w:rPr>
          <w:rFonts w:hint="eastAsia"/>
          <w:snapToGrid/>
          <w:szCs w:val="21"/>
          <w:lang w:val="en-GB"/>
        </w:rPr>
        <w:t>―</w:t>
      </w:r>
      <w:r>
        <w:rPr>
          <w:snapToGrid/>
          <w:szCs w:val="21"/>
          <w:lang w:val="en-GB"/>
        </w:rPr>
        <w:t>35</w:t>
      </w:r>
      <w:r>
        <w:rPr>
          <w:snapToGrid/>
          <w:szCs w:val="21"/>
          <w:lang w:val="en-GB"/>
        </w:rPr>
        <w:t>天；</w:t>
      </w:r>
    </w:p>
    <w:p w:rsidR="00A93F62" w:rsidRDefault="00A93F62">
      <w:pPr>
        <w:pStyle w:val="Bullet1GC"/>
        <w:numPr>
          <w:ilvl w:val="0"/>
          <w:numId w:val="14"/>
        </w:numPr>
        <w:rPr>
          <w:snapToGrid/>
          <w:lang w:val="en-GB"/>
        </w:rPr>
      </w:pPr>
      <w:r>
        <w:rPr>
          <w:snapToGrid/>
          <w:lang w:val="en-GB"/>
        </w:rPr>
        <w:t>特殊劳动条件下的额外工作休假</w:t>
      </w:r>
      <w:r>
        <w:rPr>
          <w:snapToGrid/>
          <w:lang w:val="en-GB"/>
        </w:rPr>
        <w:t>(</w:t>
      </w:r>
      <w:r>
        <w:rPr>
          <w:snapToGrid/>
          <w:lang w:val="en-GB"/>
        </w:rPr>
        <w:t>具体工种由土库曼斯坦部长内阁规定</w:t>
      </w:r>
      <w:r>
        <w:rPr>
          <w:snapToGrid/>
          <w:lang w:val="en-GB"/>
        </w:rPr>
        <w:t>)</w:t>
      </w:r>
      <w:r>
        <w:rPr>
          <w:snapToGrid/>
          <w:lang w:val="en-GB"/>
        </w:rPr>
        <w:t>，</w:t>
      </w:r>
      <w:r>
        <w:rPr>
          <w:snapToGrid/>
          <w:lang w:val="en-GB"/>
        </w:rPr>
        <w:t>15</w:t>
      </w:r>
      <w:r>
        <w:rPr>
          <w:snapToGrid/>
          <w:lang w:val="en-GB"/>
        </w:rPr>
        <w:t>天；</w:t>
      </w:r>
    </w:p>
    <w:p w:rsidR="00A93F62" w:rsidRDefault="00A93F62">
      <w:pPr>
        <w:pStyle w:val="Bullet1GC"/>
        <w:numPr>
          <w:ilvl w:val="0"/>
          <w:numId w:val="14"/>
        </w:numPr>
        <w:rPr>
          <w:snapToGrid/>
          <w:lang w:val="en-GB"/>
        </w:rPr>
      </w:pPr>
      <w:r>
        <w:rPr>
          <w:snapToGrid/>
          <w:lang w:val="en-GB"/>
        </w:rPr>
        <w:t>机组人员享受</w:t>
      </w:r>
      <w:r>
        <w:rPr>
          <w:snapToGrid/>
          <w:lang w:val="en-GB"/>
        </w:rPr>
        <w:t>15</w:t>
      </w:r>
      <w:r>
        <w:rPr>
          <w:snapToGrid/>
          <w:lang w:val="en-GB"/>
        </w:rPr>
        <w:t>天的额外休假，空管人员</w:t>
      </w:r>
      <w:r>
        <w:rPr>
          <w:rFonts w:hint="eastAsia"/>
          <w:snapToGrid/>
          <w:spacing w:val="-50"/>
          <w:lang w:val="en-GB"/>
        </w:rPr>
        <w:t>―</w:t>
      </w:r>
      <w:r>
        <w:rPr>
          <w:rFonts w:hint="eastAsia"/>
          <w:snapToGrid/>
          <w:lang w:val="en-GB"/>
        </w:rPr>
        <w:t>―</w:t>
      </w:r>
      <w:r>
        <w:rPr>
          <w:snapToGrid/>
          <w:lang w:val="en-GB"/>
        </w:rPr>
        <w:t>7</w:t>
      </w:r>
      <w:r>
        <w:rPr>
          <w:snapToGrid/>
          <w:lang w:val="en-GB"/>
        </w:rPr>
        <w:t>天休假</w:t>
      </w:r>
      <w:r>
        <w:rPr>
          <w:rFonts w:hint="eastAsia"/>
          <w:snapToGrid/>
          <w:lang w:val="en-GB"/>
        </w:rPr>
        <w:t>。</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szCs w:val="21"/>
          <w:lang w:val="en-GB"/>
        </w:rPr>
        <w:t>同时还规定了婚假和丧假，年满</w:t>
      </w:r>
      <w:r>
        <w:rPr>
          <w:snapToGrid/>
          <w:szCs w:val="21"/>
          <w:lang w:val="en-GB"/>
        </w:rPr>
        <w:t>62</w:t>
      </w:r>
      <w:r>
        <w:rPr>
          <w:snapToGrid/>
          <w:szCs w:val="21"/>
          <w:lang w:val="en-GB"/>
        </w:rPr>
        <w:t>岁公民休假制度。此外，法律还规定了社会休假，如</w:t>
      </w:r>
      <w:r>
        <w:rPr>
          <w:snapToGrid/>
          <w:szCs w:val="21"/>
          <w:lang w:val="en-GB"/>
        </w:rPr>
        <w:t>112</w:t>
      </w:r>
      <w:r>
        <w:rPr>
          <w:snapToGrid/>
          <w:szCs w:val="21"/>
          <w:lang w:val="en-GB"/>
        </w:rPr>
        <w:t>天的产假，照顾未满三岁孩子的无薪休假。《土库曼斯坦休假法》还规定了由于相关原因、条件和需要，不保留工资的不同天数休假。外国公民和无国籍人士也有权享受与土库曼斯坦公民同样的休假。</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121.</w:t>
      </w:r>
      <w:r>
        <w:rPr>
          <w:rFonts w:hint="eastAsia"/>
          <w:snapToGrid/>
          <w:szCs w:val="21"/>
          <w:lang w:val="en-GB"/>
        </w:rPr>
        <w:t xml:space="preserve">  </w:t>
      </w:r>
      <w:r>
        <w:rPr>
          <w:snapToGrid/>
          <w:szCs w:val="21"/>
          <w:lang w:val="en-GB"/>
        </w:rPr>
        <w:t>2003</w:t>
      </w:r>
      <w:r>
        <w:rPr>
          <w:snapToGrid/>
          <w:szCs w:val="21"/>
          <w:lang w:val="en-GB"/>
        </w:rPr>
        <w:t>年人民委员会第十四次</w:t>
      </w:r>
      <w:r>
        <w:rPr>
          <w:snapToGrid/>
          <w:vanish/>
          <w:szCs w:val="21"/>
          <w:lang w:val="en-GB"/>
        </w:rPr>
        <w:t>会议</w:t>
      </w:r>
      <w:r>
        <w:rPr>
          <w:snapToGrid/>
          <w:szCs w:val="21"/>
          <w:lang w:val="en-GB"/>
        </w:rPr>
        <w:t>通过的</w:t>
      </w:r>
      <w:r>
        <w:rPr>
          <w:snapToGrid/>
          <w:szCs w:val="21"/>
          <w:lang w:val="en-GB"/>
        </w:rPr>
        <w:t xml:space="preserve"> </w:t>
      </w:r>
      <w:r>
        <w:rPr>
          <w:snapToGrid/>
          <w:color w:val="000000"/>
          <w:szCs w:val="21"/>
          <w:lang w:val="en-GB"/>
        </w:rPr>
        <w:t>《土库曼斯坦至</w:t>
      </w:r>
      <w:r>
        <w:rPr>
          <w:snapToGrid/>
          <w:color w:val="000000"/>
          <w:szCs w:val="21"/>
          <w:lang w:val="en-GB"/>
        </w:rPr>
        <w:t>2020</w:t>
      </w:r>
      <w:r>
        <w:rPr>
          <w:snapToGrid/>
          <w:color w:val="000000"/>
          <w:szCs w:val="21"/>
          <w:lang w:val="en-GB"/>
        </w:rPr>
        <w:t>年经济、政治和文化发展战略》国家规划</w:t>
      </w:r>
      <w:r>
        <w:rPr>
          <w:snapToGrid/>
          <w:szCs w:val="21"/>
          <w:lang w:val="en-GB"/>
        </w:rPr>
        <w:t>，奠定了观念转变的基础，通过工资来保障居民对商品与服务的需要。这种情况下，分阶段提高整个经济范围、各领域，各种所有制形式的企业与单位的工资，以提高土库曼斯坦公民的实际收入，达到世界居民生活标准水平，成为国家工资政策方面的优先发展方向。劳动者劳动质量、劳动技能水平与劳动报酬之间的经济联系紧密，是落实这些措施的主要原则。</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122. </w:t>
      </w:r>
      <w:r>
        <w:rPr>
          <w:rFonts w:hint="eastAsia"/>
          <w:snapToGrid/>
          <w:szCs w:val="21"/>
          <w:lang w:val="en-GB"/>
        </w:rPr>
        <w:t xml:space="preserve"> </w:t>
      </w:r>
      <w:r>
        <w:rPr>
          <w:snapToGrid/>
          <w:szCs w:val="21"/>
          <w:lang w:val="en-GB"/>
        </w:rPr>
        <w:t>劳动相关立法规定了劳动定额，依此确定工资。根据《土库曼斯坦劳动法典》第</w:t>
      </w:r>
      <w:r>
        <w:rPr>
          <w:snapToGrid/>
          <w:szCs w:val="21"/>
          <w:lang w:val="en-GB"/>
        </w:rPr>
        <w:t>104</w:t>
      </w:r>
      <w:r>
        <w:rPr>
          <w:snapToGrid/>
          <w:szCs w:val="21"/>
          <w:lang w:val="en-GB"/>
        </w:rPr>
        <w:t>条，根据劳动者具有的技术、工艺、组织生产与劳动水平，确定生产、时间、服务、数量定额。企业还可以采用固定定额与综合定额机制。</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123. </w:t>
      </w:r>
      <w:r>
        <w:rPr>
          <w:rFonts w:hint="eastAsia"/>
          <w:snapToGrid/>
          <w:szCs w:val="21"/>
          <w:lang w:val="en-GB"/>
        </w:rPr>
        <w:t xml:space="preserve"> </w:t>
      </w:r>
      <w:r>
        <w:rPr>
          <w:snapToGrid/>
          <w:szCs w:val="21"/>
          <w:lang w:val="en-GB"/>
        </w:rPr>
        <w:t>根据工作岗位的考核与合理化要求，新技术、工艺和使劳动生产率提高的技术组织措施落实情况，必须实行新的劳动定额机制。</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124. </w:t>
      </w:r>
      <w:r>
        <w:rPr>
          <w:rFonts w:hint="eastAsia"/>
          <w:snapToGrid/>
          <w:szCs w:val="21"/>
          <w:lang w:val="en-GB"/>
        </w:rPr>
        <w:t xml:space="preserve"> </w:t>
      </w:r>
      <w:r>
        <w:rPr>
          <w:snapToGrid/>
          <w:szCs w:val="21"/>
          <w:lang w:val="en-GB"/>
        </w:rPr>
        <w:t>土库曼斯坦实行的工资政策，规定现阶段灵活调整工资与收入。土库曼斯坦经济领域的平均工资，是工资体系及体系调整的基础，平均工资由法律规定。国家平均工资水平由政府系统实施的决议来保证。决议致力于保障国家公民必要的生活标准，在居民社会保障措施范围内保持实际工资的购买力。</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125.</w:t>
      </w:r>
      <w:r>
        <w:rPr>
          <w:rFonts w:hint="eastAsia"/>
          <w:snapToGrid/>
          <w:szCs w:val="21"/>
          <w:lang w:val="en-GB"/>
        </w:rPr>
        <w:t xml:space="preserve">  </w:t>
      </w:r>
      <w:r>
        <w:rPr>
          <w:snapToGrid/>
          <w:szCs w:val="21"/>
          <w:lang w:val="en-GB"/>
        </w:rPr>
        <w:t>企业和单位对规定的平均工资水平的履行情况，由主管国家机构实施监督。违反相应要求时，根据《土库曼斯坦劳动法典》第</w:t>
      </w:r>
      <w:r>
        <w:rPr>
          <w:snapToGrid/>
          <w:szCs w:val="21"/>
          <w:lang w:val="en-GB"/>
        </w:rPr>
        <w:t>41</w:t>
      </w:r>
      <w:r>
        <w:rPr>
          <w:snapToGrid/>
          <w:szCs w:val="21"/>
          <w:lang w:val="en-GB"/>
        </w:rPr>
        <w:t>和</w:t>
      </w:r>
      <w:r>
        <w:rPr>
          <w:snapToGrid/>
          <w:szCs w:val="21"/>
          <w:lang w:val="en-GB"/>
        </w:rPr>
        <w:t>225</w:t>
      </w:r>
      <w:r>
        <w:rPr>
          <w:snapToGrid/>
          <w:szCs w:val="21"/>
          <w:lang w:val="en-GB"/>
        </w:rPr>
        <w:t>条关于行政违法规定和《土库曼斯坦劳动法典》第</w:t>
      </w:r>
      <w:r>
        <w:rPr>
          <w:snapToGrid/>
          <w:szCs w:val="21"/>
          <w:lang w:val="en-GB"/>
        </w:rPr>
        <w:t>255</w:t>
      </w:r>
      <w:r>
        <w:rPr>
          <w:snapToGrid/>
          <w:szCs w:val="21"/>
          <w:lang w:val="en-GB"/>
        </w:rPr>
        <w:t>条的规定，企业和单位领导人应承担相应责任。</w:t>
      </w:r>
    </w:p>
    <w:p w:rsidR="00A93F62" w:rsidRDefault="00A93F62">
      <w:pPr>
        <w:tabs>
          <w:tab w:val="clear" w:pos="431"/>
        </w:tabs>
        <w:suppressAutoHyphens/>
        <w:overflowPunct/>
        <w:adjustRightInd/>
        <w:snapToGrid/>
        <w:spacing w:after="120" w:line="240" w:lineRule="atLeast"/>
        <w:ind w:left="1134" w:right="1134"/>
        <w:rPr>
          <w:rFonts w:eastAsia="SimHei" w:hint="eastAsia"/>
          <w:snapToGrid/>
          <w:szCs w:val="21"/>
          <w:lang w:val="en-GB"/>
        </w:rPr>
      </w:pPr>
      <w:r>
        <w:rPr>
          <w:rFonts w:eastAsia="SimHei"/>
          <w:snapToGrid/>
          <w:szCs w:val="21"/>
          <w:lang w:val="en-GB"/>
        </w:rPr>
        <w:t>土库曼斯坦经济领域就业劳动者的平均工资</w:t>
      </w:r>
      <w:r>
        <w:rPr>
          <w:rFonts w:eastAsia="SimHei"/>
          <w:snapToGrid/>
          <w:szCs w:val="21"/>
          <w:lang w:val="en-GB"/>
        </w:rPr>
        <w:t>*</w:t>
      </w:r>
    </w:p>
    <w:tbl>
      <w:tblPr>
        <w:tblStyle w:val="TabNum"/>
        <w:tblW w:w="7300" w:type="dxa"/>
        <w:tblInd w:w="1228" w:type="dxa"/>
        <w:tblLayout w:type="fixed"/>
        <w:tblLook w:val="01E0" w:firstRow="1" w:lastRow="1" w:firstColumn="1" w:lastColumn="1" w:noHBand="0" w:noVBand="0"/>
      </w:tblPr>
      <w:tblGrid>
        <w:gridCol w:w="1600"/>
        <w:gridCol w:w="2200"/>
        <w:gridCol w:w="3500"/>
      </w:tblGrid>
      <w:tr w:rsidR="00A93F62" w:rsidRPr="0017263A">
        <w:trPr>
          <w:trHeight w:val="423"/>
        </w:trPr>
        <w:tc>
          <w:tcPr>
            <w:cnfStyle w:val="001000000000" w:firstRow="0" w:lastRow="0" w:firstColumn="1" w:lastColumn="0" w:oddVBand="0" w:evenVBand="0" w:oddHBand="0" w:evenHBand="0" w:firstRowFirstColumn="0" w:firstRowLastColumn="0" w:lastRowFirstColumn="0" w:lastRowLastColumn="0"/>
            <w:tcW w:w="1600" w:type="dxa"/>
            <w:tcBorders>
              <w:top w:val="single" w:sz="2" w:space="0" w:color="auto"/>
              <w:bottom w:val="single" w:sz="12" w:space="0" w:color="auto"/>
            </w:tcBorders>
            <w:noWrap/>
          </w:tcPr>
          <w:p w:rsidR="00A93F62" w:rsidRPr="0017263A" w:rsidRDefault="00A93F62">
            <w:pPr>
              <w:tabs>
                <w:tab w:val="clear" w:pos="431"/>
              </w:tabs>
              <w:suppressAutoHyphens/>
              <w:overflowPunct/>
              <w:adjustRightInd/>
              <w:snapToGrid/>
              <w:spacing w:before="0" w:after="0" w:line="240" w:lineRule="atLeast"/>
              <w:rPr>
                <w:i/>
                <w:snapToGrid/>
                <w:sz w:val="18"/>
                <w:szCs w:val="18"/>
                <w:lang w:val="en-GB"/>
              </w:rPr>
            </w:pPr>
            <w:r w:rsidRPr="0017263A">
              <w:rPr>
                <w:rFonts w:eastAsia="KaiTi_GB2312"/>
                <w:snapToGrid/>
                <w:sz w:val="18"/>
                <w:szCs w:val="18"/>
                <w:lang w:val="en-GB"/>
              </w:rPr>
              <w:t>年份</w:t>
            </w:r>
          </w:p>
        </w:tc>
        <w:tc>
          <w:tcPr>
            <w:tcW w:w="2200" w:type="dxa"/>
            <w:tcBorders>
              <w:top w:val="single" w:sz="2" w:space="0" w:color="auto"/>
              <w:bottom w:val="single" w:sz="12" w:space="0" w:color="auto"/>
            </w:tcBorders>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17263A">
              <w:rPr>
                <w:rFonts w:eastAsia="KaiTi_GB2312"/>
                <w:snapToGrid/>
                <w:sz w:val="18"/>
                <w:szCs w:val="18"/>
                <w:lang w:val="en-GB"/>
              </w:rPr>
              <w:t>平均工资</w:t>
            </w:r>
            <w:r w:rsidRPr="0017263A">
              <w:rPr>
                <w:rFonts w:eastAsia="KaiTi_GB2312"/>
                <w:snapToGrid/>
                <w:sz w:val="18"/>
                <w:szCs w:val="18"/>
                <w:lang w:val="en-GB" w:eastAsia="en-US"/>
              </w:rPr>
              <w:t>，</w:t>
            </w:r>
            <w:r w:rsidRPr="0017263A">
              <w:rPr>
                <w:rFonts w:eastAsia="KaiTi_GB2312"/>
                <w:snapToGrid/>
                <w:sz w:val="18"/>
                <w:szCs w:val="18"/>
                <w:lang w:val="en-GB"/>
              </w:rPr>
              <w:t>千马纳特</w:t>
            </w:r>
          </w:p>
        </w:tc>
        <w:tc>
          <w:tcPr>
            <w:tcW w:w="3500" w:type="dxa"/>
            <w:tcBorders>
              <w:top w:val="single" w:sz="2" w:space="0" w:color="auto"/>
              <w:bottom w:val="single" w:sz="12" w:space="0" w:color="auto"/>
            </w:tcBorders>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17263A">
              <w:rPr>
                <w:rFonts w:eastAsia="KaiTi_GB2312"/>
                <w:snapToGrid/>
                <w:sz w:val="18"/>
                <w:szCs w:val="18"/>
                <w:lang w:val="en-GB"/>
              </w:rPr>
              <w:t>额定工资年度平均变化</w:t>
            </w:r>
            <w:r w:rsidRPr="0017263A">
              <w:rPr>
                <w:rFonts w:eastAsia="KaiTi_GB2312"/>
                <w:snapToGrid/>
                <w:sz w:val="18"/>
                <w:szCs w:val="18"/>
                <w:lang w:val="en-GB"/>
              </w:rPr>
              <w:t>(</w:t>
            </w:r>
            <w:r w:rsidRPr="0017263A">
              <w:rPr>
                <w:rFonts w:eastAsia="KaiTi_GB2312"/>
                <w:snapToGrid/>
                <w:sz w:val="18"/>
                <w:szCs w:val="18"/>
                <w:lang w:val="en-GB"/>
              </w:rPr>
              <w:t>增长</w:t>
            </w:r>
            <w:r w:rsidRPr="0017263A">
              <w:rPr>
                <w:rFonts w:eastAsia="KaiTi_GB2312"/>
                <w:snapToGrid/>
                <w:sz w:val="18"/>
                <w:szCs w:val="18"/>
                <w:lang w:val="en-GB"/>
              </w:rPr>
              <w:t>)</w:t>
            </w:r>
            <w:r w:rsidRPr="0017263A">
              <w:rPr>
                <w:rFonts w:eastAsia="KaiTi_GB2312"/>
                <w:snapToGrid/>
                <w:sz w:val="18"/>
                <w:szCs w:val="18"/>
                <w:lang w:val="en-GB"/>
              </w:rPr>
              <w:t>，</w:t>
            </w:r>
            <w:r w:rsidRPr="0017263A">
              <w:rPr>
                <w:rFonts w:eastAsia="KaiTi_GB2312"/>
                <w:snapToGrid/>
                <w:sz w:val="18"/>
                <w:szCs w:val="18"/>
                <w:lang w:val="en-GB"/>
              </w:rPr>
              <w:t>%</w:t>
            </w:r>
          </w:p>
        </w:tc>
      </w:tr>
      <w:tr w:rsidR="00A93F62" w:rsidRPr="0017263A">
        <w:trPr>
          <w:trHeight w:val="423"/>
        </w:trPr>
        <w:tc>
          <w:tcPr>
            <w:cnfStyle w:val="001000000000" w:firstRow="0" w:lastRow="0" w:firstColumn="1" w:lastColumn="0" w:oddVBand="0" w:evenVBand="0" w:oddHBand="0" w:evenHBand="0" w:firstRowFirstColumn="0" w:firstRowLastColumn="0" w:lastRowFirstColumn="0" w:lastRowLastColumn="0"/>
            <w:tcW w:w="1600" w:type="dxa"/>
            <w:tcBorders>
              <w:top w:val="single" w:sz="12" w:space="0" w:color="auto"/>
            </w:tcBorders>
            <w:noWrap/>
          </w:tcPr>
          <w:p w:rsidR="00A93F62" w:rsidRPr="0017263A" w:rsidRDefault="00A93F62">
            <w:pPr>
              <w:tabs>
                <w:tab w:val="clear" w:pos="431"/>
              </w:tabs>
              <w:suppressAutoHyphens/>
              <w:overflowPunct/>
              <w:adjustRightInd/>
              <w:snapToGrid/>
              <w:spacing w:before="0" w:after="0" w:line="240" w:lineRule="atLeast"/>
              <w:rPr>
                <w:snapToGrid/>
                <w:sz w:val="18"/>
                <w:szCs w:val="18"/>
                <w:lang w:val="en-GB" w:eastAsia="en-US"/>
              </w:rPr>
            </w:pPr>
            <w:r w:rsidRPr="0017263A">
              <w:rPr>
                <w:snapToGrid/>
                <w:sz w:val="18"/>
                <w:szCs w:val="18"/>
                <w:lang w:val="en-GB" w:eastAsia="en-US"/>
              </w:rPr>
              <w:t>1996</w:t>
            </w:r>
          </w:p>
        </w:tc>
        <w:tc>
          <w:tcPr>
            <w:tcW w:w="2200" w:type="dxa"/>
            <w:tcBorders>
              <w:top w:val="single" w:sz="12" w:space="0" w:color="auto"/>
            </w:tcBorders>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72.2</w:t>
            </w:r>
          </w:p>
        </w:tc>
        <w:tc>
          <w:tcPr>
            <w:tcW w:w="3500" w:type="dxa"/>
            <w:tcBorders>
              <w:top w:val="single" w:sz="12" w:space="0" w:color="auto"/>
            </w:tcBorders>
            <w:noWrap/>
          </w:tcPr>
          <w:p w:rsidR="00A93F62" w:rsidRPr="0017263A" w:rsidRDefault="00A93F62" w:rsidP="0017263A">
            <w:pPr>
              <w:tabs>
                <w:tab w:val="clear" w:pos="431"/>
              </w:tabs>
              <w:suppressAutoHyphens/>
              <w:overflowPunct/>
              <w:adjustRightInd/>
              <w:snapToGrid/>
              <w:spacing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17263A">
        <w:trPr>
          <w:trHeight w:val="358"/>
        </w:trPr>
        <w:tc>
          <w:tcPr>
            <w:cnfStyle w:val="001000000000" w:firstRow="0" w:lastRow="0" w:firstColumn="1" w:lastColumn="0" w:oddVBand="0" w:evenVBand="0" w:oddHBand="0" w:evenHBand="0" w:firstRowFirstColumn="0" w:firstRowLastColumn="0" w:lastRowFirstColumn="0" w:lastRowLastColumn="0"/>
            <w:tcW w:w="1600" w:type="dxa"/>
            <w:noWrap/>
          </w:tcPr>
          <w:p w:rsidR="00A93F62" w:rsidRPr="0017263A" w:rsidRDefault="00A93F62">
            <w:pPr>
              <w:tabs>
                <w:tab w:val="clear" w:pos="431"/>
              </w:tabs>
              <w:suppressAutoHyphens/>
              <w:overflowPunct/>
              <w:adjustRightInd/>
              <w:snapToGrid/>
              <w:spacing w:before="0" w:after="0" w:line="240" w:lineRule="atLeast"/>
              <w:rPr>
                <w:snapToGrid/>
                <w:sz w:val="18"/>
                <w:szCs w:val="18"/>
                <w:lang w:val="en-GB" w:eastAsia="en-US"/>
              </w:rPr>
            </w:pPr>
            <w:r w:rsidRPr="0017263A">
              <w:rPr>
                <w:snapToGrid/>
                <w:sz w:val="18"/>
                <w:szCs w:val="18"/>
                <w:lang w:val="en-GB" w:eastAsia="en-US"/>
              </w:rPr>
              <w:t>1997</w:t>
            </w:r>
          </w:p>
        </w:tc>
        <w:tc>
          <w:tcPr>
            <w:tcW w:w="22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185.5</w:t>
            </w:r>
          </w:p>
        </w:tc>
        <w:tc>
          <w:tcPr>
            <w:tcW w:w="35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 xml:space="preserve">  156.9</w:t>
            </w:r>
          </w:p>
        </w:tc>
      </w:tr>
      <w:tr w:rsidR="00A93F62" w:rsidRPr="0017263A">
        <w:trPr>
          <w:trHeight w:val="369"/>
        </w:trPr>
        <w:tc>
          <w:tcPr>
            <w:cnfStyle w:val="001000000000" w:firstRow="0" w:lastRow="0" w:firstColumn="1" w:lastColumn="0" w:oddVBand="0" w:evenVBand="0" w:oddHBand="0" w:evenHBand="0" w:firstRowFirstColumn="0" w:firstRowLastColumn="0" w:lastRowFirstColumn="0" w:lastRowLastColumn="0"/>
            <w:tcW w:w="1600" w:type="dxa"/>
            <w:noWrap/>
          </w:tcPr>
          <w:p w:rsidR="00A93F62" w:rsidRPr="0017263A" w:rsidRDefault="00A93F62">
            <w:pPr>
              <w:tabs>
                <w:tab w:val="clear" w:pos="431"/>
              </w:tabs>
              <w:suppressAutoHyphens/>
              <w:overflowPunct/>
              <w:adjustRightInd/>
              <w:snapToGrid/>
              <w:spacing w:before="0" w:after="0" w:line="240" w:lineRule="atLeast"/>
              <w:rPr>
                <w:snapToGrid/>
                <w:sz w:val="18"/>
                <w:szCs w:val="18"/>
                <w:lang w:val="en-GB" w:eastAsia="en-US"/>
              </w:rPr>
            </w:pPr>
            <w:r w:rsidRPr="0017263A">
              <w:rPr>
                <w:snapToGrid/>
                <w:sz w:val="18"/>
                <w:szCs w:val="18"/>
                <w:lang w:val="en-GB" w:eastAsia="en-US"/>
              </w:rPr>
              <w:t>1998</w:t>
            </w:r>
          </w:p>
        </w:tc>
        <w:tc>
          <w:tcPr>
            <w:tcW w:w="22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271.4</w:t>
            </w:r>
          </w:p>
        </w:tc>
        <w:tc>
          <w:tcPr>
            <w:tcW w:w="35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46.3</w:t>
            </w:r>
          </w:p>
        </w:tc>
      </w:tr>
      <w:tr w:rsidR="00A93F62" w:rsidRPr="0017263A">
        <w:trPr>
          <w:trHeight w:val="351"/>
        </w:trPr>
        <w:tc>
          <w:tcPr>
            <w:cnfStyle w:val="001000000000" w:firstRow="0" w:lastRow="0" w:firstColumn="1" w:lastColumn="0" w:oddVBand="0" w:evenVBand="0" w:oddHBand="0" w:evenHBand="0" w:firstRowFirstColumn="0" w:firstRowLastColumn="0" w:lastRowFirstColumn="0" w:lastRowLastColumn="0"/>
            <w:tcW w:w="1600" w:type="dxa"/>
            <w:noWrap/>
          </w:tcPr>
          <w:p w:rsidR="00A93F62" w:rsidRPr="0017263A" w:rsidRDefault="00A93F62">
            <w:pPr>
              <w:tabs>
                <w:tab w:val="clear" w:pos="431"/>
              </w:tabs>
              <w:suppressAutoHyphens/>
              <w:overflowPunct/>
              <w:adjustRightInd/>
              <w:snapToGrid/>
              <w:spacing w:before="0" w:after="0" w:line="240" w:lineRule="atLeast"/>
              <w:rPr>
                <w:snapToGrid/>
                <w:sz w:val="18"/>
                <w:szCs w:val="18"/>
                <w:lang w:val="en-GB" w:eastAsia="en-US"/>
              </w:rPr>
            </w:pPr>
            <w:r w:rsidRPr="0017263A">
              <w:rPr>
                <w:snapToGrid/>
                <w:sz w:val="18"/>
                <w:szCs w:val="18"/>
                <w:lang w:val="en-GB" w:eastAsia="en-US"/>
              </w:rPr>
              <w:t>1999</w:t>
            </w:r>
          </w:p>
        </w:tc>
        <w:tc>
          <w:tcPr>
            <w:tcW w:w="22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330.7</w:t>
            </w:r>
          </w:p>
        </w:tc>
        <w:tc>
          <w:tcPr>
            <w:tcW w:w="35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21.8</w:t>
            </w:r>
          </w:p>
        </w:tc>
      </w:tr>
      <w:tr w:rsidR="00A93F62" w:rsidRPr="0017263A">
        <w:trPr>
          <w:trHeight w:val="374"/>
        </w:trPr>
        <w:tc>
          <w:tcPr>
            <w:cnfStyle w:val="001000000000" w:firstRow="0" w:lastRow="0" w:firstColumn="1" w:lastColumn="0" w:oddVBand="0" w:evenVBand="0" w:oddHBand="0" w:evenHBand="0" w:firstRowFirstColumn="0" w:firstRowLastColumn="0" w:lastRowFirstColumn="0" w:lastRowLastColumn="0"/>
            <w:tcW w:w="1600" w:type="dxa"/>
            <w:noWrap/>
          </w:tcPr>
          <w:p w:rsidR="00A93F62" w:rsidRPr="0017263A" w:rsidRDefault="00A93F62">
            <w:pPr>
              <w:tabs>
                <w:tab w:val="clear" w:pos="431"/>
              </w:tabs>
              <w:suppressAutoHyphens/>
              <w:overflowPunct/>
              <w:adjustRightInd/>
              <w:snapToGrid/>
              <w:spacing w:before="0" w:after="0" w:line="240" w:lineRule="atLeast"/>
              <w:rPr>
                <w:snapToGrid/>
                <w:sz w:val="18"/>
                <w:szCs w:val="18"/>
                <w:lang w:val="en-GB" w:eastAsia="en-US"/>
              </w:rPr>
            </w:pPr>
            <w:r w:rsidRPr="0017263A">
              <w:rPr>
                <w:snapToGrid/>
                <w:sz w:val="18"/>
                <w:szCs w:val="18"/>
                <w:lang w:val="en-GB" w:eastAsia="en-US"/>
              </w:rPr>
              <w:t>2000</w:t>
            </w:r>
          </w:p>
        </w:tc>
        <w:tc>
          <w:tcPr>
            <w:tcW w:w="22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596.8</w:t>
            </w:r>
          </w:p>
        </w:tc>
        <w:tc>
          <w:tcPr>
            <w:tcW w:w="35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80.5</w:t>
            </w:r>
          </w:p>
        </w:tc>
      </w:tr>
      <w:tr w:rsidR="00A93F62" w:rsidRPr="0017263A">
        <w:trPr>
          <w:trHeight w:val="357"/>
        </w:trPr>
        <w:tc>
          <w:tcPr>
            <w:cnfStyle w:val="001000000000" w:firstRow="0" w:lastRow="0" w:firstColumn="1" w:lastColumn="0" w:oddVBand="0" w:evenVBand="0" w:oddHBand="0" w:evenHBand="0" w:firstRowFirstColumn="0" w:firstRowLastColumn="0" w:lastRowFirstColumn="0" w:lastRowLastColumn="0"/>
            <w:tcW w:w="1600" w:type="dxa"/>
            <w:noWrap/>
          </w:tcPr>
          <w:p w:rsidR="00A93F62" w:rsidRPr="0017263A" w:rsidRDefault="00A93F62">
            <w:pPr>
              <w:tabs>
                <w:tab w:val="clear" w:pos="431"/>
              </w:tabs>
              <w:suppressAutoHyphens/>
              <w:overflowPunct/>
              <w:adjustRightInd/>
              <w:snapToGrid/>
              <w:spacing w:before="0" w:after="0" w:line="240" w:lineRule="atLeast"/>
              <w:rPr>
                <w:snapToGrid/>
                <w:sz w:val="18"/>
                <w:szCs w:val="18"/>
                <w:lang w:val="en-GB" w:eastAsia="en-US"/>
              </w:rPr>
            </w:pPr>
            <w:r w:rsidRPr="0017263A">
              <w:rPr>
                <w:snapToGrid/>
                <w:sz w:val="18"/>
                <w:szCs w:val="18"/>
                <w:lang w:val="en-GB" w:eastAsia="en-US"/>
              </w:rPr>
              <w:t>2001</w:t>
            </w:r>
          </w:p>
        </w:tc>
        <w:tc>
          <w:tcPr>
            <w:tcW w:w="2200" w:type="dxa"/>
            <w:tcBorders>
              <w:bottom w:val="nil"/>
            </w:tcBorders>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878.1</w:t>
            </w:r>
          </w:p>
        </w:tc>
        <w:tc>
          <w:tcPr>
            <w:tcW w:w="3500" w:type="dxa"/>
            <w:tcBorders>
              <w:bottom w:val="nil"/>
            </w:tcBorders>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47.1</w:t>
            </w:r>
          </w:p>
        </w:tc>
      </w:tr>
      <w:tr w:rsidR="00A93F62" w:rsidRPr="0017263A">
        <w:trPr>
          <w:trHeight w:val="353"/>
        </w:trPr>
        <w:tc>
          <w:tcPr>
            <w:cnfStyle w:val="001000000000" w:firstRow="0" w:lastRow="0" w:firstColumn="1" w:lastColumn="0" w:oddVBand="0" w:evenVBand="0" w:oddHBand="0" w:evenHBand="0" w:firstRowFirstColumn="0" w:firstRowLastColumn="0" w:lastRowFirstColumn="0" w:lastRowLastColumn="0"/>
            <w:tcW w:w="1600" w:type="dxa"/>
            <w:tcBorders>
              <w:top w:val="nil"/>
            </w:tcBorders>
            <w:noWrap/>
          </w:tcPr>
          <w:p w:rsidR="00A93F62" w:rsidRPr="0017263A" w:rsidRDefault="00A93F62">
            <w:pPr>
              <w:tabs>
                <w:tab w:val="clear" w:pos="431"/>
              </w:tabs>
              <w:suppressAutoHyphens/>
              <w:overflowPunct/>
              <w:adjustRightInd/>
              <w:snapToGrid/>
              <w:spacing w:before="0" w:after="0" w:line="240" w:lineRule="atLeast"/>
              <w:rPr>
                <w:snapToGrid/>
                <w:sz w:val="18"/>
                <w:szCs w:val="18"/>
                <w:lang w:val="en-GB" w:eastAsia="en-US"/>
              </w:rPr>
            </w:pPr>
            <w:r w:rsidRPr="0017263A">
              <w:rPr>
                <w:snapToGrid/>
                <w:sz w:val="18"/>
                <w:szCs w:val="18"/>
                <w:lang w:val="en-GB" w:eastAsia="en-US"/>
              </w:rPr>
              <w:t>2002</w:t>
            </w:r>
          </w:p>
        </w:tc>
        <w:tc>
          <w:tcPr>
            <w:tcW w:w="2200" w:type="dxa"/>
            <w:tcBorders>
              <w:top w:val="nil"/>
              <w:bottom w:val="nil"/>
            </w:tcBorders>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950.0</w:t>
            </w:r>
          </w:p>
        </w:tc>
        <w:tc>
          <w:tcPr>
            <w:tcW w:w="3500" w:type="dxa"/>
            <w:tcBorders>
              <w:top w:val="nil"/>
              <w:bottom w:val="nil"/>
            </w:tcBorders>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 xml:space="preserve"> 8.2</w:t>
            </w:r>
          </w:p>
        </w:tc>
      </w:tr>
      <w:tr w:rsidR="00A93F62" w:rsidRPr="0017263A">
        <w:trPr>
          <w:trHeight w:val="349"/>
        </w:trPr>
        <w:tc>
          <w:tcPr>
            <w:cnfStyle w:val="001000000000" w:firstRow="0" w:lastRow="0" w:firstColumn="1" w:lastColumn="0" w:oddVBand="0" w:evenVBand="0" w:oddHBand="0" w:evenHBand="0" w:firstRowFirstColumn="0" w:firstRowLastColumn="0" w:lastRowFirstColumn="0" w:lastRowLastColumn="0"/>
            <w:tcW w:w="1600" w:type="dxa"/>
            <w:tcBorders>
              <w:top w:val="nil"/>
            </w:tcBorders>
            <w:noWrap/>
          </w:tcPr>
          <w:p w:rsidR="00A93F62" w:rsidRPr="0017263A" w:rsidRDefault="00A93F62">
            <w:pPr>
              <w:tabs>
                <w:tab w:val="clear" w:pos="431"/>
              </w:tabs>
              <w:suppressAutoHyphens/>
              <w:overflowPunct/>
              <w:adjustRightInd/>
              <w:snapToGrid/>
              <w:spacing w:before="0" w:after="0" w:line="240" w:lineRule="atLeast"/>
              <w:rPr>
                <w:snapToGrid/>
                <w:sz w:val="18"/>
                <w:szCs w:val="18"/>
                <w:lang w:val="en-GB" w:eastAsia="en-US"/>
              </w:rPr>
            </w:pPr>
            <w:r w:rsidRPr="0017263A">
              <w:rPr>
                <w:snapToGrid/>
                <w:sz w:val="18"/>
                <w:szCs w:val="18"/>
                <w:lang w:val="en-GB" w:eastAsia="en-US"/>
              </w:rPr>
              <w:t>2003</w:t>
            </w:r>
          </w:p>
        </w:tc>
        <w:tc>
          <w:tcPr>
            <w:tcW w:w="2200" w:type="dxa"/>
            <w:tcBorders>
              <w:top w:val="nil"/>
              <w:bottom w:val="nil"/>
            </w:tcBorders>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1</w:t>
            </w:r>
            <w:r w:rsidRPr="0017263A">
              <w:rPr>
                <w:snapToGrid/>
                <w:sz w:val="18"/>
                <w:szCs w:val="18"/>
                <w:lang w:val="en-GB"/>
              </w:rPr>
              <w:t xml:space="preserve"> </w:t>
            </w:r>
            <w:r w:rsidRPr="0017263A">
              <w:rPr>
                <w:snapToGrid/>
                <w:sz w:val="18"/>
                <w:szCs w:val="18"/>
                <w:lang w:val="en-GB" w:eastAsia="en-US"/>
              </w:rPr>
              <w:t>750.0</w:t>
            </w:r>
          </w:p>
        </w:tc>
        <w:tc>
          <w:tcPr>
            <w:tcW w:w="3500" w:type="dxa"/>
            <w:tcBorders>
              <w:top w:val="nil"/>
              <w:bottom w:val="nil"/>
            </w:tcBorders>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84.2</w:t>
            </w:r>
          </w:p>
        </w:tc>
      </w:tr>
      <w:tr w:rsidR="00A93F62" w:rsidRPr="0017263A">
        <w:trPr>
          <w:trHeight w:val="359"/>
        </w:trPr>
        <w:tc>
          <w:tcPr>
            <w:cnfStyle w:val="001000000000" w:firstRow="0" w:lastRow="0" w:firstColumn="1" w:lastColumn="0" w:oddVBand="0" w:evenVBand="0" w:oddHBand="0" w:evenHBand="0" w:firstRowFirstColumn="0" w:firstRowLastColumn="0" w:lastRowFirstColumn="0" w:lastRowLastColumn="0"/>
            <w:tcW w:w="1600" w:type="dxa"/>
            <w:tcBorders>
              <w:top w:val="nil"/>
            </w:tcBorders>
            <w:noWrap/>
          </w:tcPr>
          <w:p w:rsidR="00A93F62" w:rsidRPr="0017263A" w:rsidRDefault="00A93F62">
            <w:pPr>
              <w:tabs>
                <w:tab w:val="clear" w:pos="431"/>
              </w:tabs>
              <w:suppressAutoHyphens/>
              <w:overflowPunct/>
              <w:adjustRightInd/>
              <w:snapToGrid/>
              <w:spacing w:before="0" w:after="0" w:line="240" w:lineRule="atLeast"/>
              <w:rPr>
                <w:snapToGrid/>
                <w:sz w:val="18"/>
                <w:szCs w:val="18"/>
                <w:lang w:val="en-GB" w:eastAsia="en-US"/>
              </w:rPr>
            </w:pPr>
            <w:r w:rsidRPr="0017263A">
              <w:rPr>
                <w:snapToGrid/>
                <w:sz w:val="18"/>
                <w:szCs w:val="18"/>
                <w:lang w:val="en-GB" w:eastAsia="en-US"/>
              </w:rPr>
              <w:t>2004</w:t>
            </w:r>
          </w:p>
        </w:tc>
        <w:tc>
          <w:tcPr>
            <w:tcW w:w="2200" w:type="dxa"/>
            <w:tcBorders>
              <w:top w:val="nil"/>
            </w:tcBorders>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1</w:t>
            </w:r>
            <w:r w:rsidRPr="0017263A">
              <w:rPr>
                <w:snapToGrid/>
                <w:sz w:val="18"/>
                <w:szCs w:val="18"/>
                <w:lang w:val="en-GB"/>
              </w:rPr>
              <w:t xml:space="preserve"> </w:t>
            </w:r>
            <w:r w:rsidRPr="0017263A">
              <w:rPr>
                <w:snapToGrid/>
                <w:sz w:val="18"/>
                <w:szCs w:val="18"/>
                <w:lang w:val="en-GB" w:eastAsia="en-US"/>
              </w:rPr>
              <w:t>850.0</w:t>
            </w:r>
          </w:p>
        </w:tc>
        <w:tc>
          <w:tcPr>
            <w:tcW w:w="3500" w:type="dxa"/>
            <w:tcBorders>
              <w:top w:val="nil"/>
            </w:tcBorders>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 xml:space="preserve"> 5.7</w:t>
            </w:r>
          </w:p>
        </w:tc>
      </w:tr>
      <w:tr w:rsidR="00A93F62" w:rsidRPr="0017263A">
        <w:trPr>
          <w:trHeight w:val="368"/>
        </w:trPr>
        <w:tc>
          <w:tcPr>
            <w:cnfStyle w:val="001000000000" w:firstRow="0" w:lastRow="0" w:firstColumn="1" w:lastColumn="0" w:oddVBand="0" w:evenVBand="0" w:oddHBand="0" w:evenHBand="0" w:firstRowFirstColumn="0" w:firstRowLastColumn="0" w:lastRowFirstColumn="0" w:lastRowLastColumn="0"/>
            <w:tcW w:w="1600" w:type="dxa"/>
            <w:noWrap/>
          </w:tcPr>
          <w:p w:rsidR="00A93F62" w:rsidRPr="0017263A" w:rsidRDefault="00A93F62">
            <w:pPr>
              <w:tabs>
                <w:tab w:val="clear" w:pos="431"/>
              </w:tabs>
              <w:suppressAutoHyphens/>
              <w:overflowPunct/>
              <w:adjustRightInd/>
              <w:snapToGrid/>
              <w:spacing w:before="0" w:after="0" w:line="240" w:lineRule="atLeast"/>
              <w:rPr>
                <w:snapToGrid/>
                <w:sz w:val="18"/>
                <w:szCs w:val="18"/>
                <w:lang w:val="en-GB" w:eastAsia="en-US"/>
              </w:rPr>
            </w:pPr>
            <w:r w:rsidRPr="0017263A">
              <w:rPr>
                <w:snapToGrid/>
                <w:sz w:val="18"/>
                <w:szCs w:val="18"/>
                <w:lang w:val="en-GB" w:eastAsia="en-US"/>
              </w:rPr>
              <w:t>2005</w:t>
            </w:r>
          </w:p>
        </w:tc>
        <w:tc>
          <w:tcPr>
            <w:tcW w:w="22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2</w:t>
            </w:r>
            <w:r w:rsidRPr="0017263A">
              <w:rPr>
                <w:snapToGrid/>
                <w:sz w:val="18"/>
                <w:szCs w:val="18"/>
                <w:lang w:val="en-GB"/>
              </w:rPr>
              <w:t xml:space="preserve"> </w:t>
            </w:r>
            <w:r w:rsidRPr="0017263A">
              <w:rPr>
                <w:snapToGrid/>
                <w:sz w:val="18"/>
                <w:szCs w:val="18"/>
                <w:lang w:val="en-GB" w:eastAsia="en-US"/>
              </w:rPr>
              <w:t>503.0</w:t>
            </w:r>
          </w:p>
        </w:tc>
        <w:tc>
          <w:tcPr>
            <w:tcW w:w="35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35.3</w:t>
            </w:r>
          </w:p>
        </w:tc>
      </w:tr>
      <w:tr w:rsidR="00A93F62" w:rsidRPr="0017263A">
        <w:trPr>
          <w:trHeight w:val="319"/>
        </w:trPr>
        <w:tc>
          <w:tcPr>
            <w:cnfStyle w:val="001000000000" w:firstRow="0" w:lastRow="0" w:firstColumn="1" w:lastColumn="0" w:oddVBand="0" w:evenVBand="0" w:oddHBand="0" w:evenHBand="0" w:firstRowFirstColumn="0" w:firstRowLastColumn="0" w:lastRowFirstColumn="0" w:lastRowLastColumn="0"/>
            <w:tcW w:w="1600" w:type="dxa"/>
            <w:noWrap/>
          </w:tcPr>
          <w:p w:rsidR="00A93F62" w:rsidRPr="0017263A" w:rsidRDefault="00A93F62">
            <w:pPr>
              <w:tabs>
                <w:tab w:val="clear" w:pos="431"/>
              </w:tabs>
              <w:suppressAutoHyphens/>
              <w:overflowPunct/>
              <w:adjustRightInd/>
              <w:snapToGrid/>
              <w:spacing w:before="0" w:after="0" w:line="240" w:lineRule="atLeast"/>
              <w:rPr>
                <w:snapToGrid/>
                <w:sz w:val="18"/>
                <w:szCs w:val="18"/>
                <w:lang w:val="en-GB" w:eastAsia="en-US"/>
              </w:rPr>
            </w:pPr>
            <w:r w:rsidRPr="0017263A">
              <w:rPr>
                <w:snapToGrid/>
                <w:sz w:val="18"/>
                <w:szCs w:val="18"/>
                <w:lang w:val="en-GB" w:eastAsia="en-US"/>
              </w:rPr>
              <w:t>2006</w:t>
            </w:r>
          </w:p>
        </w:tc>
        <w:tc>
          <w:tcPr>
            <w:tcW w:w="22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2</w:t>
            </w:r>
            <w:r w:rsidRPr="0017263A">
              <w:rPr>
                <w:snapToGrid/>
                <w:sz w:val="18"/>
                <w:szCs w:val="18"/>
                <w:lang w:val="en-GB"/>
              </w:rPr>
              <w:t xml:space="preserve"> </w:t>
            </w:r>
            <w:r w:rsidRPr="0017263A">
              <w:rPr>
                <w:snapToGrid/>
                <w:sz w:val="18"/>
                <w:szCs w:val="18"/>
                <w:lang w:val="en-GB" w:eastAsia="en-US"/>
              </w:rPr>
              <w:t>504.7</w:t>
            </w:r>
          </w:p>
        </w:tc>
        <w:tc>
          <w:tcPr>
            <w:tcW w:w="35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 xml:space="preserve"> 0.1</w:t>
            </w:r>
          </w:p>
        </w:tc>
      </w:tr>
      <w:tr w:rsidR="00A93F62" w:rsidRPr="0017263A">
        <w:trPr>
          <w:trHeight w:val="319"/>
        </w:trPr>
        <w:tc>
          <w:tcPr>
            <w:cnfStyle w:val="001000000000" w:firstRow="0" w:lastRow="0" w:firstColumn="1" w:lastColumn="0" w:oddVBand="0" w:evenVBand="0" w:oddHBand="0" w:evenHBand="0" w:firstRowFirstColumn="0" w:firstRowLastColumn="0" w:lastRowFirstColumn="0" w:lastRowLastColumn="0"/>
            <w:tcW w:w="1600" w:type="dxa"/>
            <w:noWrap/>
          </w:tcPr>
          <w:p w:rsidR="00A93F62" w:rsidRPr="0017263A" w:rsidRDefault="00A93F62">
            <w:pPr>
              <w:tabs>
                <w:tab w:val="clear" w:pos="431"/>
              </w:tabs>
              <w:suppressAutoHyphens/>
              <w:overflowPunct/>
              <w:adjustRightInd/>
              <w:snapToGrid/>
              <w:spacing w:before="0" w:after="0" w:line="240" w:lineRule="atLeast"/>
              <w:rPr>
                <w:snapToGrid/>
                <w:sz w:val="18"/>
                <w:szCs w:val="18"/>
                <w:lang w:val="en-GB" w:eastAsia="en-US"/>
              </w:rPr>
            </w:pPr>
            <w:r w:rsidRPr="0017263A">
              <w:rPr>
                <w:snapToGrid/>
                <w:sz w:val="18"/>
                <w:szCs w:val="18"/>
                <w:lang w:val="en-GB" w:eastAsia="en-US"/>
              </w:rPr>
              <w:t xml:space="preserve">2007 </w:t>
            </w:r>
          </w:p>
        </w:tc>
        <w:tc>
          <w:tcPr>
            <w:tcW w:w="22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2</w:t>
            </w:r>
            <w:r w:rsidRPr="0017263A">
              <w:rPr>
                <w:rFonts w:hint="eastAsia"/>
                <w:snapToGrid/>
                <w:sz w:val="18"/>
                <w:szCs w:val="18"/>
                <w:lang w:val="en-GB"/>
              </w:rPr>
              <w:t xml:space="preserve"> </w:t>
            </w:r>
            <w:r w:rsidRPr="0017263A">
              <w:rPr>
                <w:snapToGrid/>
                <w:sz w:val="18"/>
                <w:szCs w:val="18"/>
                <w:lang w:val="en-GB" w:eastAsia="en-US"/>
              </w:rPr>
              <w:t>535.7</w:t>
            </w:r>
          </w:p>
        </w:tc>
        <w:tc>
          <w:tcPr>
            <w:tcW w:w="35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 xml:space="preserve"> 1.2</w:t>
            </w:r>
          </w:p>
        </w:tc>
      </w:tr>
      <w:tr w:rsidR="00A93F62" w:rsidRPr="0017263A">
        <w:trPr>
          <w:trHeight w:val="283"/>
        </w:trPr>
        <w:tc>
          <w:tcPr>
            <w:cnfStyle w:val="001000000000" w:firstRow="0" w:lastRow="0" w:firstColumn="1" w:lastColumn="0" w:oddVBand="0" w:evenVBand="0" w:oddHBand="0" w:evenHBand="0" w:firstRowFirstColumn="0" w:firstRowLastColumn="0" w:lastRowFirstColumn="0" w:lastRowLastColumn="0"/>
            <w:tcW w:w="1600" w:type="dxa"/>
            <w:noWrap/>
          </w:tcPr>
          <w:p w:rsidR="00A93F62" w:rsidRPr="0017263A" w:rsidRDefault="00A93F62">
            <w:pPr>
              <w:tabs>
                <w:tab w:val="clear" w:pos="431"/>
              </w:tabs>
              <w:suppressAutoHyphens/>
              <w:overflowPunct/>
              <w:adjustRightInd/>
              <w:snapToGrid/>
              <w:spacing w:before="0" w:after="0" w:line="240" w:lineRule="atLeast"/>
              <w:rPr>
                <w:snapToGrid/>
                <w:sz w:val="18"/>
                <w:szCs w:val="18"/>
                <w:lang w:val="en-GB" w:eastAsia="en-US"/>
              </w:rPr>
            </w:pPr>
            <w:r w:rsidRPr="0017263A">
              <w:rPr>
                <w:snapToGrid/>
                <w:sz w:val="18"/>
                <w:szCs w:val="18"/>
                <w:lang w:val="en-GB" w:eastAsia="en-US"/>
              </w:rPr>
              <w:t>2008</w:t>
            </w:r>
            <w:r w:rsidRPr="0017263A">
              <w:rPr>
                <w:snapToGrid/>
                <w:sz w:val="18"/>
                <w:szCs w:val="18"/>
                <w:lang w:eastAsia="en-US"/>
              </w:rPr>
              <w:t xml:space="preserve"> </w:t>
            </w:r>
            <w:r w:rsidRPr="0017263A">
              <w:rPr>
                <w:snapToGrid/>
                <w:sz w:val="18"/>
                <w:szCs w:val="18"/>
                <w:lang w:val="en-GB" w:eastAsia="en-US"/>
              </w:rPr>
              <w:t>(</w:t>
            </w:r>
            <w:r w:rsidRPr="0017263A">
              <w:rPr>
                <w:snapToGrid/>
                <w:sz w:val="18"/>
                <w:szCs w:val="18"/>
                <w:lang w:val="en-GB"/>
              </w:rPr>
              <w:t>预测</w:t>
            </w:r>
            <w:r w:rsidRPr="0017263A">
              <w:rPr>
                <w:snapToGrid/>
                <w:sz w:val="18"/>
                <w:szCs w:val="18"/>
                <w:lang w:val="en-GB" w:eastAsia="en-US"/>
              </w:rPr>
              <w:t>)</w:t>
            </w:r>
          </w:p>
        </w:tc>
        <w:tc>
          <w:tcPr>
            <w:tcW w:w="22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2</w:t>
            </w:r>
            <w:r w:rsidRPr="0017263A">
              <w:rPr>
                <w:rFonts w:hint="eastAsia"/>
                <w:snapToGrid/>
                <w:sz w:val="18"/>
                <w:szCs w:val="18"/>
                <w:lang w:val="en-GB"/>
              </w:rPr>
              <w:t xml:space="preserve"> </w:t>
            </w:r>
            <w:r w:rsidRPr="0017263A">
              <w:rPr>
                <w:snapToGrid/>
                <w:sz w:val="18"/>
                <w:szCs w:val="18"/>
                <w:lang w:val="en-GB" w:eastAsia="en-US"/>
              </w:rPr>
              <w:t>900.0</w:t>
            </w:r>
          </w:p>
        </w:tc>
        <w:tc>
          <w:tcPr>
            <w:tcW w:w="3500" w:type="dxa"/>
            <w:noWrap/>
          </w:tcPr>
          <w:p w:rsidR="00A93F62" w:rsidRPr="0017263A" w:rsidRDefault="00A93F62" w:rsidP="0017263A">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17263A">
              <w:rPr>
                <w:snapToGrid/>
                <w:sz w:val="18"/>
                <w:szCs w:val="18"/>
                <w:lang w:val="en-GB" w:eastAsia="en-US"/>
              </w:rPr>
              <w:t xml:space="preserve">  14.4</w:t>
            </w:r>
          </w:p>
        </w:tc>
      </w:tr>
    </w:tbl>
    <w:p w:rsidR="00A93F62" w:rsidRDefault="00A93F62">
      <w:pPr>
        <w:tabs>
          <w:tab w:val="clear" w:pos="431"/>
        </w:tabs>
        <w:suppressAutoHyphens/>
        <w:overflowPunct/>
        <w:adjustRightInd/>
        <w:snapToGrid/>
        <w:spacing w:after="120" w:line="240" w:lineRule="atLeast"/>
        <w:ind w:left="1134" w:right="1134" w:firstLine="125"/>
        <w:rPr>
          <w:snapToGrid/>
          <w:szCs w:val="21"/>
          <w:lang w:val="en-GB"/>
        </w:rPr>
      </w:pPr>
      <w:r>
        <w:rPr>
          <w:snapToGrid/>
          <w:szCs w:val="21"/>
          <w:lang w:val="en-GB"/>
        </w:rPr>
        <w:t>*</w:t>
      </w:r>
      <w:r>
        <w:rPr>
          <w:rFonts w:hint="eastAsia"/>
          <w:snapToGrid/>
          <w:szCs w:val="21"/>
          <w:lang w:val="en-GB"/>
        </w:rPr>
        <w:t xml:space="preserve">  </w:t>
      </w:r>
      <w:r>
        <w:rPr>
          <w:snapToGrid/>
          <w:sz w:val="18"/>
          <w:szCs w:val="18"/>
          <w:lang w:val="en-GB"/>
        </w:rPr>
        <w:t>限于大中型企业</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126. </w:t>
      </w:r>
      <w:r>
        <w:rPr>
          <w:rFonts w:hint="eastAsia"/>
          <w:snapToGrid/>
          <w:szCs w:val="21"/>
          <w:lang w:val="en-GB"/>
        </w:rPr>
        <w:t xml:space="preserve"> </w:t>
      </w:r>
      <w:r>
        <w:rPr>
          <w:snapToGrid/>
          <w:szCs w:val="21"/>
          <w:lang w:val="en-GB"/>
        </w:rPr>
        <w:t>根据</w:t>
      </w:r>
      <w:smartTag w:uri="urn:schemas-microsoft-com:office:smarttags" w:element="chsdate">
        <w:smartTagPr>
          <w:attr w:name="IsROCDate" w:val="False"/>
          <w:attr w:name="IsLunarDate" w:val="False"/>
          <w:attr w:name="Day" w:val="15"/>
          <w:attr w:name="Month" w:val="6"/>
          <w:attr w:name="Year" w:val="2000"/>
        </w:smartTagPr>
        <w:r>
          <w:rPr>
            <w:snapToGrid/>
            <w:szCs w:val="21"/>
            <w:lang w:val="en-GB"/>
          </w:rPr>
          <w:t>2000</w:t>
        </w:r>
        <w:r>
          <w:rPr>
            <w:snapToGrid/>
            <w:szCs w:val="21"/>
            <w:lang w:val="en-GB"/>
          </w:rPr>
          <w:t>年</w:t>
        </w:r>
        <w:r>
          <w:rPr>
            <w:snapToGrid/>
            <w:szCs w:val="21"/>
            <w:lang w:val="en-GB"/>
          </w:rPr>
          <w:t>6</w:t>
        </w:r>
        <w:r>
          <w:rPr>
            <w:snapToGrid/>
            <w:szCs w:val="21"/>
            <w:lang w:val="en-GB"/>
          </w:rPr>
          <w:t>月</w:t>
        </w:r>
        <w:r>
          <w:rPr>
            <w:snapToGrid/>
            <w:szCs w:val="21"/>
            <w:lang w:val="en-GB"/>
          </w:rPr>
          <w:t>15</w:t>
        </w:r>
        <w:r>
          <w:rPr>
            <w:snapToGrid/>
            <w:szCs w:val="21"/>
            <w:lang w:val="en-GB"/>
          </w:rPr>
          <w:t>日</w:t>
        </w:r>
      </w:smartTag>
      <w:r>
        <w:rPr>
          <w:snapToGrid/>
          <w:szCs w:val="21"/>
          <w:lang w:val="en-GB"/>
        </w:rPr>
        <w:t>颁布的《土库曼斯坦企业法》第</w:t>
      </w:r>
      <w:r>
        <w:rPr>
          <w:snapToGrid/>
          <w:szCs w:val="21"/>
          <w:lang w:val="en-GB"/>
        </w:rPr>
        <w:t>40</w:t>
      </w:r>
      <w:r>
        <w:rPr>
          <w:snapToGrid/>
          <w:szCs w:val="21"/>
          <w:lang w:val="en-GB"/>
        </w:rPr>
        <w:t>条规定，企业雇佣劳动者从事生产活动。企业与劳动者之间的关系由劳动合同</w:t>
      </w:r>
      <w:r>
        <w:rPr>
          <w:snapToGrid/>
          <w:szCs w:val="21"/>
          <w:lang w:val="en-GB"/>
        </w:rPr>
        <w:t>(</w:t>
      </w:r>
      <w:r>
        <w:rPr>
          <w:snapToGrid/>
          <w:szCs w:val="21"/>
          <w:lang w:val="en-GB"/>
        </w:rPr>
        <w:t>契约</w:t>
      </w:r>
      <w:r>
        <w:rPr>
          <w:snapToGrid/>
          <w:szCs w:val="21"/>
          <w:lang w:val="en-GB"/>
        </w:rPr>
        <w:t>)</w:t>
      </w:r>
      <w:r>
        <w:rPr>
          <w:snapToGrid/>
          <w:szCs w:val="21"/>
          <w:lang w:val="en-GB"/>
        </w:rPr>
        <w:t>或承包合同予以协调。与土库曼斯坦有关劳动的立法相比，使劳动者处境恶化的劳动合同</w:t>
      </w:r>
      <w:r>
        <w:rPr>
          <w:snapToGrid/>
          <w:szCs w:val="21"/>
          <w:lang w:val="en-GB"/>
        </w:rPr>
        <w:t>(</w:t>
      </w:r>
      <w:r>
        <w:rPr>
          <w:snapToGrid/>
          <w:szCs w:val="21"/>
          <w:lang w:val="en-GB"/>
        </w:rPr>
        <w:t>契约</w:t>
      </w:r>
      <w:r>
        <w:rPr>
          <w:snapToGrid/>
          <w:szCs w:val="21"/>
          <w:lang w:val="en-GB"/>
        </w:rPr>
        <w:t>)</w:t>
      </w:r>
      <w:r>
        <w:rPr>
          <w:snapToGrid/>
          <w:szCs w:val="21"/>
          <w:lang w:val="en-GB"/>
        </w:rPr>
        <w:t>条款是无效的。企业应向劳动者保障：土库曼斯坦规定的最低劳动工资、健康安全的劳动条件和社会保护措施。</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127. </w:t>
      </w:r>
      <w:r>
        <w:rPr>
          <w:rFonts w:hint="eastAsia"/>
          <w:snapToGrid/>
          <w:szCs w:val="21"/>
          <w:lang w:val="en-GB"/>
        </w:rPr>
        <w:t xml:space="preserve"> </w:t>
      </w:r>
      <w:r>
        <w:rPr>
          <w:snapToGrid/>
          <w:szCs w:val="21"/>
          <w:lang w:val="en-GB"/>
        </w:rPr>
        <w:t>《土库曼斯坦农民协会法》</w:t>
      </w:r>
      <w:r>
        <w:rPr>
          <w:snapToGrid/>
          <w:szCs w:val="21"/>
          <w:lang w:val="en-GB"/>
        </w:rPr>
        <w:t>(</w:t>
      </w:r>
      <w:smartTag w:uri="urn:schemas-microsoft-com:office:smarttags" w:element="chsdate">
        <w:smartTagPr>
          <w:attr w:name="IsROCDate" w:val="False"/>
          <w:attr w:name="IsLunarDate" w:val="False"/>
          <w:attr w:name="Day" w:val="30"/>
          <w:attr w:name="Month" w:val="3"/>
          <w:attr w:name="Year" w:val="2007"/>
        </w:smartTagPr>
        <w:r>
          <w:rPr>
            <w:snapToGrid/>
            <w:szCs w:val="21"/>
            <w:lang w:val="en-GB"/>
          </w:rPr>
          <w:t>2007</w:t>
        </w:r>
        <w:r>
          <w:rPr>
            <w:snapToGrid/>
            <w:szCs w:val="21"/>
            <w:lang w:val="en-GB"/>
          </w:rPr>
          <w:t>年</w:t>
        </w:r>
        <w:r>
          <w:rPr>
            <w:snapToGrid/>
            <w:szCs w:val="21"/>
            <w:lang w:val="en-GB"/>
          </w:rPr>
          <w:t>3</w:t>
        </w:r>
        <w:r>
          <w:rPr>
            <w:snapToGrid/>
            <w:szCs w:val="21"/>
            <w:lang w:val="en-GB"/>
          </w:rPr>
          <w:t>月</w:t>
        </w:r>
        <w:r>
          <w:rPr>
            <w:snapToGrid/>
            <w:szCs w:val="21"/>
            <w:lang w:val="en-GB"/>
          </w:rPr>
          <w:t>30</w:t>
        </w:r>
        <w:r>
          <w:rPr>
            <w:snapToGrid/>
            <w:szCs w:val="21"/>
            <w:lang w:val="en-GB"/>
          </w:rPr>
          <w:t>日</w:t>
        </w:r>
      </w:smartTag>
      <w:r>
        <w:rPr>
          <w:snapToGrid/>
          <w:szCs w:val="21"/>
          <w:lang w:val="en-GB"/>
        </w:rPr>
        <w:t>颁布</w:t>
      </w:r>
      <w:r>
        <w:rPr>
          <w:snapToGrid/>
          <w:szCs w:val="21"/>
          <w:lang w:val="en-GB"/>
        </w:rPr>
        <w:t>)</w:t>
      </w:r>
      <w:r>
        <w:rPr>
          <w:snapToGrid/>
          <w:szCs w:val="21"/>
          <w:lang w:val="en-GB"/>
        </w:rPr>
        <w:t>规定，应向按劳动合同工作的公民支付工资。工资不取决于农活总量，如没有特殊协议，应不低于土库曼斯坦规定的最低工资水平。</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128. </w:t>
      </w:r>
      <w:r>
        <w:rPr>
          <w:rFonts w:hint="eastAsia"/>
          <w:snapToGrid/>
          <w:szCs w:val="21"/>
          <w:lang w:val="en-GB"/>
        </w:rPr>
        <w:t xml:space="preserve"> </w:t>
      </w:r>
      <w:r>
        <w:rPr>
          <w:snapToGrid/>
          <w:szCs w:val="21"/>
          <w:lang w:val="en-GB"/>
        </w:rPr>
        <w:t>《土库曼斯坦劳动保护法》是土库曼斯坦的主要法令，致力于保障公民享有健康、安全的劳动条件权利。该法第</w:t>
      </w:r>
      <w:r>
        <w:rPr>
          <w:snapToGrid/>
          <w:szCs w:val="21"/>
          <w:lang w:val="en-GB"/>
        </w:rPr>
        <w:t>5</w:t>
      </w:r>
      <w:r>
        <w:rPr>
          <w:snapToGrid/>
          <w:szCs w:val="21"/>
          <w:lang w:val="en-GB"/>
        </w:rPr>
        <w:t>条规定了国家劳动保护政策的主要方向：</w:t>
      </w:r>
    </w:p>
    <w:p w:rsidR="00A93F62" w:rsidRDefault="00A93F62">
      <w:pPr>
        <w:pStyle w:val="Bullet1GC"/>
        <w:numPr>
          <w:ilvl w:val="0"/>
          <w:numId w:val="14"/>
        </w:numPr>
        <w:rPr>
          <w:snapToGrid/>
          <w:lang w:val="en-GB"/>
        </w:rPr>
      </w:pPr>
      <w:r>
        <w:rPr>
          <w:snapToGrid/>
          <w:lang w:val="en-GB"/>
        </w:rPr>
        <w:t>同企业的生产活动相比，劳动者的生命与健康优先；企业有责任建立安全健康的劳动条件；</w:t>
      </w:r>
    </w:p>
    <w:p w:rsidR="00A93F62" w:rsidRDefault="00A93F62">
      <w:pPr>
        <w:pStyle w:val="Bullet1GC"/>
        <w:numPr>
          <w:ilvl w:val="0"/>
          <w:numId w:val="14"/>
        </w:numPr>
        <w:rPr>
          <w:snapToGrid/>
          <w:lang w:val="en-GB"/>
        </w:rPr>
      </w:pPr>
      <w:r>
        <w:rPr>
          <w:snapToGrid/>
          <w:lang w:val="en-GB"/>
        </w:rPr>
        <w:t>根据该问题解决相关的国家计划与专项计划，综合解决劳动保护问题；</w:t>
      </w:r>
    </w:p>
    <w:p w:rsidR="00A93F62" w:rsidRDefault="00A93F62">
      <w:pPr>
        <w:pStyle w:val="Bullet1GC"/>
        <w:numPr>
          <w:ilvl w:val="0"/>
          <w:numId w:val="14"/>
        </w:numPr>
        <w:rPr>
          <w:snapToGrid/>
          <w:lang w:val="en-GB"/>
        </w:rPr>
      </w:pPr>
      <w:r>
        <w:rPr>
          <w:snapToGrid/>
          <w:lang w:val="en-GB"/>
        </w:rPr>
        <w:t>劳动者的社会保护，对因履行劳动义务造成的伤残、职业病或其它健康损害给劳动者带来的损失给予全额赔偿；</w:t>
      </w:r>
    </w:p>
    <w:p w:rsidR="00A93F62" w:rsidRDefault="00A93F62">
      <w:pPr>
        <w:pStyle w:val="Bullet1GC"/>
        <w:numPr>
          <w:ilvl w:val="0"/>
          <w:numId w:val="14"/>
        </w:numPr>
        <w:rPr>
          <w:snapToGrid/>
          <w:lang w:val="en-GB"/>
        </w:rPr>
      </w:pPr>
      <w:r>
        <w:rPr>
          <w:snapToGrid/>
          <w:lang w:val="en-GB"/>
        </w:rPr>
        <w:t>建立所有企业统一遵守的劳动保护标准；</w:t>
      </w:r>
    </w:p>
    <w:p w:rsidR="00A93F62" w:rsidRDefault="00A93F62">
      <w:pPr>
        <w:pStyle w:val="Bullet1GC"/>
        <w:numPr>
          <w:ilvl w:val="0"/>
          <w:numId w:val="14"/>
        </w:numPr>
        <w:rPr>
          <w:snapToGrid/>
          <w:lang w:val="en-GB"/>
        </w:rPr>
      </w:pPr>
      <w:r>
        <w:rPr>
          <w:snapToGrid/>
          <w:lang w:val="en-GB"/>
        </w:rPr>
        <w:t>维护健康、劳动保健与劳动安全；</w:t>
      </w:r>
    </w:p>
    <w:p w:rsidR="00A93F62" w:rsidRDefault="00A93F62">
      <w:pPr>
        <w:pStyle w:val="Bullet1GC"/>
        <w:numPr>
          <w:ilvl w:val="0"/>
          <w:numId w:val="14"/>
        </w:numPr>
        <w:rPr>
          <w:snapToGrid/>
          <w:lang w:val="en-GB"/>
        </w:rPr>
      </w:pPr>
      <w:r>
        <w:rPr>
          <w:snapToGrid/>
          <w:lang w:val="en-GB"/>
        </w:rPr>
        <w:t>解决劳动保护问题时的国际合作问题，借鉴国际经验，切实改善条件和提高劳动安全；</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129.</w:t>
      </w:r>
      <w:r>
        <w:rPr>
          <w:rFonts w:hint="eastAsia"/>
          <w:snapToGrid/>
          <w:szCs w:val="21"/>
          <w:lang w:val="en-GB"/>
        </w:rPr>
        <w:t xml:space="preserve">  </w:t>
      </w:r>
      <w:r>
        <w:rPr>
          <w:snapToGrid/>
          <w:szCs w:val="21"/>
          <w:lang w:val="en-GB"/>
        </w:rPr>
        <w:t>制定企业劳动安全保障要求，在科学论证的标准、条件和定额基础上实施。管理者</w:t>
      </w:r>
      <w:r>
        <w:rPr>
          <w:snapToGrid/>
          <w:szCs w:val="21"/>
          <w:lang w:val="en-GB"/>
        </w:rPr>
        <w:t>(</w:t>
      </w:r>
      <w:r>
        <w:rPr>
          <w:snapToGrid/>
          <w:szCs w:val="21"/>
          <w:lang w:val="en-GB"/>
        </w:rPr>
        <w:t>企业主</w:t>
      </w:r>
      <w:r>
        <w:rPr>
          <w:snapToGrid/>
          <w:szCs w:val="21"/>
          <w:lang w:val="en-GB"/>
        </w:rPr>
        <w:t>)</w:t>
      </w:r>
      <w:r>
        <w:rPr>
          <w:snapToGrid/>
          <w:szCs w:val="21"/>
          <w:lang w:val="en-GB"/>
        </w:rPr>
        <w:t>保证，企业执行集体合同要求，制订劳动保护守则。主管机构应根据劳动保护要求，对不符合安全要求，直接威胁劳动者健康与生活的企业、车间、工段作业，生产器材操作或产品使用，在其开始前暂时中止。</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130.</w:t>
      </w:r>
      <w:r>
        <w:rPr>
          <w:rFonts w:hint="eastAsia"/>
          <w:snapToGrid/>
          <w:szCs w:val="21"/>
          <w:lang w:val="en-GB"/>
        </w:rPr>
        <w:t xml:space="preserve">  </w:t>
      </w:r>
      <w:r>
        <w:rPr>
          <w:snapToGrid/>
          <w:szCs w:val="21"/>
          <w:lang w:val="en-GB"/>
        </w:rPr>
        <w:t>依靠司法权独立</w:t>
      </w:r>
      <w:r>
        <w:rPr>
          <w:snapToGrid/>
          <w:szCs w:val="21"/>
          <w:lang w:val="en-GB"/>
        </w:rPr>
        <w:t>(</w:t>
      </w:r>
      <w:r>
        <w:rPr>
          <w:snapToGrid/>
          <w:szCs w:val="21"/>
          <w:lang w:val="en-GB"/>
        </w:rPr>
        <w:t>《土库曼斯坦宪法》第</w:t>
      </w:r>
      <w:r>
        <w:rPr>
          <w:snapToGrid/>
          <w:szCs w:val="21"/>
          <w:lang w:val="en-GB"/>
        </w:rPr>
        <w:t>99</w:t>
      </w:r>
      <w:r>
        <w:rPr>
          <w:snapToGrid/>
          <w:szCs w:val="21"/>
          <w:lang w:val="en-GB"/>
        </w:rPr>
        <w:t>、</w:t>
      </w:r>
      <w:r>
        <w:rPr>
          <w:snapToGrid/>
          <w:szCs w:val="21"/>
          <w:lang w:val="en-GB"/>
        </w:rPr>
        <w:t>101</w:t>
      </w:r>
      <w:r>
        <w:rPr>
          <w:snapToGrid/>
          <w:szCs w:val="21"/>
          <w:lang w:val="en-GB"/>
        </w:rPr>
        <w:t>条</w:t>
      </w:r>
      <w:r>
        <w:rPr>
          <w:snapToGrid/>
          <w:szCs w:val="21"/>
          <w:lang w:val="en-GB"/>
        </w:rPr>
        <w:t>)</w:t>
      </w:r>
      <w:r>
        <w:rPr>
          <w:snapToGrid/>
          <w:szCs w:val="21"/>
          <w:lang w:val="en-GB"/>
        </w:rPr>
        <w:t>，提供专业法律援助</w:t>
      </w:r>
      <w:r>
        <w:rPr>
          <w:snapToGrid/>
          <w:szCs w:val="21"/>
          <w:lang w:val="en-GB"/>
        </w:rPr>
        <w:t>(</w:t>
      </w:r>
      <w:r>
        <w:rPr>
          <w:snapToGrid/>
          <w:szCs w:val="21"/>
          <w:lang w:val="en-GB"/>
        </w:rPr>
        <w:t>《土库曼斯坦宪法》第</w:t>
      </w:r>
      <w:r>
        <w:rPr>
          <w:snapToGrid/>
          <w:szCs w:val="21"/>
          <w:lang w:val="en-GB"/>
        </w:rPr>
        <w:t>108</w:t>
      </w:r>
      <w:r>
        <w:rPr>
          <w:snapToGrid/>
          <w:szCs w:val="21"/>
          <w:lang w:val="en-GB"/>
        </w:rPr>
        <w:t>条</w:t>
      </w:r>
      <w:r>
        <w:rPr>
          <w:snapToGrid/>
          <w:szCs w:val="21"/>
          <w:lang w:val="en-GB"/>
        </w:rPr>
        <w:t>)</w:t>
      </w:r>
      <w:r>
        <w:rPr>
          <w:snapToGrid/>
          <w:szCs w:val="21"/>
          <w:lang w:val="en-GB"/>
        </w:rPr>
        <w:t>，检察机关</w:t>
      </w:r>
      <w:r>
        <w:rPr>
          <w:snapToGrid/>
          <w:szCs w:val="21"/>
          <w:lang w:val="en-GB"/>
        </w:rPr>
        <w:t>(</w:t>
      </w:r>
      <w:r>
        <w:rPr>
          <w:snapToGrid/>
          <w:szCs w:val="21"/>
          <w:lang w:val="en-GB"/>
        </w:rPr>
        <w:t>《土库曼斯坦宪法》第</w:t>
      </w:r>
      <w:r>
        <w:rPr>
          <w:snapToGrid/>
          <w:szCs w:val="21"/>
          <w:lang w:val="en-GB"/>
        </w:rPr>
        <w:t>110</w:t>
      </w:r>
      <w:r>
        <w:rPr>
          <w:snapToGrid/>
          <w:szCs w:val="21"/>
          <w:lang w:val="en-GB"/>
        </w:rPr>
        <w:t>条</w:t>
      </w:r>
      <w:r>
        <w:rPr>
          <w:snapToGrid/>
          <w:szCs w:val="21"/>
          <w:lang w:val="en-GB"/>
        </w:rPr>
        <w:t>)</w:t>
      </w:r>
      <w:r>
        <w:rPr>
          <w:snapToGrid/>
          <w:szCs w:val="21"/>
          <w:lang w:val="en-GB"/>
        </w:rPr>
        <w:t>、权利保护机构以及工会</w:t>
      </w:r>
      <w:r>
        <w:rPr>
          <w:snapToGrid/>
          <w:szCs w:val="21"/>
          <w:lang w:val="en-GB"/>
        </w:rPr>
        <w:t>(</w:t>
      </w:r>
      <w:r>
        <w:rPr>
          <w:snapToGrid/>
          <w:szCs w:val="21"/>
          <w:lang w:val="en-GB"/>
        </w:rPr>
        <w:t>土库曼斯坦国家工会中心的社会经济权利保护处和工会的地方相关部门</w:t>
      </w:r>
      <w:r>
        <w:rPr>
          <w:snapToGrid/>
          <w:szCs w:val="21"/>
          <w:lang w:val="en-GB"/>
        </w:rPr>
        <w:t>)</w:t>
      </w:r>
      <w:r>
        <w:rPr>
          <w:snapToGrid/>
          <w:szCs w:val="21"/>
          <w:lang w:val="en-GB"/>
        </w:rPr>
        <w:t>发挥职能作用，《土库曼斯坦民事诉讼法典》、《土库曼斯坦劳动法典》</w:t>
      </w:r>
      <w:r>
        <w:rPr>
          <w:snapToGrid/>
          <w:szCs w:val="21"/>
          <w:lang w:val="en-GB"/>
        </w:rPr>
        <w:t>(</w:t>
      </w:r>
      <w:r>
        <w:rPr>
          <w:snapToGrid/>
          <w:szCs w:val="21"/>
          <w:lang w:val="en-GB"/>
        </w:rPr>
        <w:t>第十四章</w:t>
      </w:r>
      <w:r>
        <w:rPr>
          <w:snapToGrid/>
          <w:szCs w:val="21"/>
          <w:lang w:val="en-GB"/>
        </w:rPr>
        <w:t>“</w:t>
      </w:r>
      <w:r>
        <w:rPr>
          <w:snapToGrid/>
          <w:szCs w:val="21"/>
          <w:lang w:val="en-GB"/>
        </w:rPr>
        <w:t>劳资纠纷</w:t>
      </w:r>
      <w:r>
        <w:rPr>
          <w:snapToGrid/>
          <w:szCs w:val="21"/>
          <w:lang w:val="en-GB"/>
        </w:rPr>
        <w:t>”</w:t>
      </w:r>
      <w:r>
        <w:rPr>
          <w:snapToGrid/>
          <w:szCs w:val="21"/>
          <w:lang w:val="en-GB"/>
        </w:rPr>
        <w:t>第</w:t>
      </w:r>
      <w:r>
        <w:rPr>
          <w:snapToGrid/>
          <w:szCs w:val="21"/>
          <w:lang w:val="en-GB"/>
        </w:rPr>
        <w:t>208-231</w:t>
      </w:r>
      <w:r>
        <w:rPr>
          <w:snapToGrid/>
          <w:szCs w:val="21"/>
          <w:lang w:val="en-GB"/>
        </w:rPr>
        <w:t>条</w:t>
      </w:r>
      <w:r>
        <w:rPr>
          <w:snapToGrid/>
          <w:szCs w:val="21"/>
          <w:lang w:val="en-GB"/>
        </w:rPr>
        <w:t>)</w:t>
      </w:r>
      <w:r>
        <w:rPr>
          <w:snapToGrid/>
          <w:szCs w:val="21"/>
          <w:lang w:val="en-GB"/>
        </w:rPr>
        <w:t>规定的相应法定程序，通过政府或地方政府认定行为无效的方式，保护公民，使其不受限制用工自由的歧视行为侵害。</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131.</w:t>
      </w:r>
      <w:r>
        <w:rPr>
          <w:rFonts w:hint="eastAsia"/>
          <w:snapToGrid/>
          <w:szCs w:val="21"/>
          <w:lang w:val="en-GB"/>
        </w:rPr>
        <w:t xml:space="preserve">  </w:t>
      </w:r>
      <w:r>
        <w:rPr>
          <w:snapToGrid/>
          <w:szCs w:val="21"/>
          <w:lang w:val="en-GB"/>
        </w:rPr>
        <w:t>劳动保健方面有卫生标准和工业领域章程。卫生防疫部门研究卫生保健劳动条件，进行生产环境卫生评价，预防生产的职业危害和职业病，监督妇女和青少年劳动的卫生条件。</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132.</w:t>
      </w:r>
      <w:r>
        <w:rPr>
          <w:rFonts w:hint="eastAsia"/>
          <w:snapToGrid/>
          <w:szCs w:val="21"/>
          <w:lang w:val="en-GB"/>
        </w:rPr>
        <w:t xml:space="preserve">  </w:t>
      </w:r>
      <w:r>
        <w:rPr>
          <w:snapToGrid/>
          <w:szCs w:val="21"/>
          <w:lang w:val="en-GB"/>
        </w:rPr>
        <w:t>土库曼斯坦国家标准总局根据条例，对劳动保护进行国家监督。工会通过技术监督局，对劳动者劳动保护方面的合法权益进行社会监督，技术监督局根据技术监督机关的条例进行活动。</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133.</w:t>
      </w:r>
      <w:r>
        <w:rPr>
          <w:rFonts w:hint="eastAsia"/>
          <w:snapToGrid/>
          <w:szCs w:val="21"/>
          <w:lang w:val="en-GB"/>
        </w:rPr>
        <w:t xml:space="preserve">  </w:t>
      </w:r>
      <w:r>
        <w:rPr>
          <w:snapToGrid/>
          <w:szCs w:val="21"/>
          <w:lang w:val="en-GB"/>
        </w:rPr>
        <w:t>1997</w:t>
      </w:r>
      <w:r>
        <w:rPr>
          <w:snapToGrid/>
          <w:szCs w:val="21"/>
          <w:lang w:val="en-GB"/>
        </w:rPr>
        <w:t>年，土库曼斯坦部长内阁批准了艰苦工作、劳动条件有害或危险的工作清单。应向从事这些工作的劳动者提供法律规定的额外带薪休假，并且，这些劳动者还享受缩短工作日的权利。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134.</w:t>
      </w:r>
      <w:r>
        <w:rPr>
          <w:rFonts w:hint="eastAsia"/>
          <w:snapToGrid/>
          <w:szCs w:val="21"/>
          <w:lang w:val="en-GB"/>
        </w:rPr>
        <w:t xml:space="preserve">  </w:t>
      </w:r>
      <w:r>
        <w:rPr>
          <w:snapToGrid/>
          <w:szCs w:val="21"/>
          <w:lang w:val="en-GB"/>
        </w:rPr>
        <w:t>违反劳动保护立法的公职人员和工作人员，应按照法律规定的方式，承担物质、纪律、行政和刑事责任。法律规定，劳动者死亡时，企业应以法律规定的方式与金额，向权利人赔偿物质损失。并支付一次性补助金，额度为达到退休年龄时应领取的工资。一次性补助金最低金额应为：</w:t>
      </w:r>
    </w:p>
    <w:p w:rsidR="00A93F62" w:rsidRDefault="00A93F62">
      <w:pPr>
        <w:pStyle w:val="Bullet1GC"/>
        <w:numPr>
          <w:ilvl w:val="0"/>
          <w:numId w:val="14"/>
        </w:numPr>
        <w:rPr>
          <w:snapToGrid/>
          <w:lang w:val="en-GB"/>
        </w:rPr>
      </w:pPr>
      <w:r>
        <w:rPr>
          <w:snapToGrid/>
          <w:lang w:val="en-GB"/>
        </w:rPr>
        <w:t>死亡情况下</w:t>
      </w:r>
      <w:r>
        <w:rPr>
          <w:rFonts w:hint="eastAsia"/>
          <w:snapToGrid/>
          <w:spacing w:val="-50"/>
          <w:lang w:val="en-GB"/>
        </w:rPr>
        <w:t>―</w:t>
      </w:r>
      <w:r>
        <w:rPr>
          <w:rFonts w:hint="eastAsia"/>
          <w:snapToGrid/>
          <w:lang w:val="en-GB"/>
        </w:rPr>
        <w:t>―</w:t>
      </w:r>
      <w:r>
        <w:rPr>
          <w:snapToGrid/>
          <w:lang w:val="en-GB"/>
        </w:rPr>
        <w:t>不少于十年的工资。</w:t>
      </w:r>
    </w:p>
    <w:p w:rsidR="00A93F62" w:rsidRDefault="00A93F62">
      <w:pPr>
        <w:pStyle w:val="SingleTxtGC"/>
        <w:rPr>
          <w:snapToGrid/>
          <w:lang w:val="en-GB"/>
        </w:rPr>
      </w:pPr>
      <w:r>
        <w:rPr>
          <w:snapToGrid/>
          <w:lang w:val="en-GB"/>
        </w:rPr>
        <w:t>依法规定的残疾情况：</w:t>
      </w:r>
    </w:p>
    <w:p w:rsidR="00A93F62" w:rsidRDefault="00A93F62">
      <w:pPr>
        <w:pStyle w:val="Bullet1GC"/>
        <w:numPr>
          <w:ilvl w:val="0"/>
          <w:numId w:val="14"/>
        </w:numPr>
        <w:rPr>
          <w:snapToGrid/>
          <w:lang w:val="en-GB"/>
        </w:rPr>
      </w:pPr>
      <w:r>
        <w:t>I</w:t>
      </w:r>
      <w:r>
        <w:rPr>
          <w:snapToGrid/>
          <w:lang w:val="en-GB"/>
        </w:rPr>
        <w:t>级</w:t>
      </w:r>
      <w:r>
        <w:rPr>
          <w:snapToGrid/>
          <w:spacing w:val="-50"/>
          <w:lang w:val="en-GB"/>
        </w:rPr>
        <w:t>―</w:t>
      </w:r>
      <w:r>
        <w:rPr>
          <w:snapToGrid/>
          <w:lang w:val="en-GB"/>
        </w:rPr>
        <w:t>―</w:t>
      </w:r>
      <w:r>
        <w:rPr>
          <w:snapToGrid/>
          <w:lang w:val="en-GB"/>
        </w:rPr>
        <w:t>不少于五年的工资；</w:t>
      </w:r>
    </w:p>
    <w:p w:rsidR="00A93F62" w:rsidRDefault="00A93F62">
      <w:pPr>
        <w:pStyle w:val="Bullet1GC"/>
        <w:numPr>
          <w:ilvl w:val="0"/>
          <w:numId w:val="14"/>
        </w:numPr>
        <w:rPr>
          <w:snapToGrid/>
          <w:lang w:val="en-GB"/>
        </w:rPr>
      </w:pPr>
      <w:r>
        <w:rPr>
          <w:rFonts w:hAnsi="SimSun"/>
          <w:snapToGrid/>
          <w:lang w:val="en-GB"/>
        </w:rPr>
        <w:t>Ⅱ</w:t>
      </w:r>
      <w:r>
        <w:rPr>
          <w:snapToGrid/>
          <w:lang w:val="en-GB"/>
        </w:rPr>
        <w:t>级</w:t>
      </w:r>
      <w:r>
        <w:rPr>
          <w:snapToGrid/>
          <w:spacing w:val="-50"/>
          <w:lang w:val="en-GB"/>
        </w:rPr>
        <w:t>―</w:t>
      </w:r>
      <w:r>
        <w:rPr>
          <w:snapToGrid/>
          <w:lang w:val="en-GB"/>
        </w:rPr>
        <w:t>―</w:t>
      </w:r>
      <w:r>
        <w:rPr>
          <w:snapToGrid/>
          <w:lang w:val="en-GB"/>
        </w:rPr>
        <w:t>不少于三年的工资；</w:t>
      </w:r>
    </w:p>
    <w:p w:rsidR="00A93F62" w:rsidRDefault="00A93F62">
      <w:pPr>
        <w:pStyle w:val="Bullet1GC"/>
        <w:numPr>
          <w:ilvl w:val="0"/>
          <w:numId w:val="14"/>
        </w:numPr>
        <w:rPr>
          <w:snapToGrid/>
          <w:lang w:val="en-GB"/>
        </w:rPr>
      </w:pPr>
      <w:r>
        <w:t>III</w:t>
      </w:r>
      <w:r>
        <w:rPr>
          <w:snapToGrid/>
          <w:lang w:val="en-GB"/>
        </w:rPr>
        <w:t>级</w:t>
      </w:r>
      <w:r>
        <w:rPr>
          <w:snapToGrid/>
          <w:spacing w:val="-50"/>
          <w:lang w:val="en-GB"/>
        </w:rPr>
        <w:t>―</w:t>
      </w:r>
      <w:r>
        <w:rPr>
          <w:snapToGrid/>
          <w:lang w:val="en-GB"/>
        </w:rPr>
        <w:t>―</w:t>
      </w:r>
      <w:r>
        <w:rPr>
          <w:snapToGrid/>
          <w:lang w:val="en-GB"/>
        </w:rPr>
        <w:t>不少于一年的工资；</w:t>
      </w:r>
    </w:p>
    <w:p w:rsidR="00A93F62" w:rsidRDefault="00A93F62">
      <w:pPr>
        <w:pStyle w:val="Bullet1GC"/>
        <w:numPr>
          <w:ilvl w:val="0"/>
          <w:numId w:val="14"/>
        </w:numPr>
        <w:rPr>
          <w:snapToGrid/>
          <w:lang w:val="en-GB"/>
        </w:rPr>
      </w:pPr>
      <w:r>
        <w:rPr>
          <w:snapToGrid/>
          <w:lang w:val="en-GB"/>
        </w:rPr>
        <w:t>发生事故，连续四个月临时丧失劳动能力</w:t>
      </w:r>
      <w:r>
        <w:rPr>
          <w:rFonts w:hint="eastAsia"/>
          <w:snapToGrid/>
          <w:spacing w:val="-50"/>
          <w:lang w:val="en-GB"/>
        </w:rPr>
        <w:t>―</w:t>
      </w:r>
      <w:r>
        <w:rPr>
          <w:rFonts w:hint="eastAsia"/>
          <w:snapToGrid/>
          <w:lang w:val="en-GB"/>
        </w:rPr>
        <w:t>―</w:t>
      </w:r>
      <w:r>
        <w:rPr>
          <w:snapToGrid/>
          <w:lang w:val="en-GB"/>
        </w:rPr>
        <w:t>不少于半年的工资。</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135.</w:t>
      </w:r>
      <w:r>
        <w:rPr>
          <w:rFonts w:hint="eastAsia"/>
          <w:snapToGrid/>
          <w:szCs w:val="21"/>
          <w:lang w:val="en-GB"/>
        </w:rPr>
        <w:t xml:space="preserve">  </w:t>
      </w:r>
      <w:r>
        <w:rPr>
          <w:snapToGrid/>
          <w:szCs w:val="21"/>
          <w:lang w:val="en-GB"/>
        </w:rPr>
        <w:t>根据</w:t>
      </w:r>
      <w:smartTag w:uri="urn:schemas-microsoft-com:office:smarttags" w:element="chsdate">
        <w:smartTagPr>
          <w:attr w:name="IsROCDate" w:val="False"/>
          <w:attr w:name="IsLunarDate" w:val="False"/>
          <w:attr w:name="Day" w:val="13"/>
          <w:attr w:name="Month" w:val="1"/>
          <w:attr w:name="Year" w:val="1999"/>
        </w:smartTagPr>
        <w:r>
          <w:rPr>
            <w:snapToGrid/>
            <w:szCs w:val="21"/>
            <w:lang w:val="en-GB"/>
          </w:rPr>
          <w:t>1999</w:t>
        </w:r>
        <w:r>
          <w:rPr>
            <w:snapToGrid/>
            <w:szCs w:val="21"/>
            <w:lang w:val="en-GB"/>
          </w:rPr>
          <w:t>年</w:t>
        </w:r>
        <w:r>
          <w:rPr>
            <w:snapToGrid/>
            <w:szCs w:val="21"/>
            <w:lang w:val="en-GB"/>
          </w:rPr>
          <w:t>1</w:t>
        </w:r>
        <w:r>
          <w:rPr>
            <w:snapToGrid/>
            <w:szCs w:val="21"/>
            <w:lang w:val="en-GB"/>
          </w:rPr>
          <w:t>月</w:t>
        </w:r>
        <w:r>
          <w:rPr>
            <w:snapToGrid/>
            <w:szCs w:val="21"/>
            <w:lang w:val="en-GB"/>
          </w:rPr>
          <w:t>13</w:t>
        </w:r>
        <w:r>
          <w:rPr>
            <w:snapToGrid/>
            <w:szCs w:val="21"/>
            <w:lang w:val="en-GB"/>
          </w:rPr>
          <w:t>日</w:t>
        </w:r>
      </w:smartTag>
      <w:r>
        <w:rPr>
          <w:snapToGrid/>
          <w:szCs w:val="21"/>
          <w:lang w:val="en-GB"/>
        </w:rPr>
        <w:t>颁布的土库曼斯坦总统令，批准了生产事故调查与统计条例和劳动者因履行劳动义务而致伤残、职业病或其它健康损害而遭受损失时的赔偿条例。这些文件严格规定了生产事故的调查方式。</w:t>
      </w:r>
    </w:p>
    <w:p w:rsidR="00A93F62" w:rsidRDefault="00A93F62">
      <w:pPr>
        <w:pStyle w:val="H1GC"/>
        <w:rPr>
          <w:snapToGrid/>
          <w:lang w:val="en-GB"/>
        </w:rPr>
      </w:pPr>
      <w:r>
        <w:rPr>
          <w:rFonts w:hint="eastAsia"/>
          <w:snapToGrid/>
          <w:lang w:val="en-GB"/>
        </w:rPr>
        <w:tab/>
      </w:r>
      <w:r>
        <w:rPr>
          <w:rFonts w:hint="eastAsia"/>
          <w:snapToGrid/>
          <w:lang w:val="en-GB"/>
        </w:rPr>
        <w:tab/>
      </w:r>
      <w:r>
        <w:rPr>
          <w:snapToGrid/>
          <w:lang w:val="en-GB"/>
        </w:rPr>
        <w:t>第八条</w:t>
      </w:r>
      <w:r>
        <w:rPr>
          <w:snapToGrid/>
          <w:lang w:val="en-GB"/>
        </w:rPr>
        <w:t xml:space="preserve"> </w:t>
      </w:r>
      <w:r>
        <w:rPr>
          <w:rFonts w:hint="eastAsia"/>
          <w:snapToGrid/>
          <w:lang w:val="en-GB"/>
        </w:rPr>
        <w:br/>
      </w:r>
      <w:r>
        <w:rPr>
          <w:snapToGrid/>
          <w:lang w:val="en-GB"/>
        </w:rPr>
        <w:t>加入工会的权利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136.</w:t>
      </w:r>
      <w:r>
        <w:rPr>
          <w:rFonts w:hint="eastAsia"/>
          <w:snapToGrid/>
          <w:szCs w:val="21"/>
          <w:lang w:val="en-GB"/>
        </w:rPr>
        <w:t xml:space="preserve">  </w:t>
      </w:r>
      <w:r>
        <w:rPr>
          <w:snapToGrid/>
          <w:szCs w:val="21"/>
          <w:lang w:val="en-GB"/>
        </w:rPr>
        <w:t>根据《土库曼斯坦宪法》第</w:t>
      </w:r>
      <w:r>
        <w:rPr>
          <w:snapToGrid/>
          <w:szCs w:val="21"/>
          <w:lang w:val="en-GB"/>
        </w:rPr>
        <w:t>30</w:t>
      </w:r>
      <w:r>
        <w:rPr>
          <w:snapToGrid/>
          <w:szCs w:val="21"/>
          <w:lang w:val="en-GB"/>
        </w:rPr>
        <w:t>条的规定，公民有权成立在宪法与法律范围内活动的政党及其它社会团体。禁止成立如下政党、其它社会团体、军事化团体：意图暴力改变宪法制度，允许横行不法，反对公民的宪法权利与自由，宣传战争、种族、民族、宗教敌对，蓄意侵犯人们的健康与道德。同样禁止有民族与宗教特征的政党。</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137.</w:t>
      </w:r>
      <w:r>
        <w:rPr>
          <w:rFonts w:hint="eastAsia"/>
          <w:snapToGrid/>
          <w:szCs w:val="21"/>
          <w:lang w:val="en-GB"/>
        </w:rPr>
        <w:t xml:space="preserve">  </w:t>
      </w:r>
      <w:r>
        <w:rPr>
          <w:snapToGrid/>
          <w:szCs w:val="21"/>
          <w:lang w:val="en-GB"/>
        </w:rPr>
        <w:t>保证法律规定的聚会、集会与游行示威</w:t>
      </w:r>
      <w:r>
        <w:rPr>
          <w:snapToGrid/>
          <w:szCs w:val="21"/>
          <w:lang w:val="en-GB"/>
        </w:rPr>
        <w:t>(</w:t>
      </w:r>
      <w:r>
        <w:rPr>
          <w:snapToGrid/>
          <w:szCs w:val="21"/>
          <w:lang w:val="en-GB"/>
        </w:rPr>
        <w:t>《宪法》第</w:t>
      </w:r>
      <w:r>
        <w:rPr>
          <w:snapToGrid/>
          <w:szCs w:val="21"/>
          <w:lang w:val="en-GB"/>
        </w:rPr>
        <w:t>29</w:t>
      </w:r>
      <w:r>
        <w:rPr>
          <w:snapToGrid/>
          <w:szCs w:val="21"/>
          <w:lang w:val="en-GB"/>
        </w:rPr>
        <w:t>条</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138.</w:t>
      </w:r>
      <w:r>
        <w:rPr>
          <w:rFonts w:hint="eastAsia"/>
          <w:snapToGrid/>
          <w:szCs w:val="21"/>
          <w:lang w:val="en-GB"/>
        </w:rPr>
        <w:t xml:space="preserve">  </w:t>
      </w:r>
      <w:r>
        <w:rPr>
          <w:snapToGrid/>
          <w:szCs w:val="21"/>
          <w:lang w:val="en-GB"/>
        </w:rPr>
        <w:t>根据《土库曼斯坦劳动法典》第</w:t>
      </w:r>
      <w:r>
        <w:rPr>
          <w:snapToGrid/>
          <w:szCs w:val="21"/>
          <w:lang w:val="en-GB"/>
        </w:rPr>
        <w:t>232</w:t>
      </w:r>
      <w:r>
        <w:rPr>
          <w:snapToGrid/>
          <w:szCs w:val="21"/>
          <w:lang w:val="en-GB"/>
        </w:rPr>
        <w:t>条，劳动者有权加入工会。以《土库曼斯坦工会章程》为基础，土库曼斯坦工会是公民自愿加入的社团，公民在生产或非生产活动中拥有同人种有关的共同利益。工会旨在于表达、实现和保护会员的劳动权利、社会经济权利与利益。土库曼斯坦工会是独立的社会团体，没有政治目的。</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139.</w:t>
      </w:r>
      <w:r>
        <w:rPr>
          <w:rFonts w:hint="eastAsia"/>
          <w:snapToGrid/>
          <w:szCs w:val="21"/>
          <w:lang w:val="en-GB"/>
        </w:rPr>
        <w:t xml:space="preserve">  </w:t>
      </w:r>
      <w:r>
        <w:rPr>
          <w:snapToGrid/>
          <w:szCs w:val="21"/>
          <w:lang w:val="en-GB"/>
        </w:rPr>
        <w:t>为使国家工会运动的统一得到加强，《章程》规定的维护会员权益的任务得以完成，以及工会组织、工会机构的领导得以实现，工会成立了土库曼斯坦工会国家中心。根据《章程》，承认本章程，在初级工会组织注册并缴纳会费的土库曼斯坦公民可以成为工会会员，他有权：</w:t>
      </w:r>
    </w:p>
    <w:p w:rsidR="00A93F62" w:rsidRDefault="00A93F62">
      <w:pPr>
        <w:pStyle w:val="Bullet1GC"/>
        <w:numPr>
          <w:ilvl w:val="0"/>
          <w:numId w:val="14"/>
        </w:numPr>
        <w:rPr>
          <w:snapToGrid/>
          <w:lang w:val="en-GB"/>
        </w:rPr>
      </w:pPr>
      <w:r>
        <w:rPr>
          <w:snapToGrid/>
          <w:lang w:val="en-GB"/>
        </w:rPr>
        <w:t>维护并向行政当局、雇主、任何工会机构提出自己的合法利益；</w:t>
      </w:r>
    </w:p>
    <w:p w:rsidR="00A93F62" w:rsidRDefault="00A93F62">
      <w:pPr>
        <w:pStyle w:val="Bullet1GC"/>
        <w:numPr>
          <w:ilvl w:val="0"/>
          <w:numId w:val="14"/>
        </w:numPr>
        <w:rPr>
          <w:snapToGrid/>
          <w:lang w:val="en-GB"/>
        </w:rPr>
      </w:pPr>
      <w:r>
        <w:rPr>
          <w:snapToGrid/>
          <w:lang w:val="en-GB"/>
        </w:rPr>
        <w:t>享受工会的社会的救济与援助，得到免费的法律援助；</w:t>
      </w:r>
    </w:p>
    <w:p w:rsidR="00A93F62" w:rsidRDefault="00A93F62">
      <w:pPr>
        <w:pStyle w:val="Bullet1GC"/>
        <w:numPr>
          <w:ilvl w:val="0"/>
          <w:numId w:val="14"/>
        </w:numPr>
        <w:rPr>
          <w:snapToGrid/>
          <w:lang w:val="en-GB"/>
        </w:rPr>
      </w:pPr>
      <w:r>
        <w:rPr>
          <w:snapToGrid/>
          <w:lang w:val="en-GB"/>
        </w:rPr>
        <w:t>推举、选举并入选工会机构；</w:t>
      </w:r>
    </w:p>
    <w:p w:rsidR="00A93F62" w:rsidRDefault="00A93F62">
      <w:pPr>
        <w:pStyle w:val="Bullet1GC"/>
        <w:numPr>
          <w:ilvl w:val="0"/>
          <w:numId w:val="14"/>
        </w:numPr>
        <w:rPr>
          <w:snapToGrid/>
          <w:lang w:val="en-GB"/>
        </w:rPr>
      </w:pPr>
      <w:r>
        <w:rPr>
          <w:snapToGrid/>
          <w:lang w:val="en-GB"/>
        </w:rPr>
        <w:t>根据个人声明，退出工会。</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140.</w:t>
      </w:r>
      <w:r>
        <w:rPr>
          <w:rFonts w:hint="eastAsia"/>
          <w:snapToGrid/>
          <w:szCs w:val="21"/>
          <w:lang w:val="en-GB"/>
        </w:rPr>
        <w:t xml:space="preserve">  </w:t>
      </w:r>
      <w:r>
        <w:rPr>
          <w:snapToGrid/>
          <w:szCs w:val="21"/>
          <w:lang w:val="en-GB"/>
        </w:rPr>
        <w:t>根据</w:t>
      </w:r>
      <w:r>
        <w:rPr>
          <w:snapToGrid/>
          <w:szCs w:val="21"/>
          <w:lang w:val="en-GB"/>
        </w:rPr>
        <w:t>1992</w:t>
      </w:r>
      <w:r>
        <w:rPr>
          <w:snapToGrid/>
          <w:szCs w:val="21"/>
          <w:lang w:val="en-GB"/>
        </w:rPr>
        <w:t>年土库曼斯坦总统令</w:t>
      </w:r>
      <w:r>
        <w:rPr>
          <w:snapToGrid/>
          <w:szCs w:val="21"/>
          <w:lang w:val="en-GB"/>
        </w:rPr>
        <w:t>(</w:t>
      </w:r>
      <w:r>
        <w:rPr>
          <w:snapToGrid/>
          <w:szCs w:val="21"/>
          <w:lang w:val="en-GB"/>
        </w:rPr>
        <w:t>关于社会劳动关系方面的社会伙伴关系</w:t>
      </w:r>
      <w:r>
        <w:rPr>
          <w:snapToGrid/>
          <w:szCs w:val="21"/>
          <w:lang w:val="en-GB"/>
        </w:rPr>
        <w:t>)</w:t>
      </w:r>
      <w:r>
        <w:rPr>
          <w:snapToGrid/>
          <w:szCs w:val="21"/>
          <w:lang w:val="en-GB"/>
        </w:rPr>
        <w:t>，土库曼斯坦政府、土库曼斯坦国家工会中心和企业家全权代表每年都签署社会经济问题协议，协议明确了居民就业、分阶段提高公民的社会保障、弱势群体居民的社会保护、根据经济稳定程度保障收入增加方面的义务。地方行政机构和工会也签署了类似协议。</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141.</w:t>
      </w:r>
      <w:r>
        <w:rPr>
          <w:rFonts w:hint="eastAsia"/>
          <w:snapToGrid/>
          <w:szCs w:val="21"/>
          <w:lang w:val="en-GB"/>
        </w:rPr>
        <w:t xml:space="preserve">  </w:t>
      </w:r>
      <w:r>
        <w:rPr>
          <w:snapToGrid/>
          <w:szCs w:val="21"/>
          <w:lang w:val="en-GB"/>
        </w:rPr>
        <w:t>1994</w:t>
      </w:r>
      <w:r>
        <w:rPr>
          <w:snapToGrid/>
          <w:szCs w:val="21"/>
          <w:lang w:val="en-GB"/>
        </w:rPr>
        <w:t>年，根据土库曼斯坦总统令，为建立有利条件，以切实实现土库曼斯坦工会的倡议，土库曼斯坦国家工会中心在国内开展运动的倡议得到了普遍认同与支持，运动的口号是</w:t>
      </w:r>
      <w:r>
        <w:rPr>
          <w:snapToGrid/>
          <w:szCs w:val="21"/>
          <w:lang w:val="en-GB"/>
        </w:rPr>
        <w:t>“</w:t>
      </w:r>
      <w:r>
        <w:rPr>
          <w:snapToGrid/>
          <w:szCs w:val="21"/>
          <w:lang w:val="en-GB"/>
        </w:rPr>
        <w:t>我们对土库曼斯坦社会经济发展的贡献</w:t>
      </w:r>
      <w:r>
        <w:rPr>
          <w:snapToGrid/>
          <w:szCs w:val="21"/>
          <w:lang w:val="en-GB"/>
        </w:rPr>
        <w:t>”</w:t>
      </w:r>
      <w:r>
        <w:rPr>
          <w:snapToGrid/>
          <w:szCs w:val="21"/>
          <w:lang w:val="en-GB"/>
        </w:rPr>
        <w:t>。依照倡议，各部委、部门，各地区领导同工会一起积极参加了爱国运动年度述职活动。工作中取得优异成绩的劳动集体、先进工作者被获得荣誉称号与奖金，最优秀者呈请授予土库曼斯坦国家奖励。</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142.</w:t>
      </w:r>
      <w:r>
        <w:rPr>
          <w:rFonts w:hint="eastAsia"/>
          <w:snapToGrid/>
          <w:szCs w:val="21"/>
          <w:lang w:val="en-GB"/>
        </w:rPr>
        <w:t xml:space="preserve">  </w:t>
      </w:r>
      <w:r>
        <w:rPr>
          <w:snapToGrid/>
          <w:szCs w:val="21"/>
          <w:lang w:val="en-GB"/>
        </w:rPr>
        <w:t>目前，土库曼斯坦工会共有</w:t>
      </w:r>
      <w:r>
        <w:rPr>
          <w:snapToGrid/>
          <w:szCs w:val="21"/>
          <w:lang w:val="en-GB"/>
        </w:rPr>
        <w:t>1 066 462</w:t>
      </w:r>
      <w:r>
        <w:rPr>
          <w:snapToGrid/>
          <w:szCs w:val="21"/>
          <w:lang w:val="en-GB"/>
        </w:rPr>
        <w:t>名会员，其中有</w:t>
      </w:r>
      <w:r>
        <w:rPr>
          <w:snapToGrid/>
          <w:szCs w:val="21"/>
          <w:lang w:val="en-GB"/>
        </w:rPr>
        <w:t>471 774</w:t>
      </w:r>
      <w:r>
        <w:rPr>
          <w:snapToGrid/>
          <w:szCs w:val="21"/>
          <w:lang w:val="en-GB"/>
        </w:rPr>
        <w:t>名妇女。会员的社会构成如下：</w:t>
      </w:r>
    </w:p>
    <w:p w:rsidR="00A93F62" w:rsidRDefault="00A93F62">
      <w:pPr>
        <w:pStyle w:val="SingleTxtGC"/>
        <w:numPr>
          <w:ilvl w:val="1"/>
          <w:numId w:val="14"/>
        </w:numPr>
        <w:ind w:left="1134"/>
        <w:rPr>
          <w:snapToGrid/>
          <w:lang w:val="en-GB"/>
        </w:rPr>
      </w:pPr>
      <w:r>
        <w:rPr>
          <w:snapToGrid/>
          <w:lang w:val="en-GB"/>
        </w:rPr>
        <w:t>工人</w:t>
      </w:r>
      <w:r>
        <w:rPr>
          <w:snapToGrid/>
          <w:lang w:val="en-GB"/>
        </w:rPr>
        <w:t>302 125</w:t>
      </w:r>
      <w:r>
        <w:rPr>
          <w:snapToGrid/>
          <w:lang w:val="en-GB"/>
        </w:rPr>
        <w:t>人；</w:t>
      </w:r>
    </w:p>
    <w:p w:rsidR="00A93F62" w:rsidRDefault="00A93F62">
      <w:pPr>
        <w:pStyle w:val="SingleTxtGC"/>
        <w:numPr>
          <w:ilvl w:val="1"/>
          <w:numId w:val="14"/>
        </w:numPr>
        <w:ind w:left="1134"/>
        <w:rPr>
          <w:snapToGrid/>
          <w:color w:val="000000"/>
          <w:szCs w:val="21"/>
          <w:lang w:val="en-GB"/>
        </w:rPr>
      </w:pPr>
      <w:r>
        <w:rPr>
          <w:snapToGrid/>
          <w:color w:val="000000"/>
          <w:szCs w:val="21"/>
          <w:lang w:val="en-GB"/>
        </w:rPr>
        <w:t>农民</w:t>
      </w:r>
      <w:r>
        <w:rPr>
          <w:snapToGrid/>
          <w:color w:val="000000"/>
          <w:szCs w:val="21"/>
          <w:lang w:val="en-GB"/>
        </w:rPr>
        <w:t xml:space="preserve">418 </w:t>
      </w:r>
      <w:r>
        <w:rPr>
          <w:snapToGrid/>
          <w:lang w:val="en-GB"/>
        </w:rPr>
        <w:t>217</w:t>
      </w:r>
      <w:r>
        <w:rPr>
          <w:snapToGrid/>
          <w:color w:val="000000"/>
          <w:szCs w:val="21"/>
          <w:lang w:val="en-GB"/>
        </w:rPr>
        <w:t>人，其余是公务员，工程技术人员。</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143.</w:t>
      </w:r>
      <w:r>
        <w:rPr>
          <w:rFonts w:hint="eastAsia"/>
          <w:snapToGrid/>
          <w:szCs w:val="21"/>
          <w:lang w:val="en-GB"/>
        </w:rPr>
        <w:t xml:space="preserve">  </w:t>
      </w:r>
      <w:r>
        <w:rPr>
          <w:snapToGrid/>
          <w:szCs w:val="21"/>
          <w:lang w:val="en-GB"/>
        </w:rPr>
        <w:t>土库曼斯坦工会依照法律，并在其权力范围内，提出并维护工会会员的社会经济、劳动与其它权利，向会员提供物质援助。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144.</w:t>
      </w:r>
      <w:r>
        <w:rPr>
          <w:rFonts w:hint="eastAsia"/>
          <w:snapToGrid/>
          <w:szCs w:val="21"/>
          <w:lang w:val="en-GB"/>
        </w:rPr>
        <w:t xml:space="preserve">  </w:t>
      </w:r>
      <w:r>
        <w:rPr>
          <w:snapToGrid/>
          <w:szCs w:val="21"/>
          <w:lang w:val="en-GB"/>
        </w:rPr>
        <w:t>土库曼斯坦工会的组织结构建立在生产部门和地区原则相结合的基础上。其组成机构如下：</w:t>
      </w:r>
    </w:p>
    <w:p w:rsidR="00A93F62" w:rsidRDefault="00A93F62">
      <w:pPr>
        <w:pStyle w:val="Bullet1GC"/>
        <w:numPr>
          <w:ilvl w:val="0"/>
          <w:numId w:val="14"/>
        </w:numPr>
        <w:rPr>
          <w:snapToGrid/>
          <w:lang w:val="en-GB"/>
        </w:rPr>
      </w:pPr>
      <w:r>
        <w:rPr>
          <w:snapToGrid/>
          <w:lang w:val="en-GB"/>
        </w:rPr>
        <w:t>基层工会组织</w:t>
      </w:r>
      <w:r>
        <w:rPr>
          <w:rFonts w:hint="eastAsia"/>
          <w:snapToGrid/>
          <w:spacing w:val="-50"/>
          <w:lang w:val="en-GB"/>
        </w:rPr>
        <w:t>―</w:t>
      </w:r>
      <w:r>
        <w:rPr>
          <w:rFonts w:hint="eastAsia"/>
          <w:snapToGrid/>
          <w:lang w:val="en-GB"/>
        </w:rPr>
        <w:t>―</w:t>
      </w:r>
      <w:r>
        <w:rPr>
          <w:snapToGrid/>
          <w:lang w:val="en-GB"/>
        </w:rPr>
        <w:t>6 588</w:t>
      </w:r>
      <w:r>
        <w:rPr>
          <w:snapToGrid/>
          <w:lang w:val="en-GB"/>
        </w:rPr>
        <w:t>；</w:t>
      </w:r>
    </w:p>
    <w:p w:rsidR="00A93F62" w:rsidRDefault="00A93F62">
      <w:pPr>
        <w:pStyle w:val="Bullet1GC"/>
        <w:numPr>
          <w:ilvl w:val="0"/>
          <w:numId w:val="14"/>
        </w:numPr>
        <w:rPr>
          <w:snapToGrid/>
          <w:lang w:val="en-GB"/>
        </w:rPr>
      </w:pPr>
      <w:r>
        <w:rPr>
          <w:snapToGrid/>
          <w:lang w:val="en-GB"/>
        </w:rPr>
        <w:t>行业工会</w:t>
      </w:r>
      <w:r>
        <w:rPr>
          <w:rFonts w:hint="eastAsia"/>
          <w:snapToGrid/>
          <w:spacing w:val="-50"/>
          <w:lang w:val="en-GB"/>
        </w:rPr>
        <w:t>―</w:t>
      </w:r>
      <w:r>
        <w:rPr>
          <w:rFonts w:hint="eastAsia"/>
          <w:snapToGrid/>
          <w:lang w:val="en-GB"/>
        </w:rPr>
        <w:t>―</w:t>
      </w:r>
      <w:r>
        <w:rPr>
          <w:snapToGrid/>
          <w:lang w:val="en-GB"/>
        </w:rPr>
        <w:t>17</w:t>
      </w:r>
      <w:r>
        <w:rPr>
          <w:snapToGrid/>
          <w:lang w:val="en-GB"/>
        </w:rPr>
        <w:t>；</w:t>
      </w:r>
    </w:p>
    <w:p w:rsidR="00A93F62" w:rsidRDefault="00A93F62">
      <w:pPr>
        <w:pStyle w:val="Bullet1GC"/>
        <w:numPr>
          <w:ilvl w:val="0"/>
          <w:numId w:val="14"/>
        </w:numPr>
        <w:rPr>
          <w:snapToGrid/>
          <w:lang w:val="en-GB"/>
        </w:rPr>
      </w:pPr>
      <w:r>
        <w:rPr>
          <w:snapToGrid/>
          <w:lang w:val="en-GB"/>
        </w:rPr>
        <w:t>地区企业</w:t>
      </w:r>
      <w:r>
        <w:rPr>
          <w:rFonts w:hint="eastAsia"/>
          <w:snapToGrid/>
          <w:spacing w:val="-50"/>
          <w:lang w:val="en-GB"/>
        </w:rPr>
        <w:t>―</w:t>
      </w:r>
      <w:r>
        <w:rPr>
          <w:rFonts w:hint="eastAsia"/>
          <w:snapToGrid/>
          <w:lang w:val="en-GB"/>
        </w:rPr>
        <w:t>―</w:t>
      </w:r>
      <w:r>
        <w:rPr>
          <w:snapToGrid/>
          <w:lang w:val="en-GB"/>
        </w:rPr>
        <w:t>共</w:t>
      </w:r>
      <w:r>
        <w:rPr>
          <w:snapToGrid/>
          <w:lang w:val="en-GB"/>
        </w:rPr>
        <w:t>5</w:t>
      </w:r>
      <w:r>
        <w:rPr>
          <w:snapToGrid/>
          <w:lang w:val="en-GB"/>
        </w:rPr>
        <w:t>家；</w:t>
      </w:r>
    </w:p>
    <w:p w:rsidR="00A93F62" w:rsidRDefault="00A93F62">
      <w:pPr>
        <w:pStyle w:val="Bullet1GC"/>
        <w:numPr>
          <w:ilvl w:val="0"/>
          <w:numId w:val="14"/>
        </w:numPr>
        <w:rPr>
          <w:snapToGrid/>
          <w:lang w:val="en-GB"/>
        </w:rPr>
      </w:pPr>
      <w:r>
        <w:rPr>
          <w:snapToGrid/>
          <w:lang w:val="en-GB"/>
        </w:rPr>
        <w:t>国家工会中心。</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color w:val="000000"/>
          <w:szCs w:val="21"/>
          <w:lang w:val="en-GB"/>
        </w:rPr>
        <w:t>每五年召开一次的代表大会是</w:t>
      </w:r>
      <w:r>
        <w:rPr>
          <w:snapToGrid/>
          <w:szCs w:val="21"/>
          <w:lang w:val="en-GB"/>
        </w:rPr>
        <w:t>土库曼斯坦工会的最高领导机构。军人、警察，在其服役期间，不能成为工会会员。</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145.</w:t>
      </w:r>
      <w:r>
        <w:rPr>
          <w:rFonts w:hint="eastAsia"/>
          <w:snapToGrid/>
          <w:szCs w:val="21"/>
          <w:lang w:val="en-GB"/>
        </w:rPr>
        <w:t xml:space="preserve">  </w:t>
      </w:r>
      <w:r>
        <w:rPr>
          <w:snapToGrid/>
          <w:szCs w:val="21"/>
          <w:lang w:val="en-GB"/>
        </w:rPr>
        <w:t>工会独立进行活动，只服从《土库曼斯坦宪法》与法律。它没有义务向政府当局、雇主、政党和其它社会团体汇报工作，接受监督。禁止任何限制工会权利，或阻碍其实施的干涉行为，如果法律未另作规定的话。</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146.</w:t>
      </w:r>
      <w:r>
        <w:rPr>
          <w:rFonts w:hint="eastAsia"/>
          <w:snapToGrid/>
          <w:szCs w:val="21"/>
          <w:lang w:val="en-GB"/>
        </w:rPr>
        <w:t xml:space="preserve">  </w:t>
      </w:r>
      <w:r>
        <w:rPr>
          <w:snapToGrid/>
          <w:szCs w:val="21"/>
          <w:lang w:val="en-GB"/>
        </w:rPr>
        <w:t>是否拥有会员资格，不会影响《土库曼斯坦宪法》保障的劳动、社会经济、政治权利，以及公民的个人权利与自由。</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147.</w:t>
      </w:r>
      <w:r>
        <w:rPr>
          <w:rFonts w:hint="eastAsia"/>
          <w:snapToGrid/>
          <w:szCs w:val="21"/>
          <w:lang w:val="en-GB"/>
        </w:rPr>
        <w:t xml:space="preserve">  </w:t>
      </w:r>
      <w:r>
        <w:rPr>
          <w:snapToGrid/>
          <w:szCs w:val="21"/>
          <w:lang w:val="en-GB"/>
        </w:rPr>
        <w:t>在劳动关系中，工会会员和不是会员的劳动者，享有同样的权利。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148.</w:t>
      </w:r>
      <w:r>
        <w:rPr>
          <w:rFonts w:hint="eastAsia"/>
          <w:snapToGrid/>
          <w:szCs w:val="21"/>
          <w:lang w:val="en-GB"/>
        </w:rPr>
        <w:t xml:space="preserve">  </w:t>
      </w:r>
      <w:r>
        <w:rPr>
          <w:snapToGrid/>
          <w:szCs w:val="21"/>
          <w:lang w:val="en-GB"/>
        </w:rPr>
        <w:t>目前为止，土库曼斯坦还未出现一次罢工；</w:t>
      </w:r>
    </w:p>
    <w:p w:rsidR="00A93F62" w:rsidRDefault="00A93F62">
      <w:pPr>
        <w:tabs>
          <w:tab w:val="clear" w:pos="431"/>
        </w:tabs>
        <w:suppressAutoHyphens/>
        <w:overflowPunct/>
        <w:adjustRightInd/>
        <w:snapToGrid/>
        <w:spacing w:after="120" w:line="320" w:lineRule="atLeast"/>
        <w:ind w:left="1134" w:right="1134"/>
        <w:rPr>
          <w:snapToGrid/>
          <w:spacing w:val="-4"/>
          <w:szCs w:val="21"/>
          <w:lang w:val="en-GB"/>
        </w:rPr>
      </w:pPr>
      <w:r>
        <w:rPr>
          <w:snapToGrid/>
          <w:szCs w:val="21"/>
          <w:lang w:val="en-GB"/>
        </w:rPr>
        <w:t>149.</w:t>
      </w:r>
      <w:r>
        <w:rPr>
          <w:rFonts w:hint="eastAsia"/>
          <w:snapToGrid/>
          <w:szCs w:val="21"/>
          <w:lang w:val="en-GB"/>
        </w:rPr>
        <w:t xml:space="preserve">  </w:t>
      </w:r>
      <w:r>
        <w:rPr>
          <w:snapToGrid/>
          <w:spacing w:val="-4"/>
          <w:szCs w:val="21"/>
          <w:lang w:val="en-GB"/>
        </w:rPr>
        <w:t>劳动技术监督部门和法律监察部门对工会进行领导。根据《土库曼斯坦劳动法典》第</w:t>
      </w:r>
      <w:r>
        <w:rPr>
          <w:snapToGrid/>
          <w:spacing w:val="-4"/>
          <w:szCs w:val="21"/>
          <w:lang w:val="en-GB"/>
        </w:rPr>
        <w:t>250</w:t>
      </w:r>
      <w:r>
        <w:rPr>
          <w:snapToGrid/>
          <w:spacing w:val="-4"/>
          <w:szCs w:val="21"/>
          <w:lang w:val="en-GB"/>
        </w:rPr>
        <w:t>条的规定，这些机构监督检查劳动立法和劳动保护条例的履行情况。</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150.</w:t>
      </w:r>
      <w:r>
        <w:rPr>
          <w:rFonts w:hint="eastAsia"/>
          <w:snapToGrid/>
          <w:szCs w:val="21"/>
          <w:lang w:val="en-GB"/>
        </w:rPr>
        <w:t xml:space="preserve">  </w:t>
      </w:r>
      <w:r>
        <w:rPr>
          <w:snapToGrid/>
          <w:szCs w:val="21"/>
          <w:lang w:val="en-GB"/>
        </w:rPr>
        <w:t>根据《章程》第</w:t>
      </w:r>
      <w:r>
        <w:rPr>
          <w:snapToGrid/>
          <w:szCs w:val="21"/>
          <w:lang w:val="en-GB"/>
        </w:rPr>
        <w:t>4</w:t>
      </w:r>
      <w:r>
        <w:rPr>
          <w:snapToGrid/>
          <w:szCs w:val="21"/>
          <w:lang w:val="en-GB"/>
        </w:rPr>
        <w:t>条，土库曼斯坦工会有权发展与其它国家工会，以及国际工会团体的双边关系与合作。</w:t>
      </w:r>
    </w:p>
    <w:p w:rsidR="00A93F62" w:rsidRDefault="00A93F62">
      <w:pPr>
        <w:pStyle w:val="H1GC"/>
        <w:rPr>
          <w:snapToGrid/>
          <w:lang w:val="en-GB"/>
        </w:rPr>
      </w:pPr>
      <w:r>
        <w:rPr>
          <w:rFonts w:hint="eastAsia"/>
          <w:snapToGrid/>
          <w:lang w:val="en-GB"/>
        </w:rPr>
        <w:tab/>
      </w:r>
      <w:r>
        <w:rPr>
          <w:rFonts w:hint="eastAsia"/>
          <w:snapToGrid/>
          <w:lang w:val="en-GB"/>
        </w:rPr>
        <w:tab/>
      </w:r>
      <w:r>
        <w:rPr>
          <w:snapToGrid/>
          <w:lang w:val="en-GB"/>
        </w:rPr>
        <w:t>第九条</w:t>
      </w:r>
      <w:r>
        <w:rPr>
          <w:snapToGrid/>
          <w:lang w:val="en-GB"/>
        </w:rPr>
        <w:t xml:space="preserve"> </w:t>
      </w:r>
      <w:r>
        <w:rPr>
          <w:rFonts w:hint="eastAsia"/>
          <w:snapToGrid/>
          <w:lang w:val="en-GB"/>
        </w:rPr>
        <w:br/>
      </w:r>
      <w:r>
        <w:rPr>
          <w:rFonts w:hint="eastAsia"/>
          <w:snapToGrid/>
          <w:lang w:val="en-GB"/>
        </w:rPr>
        <w:t>享受</w:t>
      </w:r>
      <w:r>
        <w:rPr>
          <w:snapToGrid/>
          <w:lang w:val="en-GB"/>
        </w:rPr>
        <w:t>社会保险</w:t>
      </w:r>
      <w:r>
        <w:rPr>
          <w:rFonts w:hint="eastAsia"/>
          <w:snapToGrid/>
          <w:lang w:val="en-GB"/>
        </w:rPr>
        <w:t>的</w:t>
      </w:r>
      <w:r>
        <w:rPr>
          <w:snapToGrid/>
          <w:lang w:val="en-GB"/>
        </w:rPr>
        <w:t>权利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151.</w:t>
      </w:r>
      <w:r>
        <w:rPr>
          <w:rFonts w:hint="eastAsia"/>
          <w:snapToGrid/>
          <w:szCs w:val="21"/>
          <w:lang w:val="en-GB"/>
        </w:rPr>
        <w:t xml:space="preserve">  </w:t>
      </w:r>
      <w:r>
        <w:rPr>
          <w:snapToGrid/>
          <w:szCs w:val="21"/>
          <w:lang w:val="en-GB"/>
        </w:rPr>
        <w:t>《土库曼斯坦宪法》</w:t>
      </w:r>
      <w:r>
        <w:rPr>
          <w:snapToGrid/>
          <w:szCs w:val="21"/>
          <w:lang w:val="en-GB"/>
        </w:rPr>
        <w:t>(</w:t>
      </w:r>
      <w:r>
        <w:rPr>
          <w:snapToGrid/>
          <w:szCs w:val="21"/>
          <w:lang w:val="en-GB"/>
        </w:rPr>
        <w:t>第</w:t>
      </w:r>
      <w:r>
        <w:rPr>
          <w:snapToGrid/>
          <w:szCs w:val="21"/>
          <w:lang w:val="en-GB"/>
        </w:rPr>
        <w:t>37</w:t>
      </w:r>
      <w:r>
        <w:rPr>
          <w:snapToGrid/>
          <w:szCs w:val="21"/>
          <w:lang w:val="en-GB"/>
        </w:rPr>
        <w:t>条</w:t>
      </w:r>
      <w:r>
        <w:rPr>
          <w:snapToGrid/>
          <w:szCs w:val="21"/>
          <w:lang w:val="en-GB"/>
        </w:rPr>
        <w:t>)</w:t>
      </w:r>
      <w:r>
        <w:rPr>
          <w:snapToGrid/>
          <w:szCs w:val="21"/>
          <w:lang w:val="en-GB"/>
        </w:rPr>
        <w:t>确保所有公民在老年、生病、丧失劳动能力、失去供养人、失业的情况下得到社会保障的权利。使用社会保障金向多子女家庭提供附加支助和优惠。对于多子女家庭、丧失父母的儿童、战争参加者和因保护国家和公共利益丧失健康者，可借助社会资金向他们提供补充救助和优惠。</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152.</w:t>
      </w:r>
      <w:r>
        <w:rPr>
          <w:rFonts w:hint="eastAsia"/>
          <w:snapToGrid/>
          <w:szCs w:val="21"/>
          <w:lang w:val="en-GB"/>
        </w:rPr>
        <w:t xml:space="preserve">  </w:t>
      </w:r>
      <w:r>
        <w:rPr>
          <w:snapToGrid/>
          <w:szCs w:val="21"/>
          <w:lang w:val="en-GB"/>
        </w:rPr>
        <w:t>土库曼斯坦的社会保障体现在向丧失劳动能力的公民、残疾人、多子女家庭和其他人员提供国家物质保障与社会服务。</w:t>
      </w:r>
      <w:r>
        <w:rPr>
          <w:snapToGrid/>
          <w:color w:val="000000"/>
          <w:szCs w:val="21"/>
          <w:lang w:val="en-GB"/>
        </w:rPr>
        <w:t>该系统通过支付退休金、国家津贴和提供社会福利发挥职能。</w:t>
      </w:r>
      <w:r>
        <w:rPr>
          <w:snapToGrid/>
          <w:szCs w:val="21"/>
          <w:lang w:val="en-GB"/>
        </w:rPr>
        <w:t>土库曼斯坦的公民、长期居住在土库曼斯坦的外国人和无国籍人士享有社会保障权。不论种族、性别、民族、宗教信仰、工种和居住地，各类居民平等享有社会保障权。</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153.</w:t>
      </w:r>
      <w:r>
        <w:rPr>
          <w:rFonts w:hint="eastAsia"/>
          <w:snapToGrid/>
          <w:szCs w:val="21"/>
          <w:lang w:val="en-GB"/>
        </w:rPr>
        <w:t xml:space="preserve">  </w:t>
      </w:r>
      <w:r>
        <w:rPr>
          <w:snapToGrid/>
          <w:szCs w:val="21"/>
          <w:lang w:val="en-GB"/>
        </w:rPr>
        <w:t>为完善国家社会保障系统，</w:t>
      </w:r>
      <w:smartTag w:uri="urn:schemas-microsoft-com:office:smarttags" w:element="chsdate">
        <w:smartTagPr>
          <w:attr w:name="IsROCDate" w:val="False"/>
          <w:attr w:name="IsLunarDate" w:val="False"/>
          <w:attr w:name="Day" w:val="17"/>
          <w:attr w:name="Month" w:val="3"/>
          <w:attr w:name="Year" w:val="2007"/>
        </w:smartTagPr>
        <w:r>
          <w:rPr>
            <w:snapToGrid/>
            <w:szCs w:val="21"/>
            <w:lang w:val="en-GB"/>
          </w:rPr>
          <w:t>2007</w:t>
        </w:r>
        <w:r>
          <w:rPr>
            <w:snapToGrid/>
            <w:szCs w:val="21"/>
            <w:lang w:val="en-GB"/>
          </w:rPr>
          <w:t>年</w:t>
        </w:r>
        <w:r>
          <w:rPr>
            <w:snapToGrid/>
            <w:szCs w:val="21"/>
            <w:lang w:val="en-GB"/>
          </w:rPr>
          <w:t>3</w:t>
        </w:r>
        <w:r>
          <w:rPr>
            <w:snapToGrid/>
            <w:szCs w:val="21"/>
            <w:lang w:val="en-GB"/>
          </w:rPr>
          <w:t>月</w:t>
        </w:r>
        <w:r>
          <w:rPr>
            <w:snapToGrid/>
            <w:szCs w:val="21"/>
            <w:lang w:val="en-GB"/>
          </w:rPr>
          <w:t>17</w:t>
        </w:r>
        <w:r>
          <w:rPr>
            <w:snapToGrid/>
            <w:szCs w:val="21"/>
            <w:lang w:val="en-GB"/>
          </w:rPr>
          <w:t>日</w:t>
        </w:r>
      </w:smartTag>
      <w:r>
        <w:rPr>
          <w:snapToGrid/>
          <w:szCs w:val="21"/>
          <w:lang w:val="en-GB"/>
        </w:rPr>
        <w:t>通过了《土库曼斯坦社会保障法》。该法规定了一些措施，致力于继续提高退休人员、津贴领取者和其他需要社会保护公民的生活水平。</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154.</w:t>
      </w:r>
      <w:r>
        <w:rPr>
          <w:rFonts w:hint="eastAsia"/>
          <w:snapToGrid/>
          <w:szCs w:val="21"/>
          <w:lang w:val="en-GB"/>
        </w:rPr>
        <w:t xml:space="preserve">  </w:t>
      </w:r>
      <w:r>
        <w:rPr>
          <w:snapToGrid/>
          <w:szCs w:val="21"/>
          <w:lang w:val="en-GB"/>
        </w:rPr>
        <w:t>根据现行法律，土库曼斯坦有以下种类的社会津贴：</w:t>
      </w:r>
      <w:r>
        <w:rPr>
          <w:snapToGrid/>
          <w:szCs w:val="21"/>
          <w:lang w:val="en-GB"/>
        </w:rPr>
        <w:t xml:space="preserve"> </w:t>
      </w:r>
    </w:p>
    <w:p w:rsidR="00A93F62" w:rsidRDefault="00A93F62">
      <w:pPr>
        <w:pStyle w:val="Bullet1GC"/>
        <w:numPr>
          <w:ilvl w:val="0"/>
          <w:numId w:val="14"/>
        </w:numPr>
        <w:spacing w:after="100"/>
        <w:rPr>
          <w:snapToGrid/>
          <w:lang w:val="en-GB"/>
        </w:rPr>
      </w:pPr>
      <w:r>
        <w:rPr>
          <w:snapToGrid/>
          <w:lang w:val="en-GB"/>
        </w:rPr>
        <w:t>退休金；</w:t>
      </w:r>
    </w:p>
    <w:p w:rsidR="00A93F62" w:rsidRDefault="00A93F62">
      <w:pPr>
        <w:pStyle w:val="Bullet1GC"/>
        <w:numPr>
          <w:ilvl w:val="0"/>
          <w:numId w:val="14"/>
        </w:numPr>
        <w:spacing w:after="100"/>
        <w:rPr>
          <w:snapToGrid/>
          <w:lang w:val="en-GB"/>
        </w:rPr>
      </w:pPr>
      <w:r>
        <w:rPr>
          <w:snapToGrid/>
          <w:lang w:val="en-GB"/>
        </w:rPr>
        <w:t>临时丧失劳动能力津贴；</w:t>
      </w:r>
    </w:p>
    <w:p w:rsidR="00A93F62" w:rsidRDefault="00A93F62">
      <w:pPr>
        <w:pStyle w:val="Bullet1GC"/>
        <w:numPr>
          <w:ilvl w:val="0"/>
          <w:numId w:val="14"/>
        </w:numPr>
        <w:spacing w:after="100"/>
        <w:rPr>
          <w:snapToGrid/>
          <w:lang w:val="en-GB"/>
        </w:rPr>
      </w:pPr>
      <w:r>
        <w:rPr>
          <w:snapToGrid/>
          <w:lang w:val="en-GB"/>
        </w:rPr>
        <w:t>孕妇津贴；</w:t>
      </w:r>
    </w:p>
    <w:p w:rsidR="00A93F62" w:rsidRDefault="00A93F62">
      <w:pPr>
        <w:pStyle w:val="Bullet1GC"/>
        <w:numPr>
          <w:ilvl w:val="0"/>
          <w:numId w:val="14"/>
        </w:numPr>
        <w:spacing w:after="100"/>
        <w:rPr>
          <w:snapToGrid/>
          <w:lang w:val="en-GB"/>
        </w:rPr>
      </w:pPr>
      <w:r>
        <w:rPr>
          <w:snapToGrid/>
          <w:lang w:val="en-GB"/>
        </w:rPr>
        <w:t>分娩津贴；</w:t>
      </w:r>
    </w:p>
    <w:p w:rsidR="00A93F62" w:rsidRDefault="00A93F62">
      <w:pPr>
        <w:pStyle w:val="Bullet1GC"/>
        <w:numPr>
          <w:ilvl w:val="0"/>
          <w:numId w:val="14"/>
        </w:numPr>
        <w:spacing w:after="100"/>
        <w:rPr>
          <w:snapToGrid/>
          <w:lang w:val="en-GB"/>
        </w:rPr>
      </w:pPr>
      <w:r>
        <w:rPr>
          <w:snapToGrid/>
          <w:lang w:val="en-GB"/>
        </w:rPr>
        <w:t>育儿津贴；</w:t>
      </w:r>
    </w:p>
    <w:p w:rsidR="00A93F62" w:rsidRDefault="00A93F62">
      <w:pPr>
        <w:pStyle w:val="Bullet1GC"/>
        <w:numPr>
          <w:ilvl w:val="0"/>
          <w:numId w:val="14"/>
        </w:numPr>
        <w:spacing w:after="100"/>
        <w:rPr>
          <w:snapToGrid/>
          <w:lang w:val="en-GB"/>
        </w:rPr>
      </w:pPr>
      <w:r>
        <w:rPr>
          <w:snapToGrid/>
          <w:lang w:val="en-GB"/>
        </w:rPr>
        <w:t>残疾津贴；</w:t>
      </w:r>
    </w:p>
    <w:p w:rsidR="00A93F62" w:rsidRDefault="00A93F62">
      <w:pPr>
        <w:pStyle w:val="Bullet1GC"/>
        <w:numPr>
          <w:ilvl w:val="0"/>
          <w:numId w:val="14"/>
        </w:numPr>
        <w:spacing w:after="100"/>
        <w:rPr>
          <w:snapToGrid/>
          <w:lang w:val="en-GB"/>
        </w:rPr>
      </w:pPr>
      <w:r>
        <w:rPr>
          <w:snapToGrid/>
          <w:lang w:val="en-GB"/>
        </w:rPr>
        <w:t>失去供养人津贴；</w:t>
      </w:r>
    </w:p>
    <w:p w:rsidR="00A93F62" w:rsidRDefault="00A93F62">
      <w:pPr>
        <w:pStyle w:val="Bullet1GC"/>
        <w:numPr>
          <w:ilvl w:val="0"/>
          <w:numId w:val="14"/>
        </w:numPr>
        <w:spacing w:after="100"/>
        <w:rPr>
          <w:snapToGrid/>
          <w:lang w:val="en-GB"/>
        </w:rPr>
      </w:pPr>
      <w:r>
        <w:rPr>
          <w:snapToGrid/>
          <w:lang w:val="en-GB"/>
        </w:rPr>
        <w:t>社会津贴；</w:t>
      </w:r>
    </w:p>
    <w:p w:rsidR="00A93F62" w:rsidRDefault="00A93F62" w:rsidP="00583617">
      <w:pPr>
        <w:pStyle w:val="Bullet1GC"/>
        <w:keepNext/>
        <w:keepLines/>
        <w:numPr>
          <w:ilvl w:val="0"/>
          <w:numId w:val="14"/>
        </w:numPr>
        <w:spacing w:after="100"/>
        <w:ind w:left="1987" w:right="1138" w:hanging="374"/>
        <w:rPr>
          <w:snapToGrid/>
          <w:lang w:val="en-GB"/>
        </w:rPr>
      </w:pPr>
      <w:r>
        <w:rPr>
          <w:snapToGrid/>
          <w:lang w:val="en-GB"/>
        </w:rPr>
        <w:t>年满</w:t>
      </w:r>
      <w:r>
        <w:rPr>
          <w:snapToGrid/>
          <w:lang w:val="en-GB"/>
        </w:rPr>
        <w:t>62</w:t>
      </w:r>
      <w:r>
        <w:rPr>
          <w:snapToGrid/>
          <w:lang w:val="en-GB"/>
        </w:rPr>
        <w:t>岁的一次性酬金；</w:t>
      </w:r>
    </w:p>
    <w:p w:rsidR="00A93F62" w:rsidRDefault="00A93F62">
      <w:pPr>
        <w:pStyle w:val="Bullet1GC"/>
        <w:numPr>
          <w:ilvl w:val="0"/>
          <w:numId w:val="14"/>
        </w:numPr>
        <w:spacing w:after="100"/>
        <w:rPr>
          <w:snapToGrid/>
          <w:lang w:val="en-GB"/>
        </w:rPr>
      </w:pPr>
      <w:r>
        <w:rPr>
          <w:snapToGrid/>
          <w:lang w:val="en-GB"/>
        </w:rPr>
        <w:t>津贴及国家资助。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155.</w:t>
      </w:r>
      <w:r>
        <w:rPr>
          <w:rFonts w:hint="eastAsia"/>
          <w:snapToGrid/>
          <w:szCs w:val="21"/>
          <w:lang w:val="en-GB"/>
        </w:rPr>
        <w:t xml:space="preserve">  </w:t>
      </w:r>
      <w:r>
        <w:rPr>
          <w:snapToGrid/>
          <w:szCs w:val="21"/>
          <w:lang w:val="en-GB"/>
        </w:rPr>
        <w:t>为确定退休金的最低额度，计算国家津贴，土库曼斯坦制定了基数，其数额由土库曼斯坦总统令批准。自</w:t>
      </w:r>
      <w:smartTag w:uri="urn:schemas-microsoft-com:office:smarttags" w:element="chsdate">
        <w:smartTagPr>
          <w:attr w:name="IsROCDate" w:val="False"/>
          <w:attr w:name="IsLunarDate" w:val="False"/>
          <w:attr w:name="Day" w:val="1"/>
          <w:attr w:name="Month" w:val="7"/>
          <w:attr w:name="Year" w:val="2007"/>
        </w:smartTagPr>
        <w:r>
          <w:rPr>
            <w:snapToGrid/>
            <w:szCs w:val="21"/>
            <w:lang w:val="en-GB"/>
          </w:rPr>
          <w:t>2007</w:t>
        </w:r>
        <w:r>
          <w:rPr>
            <w:snapToGrid/>
            <w:szCs w:val="21"/>
            <w:lang w:val="en-GB"/>
          </w:rPr>
          <w:t>年</w:t>
        </w:r>
        <w:r>
          <w:rPr>
            <w:snapToGrid/>
            <w:szCs w:val="21"/>
            <w:lang w:val="en-GB"/>
          </w:rPr>
          <w:t>7</w:t>
        </w:r>
        <w:r>
          <w:rPr>
            <w:snapToGrid/>
            <w:szCs w:val="21"/>
            <w:lang w:val="en-GB"/>
          </w:rPr>
          <w:t>月</w:t>
        </w:r>
        <w:r>
          <w:rPr>
            <w:snapToGrid/>
            <w:szCs w:val="21"/>
            <w:lang w:val="en-GB"/>
          </w:rPr>
          <w:t>1</w:t>
        </w:r>
        <w:r>
          <w:rPr>
            <w:snapToGrid/>
            <w:szCs w:val="21"/>
            <w:lang w:val="en-GB"/>
          </w:rPr>
          <w:t>日</w:t>
        </w:r>
      </w:smartTag>
      <w:r>
        <w:rPr>
          <w:snapToGrid/>
          <w:szCs w:val="21"/>
          <w:lang w:val="en-GB"/>
        </w:rPr>
        <w:t>起，基数定为</w:t>
      </w:r>
      <w:r>
        <w:rPr>
          <w:snapToGrid/>
          <w:szCs w:val="21"/>
          <w:lang w:val="en-GB"/>
        </w:rPr>
        <w:t>500 000</w:t>
      </w:r>
      <w:r>
        <w:rPr>
          <w:snapToGrid/>
          <w:szCs w:val="21"/>
          <w:lang w:val="en-GB"/>
        </w:rPr>
        <w:t>马纳特。除了临时丧失劳动能力津贴和产妇津贴外，退休金与补助金都不应缴税。规定</w:t>
      </w:r>
      <w:r>
        <w:rPr>
          <w:snapToGrid/>
          <w:szCs w:val="21"/>
          <w:lang w:val="en-GB"/>
        </w:rPr>
        <w:t>2012</w:t>
      </w:r>
      <w:r>
        <w:rPr>
          <w:snapToGrid/>
          <w:szCs w:val="21"/>
          <w:lang w:val="en-GB"/>
        </w:rPr>
        <w:t>年建立退休基金会，实行常规退休金存储制度。</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156. </w:t>
      </w:r>
      <w:r>
        <w:rPr>
          <w:rFonts w:hint="eastAsia"/>
          <w:snapToGrid/>
          <w:szCs w:val="21"/>
          <w:lang w:val="en-GB"/>
        </w:rPr>
        <w:t xml:space="preserve"> </w:t>
      </w:r>
      <w:r>
        <w:rPr>
          <w:snapToGrid/>
          <w:szCs w:val="21"/>
          <w:lang w:val="en-GB"/>
        </w:rPr>
        <w:t>向临时丧失劳动能力者发给临时丧失劳动能力津贴，直到劳动者康复或确认伤残。临时丧失劳动能力津贴的数额取决于劳动者的工资、工龄及临时失去劳动能力的天数，计为：</w:t>
      </w:r>
      <w:r>
        <w:rPr>
          <w:snapToGrid/>
          <w:szCs w:val="21"/>
          <w:lang w:val="en-GB"/>
        </w:rPr>
        <w:t xml:space="preserve"> </w:t>
      </w:r>
    </w:p>
    <w:p w:rsidR="00A93F62" w:rsidRDefault="00A93F62">
      <w:pPr>
        <w:pStyle w:val="Bullet1GC"/>
        <w:numPr>
          <w:ilvl w:val="0"/>
          <w:numId w:val="14"/>
        </w:numPr>
        <w:rPr>
          <w:snapToGrid/>
          <w:lang w:val="en-GB"/>
        </w:rPr>
      </w:pPr>
      <w:r>
        <w:rPr>
          <w:snapToGrid/>
          <w:lang w:val="en-GB"/>
        </w:rPr>
        <w:t>工资的</w:t>
      </w:r>
      <w:r>
        <w:rPr>
          <w:snapToGrid/>
          <w:lang w:val="en-GB"/>
        </w:rPr>
        <w:t>60%</w:t>
      </w:r>
      <w:r>
        <w:rPr>
          <w:rFonts w:hint="eastAsia"/>
          <w:snapToGrid/>
          <w:spacing w:val="-50"/>
          <w:lang w:val="en-GB"/>
        </w:rPr>
        <w:t>―</w:t>
      </w:r>
      <w:r>
        <w:rPr>
          <w:rFonts w:hint="eastAsia"/>
          <w:snapToGrid/>
          <w:lang w:val="en-GB"/>
        </w:rPr>
        <w:t>―</w:t>
      </w:r>
      <w:r>
        <w:rPr>
          <w:snapToGrid/>
          <w:lang w:val="en-GB"/>
        </w:rPr>
        <w:t>工龄在五年以内；</w:t>
      </w:r>
    </w:p>
    <w:p w:rsidR="00A93F62" w:rsidRDefault="00A93F62">
      <w:pPr>
        <w:pStyle w:val="Bullet1GC"/>
        <w:numPr>
          <w:ilvl w:val="0"/>
          <w:numId w:val="14"/>
        </w:numPr>
        <w:rPr>
          <w:snapToGrid/>
          <w:lang w:val="en-GB"/>
        </w:rPr>
      </w:pPr>
      <w:r>
        <w:rPr>
          <w:snapToGrid/>
          <w:lang w:val="en-GB"/>
        </w:rPr>
        <w:t>工资的</w:t>
      </w:r>
      <w:r>
        <w:rPr>
          <w:snapToGrid/>
          <w:lang w:val="en-GB"/>
        </w:rPr>
        <w:t>80%</w:t>
      </w:r>
      <w:r>
        <w:rPr>
          <w:rFonts w:hint="eastAsia"/>
          <w:snapToGrid/>
          <w:spacing w:val="-50"/>
          <w:lang w:val="en-GB"/>
        </w:rPr>
        <w:t>―</w:t>
      </w:r>
      <w:r>
        <w:rPr>
          <w:rFonts w:hint="eastAsia"/>
          <w:snapToGrid/>
          <w:lang w:val="en-GB"/>
        </w:rPr>
        <w:t>―</w:t>
      </w:r>
      <w:r>
        <w:rPr>
          <w:snapToGrid/>
          <w:lang w:val="en-GB"/>
        </w:rPr>
        <w:t>工龄为五年到八年；</w:t>
      </w:r>
    </w:p>
    <w:p w:rsidR="00A93F62" w:rsidRDefault="00A93F62">
      <w:pPr>
        <w:pStyle w:val="Bullet1GC"/>
        <w:numPr>
          <w:ilvl w:val="0"/>
          <w:numId w:val="14"/>
        </w:numPr>
        <w:rPr>
          <w:snapToGrid/>
          <w:lang w:val="en-GB"/>
        </w:rPr>
      </w:pPr>
      <w:r>
        <w:rPr>
          <w:snapToGrid/>
          <w:lang w:val="en-GB"/>
        </w:rPr>
        <w:t>工资的</w:t>
      </w:r>
      <w:r>
        <w:rPr>
          <w:snapToGrid/>
          <w:lang w:val="en-GB"/>
        </w:rPr>
        <w:t>100%</w:t>
      </w:r>
      <w:r>
        <w:rPr>
          <w:rFonts w:hint="eastAsia"/>
          <w:snapToGrid/>
          <w:spacing w:val="-50"/>
          <w:lang w:val="en-GB"/>
        </w:rPr>
        <w:t>―</w:t>
      </w:r>
      <w:r>
        <w:rPr>
          <w:rFonts w:hint="eastAsia"/>
          <w:snapToGrid/>
          <w:lang w:val="en-GB"/>
        </w:rPr>
        <w:t>―</w:t>
      </w:r>
      <w:r>
        <w:rPr>
          <w:snapToGrid/>
          <w:lang w:val="en-GB"/>
        </w:rPr>
        <w:t>工龄为八年以上。</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szCs w:val="21"/>
          <w:lang w:val="en-GB"/>
        </w:rPr>
        <w:t>同工龄无关，津贴额度为工资的</w:t>
      </w:r>
      <w:r>
        <w:rPr>
          <w:snapToGrid/>
          <w:szCs w:val="21"/>
          <w:lang w:val="en-GB"/>
        </w:rPr>
        <w:t>100%</w:t>
      </w:r>
      <w:r>
        <w:rPr>
          <w:snapToGrid/>
          <w:szCs w:val="21"/>
          <w:lang w:val="en-GB"/>
        </w:rPr>
        <w:t>：</w:t>
      </w:r>
    </w:p>
    <w:p w:rsidR="00A93F62" w:rsidRDefault="00A93F62">
      <w:pPr>
        <w:pStyle w:val="Bullet1GC"/>
        <w:numPr>
          <w:ilvl w:val="0"/>
          <w:numId w:val="14"/>
        </w:numPr>
        <w:rPr>
          <w:snapToGrid/>
          <w:lang w:val="en-GB"/>
        </w:rPr>
      </w:pPr>
      <w:r>
        <w:rPr>
          <w:snapToGrid/>
          <w:lang w:val="en-GB"/>
        </w:rPr>
        <w:t>由于工伤或职业病而临时丧失劳动能力的人员；</w:t>
      </w:r>
    </w:p>
    <w:p w:rsidR="00A93F62" w:rsidRDefault="00A93F62">
      <w:pPr>
        <w:pStyle w:val="Bullet1GC"/>
        <w:numPr>
          <w:ilvl w:val="0"/>
          <w:numId w:val="14"/>
        </w:numPr>
        <w:rPr>
          <w:snapToGrid/>
          <w:lang w:val="en-GB"/>
        </w:rPr>
      </w:pPr>
      <w:r>
        <w:rPr>
          <w:snapToGrid/>
          <w:lang w:val="en-GB"/>
        </w:rPr>
        <w:t>未满</w:t>
      </w:r>
      <w:r>
        <w:rPr>
          <w:snapToGrid/>
          <w:lang w:val="en-GB"/>
        </w:rPr>
        <w:t>18</w:t>
      </w:r>
      <w:r>
        <w:rPr>
          <w:snapToGrid/>
          <w:lang w:val="en-GB"/>
        </w:rPr>
        <w:t>岁的人员；</w:t>
      </w:r>
    </w:p>
    <w:p w:rsidR="00A93F62" w:rsidRDefault="00A93F62">
      <w:pPr>
        <w:pStyle w:val="Bullet1GC"/>
        <w:numPr>
          <w:ilvl w:val="0"/>
          <w:numId w:val="14"/>
        </w:numPr>
        <w:rPr>
          <w:snapToGrid/>
          <w:lang w:val="en-GB"/>
        </w:rPr>
      </w:pPr>
      <w:r>
        <w:rPr>
          <w:snapToGrid/>
          <w:lang w:val="en-GB"/>
        </w:rPr>
        <w:t>无父母双亲，并且未满</w:t>
      </w:r>
      <w:r>
        <w:rPr>
          <w:snapToGrid/>
          <w:lang w:val="en-GB"/>
        </w:rPr>
        <w:t>21</w:t>
      </w:r>
      <w:r>
        <w:rPr>
          <w:snapToGrid/>
          <w:lang w:val="en-GB"/>
        </w:rPr>
        <w:t>岁的人员；</w:t>
      </w:r>
    </w:p>
    <w:p w:rsidR="00A93F62" w:rsidRDefault="00A93F62">
      <w:pPr>
        <w:pStyle w:val="Bullet1GC"/>
        <w:numPr>
          <w:ilvl w:val="0"/>
          <w:numId w:val="14"/>
        </w:numPr>
        <w:rPr>
          <w:snapToGrid/>
          <w:lang w:val="en-GB"/>
        </w:rPr>
      </w:pPr>
      <w:r>
        <w:rPr>
          <w:snapToGrid/>
          <w:lang w:val="en-GB"/>
        </w:rPr>
        <w:t>按规定程序被鉴定为残疾人的人员；</w:t>
      </w:r>
    </w:p>
    <w:p w:rsidR="00A93F62" w:rsidRDefault="00A93F62">
      <w:pPr>
        <w:pStyle w:val="Bullet1GC"/>
        <w:numPr>
          <w:ilvl w:val="0"/>
          <w:numId w:val="14"/>
        </w:numPr>
        <w:rPr>
          <w:snapToGrid/>
          <w:spacing w:val="-2"/>
          <w:lang w:val="en-GB"/>
        </w:rPr>
      </w:pPr>
      <w:r>
        <w:rPr>
          <w:snapToGrid/>
          <w:spacing w:val="-2"/>
          <w:lang w:val="en-GB"/>
        </w:rPr>
        <w:t>养育未满</w:t>
      </w:r>
      <w:r>
        <w:rPr>
          <w:snapToGrid/>
          <w:spacing w:val="-2"/>
          <w:lang w:val="en-GB"/>
        </w:rPr>
        <w:t>16</w:t>
      </w:r>
      <w:r>
        <w:rPr>
          <w:snapToGrid/>
          <w:spacing w:val="-2"/>
          <w:lang w:val="en-GB"/>
        </w:rPr>
        <w:t>岁残疾孩子，或自己赡养三个以上未满</w:t>
      </w:r>
      <w:r>
        <w:rPr>
          <w:snapToGrid/>
          <w:spacing w:val="-2"/>
          <w:lang w:val="en-GB"/>
        </w:rPr>
        <w:t>16</w:t>
      </w:r>
      <w:r>
        <w:rPr>
          <w:snapToGrid/>
          <w:spacing w:val="-2"/>
          <w:lang w:val="en-GB"/>
        </w:rPr>
        <w:t>岁孩子的母亲；</w:t>
      </w:r>
    </w:p>
    <w:p w:rsidR="00A93F62" w:rsidRDefault="00A93F62">
      <w:pPr>
        <w:pStyle w:val="Bullet1GC"/>
        <w:numPr>
          <w:ilvl w:val="0"/>
          <w:numId w:val="14"/>
        </w:numPr>
        <w:rPr>
          <w:snapToGrid/>
          <w:lang w:val="en-GB"/>
        </w:rPr>
      </w:pPr>
      <w:r>
        <w:rPr>
          <w:snapToGrid/>
          <w:lang w:val="en-GB"/>
        </w:rPr>
        <w:t>因献血临时丧失劳动能力的人员；</w:t>
      </w:r>
    </w:p>
    <w:p w:rsidR="00A93F62" w:rsidRDefault="00A93F62">
      <w:pPr>
        <w:pStyle w:val="Bullet1GC"/>
        <w:numPr>
          <w:ilvl w:val="0"/>
          <w:numId w:val="14"/>
        </w:numPr>
        <w:rPr>
          <w:snapToGrid/>
          <w:lang w:val="en-GB"/>
        </w:rPr>
      </w:pPr>
      <w:r>
        <w:rPr>
          <w:snapToGrid/>
          <w:lang w:val="en-GB"/>
        </w:rPr>
        <w:t>在其它国家作战的老战士；</w:t>
      </w:r>
    </w:p>
    <w:p w:rsidR="00A93F62" w:rsidRDefault="00A93F62">
      <w:pPr>
        <w:pStyle w:val="Bullet1GC"/>
        <w:numPr>
          <w:ilvl w:val="0"/>
          <w:numId w:val="14"/>
        </w:numPr>
        <w:rPr>
          <w:snapToGrid/>
          <w:lang w:val="en-GB"/>
        </w:rPr>
      </w:pPr>
      <w:r>
        <w:rPr>
          <w:snapToGrid/>
          <w:lang w:val="en-GB"/>
        </w:rPr>
        <w:t>由于辐射生病的人员。</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157.</w:t>
      </w:r>
      <w:r>
        <w:rPr>
          <w:rFonts w:hint="eastAsia"/>
          <w:snapToGrid/>
          <w:szCs w:val="21"/>
          <w:lang w:val="en-GB"/>
        </w:rPr>
        <w:t xml:space="preserve">  </w:t>
      </w:r>
      <w:r>
        <w:rPr>
          <w:snapToGrid/>
          <w:szCs w:val="21"/>
          <w:lang w:val="en-GB"/>
        </w:rPr>
        <w:t>规定要给休产假的在职妇女发放产妇津贴。产假时间不少于</w:t>
      </w:r>
      <w:r>
        <w:rPr>
          <w:snapToGrid/>
          <w:szCs w:val="21"/>
          <w:lang w:val="en-GB"/>
        </w:rPr>
        <w:t>112</w:t>
      </w:r>
      <w:r>
        <w:rPr>
          <w:snapToGrid/>
          <w:szCs w:val="21"/>
          <w:lang w:val="en-GB"/>
        </w:rPr>
        <w:t>天。根据工资和产假天数，来计算产妇津贴。</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158.</w:t>
      </w:r>
      <w:r>
        <w:rPr>
          <w:rFonts w:hint="eastAsia"/>
          <w:snapToGrid/>
          <w:szCs w:val="21"/>
          <w:lang w:val="en-GB"/>
        </w:rPr>
        <w:t xml:space="preserve">  </w:t>
      </w:r>
      <w:r>
        <w:rPr>
          <w:snapToGrid/>
          <w:szCs w:val="21"/>
          <w:lang w:val="en-GB"/>
        </w:rPr>
        <w:t>自</w:t>
      </w:r>
      <w:smartTag w:uri="urn:schemas-microsoft-com:office:smarttags" w:element="chsdate">
        <w:smartTagPr>
          <w:attr w:name="IsROCDate" w:val="False"/>
          <w:attr w:name="IsLunarDate" w:val="False"/>
          <w:attr w:name="Day" w:val="1"/>
          <w:attr w:name="Month" w:val="7"/>
          <w:attr w:name="Year" w:val="2007"/>
        </w:smartTagPr>
        <w:r>
          <w:rPr>
            <w:snapToGrid/>
            <w:szCs w:val="21"/>
            <w:lang w:val="en-GB"/>
          </w:rPr>
          <w:t>2007</w:t>
        </w:r>
        <w:r>
          <w:rPr>
            <w:snapToGrid/>
            <w:szCs w:val="21"/>
            <w:lang w:val="en-GB"/>
          </w:rPr>
          <w:t>年</w:t>
        </w:r>
        <w:r>
          <w:rPr>
            <w:snapToGrid/>
            <w:szCs w:val="21"/>
            <w:lang w:val="en-GB"/>
          </w:rPr>
          <w:t>7</w:t>
        </w:r>
        <w:r>
          <w:rPr>
            <w:snapToGrid/>
            <w:szCs w:val="21"/>
            <w:lang w:val="en-GB"/>
          </w:rPr>
          <w:t>月</w:t>
        </w:r>
        <w:r>
          <w:rPr>
            <w:snapToGrid/>
            <w:szCs w:val="21"/>
            <w:lang w:val="en-GB"/>
          </w:rPr>
          <w:t>1</w:t>
        </w:r>
        <w:r>
          <w:rPr>
            <w:snapToGrid/>
            <w:szCs w:val="21"/>
            <w:lang w:val="en-GB"/>
          </w:rPr>
          <w:t>日</w:t>
        </w:r>
      </w:smartTag>
      <w:r>
        <w:rPr>
          <w:snapToGrid/>
          <w:szCs w:val="21"/>
          <w:lang w:val="en-GB"/>
        </w:rPr>
        <w:t>起实行该津贴。已出世孩子的母亲或父亲</w:t>
      </w:r>
      <w:r>
        <w:rPr>
          <w:snapToGrid/>
          <w:szCs w:val="21"/>
          <w:lang w:val="en-GB"/>
        </w:rPr>
        <w:t>(</w:t>
      </w:r>
      <w:r>
        <w:rPr>
          <w:snapToGrid/>
          <w:szCs w:val="21"/>
          <w:lang w:val="en-GB"/>
        </w:rPr>
        <w:t>不论是否就业</w:t>
      </w:r>
      <w:r>
        <w:rPr>
          <w:snapToGrid/>
          <w:szCs w:val="21"/>
          <w:lang w:val="en-GB"/>
        </w:rPr>
        <w:t>)</w:t>
      </w:r>
      <w:r>
        <w:rPr>
          <w:snapToGrid/>
          <w:szCs w:val="21"/>
          <w:lang w:val="en-GB"/>
        </w:rPr>
        <w:t>都享有津贴。津贴额度为：</w:t>
      </w:r>
    </w:p>
    <w:p w:rsidR="00A93F62" w:rsidRDefault="00A93F62">
      <w:pPr>
        <w:pStyle w:val="Bullet1GC"/>
        <w:numPr>
          <w:ilvl w:val="0"/>
          <w:numId w:val="14"/>
        </w:numPr>
        <w:rPr>
          <w:snapToGrid/>
          <w:lang w:val="en-GB"/>
        </w:rPr>
      </w:pPr>
      <w:r>
        <w:rPr>
          <w:snapToGrid/>
          <w:lang w:val="en-GB"/>
        </w:rPr>
        <w:t>生育第一个或第二个孩子</w:t>
      </w:r>
      <w:r>
        <w:rPr>
          <w:rFonts w:hint="eastAsia"/>
          <w:snapToGrid/>
          <w:spacing w:val="-50"/>
          <w:lang w:val="en-GB"/>
        </w:rPr>
        <w:t>―</w:t>
      </w:r>
      <w:r>
        <w:rPr>
          <w:rFonts w:hint="eastAsia"/>
          <w:snapToGrid/>
          <w:lang w:val="en-GB"/>
        </w:rPr>
        <w:t>―</w:t>
      </w:r>
      <w:r>
        <w:rPr>
          <w:snapToGrid/>
          <w:lang w:val="en-GB"/>
        </w:rPr>
        <w:t>基数；</w:t>
      </w:r>
      <w:r>
        <w:rPr>
          <w:snapToGrid/>
          <w:lang w:val="en-GB"/>
        </w:rPr>
        <w:t xml:space="preserve"> </w:t>
      </w:r>
    </w:p>
    <w:p w:rsidR="00A93F62" w:rsidRDefault="00A93F62">
      <w:pPr>
        <w:pStyle w:val="Bullet1GC"/>
        <w:numPr>
          <w:ilvl w:val="0"/>
          <w:numId w:val="14"/>
        </w:numPr>
        <w:rPr>
          <w:snapToGrid/>
          <w:lang w:val="en-GB"/>
        </w:rPr>
      </w:pPr>
      <w:r>
        <w:rPr>
          <w:snapToGrid/>
          <w:lang w:val="en-GB"/>
        </w:rPr>
        <w:t>生育第三个孩子</w:t>
      </w:r>
      <w:r>
        <w:rPr>
          <w:rFonts w:hint="eastAsia"/>
          <w:snapToGrid/>
          <w:spacing w:val="-50"/>
          <w:lang w:val="en-GB"/>
        </w:rPr>
        <w:t>―</w:t>
      </w:r>
      <w:r>
        <w:rPr>
          <w:rFonts w:hint="eastAsia"/>
          <w:snapToGrid/>
          <w:lang w:val="en-GB"/>
        </w:rPr>
        <w:t>―</w:t>
      </w:r>
      <w:r>
        <w:rPr>
          <w:snapToGrid/>
          <w:lang w:val="en-GB"/>
        </w:rPr>
        <w:t>双倍基数；</w:t>
      </w:r>
    </w:p>
    <w:p w:rsidR="00A93F62" w:rsidRDefault="00A93F62">
      <w:pPr>
        <w:pStyle w:val="Bullet1GC"/>
        <w:numPr>
          <w:ilvl w:val="0"/>
          <w:numId w:val="14"/>
        </w:numPr>
        <w:rPr>
          <w:snapToGrid/>
          <w:lang w:val="en-GB"/>
        </w:rPr>
      </w:pPr>
      <w:r>
        <w:rPr>
          <w:snapToGrid/>
          <w:lang w:val="en-GB"/>
        </w:rPr>
        <w:t>生育第四个和更多的孩子</w:t>
      </w:r>
      <w:r>
        <w:rPr>
          <w:rFonts w:hint="eastAsia"/>
          <w:snapToGrid/>
          <w:spacing w:val="-50"/>
          <w:lang w:val="en-GB"/>
        </w:rPr>
        <w:t>―</w:t>
      </w:r>
      <w:r>
        <w:rPr>
          <w:rFonts w:hint="eastAsia"/>
          <w:snapToGrid/>
          <w:lang w:val="en-GB"/>
        </w:rPr>
        <w:t>―</w:t>
      </w:r>
      <w:r>
        <w:rPr>
          <w:snapToGrid/>
          <w:lang w:val="en-GB"/>
        </w:rPr>
        <w:t>四倍基数。</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szCs w:val="21"/>
          <w:lang w:val="en-GB"/>
        </w:rPr>
        <w:t>津贴一次性支付给一位家长。</w:t>
      </w:r>
    </w:p>
    <w:p w:rsidR="00A93F62" w:rsidRDefault="00A93F62" w:rsidP="00583617">
      <w:pPr>
        <w:keepNext/>
        <w:widowControl w:val="0"/>
        <w:tabs>
          <w:tab w:val="clear" w:pos="431"/>
        </w:tabs>
        <w:suppressAutoHyphens/>
        <w:overflowPunct/>
        <w:adjustRightInd/>
        <w:snapToGrid/>
        <w:spacing w:after="120" w:line="320" w:lineRule="atLeast"/>
        <w:ind w:left="1138" w:right="1138"/>
        <w:rPr>
          <w:snapToGrid/>
          <w:szCs w:val="21"/>
          <w:lang w:val="en-GB"/>
        </w:rPr>
      </w:pPr>
      <w:r>
        <w:rPr>
          <w:snapToGrid/>
          <w:szCs w:val="21"/>
          <w:lang w:val="en-GB"/>
        </w:rPr>
        <w:t>159.</w:t>
      </w:r>
      <w:r>
        <w:rPr>
          <w:rFonts w:hint="eastAsia"/>
          <w:snapToGrid/>
          <w:szCs w:val="21"/>
          <w:lang w:val="en-GB"/>
        </w:rPr>
        <w:t xml:space="preserve">  </w:t>
      </w:r>
      <w:smartTag w:uri="urn:schemas-microsoft-com:office:smarttags" w:element="chsdate">
        <w:smartTagPr>
          <w:attr w:name="IsROCDate" w:val="False"/>
          <w:attr w:name="IsLunarDate" w:val="False"/>
          <w:attr w:name="Day" w:val="1"/>
          <w:attr w:name="Month" w:val="7"/>
          <w:attr w:name="Year" w:val="2007"/>
        </w:smartTagPr>
        <w:r>
          <w:rPr>
            <w:snapToGrid/>
            <w:szCs w:val="21"/>
            <w:lang w:val="en-GB"/>
          </w:rPr>
          <w:t>2007</w:t>
        </w:r>
        <w:r>
          <w:rPr>
            <w:snapToGrid/>
            <w:szCs w:val="21"/>
            <w:lang w:val="en-GB"/>
          </w:rPr>
          <w:t>年</w:t>
        </w:r>
        <w:r>
          <w:rPr>
            <w:snapToGrid/>
            <w:szCs w:val="21"/>
            <w:lang w:val="en-GB"/>
          </w:rPr>
          <w:t>7</w:t>
        </w:r>
        <w:r>
          <w:rPr>
            <w:snapToGrid/>
            <w:szCs w:val="21"/>
            <w:lang w:val="en-GB"/>
          </w:rPr>
          <w:t>月</w:t>
        </w:r>
        <w:r>
          <w:rPr>
            <w:snapToGrid/>
            <w:szCs w:val="21"/>
            <w:lang w:val="en-GB"/>
          </w:rPr>
          <w:t>1</w:t>
        </w:r>
        <w:r>
          <w:rPr>
            <w:snapToGrid/>
            <w:szCs w:val="21"/>
            <w:lang w:val="en-GB"/>
          </w:rPr>
          <w:t>日</w:t>
        </w:r>
      </w:smartTag>
      <w:r>
        <w:rPr>
          <w:snapToGrid/>
          <w:szCs w:val="21"/>
          <w:lang w:val="en-GB"/>
        </w:rPr>
        <w:t>前，育儿津贴仅支付给孩子未满</w:t>
      </w:r>
      <w:r>
        <w:rPr>
          <w:snapToGrid/>
          <w:szCs w:val="21"/>
          <w:lang w:val="en-GB"/>
        </w:rPr>
        <w:t>3</w:t>
      </w:r>
      <w:r>
        <w:rPr>
          <w:snapToGrid/>
          <w:szCs w:val="21"/>
          <w:lang w:val="en-GB"/>
        </w:rPr>
        <w:t>岁、无劳动能力的父母，额度为基数的</w:t>
      </w:r>
      <w:r>
        <w:rPr>
          <w:snapToGrid/>
          <w:szCs w:val="21"/>
          <w:lang w:val="en-GB"/>
        </w:rPr>
        <w:t>40%</w:t>
      </w:r>
      <w:r>
        <w:rPr>
          <w:snapToGrid/>
          <w:szCs w:val="21"/>
          <w:lang w:val="en-GB"/>
        </w:rPr>
        <w:t>。自</w:t>
      </w:r>
      <w:smartTag w:uri="urn:schemas-microsoft-com:office:smarttags" w:element="chsdate">
        <w:smartTagPr>
          <w:attr w:name="IsROCDate" w:val="False"/>
          <w:attr w:name="IsLunarDate" w:val="False"/>
          <w:attr w:name="Day" w:val="1"/>
          <w:attr w:name="Month" w:val="7"/>
          <w:attr w:name="Year" w:val="2007"/>
        </w:smartTagPr>
        <w:r>
          <w:rPr>
            <w:snapToGrid/>
            <w:szCs w:val="21"/>
            <w:lang w:val="en-GB"/>
          </w:rPr>
          <w:t>2007</w:t>
        </w:r>
        <w:r>
          <w:rPr>
            <w:snapToGrid/>
            <w:szCs w:val="21"/>
            <w:lang w:val="en-GB"/>
          </w:rPr>
          <w:t>年</w:t>
        </w:r>
        <w:r>
          <w:rPr>
            <w:snapToGrid/>
            <w:szCs w:val="21"/>
            <w:lang w:val="en-GB"/>
          </w:rPr>
          <w:t>7</w:t>
        </w:r>
        <w:r>
          <w:rPr>
            <w:snapToGrid/>
            <w:szCs w:val="21"/>
            <w:lang w:val="en-GB"/>
          </w:rPr>
          <w:t>月</w:t>
        </w:r>
        <w:r>
          <w:rPr>
            <w:snapToGrid/>
            <w:szCs w:val="21"/>
            <w:lang w:val="en-GB"/>
          </w:rPr>
          <w:t>1</w:t>
        </w:r>
        <w:r>
          <w:rPr>
            <w:snapToGrid/>
            <w:szCs w:val="21"/>
            <w:lang w:val="en-GB"/>
          </w:rPr>
          <w:t>日</w:t>
        </w:r>
      </w:smartTag>
      <w:r>
        <w:rPr>
          <w:snapToGrid/>
          <w:szCs w:val="21"/>
          <w:lang w:val="en-GB"/>
        </w:rPr>
        <w:t>以后，育儿津贴支付给孩子未满</w:t>
      </w:r>
      <w:r>
        <w:rPr>
          <w:snapToGrid/>
          <w:szCs w:val="21"/>
          <w:lang w:val="en-GB"/>
        </w:rPr>
        <w:t>1.5</w:t>
      </w:r>
      <w:r>
        <w:rPr>
          <w:snapToGrid/>
          <w:szCs w:val="21"/>
          <w:lang w:val="en-GB"/>
        </w:rPr>
        <w:t>岁的父母，额度为基数的</w:t>
      </w:r>
      <w:r>
        <w:rPr>
          <w:snapToGrid/>
          <w:szCs w:val="21"/>
          <w:lang w:val="en-GB"/>
        </w:rPr>
        <w:t>50%</w:t>
      </w:r>
      <w:r>
        <w:rPr>
          <w:snapToGrid/>
          <w:szCs w:val="21"/>
          <w:lang w:val="en-GB"/>
        </w:rPr>
        <w:t>。津贴发放与就业无关。</w:t>
      </w:r>
    </w:p>
    <w:p w:rsidR="00A93F62" w:rsidRDefault="00A93F62">
      <w:pPr>
        <w:tabs>
          <w:tab w:val="clear" w:pos="431"/>
        </w:tabs>
        <w:suppressAutoHyphens/>
        <w:overflowPunct/>
        <w:adjustRightInd/>
        <w:snapToGrid/>
        <w:spacing w:after="120" w:line="320" w:lineRule="atLeast"/>
        <w:ind w:left="1134" w:right="1134"/>
        <w:rPr>
          <w:rFonts w:hint="eastAsia"/>
          <w:snapToGrid/>
          <w:szCs w:val="21"/>
          <w:lang w:val="en-GB"/>
        </w:rPr>
      </w:pPr>
      <w:r>
        <w:rPr>
          <w:snapToGrid/>
          <w:szCs w:val="21"/>
          <w:lang w:val="en-GB"/>
        </w:rPr>
        <w:t>160.</w:t>
      </w:r>
      <w:r>
        <w:rPr>
          <w:rFonts w:hint="eastAsia"/>
          <w:snapToGrid/>
          <w:szCs w:val="21"/>
          <w:lang w:val="en-GB"/>
        </w:rPr>
        <w:t xml:space="preserve">  </w:t>
      </w:r>
      <w:r>
        <w:rPr>
          <w:snapToGrid/>
          <w:szCs w:val="21"/>
          <w:lang w:val="en-GB"/>
        </w:rPr>
        <w:t>土库曼斯坦的退休保障是通过国家社会保险与自愿退休保险来实现的。土库曼斯坦规定了劳动退休金和储蓄退休金。劳动退休金发放给达到退休年龄的人。其工作期间享有国家社会保险提成，某些阶段</w:t>
      </w:r>
      <w:r>
        <w:rPr>
          <w:snapToGrid/>
          <w:szCs w:val="21"/>
          <w:lang w:val="en-GB"/>
        </w:rPr>
        <w:t>(</w:t>
      </w:r>
      <w:r>
        <w:rPr>
          <w:snapToGrid/>
          <w:szCs w:val="21"/>
          <w:lang w:val="en-GB"/>
        </w:rPr>
        <w:t>在高校、中等专科学校、育儿、应征入伍</w:t>
      </w:r>
      <w:r>
        <w:rPr>
          <w:snapToGrid/>
          <w:szCs w:val="21"/>
          <w:lang w:val="en-GB"/>
        </w:rPr>
        <w:t>)</w:t>
      </w:r>
      <w:r>
        <w:rPr>
          <w:snapToGrid/>
          <w:szCs w:val="21"/>
          <w:lang w:val="en-GB"/>
        </w:rPr>
        <w:t>则被计入工龄。退休金发放的最低工龄为</w:t>
      </w:r>
      <w:r>
        <w:rPr>
          <w:snapToGrid/>
          <w:szCs w:val="21"/>
          <w:lang w:val="en-GB"/>
        </w:rPr>
        <w:t>5</w:t>
      </w:r>
      <w:r>
        <w:rPr>
          <w:snapToGrid/>
          <w:szCs w:val="21"/>
          <w:lang w:val="en-GB"/>
        </w:rPr>
        <w:t>年。储蓄退休金发放给达到退休年龄并有退休积蓄的人。储蓄退休金制度有自愿的特点。退休金发放给年满</w:t>
      </w:r>
      <w:r>
        <w:rPr>
          <w:snapToGrid/>
          <w:szCs w:val="21"/>
          <w:lang w:val="en-GB"/>
        </w:rPr>
        <w:t>62</w:t>
      </w:r>
      <w:r>
        <w:rPr>
          <w:snapToGrid/>
          <w:szCs w:val="21"/>
          <w:lang w:val="en-GB"/>
        </w:rPr>
        <w:t>岁的男子与</w:t>
      </w:r>
      <w:r>
        <w:rPr>
          <w:snapToGrid/>
          <w:szCs w:val="21"/>
          <w:lang w:val="en-GB"/>
        </w:rPr>
        <w:t>57</w:t>
      </w:r>
      <w:r>
        <w:rPr>
          <w:snapToGrid/>
          <w:szCs w:val="21"/>
          <w:lang w:val="en-GB"/>
        </w:rPr>
        <w:t>岁的妇女。法律还规定了提前退休。如，生育抚养</w:t>
      </w:r>
      <w:r>
        <w:rPr>
          <w:snapToGrid/>
          <w:szCs w:val="21"/>
          <w:lang w:val="en-GB"/>
        </w:rPr>
        <w:t>3</w:t>
      </w:r>
      <w:r>
        <w:rPr>
          <w:snapToGrid/>
          <w:szCs w:val="21"/>
          <w:lang w:val="en-GB"/>
        </w:rPr>
        <w:t>个孩子的母亲</w:t>
      </w:r>
      <w:r>
        <w:rPr>
          <w:rFonts w:hint="eastAsia"/>
          <w:snapToGrid/>
          <w:spacing w:val="-50"/>
          <w:szCs w:val="21"/>
          <w:lang w:val="en-GB"/>
        </w:rPr>
        <w:t>―</w:t>
      </w:r>
      <w:r>
        <w:rPr>
          <w:rFonts w:hint="eastAsia"/>
          <w:snapToGrid/>
          <w:szCs w:val="21"/>
          <w:lang w:val="en-GB"/>
        </w:rPr>
        <w:t>―</w:t>
      </w:r>
      <w:r>
        <w:rPr>
          <w:snapToGrid/>
          <w:szCs w:val="21"/>
          <w:lang w:val="en-GB"/>
        </w:rPr>
        <w:t>56</w:t>
      </w:r>
      <w:r>
        <w:rPr>
          <w:snapToGrid/>
          <w:szCs w:val="21"/>
          <w:lang w:val="en-GB"/>
        </w:rPr>
        <w:t>岁，</w:t>
      </w:r>
      <w:r>
        <w:rPr>
          <w:snapToGrid/>
          <w:szCs w:val="21"/>
          <w:lang w:val="en-GB"/>
        </w:rPr>
        <w:t>4</w:t>
      </w:r>
      <w:r>
        <w:rPr>
          <w:snapToGrid/>
          <w:szCs w:val="21"/>
          <w:lang w:val="en-GB"/>
        </w:rPr>
        <w:t>个孩子</w:t>
      </w:r>
      <w:r>
        <w:rPr>
          <w:rFonts w:hint="eastAsia"/>
          <w:snapToGrid/>
          <w:spacing w:val="-50"/>
          <w:szCs w:val="21"/>
          <w:lang w:val="en-GB"/>
        </w:rPr>
        <w:t>―</w:t>
      </w:r>
      <w:r>
        <w:rPr>
          <w:rFonts w:hint="eastAsia"/>
          <w:snapToGrid/>
          <w:szCs w:val="21"/>
          <w:lang w:val="en-GB"/>
        </w:rPr>
        <w:t>―</w:t>
      </w:r>
      <w:r>
        <w:rPr>
          <w:snapToGrid/>
          <w:szCs w:val="21"/>
          <w:lang w:val="en-GB"/>
        </w:rPr>
        <w:t>55</w:t>
      </w:r>
      <w:r>
        <w:rPr>
          <w:snapToGrid/>
          <w:szCs w:val="21"/>
          <w:lang w:val="en-GB"/>
        </w:rPr>
        <w:t>岁，五个以上孩子，或孩子自小残疾</w:t>
      </w:r>
      <w:r>
        <w:rPr>
          <w:snapToGrid/>
          <w:szCs w:val="21"/>
          <w:lang w:val="en-GB"/>
        </w:rPr>
        <w:t>―54</w:t>
      </w:r>
      <w:r>
        <w:rPr>
          <w:snapToGrid/>
          <w:szCs w:val="21"/>
          <w:lang w:val="en-GB"/>
        </w:rPr>
        <w:t>岁；男性现役军人</w:t>
      </w:r>
      <w:r>
        <w:rPr>
          <w:rFonts w:hint="eastAsia"/>
          <w:snapToGrid/>
          <w:spacing w:val="-50"/>
          <w:szCs w:val="21"/>
          <w:lang w:val="en-GB"/>
        </w:rPr>
        <w:t>―</w:t>
      </w:r>
      <w:r>
        <w:rPr>
          <w:rFonts w:hint="eastAsia"/>
          <w:snapToGrid/>
          <w:szCs w:val="21"/>
          <w:lang w:val="en-GB"/>
        </w:rPr>
        <w:t>―</w:t>
      </w:r>
      <w:r>
        <w:rPr>
          <w:snapToGrid/>
          <w:szCs w:val="21"/>
          <w:lang w:val="en-GB"/>
        </w:rPr>
        <w:t>52</w:t>
      </w:r>
      <w:r>
        <w:rPr>
          <w:snapToGrid/>
          <w:szCs w:val="21"/>
          <w:lang w:val="en-GB"/>
        </w:rPr>
        <w:t>岁，女性现役军人</w:t>
      </w:r>
      <w:r>
        <w:rPr>
          <w:rFonts w:hint="eastAsia"/>
          <w:snapToGrid/>
          <w:spacing w:val="-50"/>
          <w:szCs w:val="21"/>
          <w:lang w:val="en-GB"/>
        </w:rPr>
        <w:t>―</w:t>
      </w:r>
      <w:r>
        <w:rPr>
          <w:rFonts w:hint="eastAsia"/>
          <w:snapToGrid/>
          <w:szCs w:val="21"/>
          <w:lang w:val="en-GB"/>
        </w:rPr>
        <w:t>―</w:t>
      </w:r>
      <w:r>
        <w:rPr>
          <w:snapToGrid/>
          <w:szCs w:val="21"/>
          <w:lang w:val="en-GB"/>
        </w:rPr>
        <w:t>48</w:t>
      </w:r>
      <w:r>
        <w:rPr>
          <w:snapToGrid/>
          <w:szCs w:val="21"/>
          <w:lang w:val="en-GB"/>
        </w:rPr>
        <w:t>岁；机组人员：男子</w:t>
      </w:r>
      <w:r>
        <w:rPr>
          <w:rFonts w:hint="eastAsia"/>
          <w:snapToGrid/>
          <w:spacing w:val="-50"/>
          <w:szCs w:val="21"/>
          <w:lang w:val="en-GB"/>
        </w:rPr>
        <w:t>―</w:t>
      </w:r>
      <w:r>
        <w:rPr>
          <w:rFonts w:hint="eastAsia"/>
          <w:snapToGrid/>
          <w:szCs w:val="21"/>
          <w:lang w:val="en-GB"/>
        </w:rPr>
        <w:t>―</w:t>
      </w:r>
      <w:r>
        <w:rPr>
          <w:snapToGrid/>
          <w:szCs w:val="21"/>
          <w:lang w:val="en-GB"/>
        </w:rPr>
        <w:t>50</w:t>
      </w:r>
      <w:r>
        <w:rPr>
          <w:snapToGrid/>
          <w:szCs w:val="21"/>
          <w:lang w:val="en-GB"/>
        </w:rPr>
        <w:t>岁，妇女</w:t>
      </w:r>
      <w:r>
        <w:rPr>
          <w:rFonts w:hint="eastAsia"/>
          <w:snapToGrid/>
          <w:spacing w:val="-50"/>
          <w:szCs w:val="21"/>
          <w:lang w:val="en-GB"/>
        </w:rPr>
        <w:t>―</w:t>
      </w:r>
      <w:r>
        <w:rPr>
          <w:rFonts w:hint="eastAsia"/>
          <w:snapToGrid/>
          <w:szCs w:val="21"/>
          <w:lang w:val="en-GB"/>
        </w:rPr>
        <w:t>―</w:t>
      </w:r>
      <w:r>
        <w:rPr>
          <w:snapToGrid/>
          <w:szCs w:val="21"/>
          <w:lang w:val="en-GB"/>
        </w:rPr>
        <w:t>48</w:t>
      </w:r>
      <w:r>
        <w:rPr>
          <w:snapToGrid/>
          <w:szCs w:val="21"/>
          <w:lang w:val="en-GB"/>
        </w:rPr>
        <w:t>岁。退休金的发放与是否就业无关。</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161.</w:t>
      </w:r>
      <w:r>
        <w:rPr>
          <w:rFonts w:hint="eastAsia"/>
          <w:snapToGrid/>
          <w:szCs w:val="21"/>
          <w:lang w:val="en-GB"/>
        </w:rPr>
        <w:t xml:space="preserve">  </w:t>
      </w:r>
      <w:r>
        <w:rPr>
          <w:snapToGrid/>
          <w:szCs w:val="21"/>
          <w:lang w:val="en-GB"/>
        </w:rPr>
        <w:t>被鉴定为残疾人的人员分成以下类别：</w:t>
      </w:r>
      <w:r>
        <w:rPr>
          <w:snapToGrid/>
          <w:szCs w:val="21"/>
          <w:lang w:val="en-GB"/>
        </w:rPr>
        <w:t>16</w:t>
      </w:r>
      <w:r>
        <w:rPr>
          <w:snapToGrid/>
          <w:szCs w:val="21"/>
          <w:lang w:val="en-GB"/>
        </w:rPr>
        <w:t>岁前的残疾儿童；幼年残疾人</w:t>
      </w:r>
      <w:r>
        <w:rPr>
          <w:snapToGrid/>
          <w:spacing w:val="-5"/>
          <w:szCs w:val="21"/>
          <w:lang w:val="en-GB"/>
        </w:rPr>
        <w:t>员；患</w:t>
      </w:r>
      <w:r>
        <w:rPr>
          <w:rFonts w:hint="eastAsia"/>
          <w:snapToGrid/>
          <w:spacing w:val="-5"/>
          <w:szCs w:val="21"/>
          <w:lang w:val="en-GB"/>
        </w:rPr>
        <w:t>I</w:t>
      </w:r>
      <w:r>
        <w:rPr>
          <w:snapToGrid/>
          <w:spacing w:val="-5"/>
          <w:szCs w:val="21"/>
          <w:lang w:val="en-GB"/>
        </w:rPr>
        <w:t>、</w:t>
      </w:r>
      <w:r>
        <w:rPr>
          <w:snapToGrid/>
          <w:spacing w:val="-5"/>
          <w:szCs w:val="21"/>
          <w:lang w:val="en-GB"/>
        </w:rPr>
        <w:t>Ⅱ</w:t>
      </w:r>
      <w:r>
        <w:rPr>
          <w:snapToGrid/>
          <w:spacing w:val="-5"/>
          <w:szCs w:val="21"/>
          <w:lang w:val="en-GB"/>
        </w:rPr>
        <w:t>、</w:t>
      </w:r>
      <w:r>
        <w:rPr>
          <w:rFonts w:hint="eastAsia"/>
          <w:snapToGrid/>
          <w:spacing w:val="-5"/>
          <w:szCs w:val="21"/>
          <w:lang w:val="en-GB"/>
        </w:rPr>
        <w:t>III</w:t>
      </w:r>
      <w:r>
        <w:rPr>
          <w:snapToGrid/>
          <w:spacing w:val="-5"/>
          <w:szCs w:val="21"/>
          <w:lang w:val="en-GB"/>
        </w:rPr>
        <w:t>类常见病致残人员；工伤、职业病致残人员。应将伤残津贴发放给按规定程序被鉴定为残疾人的人员，不论他是否以国家社会保险的方式投保。津贴额度取决于残疾人的工资与工龄，不论其是否就业，都应发放。应向无工龄残疾人发放最低津贴。根据</w:t>
      </w:r>
      <w:r>
        <w:rPr>
          <w:rFonts w:hint="eastAsia"/>
          <w:snapToGrid/>
          <w:spacing w:val="-5"/>
          <w:szCs w:val="21"/>
          <w:lang w:val="en-GB"/>
        </w:rPr>
        <w:t>I</w:t>
      </w:r>
      <w:r>
        <w:rPr>
          <w:snapToGrid/>
          <w:spacing w:val="-5"/>
          <w:szCs w:val="21"/>
          <w:lang w:val="en-GB"/>
        </w:rPr>
        <w:t>、</w:t>
      </w:r>
      <w:r>
        <w:rPr>
          <w:snapToGrid/>
          <w:spacing w:val="-5"/>
          <w:szCs w:val="21"/>
          <w:lang w:val="en-GB"/>
        </w:rPr>
        <w:t>Ⅱ</w:t>
      </w:r>
      <w:r>
        <w:rPr>
          <w:snapToGrid/>
          <w:spacing w:val="-5"/>
          <w:szCs w:val="21"/>
          <w:lang w:val="en-GB"/>
        </w:rPr>
        <w:t>类残疾人的伤残情况，规定每个孩子补贴基数的</w:t>
      </w:r>
      <w:r>
        <w:rPr>
          <w:snapToGrid/>
          <w:spacing w:val="-5"/>
          <w:szCs w:val="21"/>
          <w:lang w:val="en-GB"/>
        </w:rPr>
        <w:t>20%</w:t>
      </w:r>
      <w:r>
        <w:rPr>
          <w:snapToGrid/>
          <w:spacing w:val="-5"/>
          <w:szCs w:val="21"/>
          <w:lang w:val="en-GB"/>
        </w:rPr>
        <w:t>。根据</w:t>
      </w:r>
      <w:r>
        <w:rPr>
          <w:rFonts w:hint="eastAsia"/>
          <w:snapToGrid/>
          <w:spacing w:val="-5"/>
          <w:szCs w:val="21"/>
          <w:lang w:val="en-GB"/>
        </w:rPr>
        <w:t>I</w:t>
      </w:r>
      <w:r>
        <w:rPr>
          <w:snapToGrid/>
          <w:spacing w:val="-5"/>
          <w:szCs w:val="21"/>
          <w:lang w:val="en-GB"/>
        </w:rPr>
        <w:t>、</w:t>
      </w:r>
      <w:r>
        <w:rPr>
          <w:snapToGrid/>
          <w:spacing w:val="-5"/>
          <w:szCs w:val="21"/>
          <w:lang w:val="en-GB"/>
        </w:rPr>
        <w:t>Ⅱ</w:t>
      </w:r>
      <w:r>
        <w:rPr>
          <w:snapToGrid/>
          <w:spacing w:val="-5"/>
          <w:szCs w:val="21"/>
          <w:lang w:val="en-GB"/>
        </w:rPr>
        <w:t>类残疾人的成熟程度，规定额外补贴基数</w:t>
      </w:r>
      <w:r>
        <w:rPr>
          <w:snapToGrid/>
          <w:spacing w:val="-5"/>
          <w:szCs w:val="21"/>
          <w:lang w:val="en-GB"/>
        </w:rPr>
        <w:t>20%</w:t>
      </w:r>
      <w:r>
        <w:rPr>
          <w:snapToGrid/>
          <w:spacing w:val="-5"/>
          <w:szCs w:val="21"/>
          <w:lang w:val="en-GB"/>
        </w:rPr>
        <w:t>的照顾津贴。土库曼斯坦有超过</w:t>
      </w:r>
      <w:r>
        <w:rPr>
          <w:snapToGrid/>
          <w:spacing w:val="-5"/>
          <w:szCs w:val="21"/>
          <w:lang w:val="en-GB"/>
        </w:rPr>
        <w:t>76 000</w:t>
      </w:r>
      <w:r>
        <w:rPr>
          <w:snapToGrid/>
          <w:spacing w:val="-5"/>
          <w:szCs w:val="21"/>
          <w:lang w:val="en-GB"/>
        </w:rPr>
        <w:t>名各类残疾人，其中有</w:t>
      </w:r>
      <w:r>
        <w:rPr>
          <w:snapToGrid/>
          <w:spacing w:val="-5"/>
          <w:szCs w:val="21"/>
          <w:lang w:val="en-GB"/>
        </w:rPr>
        <w:t>10 700</w:t>
      </w:r>
      <w:r>
        <w:rPr>
          <w:snapToGrid/>
          <w:spacing w:val="-5"/>
          <w:szCs w:val="21"/>
          <w:lang w:val="en-GB"/>
        </w:rPr>
        <w:t>名残疾人是未满</w:t>
      </w:r>
      <w:r>
        <w:rPr>
          <w:snapToGrid/>
          <w:spacing w:val="-5"/>
          <w:szCs w:val="21"/>
          <w:lang w:val="en-GB"/>
        </w:rPr>
        <w:t>16</w:t>
      </w:r>
      <w:r>
        <w:rPr>
          <w:snapToGrid/>
          <w:spacing w:val="-5"/>
          <w:szCs w:val="21"/>
          <w:lang w:val="en-GB"/>
        </w:rPr>
        <w:t>岁的孩子。</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162.</w:t>
      </w:r>
      <w:r>
        <w:rPr>
          <w:rFonts w:hint="eastAsia"/>
          <w:snapToGrid/>
          <w:szCs w:val="21"/>
          <w:lang w:val="en-GB"/>
        </w:rPr>
        <w:t xml:space="preserve">  </w:t>
      </w:r>
      <w:r>
        <w:rPr>
          <w:snapToGrid/>
          <w:szCs w:val="21"/>
          <w:lang w:val="en-GB"/>
        </w:rPr>
        <w:t>失去赡养人津贴发放给被赡养者，不论赡养人是否以国家社会保险规定的方式投保。被赡养人是：未满</w:t>
      </w:r>
      <w:r>
        <w:rPr>
          <w:snapToGrid/>
          <w:szCs w:val="21"/>
          <w:lang w:val="en-GB"/>
        </w:rPr>
        <w:t>18</w:t>
      </w:r>
      <w:r>
        <w:rPr>
          <w:snapToGrid/>
          <w:szCs w:val="21"/>
          <w:lang w:val="en-GB"/>
        </w:rPr>
        <w:t>岁的孩子</w:t>
      </w:r>
      <w:r>
        <w:rPr>
          <w:snapToGrid/>
          <w:szCs w:val="21"/>
          <w:lang w:val="en-GB"/>
        </w:rPr>
        <w:t>(</w:t>
      </w:r>
      <w:r>
        <w:rPr>
          <w:snapToGrid/>
          <w:szCs w:val="21"/>
          <w:lang w:val="en-GB"/>
        </w:rPr>
        <w:t>包括养子、前任配偶的子女</w:t>
      </w:r>
      <w:r>
        <w:rPr>
          <w:snapToGrid/>
          <w:szCs w:val="21"/>
          <w:lang w:val="en-GB"/>
        </w:rPr>
        <w:t>)</w:t>
      </w:r>
      <w:r>
        <w:rPr>
          <w:snapToGrid/>
          <w:szCs w:val="21"/>
          <w:lang w:val="en-GB"/>
        </w:rPr>
        <w:t>；未满</w:t>
      </w:r>
      <w:r>
        <w:rPr>
          <w:snapToGrid/>
          <w:szCs w:val="21"/>
          <w:lang w:val="en-GB"/>
        </w:rPr>
        <w:t>18</w:t>
      </w:r>
      <w:r>
        <w:rPr>
          <w:snapToGrid/>
          <w:szCs w:val="21"/>
          <w:lang w:val="en-GB"/>
        </w:rPr>
        <w:t>岁的兄弟、姐妹和孙子</w:t>
      </w:r>
      <w:r>
        <w:rPr>
          <w:snapToGrid/>
          <w:szCs w:val="21"/>
          <w:lang w:val="en-GB"/>
        </w:rPr>
        <w:t>(</w:t>
      </w:r>
      <w:r>
        <w:rPr>
          <w:snapToGrid/>
          <w:szCs w:val="21"/>
          <w:lang w:val="en-GB"/>
        </w:rPr>
        <w:t>如果他们没有能劳动的父母</w:t>
      </w:r>
      <w:r>
        <w:rPr>
          <w:snapToGrid/>
          <w:szCs w:val="21"/>
          <w:lang w:val="en-GB"/>
        </w:rPr>
        <w:t>)</w:t>
      </w:r>
      <w:r>
        <w:rPr>
          <w:snapToGrid/>
          <w:szCs w:val="21"/>
          <w:lang w:val="en-GB"/>
        </w:rPr>
        <w:t>；父亲、母亲</w:t>
      </w:r>
      <w:r>
        <w:rPr>
          <w:snapToGrid/>
          <w:szCs w:val="21"/>
          <w:lang w:val="en-GB"/>
        </w:rPr>
        <w:t>(</w:t>
      </w:r>
      <w:r>
        <w:rPr>
          <w:snapToGrid/>
          <w:szCs w:val="21"/>
          <w:lang w:val="en-GB"/>
        </w:rPr>
        <w:t>包括养父母</w:t>
      </w:r>
      <w:r>
        <w:rPr>
          <w:snapToGrid/>
          <w:szCs w:val="21"/>
          <w:lang w:val="en-GB"/>
        </w:rPr>
        <w:t>)</w:t>
      </w:r>
      <w:r>
        <w:rPr>
          <w:snapToGrid/>
          <w:szCs w:val="21"/>
          <w:lang w:val="en-GB"/>
        </w:rPr>
        <w:t>，丈夫、妻子、祖父母，如果他们达到退休年龄，或是作为残疾人却未领到退休金与津贴。根据被赡养人人数，以基数的百分率来计算津贴额度，计为：</w:t>
      </w:r>
    </w:p>
    <w:p w:rsidR="00A93F62" w:rsidRDefault="00A93F62">
      <w:pPr>
        <w:pStyle w:val="Bullet1GC"/>
        <w:numPr>
          <w:ilvl w:val="0"/>
          <w:numId w:val="14"/>
        </w:numPr>
        <w:rPr>
          <w:snapToGrid/>
          <w:lang w:val="en-GB"/>
        </w:rPr>
      </w:pPr>
      <w:r>
        <w:rPr>
          <w:snapToGrid/>
          <w:lang w:val="en-GB"/>
        </w:rPr>
        <w:t>两人</w:t>
      </w:r>
      <w:r>
        <w:rPr>
          <w:rFonts w:hint="eastAsia"/>
          <w:snapToGrid/>
          <w:spacing w:val="-50"/>
          <w:lang w:val="en-GB"/>
        </w:rPr>
        <w:t>―</w:t>
      </w:r>
      <w:r>
        <w:rPr>
          <w:rFonts w:hint="eastAsia"/>
          <w:snapToGrid/>
          <w:lang w:val="en-GB"/>
        </w:rPr>
        <w:t>―</w:t>
      </w:r>
      <w:r>
        <w:rPr>
          <w:snapToGrid/>
          <w:lang w:val="en-GB"/>
        </w:rPr>
        <w:t>110%</w:t>
      </w:r>
      <w:r>
        <w:rPr>
          <w:snapToGrid/>
          <w:lang w:val="en-GB"/>
        </w:rPr>
        <w:t>；</w:t>
      </w:r>
    </w:p>
    <w:p w:rsidR="00A93F62" w:rsidRDefault="00A93F62">
      <w:pPr>
        <w:pStyle w:val="Bullet1GC"/>
        <w:numPr>
          <w:ilvl w:val="0"/>
          <w:numId w:val="14"/>
        </w:numPr>
        <w:rPr>
          <w:snapToGrid/>
          <w:lang w:val="en-GB"/>
        </w:rPr>
      </w:pPr>
      <w:r>
        <w:rPr>
          <w:snapToGrid/>
          <w:lang w:val="en-GB"/>
        </w:rPr>
        <w:t>三人</w:t>
      </w:r>
      <w:r>
        <w:rPr>
          <w:rFonts w:hint="eastAsia"/>
          <w:snapToGrid/>
          <w:spacing w:val="-50"/>
          <w:lang w:val="en-GB"/>
        </w:rPr>
        <w:t>―</w:t>
      </w:r>
      <w:r>
        <w:rPr>
          <w:rFonts w:hint="eastAsia"/>
          <w:snapToGrid/>
          <w:lang w:val="en-GB"/>
        </w:rPr>
        <w:t>―</w:t>
      </w:r>
      <w:r>
        <w:rPr>
          <w:snapToGrid/>
          <w:lang w:val="en-GB"/>
        </w:rPr>
        <w:t>130%</w:t>
      </w:r>
      <w:r>
        <w:rPr>
          <w:snapToGrid/>
          <w:lang w:val="en-GB"/>
        </w:rPr>
        <w:t>；</w:t>
      </w:r>
    </w:p>
    <w:p w:rsidR="00A93F62" w:rsidRDefault="00A93F62">
      <w:pPr>
        <w:pStyle w:val="Bullet1GC"/>
        <w:numPr>
          <w:ilvl w:val="0"/>
          <w:numId w:val="14"/>
        </w:numPr>
        <w:rPr>
          <w:snapToGrid/>
          <w:lang w:val="en-GB"/>
        </w:rPr>
      </w:pPr>
      <w:r>
        <w:rPr>
          <w:snapToGrid/>
          <w:lang w:val="en-GB"/>
        </w:rPr>
        <w:t>四人及以上</w:t>
      </w:r>
      <w:r>
        <w:rPr>
          <w:rFonts w:hint="eastAsia"/>
          <w:snapToGrid/>
          <w:spacing w:val="-50"/>
          <w:lang w:val="en-GB"/>
        </w:rPr>
        <w:t>―</w:t>
      </w:r>
      <w:r>
        <w:rPr>
          <w:rFonts w:hint="eastAsia"/>
          <w:snapToGrid/>
          <w:lang w:val="en-GB"/>
        </w:rPr>
        <w:t>―</w:t>
      </w:r>
      <w:r>
        <w:rPr>
          <w:snapToGrid/>
          <w:lang w:val="en-GB"/>
        </w:rPr>
        <w:t>150%</w:t>
      </w:r>
      <w:r>
        <w:rPr>
          <w:snapToGrid/>
          <w:lang w:val="en-GB"/>
        </w:rPr>
        <w:t>。</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szCs w:val="21"/>
          <w:lang w:val="en-GB"/>
        </w:rPr>
        <w:t>孤儿或独身母亲去世的孩子的津贴额度，以基数百分率计算，计为：</w:t>
      </w:r>
    </w:p>
    <w:p w:rsidR="00A93F62" w:rsidRDefault="00A93F62">
      <w:pPr>
        <w:pStyle w:val="Bullet1GC"/>
        <w:numPr>
          <w:ilvl w:val="0"/>
          <w:numId w:val="14"/>
        </w:numPr>
        <w:rPr>
          <w:snapToGrid/>
          <w:lang w:val="en-GB"/>
        </w:rPr>
      </w:pPr>
      <w:r>
        <w:rPr>
          <w:snapToGrid/>
          <w:lang w:val="en-GB"/>
        </w:rPr>
        <w:t>一人</w:t>
      </w:r>
      <w:r>
        <w:rPr>
          <w:rFonts w:hint="eastAsia"/>
          <w:snapToGrid/>
          <w:spacing w:val="-50"/>
          <w:lang w:val="en-GB"/>
        </w:rPr>
        <w:t>―</w:t>
      </w:r>
      <w:r>
        <w:rPr>
          <w:rFonts w:hint="eastAsia"/>
          <w:snapToGrid/>
          <w:lang w:val="en-GB"/>
        </w:rPr>
        <w:t>―</w:t>
      </w:r>
      <w:r>
        <w:rPr>
          <w:snapToGrid/>
          <w:lang w:val="en-GB"/>
        </w:rPr>
        <w:t>120%</w:t>
      </w:r>
      <w:r>
        <w:rPr>
          <w:snapToGrid/>
          <w:lang w:val="en-GB"/>
        </w:rPr>
        <w:t>；</w:t>
      </w:r>
    </w:p>
    <w:p w:rsidR="00A93F62" w:rsidRDefault="00A93F62">
      <w:pPr>
        <w:pStyle w:val="Bullet1GC"/>
        <w:numPr>
          <w:ilvl w:val="0"/>
          <w:numId w:val="14"/>
        </w:numPr>
        <w:rPr>
          <w:snapToGrid/>
          <w:lang w:val="en-GB"/>
        </w:rPr>
      </w:pPr>
      <w:r>
        <w:rPr>
          <w:snapToGrid/>
          <w:lang w:val="en-GB"/>
        </w:rPr>
        <w:t>两人</w:t>
      </w:r>
      <w:r>
        <w:rPr>
          <w:rFonts w:hint="eastAsia"/>
          <w:snapToGrid/>
          <w:spacing w:val="-50"/>
          <w:lang w:val="en-GB"/>
        </w:rPr>
        <w:t>―</w:t>
      </w:r>
      <w:r>
        <w:rPr>
          <w:rFonts w:hint="eastAsia"/>
          <w:snapToGrid/>
          <w:lang w:val="en-GB"/>
        </w:rPr>
        <w:t>―</w:t>
      </w:r>
      <w:r>
        <w:rPr>
          <w:snapToGrid/>
          <w:lang w:val="en-GB"/>
        </w:rPr>
        <w:t>200%</w:t>
      </w:r>
      <w:r>
        <w:rPr>
          <w:snapToGrid/>
          <w:lang w:val="en-GB"/>
        </w:rPr>
        <w:t>；</w:t>
      </w:r>
    </w:p>
    <w:p w:rsidR="00A93F62" w:rsidRDefault="00A93F62">
      <w:pPr>
        <w:pStyle w:val="Bullet1GC"/>
        <w:numPr>
          <w:ilvl w:val="0"/>
          <w:numId w:val="14"/>
        </w:numPr>
        <w:rPr>
          <w:snapToGrid/>
          <w:lang w:val="en-GB"/>
        </w:rPr>
      </w:pPr>
      <w:r>
        <w:rPr>
          <w:snapToGrid/>
          <w:lang w:val="en-GB"/>
        </w:rPr>
        <w:t>三人及以上</w:t>
      </w:r>
      <w:r>
        <w:rPr>
          <w:rFonts w:hint="eastAsia"/>
          <w:snapToGrid/>
          <w:spacing w:val="-50"/>
          <w:lang w:val="en-GB"/>
        </w:rPr>
        <w:t>―</w:t>
      </w:r>
      <w:r>
        <w:rPr>
          <w:rFonts w:hint="eastAsia"/>
          <w:snapToGrid/>
          <w:lang w:val="en-GB"/>
        </w:rPr>
        <w:t>―</w:t>
      </w:r>
      <w:r>
        <w:rPr>
          <w:snapToGrid/>
          <w:lang w:val="en-GB"/>
        </w:rPr>
        <w:t>250%</w:t>
      </w:r>
      <w:r>
        <w:rPr>
          <w:snapToGrid/>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163.</w:t>
      </w:r>
      <w:r>
        <w:rPr>
          <w:rFonts w:hint="eastAsia"/>
          <w:snapToGrid/>
          <w:szCs w:val="21"/>
          <w:lang w:val="en-GB"/>
        </w:rPr>
        <w:t xml:space="preserve">  </w:t>
      </w:r>
      <w:smartTag w:uri="urn:schemas-microsoft-com:office:smarttags" w:element="chsdate">
        <w:smartTagPr>
          <w:attr w:name="IsROCDate" w:val="False"/>
          <w:attr w:name="IsLunarDate" w:val="False"/>
          <w:attr w:name="Day" w:val="1"/>
          <w:attr w:name="Month" w:val="7"/>
          <w:attr w:name="Year" w:val="2007"/>
        </w:smartTagPr>
        <w:r>
          <w:rPr>
            <w:snapToGrid/>
            <w:szCs w:val="21"/>
            <w:lang w:val="en-GB"/>
          </w:rPr>
          <w:t>2007</w:t>
        </w:r>
        <w:r>
          <w:rPr>
            <w:snapToGrid/>
            <w:szCs w:val="21"/>
            <w:lang w:val="en-GB"/>
          </w:rPr>
          <w:t>年</w:t>
        </w:r>
        <w:r>
          <w:rPr>
            <w:snapToGrid/>
            <w:szCs w:val="21"/>
            <w:lang w:val="en-GB"/>
          </w:rPr>
          <w:t>7</w:t>
        </w:r>
        <w:r>
          <w:rPr>
            <w:snapToGrid/>
            <w:szCs w:val="21"/>
            <w:lang w:val="en-GB"/>
          </w:rPr>
          <w:t>月</w:t>
        </w:r>
        <w:r>
          <w:rPr>
            <w:snapToGrid/>
            <w:szCs w:val="21"/>
            <w:lang w:val="en-GB"/>
          </w:rPr>
          <w:t>1</w:t>
        </w:r>
        <w:r>
          <w:rPr>
            <w:snapToGrid/>
            <w:szCs w:val="21"/>
            <w:lang w:val="en-GB"/>
          </w:rPr>
          <w:t>日</w:t>
        </w:r>
      </w:smartTag>
      <w:r>
        <w:rPr>
          <w:snapToGrid/>
          <w:szCs w:val="21"/>
          <w:lang w:val="en-GB"/>
        </w:rPr>
        <w:t>前，社会津贴发放给没有固定收入与津贴的年满</w:t>
      </w:r>
      <w:r>
        <w:rPr>
          <w:snapToGrid/>
          <w:szCs w:val="21"/>
          <w:lang w:val="en-GB"/>
        </w:rPr>
        <w:t>67</w:t>
      </w:r>
      <w:r>
        <w:rPr>
          <w:snapToGrid/>
          <w:szCs w:val="21"/>
          <w:lang w:val="en-GB"/>
        </w:rPr>
        <w:t>岁的男子，年满</w:t>
      </w:r>
      <w:r>
        <w:rPr>
          <w:snapToGrid/>
          <w:szCs w:val="21"/>
          <w:lang w:val="en-GB"/>
        </w:rPr>
        <w:t>62</w:t>
      </w:r>
      <w:r>
        <w:rPr>
          <w:snapToGrid/>
          <w:szCs w:val="21"/>
          <w:lang w:val="en-GB"/>
        </w:rPr>
        <w:t>岁的妇女。津贴额度为基数的</w:t>
      </w:r>
      <w:r>
        <w:rPr>
          <w:snapToGrid/>
          <w:szCs w:val="21"/>
          <w:lang w:val="en-GB"/>
        </w:rPr>
        <w:t>40%</w:t>
      </w:r>
      <w:r>
        <w:rPr>
          <w:snapToGrid/>
          <w:szCs w:val="21"/>
          <w:lang w:val="en-GB"/>
        </w:rPr>
        <w:t>。自</w:t>
      </w:r>
      <w:smartTag w:uri="urn:schemas-microsoft-com:office:smarttags" w:element="chsdate">
        <w:smartTagPr>
          <w:attr w:name="IsROCDate" w:val="False"/>
          <w:attr w:name="IsLunarDate" w:val="False"/>
          <w:attr w:name="Day" w:val="1"/>
          <w:attr w:name="Month" w:val="7"/>
          <w:attr w:name="Year" w:val="2007"/>
        </w:smartTagPr>
        <w:r>
          <w:rPr>
            <w:snapToGrid/>
            <w:szCs w:val="21"/>
            <w:lang w:val="en-GB"/>
          </w:rPr>
          <w:t>2007</w:t>
        </w:r>
        <w:r>
          <w:rPr>
            <w:snapToGrid/>
            <w:szCs w:val="21"/>
            <w:lang w:val="en-GB"/>
          </w:rPr>
          <w:t>年</w:t>
        </w:r>
        <w:r>
          <w:rPr>
            <w:snapToGrid/>
            <w:szCs w:val="21"/>
            <w:lang w:val="en-GB"/>
          </w:rPr>
          <w:t>7</w:t>
        </w:r>
        <w:r>
          <w:rPr>
            <w:snapToGrid/>
            <w:szCs w:val="21"/>
            <w:lang w:val="en-GB"/>
          </w:rPr>
          <w:t>月</w:t>
        </w:r>
        <w:r>
          <w:rPr>
            <w:snapToGrid/>
            <w:szCs w:val="21"/>
            <w:lang w:val="en-GB"/>
          </w:rPr>
          <w:t>1</w:t>
        </w:r>
        <w:r>
          <w:rPr>
            <w:snapToGrid/>
            <w:szCs w:val="21"/>
            <w:lang w:val="en-GB"/>
          </w:rPr>
          <w:t>日</w:t>
        </w:r>
      </w:smartTag>
      <w:r>
        <w:rPr>
          <w:snapToGrid/>
          <w:szCs w:val="21"/>
          <w:lang w:val="en-GB"/>
        </w:rPr>
        <w:t>起，达到以下年龄的公民获得了社会津贴权：没有退休金的男子</w:t>
      </w:r>
      <w:r>
        <w:rPr>
          <w:rFonts w:hint="eastAsia"/>
          <w:snapToGrid/>
          <w:spacing w:val="-50"/>
          <w:szCs w:val="21"/>
          <w:lang w:val="en-GB"/>
        </w:rPr>
        <w:t>―</w:t>
      </w:r>
      <w:r>
        <w:rPr>
          <w:rFonts w:hint="eastAsia"/>
          <w:snapToGrid/>
          <w:szCs w:val="21"/>
          <w:lang w:val="en-GB"/>
        </w:rPr>
        <w:t>―</w:t>
      </w:r>
      <w:r>
        <w:rPr>
          <w:snapToGrid/>
          <w:szCs w:val="21"/>
          <w:lang w:val="en-GB"/>
        </w:rPr>
        <w:t>62</w:t>
      </w:r>
      <w:r>
        <w:rPr>
          <w:snapToGrid/>
          <w:szCs w:val="21"/>
          <w:lang w:val="en-GB"/>
        </w:rPr>
        <w:t>岁，妇女</w:t>
      </w:r>
      <w:r>
        <w:rPr>
          <w:rFonts w:hint="eastAsia"/>
          <w:snapToGrid/>
          <w:spacing w:val="-50"/>
          <w:szCs w:val="21"/>
          <w:lang w:val="en-GB"/>
        </w:rPr>
        <w:t>―</w:t>
      </w:r>
      <w:r>
        <w:rPr>
          <w:rFonts w:hint="eastAsia"/>
          <w:snapToGrid/>
          <w:szCs w:val="21"/>
          <w:lang w:val="en-GB"/>
        </w:rPr>
        <w:t>―</w:t>
      </w:r>
      <w:r>
        <w:rPr>
          <w:snapToGrid/>
          <w:szCs w:val="21"/>
          <w:lang w:val="en-GB"/>
        </w:rPr>
        <w:t>57</w:t>
      </w:r>
      <w:r>
        <w:rPr>
          <w:snapToGrid/>
          <w:szCs w:val="21"/>
          <w:lang w:val="en-GB"/>
        </w:rPr>
        <w:t>岁。津贴额度为基数的</w:t>
      </w:r>
      <w:r>
        <w:rPr>
          <w:snapToGrid/>
          <w:szCs w:val="21"/>
          <w:lang w:val="en-GB"/>
        </w:rPr>
        <w:t>60%</w:t>
      </w:r>
      <w:r>
        <w:rPr>
          <w:snapToGrid/>
          <w:szCs w:val="21"/>
          <w:lang w:val="en-GB"/>
        </w:rPr>
        <w:t>。</w:t>
      </w:r>
    </w:p>
    <w:p w:rsidR="00A93F62" w:rsidRDefault="00A93F62">
      <w:pPr>
        <w:widowControl w:val="0"/>
        <w:tabs>
          <w:tab w:val="clear" w:pos="431"/>
        </w:tabs>
        <w:suppressAutoHyphens/>
        <w:overflowPunct/>
        <w:adjustRightInd/>
        <w:snapToGrid/>
        <w:spacing w:after="120" w:line="320" w:lineRule="atLeast"/>
        <w:ind w:left="1134" w:right="1134"/>
        <w:rPr>
          <w:rFonts w:hint="eastAsia"/>
          <w:snapToGrid/>
          <w:szCs w:val="21"/>
          <w:lang w:val="en-GB"/>
        </w:rPr>
      </w:pPr>
      <w:r>
        <w:rPr>
          <w:snapToGrid/>
          <w:szCs w:val="21"/>
          <w:lang w:val="en-GB"/>
        </w:rPr>
        <w:t>164.</w:t>
      </w:r>
      <w:r>
        <w:rPr>
          <w:rFonts w:hint="eastAsia"/>
          <w:snapToGrid/>
          <w:szCs w:val="21"/>
          <w:lang w:val="en-GB"/>
        </w:rPr>
        <w:t xml:space="preserve">  </w:t>
      </w:r>
      <w:r>
        <w:rPr>
          <w:snapToGrid/>
          <w:szCs w:val="21"/>
          <w:lang w:val="en-GB"/>
        </w:rPr>
        <w:t>根据土库曼斯坦总统令，向达到</w:t>
      </w:r>
      <w:r>
        <w:rPr>
          <w:snapToGrid/>
          <w:szCs w:val="21"/>
          <w:lang w:val="en-GB"/>
        </w:rPr>
        <w:t>62</w:t>
      </w:r>
      <w:r>
        <w:rPr>
          <w:snapToGrid/>
          <w:szCs w:val="21"/>
          <w:lang w:val="en-GB"/>
        </w:rPr>
        <w:t>岁的居民支付一次性奖金：工作人员</w:t>
      </w:r>
      <w:r>
        <w:rPr>
          <w:rFonts w:hint="eastAsia"/>
          <w:snapToGrid/>
          <w:spacing w:val="-50"/>
          <w:szCs w:val="21"/>
          <w:lang w:val="en-GB"/>
        </w:rPr>
        <w:t>―</w:t>
      </w:r>
      <w:r>
        <w:rPr>
          <w:rFonts w:hint="eastAsia"/>
          <w:snapToGrid/>
          <w:szCs w:val="21"/>
          <w:lang w:val="en-GB"/>
        </w:rPr>
        <w:t>―</w:t>
      </w:r>
      <w:r>
        <w:rPr>
          <w:snapToGrid/>
          <w:szCs w:val="21"/>
          <w:lang w:val="en-GB"/>
        </w:rPr>
        <w:t>工资；退休人员</w:t>
      </w:r>
      <w:r>
        <w:rPr>
          <w:rFonts w:hint="eastAsia"/>
          <w:snapToGrid/>
          <w:spacing w:val="-50"/>
          <w:szCs w:val="21"/>
          <w:lang w:val="en-GB"/>
        </w:rPr>
        <w:t>―</w:t>
      </w:r>
      <w:r>
        <w:rPr>
          <w:rFonts w:hint="eastAsia"/>
          <w:snapToGrid/>
          <w:szCs w:val="21"/>
          <w:lang w:val="en-GB"/>
        </w:rPr>
        <w:t>―</w:t>
      </w:r>
      <w:r>
        <w:rPr>
          <w:snapToGrid/>
          <w:szCs w:val="21"/>
          <w:lang w:val="en-GB"/>
        </w:rPr>
        <w:t>退休金；津贴领取者</w:t>
      </w:r>
      <w:r>
        <w:rPr>
          <w:rFonts w:hint="eastAsia"/>
          <w:snapToGrid/>
          <w:spacing w:val="-50"/>
          <w:szCs w:val="21"/>
          <w:lang w:val="en-GB"/>
        </w:rPr>
        <w:t>―</w:t>
      </w:r>
      <w:r>
        <w:rPr>
          <w:rFonts w:hint="eastAsia"/>
          <w:snapToGrid/>
          <w:szCs w:val="21"/>
          <w:lang w:val="en-GB"/>
        </w:rPr>
        <w:t>―</w:t>
      </w:r>
      <w:r>
        <w:rPr>
          <w:snapToGrid/>
          <w:szCs w:val="21"/>
          <w:lang w:val="en-GB"/>
        </w:rPr>
        <w:t>津贴。由土库曼斯坦国家预算内资金来支付指定的社会津贴。</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165.</w:t>
      </w:r>
      <w:r>
        <w:rPr>
          <w:rFonts w:hint="eastAsia"/>
          <w:snapToGrid/>
          <w:szCs w:val="21"/>
          <w:lang w:val="en-GB"/>
        </w:rPr>
        <w:t xml:space="preserve">  </w:t>
      </w:r>
      <w:r>
        <w:rPr>
          <w:snapToGrid/>
          <w:szCs w:val="21"/>
          <w:lang w:val="en-GB"/>
        </w:rPr>
        <w:t>国家援助提供给最没有保障的人员，他们不享受退休金、国家津贴权，人均收入低于最低消费预算。由土库曼斯坦中央预算内资金完成国家援助，企业、单位与机关出资提供免费或优惠的社会服务。</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166.</w:t>
      </w:r>
      <w:r>
        <w:rPr>
          <w:rFonts w:hint="eastAsia"/>
          <w:snapToGrid/>
          <w:szCs w:val="21"/>
          <w:lang w:val="en-GB"/>
        </w:rPr>
        <w:t xml:space="preserve">  </w:t>
      </w:r>
      <w:r>
        <w:rPr>
          <w:snapToGrid/>
          <w:szCs w:val="21"/>
          <w:lang w:val="en-GB"/>
        </w:rPr>
        <w:t>为向独身年迈公民与残疾人提供社会日常服务、社会医疗服务，使其适应社会，土库曼斯坦建有</w:t>
      </w:r>
      <w:r>
        <w:rPr>
          <w:snapToGrid/>
          <w:szCs w:val="21"/>
          <w:lang w:val="en-GB"/>
        </w:rPr>
        <w:t>6</w:t>
      </w:r>
      <w:r>
        <w:rPr>
          <w:snapToGrid/>
          <w:szCs w:val="21"/>
          <w:lang w:val="en-GB"/>
        </w:rPr>
        <w:t>个社会服务中心。</w:t>
      </w:r>
      <w:r>
        <w:rPr>
          <w:snapToGrid/>
          <w:szCs w:val="21"/>
          <w:lang w:val="en-GB"/>
        </w:rPr>
        <w:t>2007</w:t>
      </w:r>
      <w:r>
        <w:rPr>
          <w:snapToGrid/>
          <w:szCs w:val="21"/>
          <w:lang w:val="en-GB"/>
        </w:rPr>
        <w:t>年，向</w:t>
      </w:r>
      <w:r>
        <w:rPr>
          <w:snapToGrid/>
          <w:szCs w:val="21"/>
          <w:lang w:val="en-GB"/>
        </w:rPr>
        <w:t>130</w:t>
      </w:r>
      <w:r>
        <w:rPr>
          <w:snapToGrid/>
          <w:szCs w:val="21"/>
          <w:lang w:val="en-GB"/>
        </w:rPr>
        <w:t>人提供日间与昼夜护理，向</w:t>
      </w:r>
      <w:r>
        <w:rPr>
          <w:snapToGrid/>
          <w:szCs w:val="21"/>
          <w:lang w:val="en-GB"/>
        </w:rPr>
        <w:t>1 859</w:t>
      </w:r>
      <w:r>
        <w:rPr>
          <w:snapToGrid/>
          <w:szCs w:val="21"/>
          <w:lang w:val="en-GB"/>
        </w:rPr>
        <w:t>人提供家庭服务。</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167.</w:t>
      </w:r>
      <w:r>
        <w:rPr>
          <w:rFonts w:hint="eastAsia"/>
          <w:snapToGrid/>
          <w:szCs w:val="21"/>
          <w:lang w:val="en-GB"/>
        </w:rPr>
        <w:t xml:space="preserve">  </w:t>
      </w:r>
      <w:r>
        <w:rPr>
          <w:snapToGrid/>
          <w:szCs w:val="21"/>
          <w:lang w:val="en-GB"/>
        </w:rPr>
        <w:t>主要的社会保障指标：</w:t>
      </w:r>
    </w:p>
    <w:tbl>
      <w:tblPr>
        <w:tblStyle w:val="TabNum"/>
        <w:tblW w:w="7200" w:type="dxa"/>
        <w:tblInd w:w="1228" w:type="dxa"/>
        <w:tblLayout w:type="fixed"/>
        <w:tblLook w:val="01E0" w:firstRow="1" w:lastRow="1" w:firstColumn="1" w:lastColumn="1" w:noHBand="0" w:noVBand="0"/>
      </w:tblPr>
      <w:tblGrid>
        <w:gridCol w:w="3100"/>
        <w:gridCol w:w="1400"/>
        <w:gridCol w:w="1388"/>
        <w:gridCol w:w="1312"/>
      </w:tblGrid>
      <w:tr w:rsidR="00A93F62" w:rsidRPr="003712EA">
        <w:trPr>
          <w:trHeight w:hRule="exact" w:val="422"/>
          <w:tblHeader/>
        </w:trPr>
        <w:tc>
          <w:tcPr>
            <w:cnfStyle w:val="001000000000" w:firstRow="0" w:lastRow="0" w:firstColumn="1" w:lastColumn="0" w:oddVBand="0" w:evenVBand="0" w:oddHBand="0" w:evenHBand="0" w:firstRowFirstColumn="0" w:firstRowLastColumn="0" w:lastRowFirstColumn="0" w:lastRowLastColumn="0"/>
            <w:tcW w:w="3100" w:type="dxa"/>
            <w:tcBorders>
              <w:bottom w:val="single" w:sz="12" w:space="0" w:color="auto"/>
            </w:tcBorders>
            <w:shd w:val="clear" w:color="auto" w:fill="auto"/>
          </w:tcPr>
          <w:p w:rsidR="00A93F62" w:rsidRPr="003712EA" w:rsidRDefault="00A93F62">
            <w:pPr>
              <w:tabs>
                <w:tab w:val="clear" w:pos="431"/>
              </w:tabs>
              <w:suppressAutoHyphens/>
              <w:overflowPunct/>
              <w:adjustRightInd/>
              <w:spacing w:before="0" w:after="0" w:line="240" w:lineRule="auto"/>
              <w:rPr>
                <w:i/>
                <w:snapToGrid/>
                <w:sz w:val="18"/>
                <w:szCs w:val="18"/>
                <w:lang w:val="en-GB"/>
              </w:rPr>
            </w:pPr>
            <w:r w:rsidRPr="003712EA">
              <w:rPr>
                <w:rFonts w:eastAsia="KaiTi_GB2312"/>
                <w:snapToGrid/>
                <w:sz w:val="18"/>
                <w:szCs w:val="18"/>
                <w:lang w:val="en-GB"/>
              </w:rPr>
              <w:t>指标</w:t>
            </w:r>
          </w:p>
        </w:tc>
        <w:tc>
          <w:tcPr>
            <w:tcW w:w="1400" w:type="dxa"/>
            <w:tcBorders>
              <w:top w:val="single" w:sz="4" w:space="0" w:color="auto"/>
              <w:bottom w:val="single" w:sz="12" w:space="0" w:color="auto"/>
            </w:tcBorders>
            <w:shd w:val="clear" w:color="auto" w:fill="auto"/>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3712EA">
              <w:rPr>
                <w:rFonts w:eastAsia="KaiTi_GB2312"/>
                <w:snapToGrid/>
                <w:sz w:val="18"/>
                <w:szCs w:val="18"/>
                <w:lang w:val="en-GB" w:eastAsia="en-US"/>
              </w:rPr>
              <w:t>2005</w:t>
            </w:r>
            <w:r w:rsidRPr="003712EA">
              <w:rPr>
                <w:rFonts w:eastAsia="KaiTi_GB2312"/>
                <w:snapToGrid/>
                <w:sz w:val="18"/>
                <w:szCs w:val="18"/>
                <w:lang w:val="en-GB"/>
              </w:rPr>
              <w:t>年</w:t>
            </w:r>
          </w:p>
        </w:tc>
        <w:tc>
          <w:tcPr>
            <w:tcW w:w="1388" w:type="dxa"/>
            <w:tcBorders>
              <w:top w:val="single" w:sz="4" w:space="0" w:color="auto"/>
              <w:bottom w:val="single" w:sz="12" w:space="0" w:color="auto"/>
            </w:tcBorders>
            <w:shd w:val="clear" w:color="auto" w:fill="auto"/>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3712EA">
              <w:rPr>
                <w:rFonts w:eastAsia="KaiTi_GB2312"/>
                <w:snapToGrid/>
                <w:sz w:val="18"/>
                <w:szCs w:val="18"/>
                <w:lang w:val="en-GB" w:eastAsia="en-US"/>
              </w:rPr>
              <w:t>2006</w:t>
            </w:r>
            <w:r w:rsidRPr="003712EA">
              <w:rPr>
                <w:rFonts w:eastAsia="KaiTi_GB2312"/>
                <w:snapToGrid/>
                <w:sz w:val="18"/>
                <w:szCs w:val="18"/>
                <w:lang w:val="en-GB"/>
              </w:rPr>
              <w:t>年</w:t>
            </w:r>
          </w:p>
        </w:tc>
        <w:tc>
          <w:tcPr>
            <w:tcW w:w="1312" w:type="dxa"/>
            <w:tcBorders>
              <w:top w:val="single" w:sz="4" w:space="0" w:color="auto"/>
              <w:bottom w:val="single" w:sz="12" w:space="0" w:color="auto"/>
            </w:tcBorders>
            <w:shd w:val="clear" w:color="auto" w:fill="auto"/>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3712EA">
              <w:rPr>
                <w:rFonts w:eastAsia="KaiTi_GB2312"/>
                <w:snapToGrid/>
                <w:sz w:val="18"/>
                <w:szCs w:val="18"/>
                <w:lang w:val="en-GB" w:eastAsia="en-US"/>
              </w:rPr>
              <w:t>2007</w:t>
            </w:r>
            <w:r w:rsidRPr="003712EA">
              <w:rPr>
                <w:rFonts w:eastAsia="KaiTi_GB2312"/>
                <w:snapToGrid/>
                <w:sz w:val="18"/>
                <w:szCs w:val="18"/>
                <w:lang w:val="en-GB"/>
              </w:rPr>
              <w:t>年</w:t>
            </w:r>
          </w:p>
        </w:tc>
      </w:tr>
      <w:tr w:rsidR="00A93F62" w:rsidRPr="003712EA">
        <w:trPr>
          <w:trHeight w:hRule="exact" w:val="422"/>
        </w:trPr>
        <w:tc>
          <w:tcPr>
            <w:cnfStyle w:val="001000000000" w:firstRow="0" w:lastRow="0" w:firstColumn="1" w:lastColumn="0" w:oddVBand="0" w:evenVBand="0" w:oddHBand="0" w:evenHBand="0" w:firstRowFirstColumn="0" w:firstRowLastColumn="0" w:lastRowFirstColumn="0" w:lastRowLastColumn="0"/>
            <w:tcW w:w="3100" w:type="dxa"/>
            <w:tcBorders>
              <w:top w:val="single" w:sz="12" w:space="0" w:color="auto"/>
            </w:tcBorders>
            <w:shd w:val="clear" w:color="auto" w:fill="auto"/>
          </w:tcPr>
          <w:p w:rsidR="00A93F62" w:rsidRPr="003712EA" w:rsidRDefault="00A93F62">
            <w:pPr>
              <w:tabs>
                <w:tab w:val="clear" w:pos="431"/>
              </w:tabs>
              <w:suppressAutoHyphens/>
              <w:overflowPunct/>
              <w:adjustRightInd/>
              <w:spacing w:before="0" w:after="0" w:line="240" w:lineRule="auto"/>
              <w:rPr>
                <w:rFonts w:eastAsia="KaiTi_GB2312"/>
                <w:snapToGrid/>
                <w:sz w:val="18"/>
                <w:szCs w:val="18"/>
                <w:lang w:val="en-GB"/>
              </w:rPr>
            </w:pPr>
            <w:r w:rsidRPr="003712EA">
              <w:rPr>
                <w:snapToGrid/>
                <w:sz w:val="18"/>
                <w:szCs w:val="18"/>
                <w:lang w:val="en-GB"/>
              </w:rPr>
              <w:t>退休人员人数，人</w:t>
            </w:r>
          </w:p>
        </w:tc>
        <w:tc>
          <w:tcPr>
            <w:tcW w:w="1400" w:type="dxa"/>
            <w:tcBorders>
              <w:top w:val="single" w:sz="12" w:space="0" w:color="auto"/>
              <w:bottom w:val="nil"/>
            </w:tcBorders>
            <w:shd w:val="clear" w:color="auto" w:fill="auto"/>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171 594</w:t>
            </w:r>
          </w:p>
        </w:tc>
        <w:tc>
          <w:tcPr>
            <w:tcW w:w="1388" w:type="dxa"/>
            <w:tcBorders>
              <w:top w:val="single" w:sz="12" w:space="0" w:color="auto"/>
              <w:bottom w:val="nil"/>
            </w:tcBorders>
            <w:shd w:val="clear" w:color="auto" w:fill="auto"/>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173 187 972.9</w:t>
            </w:r>
          </w:p>
        </w:tc>
        <w:tc>
          <w:tcPr>
            <w:tcW w:w="1312" w:type="dxa"/>
            <w:tcBorders>
              <w:top w:val="single" w:sz="12" w:space="0" w:color="auto"/>
              <w:bottom w:val="nil"/>
            </w:tcBorders>
            <w:shd w:val="clear" w:color="auto" w:fill="auto"/>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246 339 917.9</w:t>
            </w:r>
          </w:p>
        </w:tc>
      </w:tr>
      <w:tr w:rsidR="00A93F62" w:rsidRPr="003712EA">
        <w:trPr>
          <w:trHeight w:hRule="exact" w:val="364"/>
        </w:trPr>
        <w:tc>
          <w:tcPr>
            <w:cnfStyle w:val="001000000000" w:firstRow="0" w:lastRow="0" w:firstColumn="1" w:lastColumn="0" w:oddVBand="0" w:evenVBand="0" w:oddHBand="0" w:evenHBand="0" w:firstRowFirstColumn="0" w:firstRowLastColumn="0" w:lastRowFirstColumn="0" w:lastRowLastColumn="0"/>
            <w:tcW w:w="3100" w:type="dxa"/>
            <w:tcBorders>
              <w:top w:val="nil"/>
            </w:tcBorders>
          </w:tcPr>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每月退休金平均金额，千马纳特</w:t>
            </w:r>
          </w:p>
        </w:tc>
        <w:tc>
          <w:tcPr>
            <w:tcW w:w="1400"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1 009.2</w:t>
            </w:r>
          </w:p>
        </w:tc>
        <w:tc>
          <w:tcPr>
            <w:tcW w:w="1388"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312"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3712EA">
        <w:trPr>
          <w:trHeight w:val="605"/>
        </w:trPr>
        <w:tc>
          <w:tcPr>
            <w:cnfStyle w:val="001000000000" w:firstRow="0" w:lastRow="0" w:firstColumn="1" w:lastColumn="0" w:oddVBand="0" w:evenVBand="0" w:oddHBand="0" w:evenHBand="0" w:firstRowFirstColumn="0" w:firstRowLastColumn="0" w:lastRowFirstColumn="0" w:lastRowLastColumn="0"/>
            <w:tcW w:w="3100" w:type="dxa"/>
            <w:tcBorders>
              <w:top w:val="nil"/>
            </w:tcBorders>
          </w:tcPr>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领取津贴</w:t>
            </w:r>
            <w:r w:rsidRPr="003712EA">
              <w:rPr>
                <w:rFonts w:eastAsia="SimHei"/>
                <w:snapToGrid/>
                <w:sz w:val="18"/>
                <w:szCs w:val="18"/>
                <w:vertAlign w:val="superscript"/>
                <w:lang w:val="en-GB"/>
              </w:rPr>
              <w:t>1</w:t>
            </w:r>
            <w:r w:rsidRPr="003712EA">
              <w:rPr>
                <w:snapToGrid/>
                <w:sz w:val="18"/>
                <w:szCs w:val="18"/>
                <w:lang w:val="en-GB"/>
              </w:rPr>
              <w:t>人数，人</w:t>
            </w:r>
            <w:r w:rsidRPr="003712EA">
              <w:rPr>
                <w:snapToGrid/>
                <w:sz w:val="18"/>
                <w:szCs w:val="18"/>
                <w:lang w:val="en-GB"/>
              </w:rPr>
              <w:br/>
            </w:r>
            <w:r w:rsidRPr="003712EA">
              <w:rPr>
                <w:snapToGrid/>
                <w:sz w:val="18"/>
                <w:szCs w:val="18"/>
                <w:lang w:val="en-GB"/>
              </w:rPr>
              <w:t>每月津贴</w:t>
            </w:r>
            <w:r w:rsidRPr="003712EA">
              <w:rPr>
                <w:rFonts w:eastAsia="SimHei"/>
                <w:snapToGrid/>
                <w:sz w:val="18"/>
                <w:szCs w:val="18"/>
                <w:vertAlign w:val="superscript"/>
                <w:lang w:val="en-GB"/>
              </w:rPr>
              <w:t>1</w:t>
            </w:r>
            <w:r w:rsidRPr="003712EA">
              <w:rPr>
                <w:snapToGrid/>
                <w:sz w:val="18"/>
                <w:szCs w:val="18"/>
                <w:lang w:val="en-GB"/>
              </w:rPr>
              <w:t>平均额度，千马纳特</w:t>
            </w:r>
          </w:p>
        </w:tc>
        <w:tc>
          <w:tcPr>
            <w:tcW w:w="1400"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122 722 278.3</w:t>
            </w:r>
          </w:p>
        </w:tc>
        <w:tc>
          <w:tcPr>
            <w:tcW w:w="1388"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121 993</w:t>
            </w:r>
          </w:p>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273.5</w:t>
            </w:r>
          </w:p>
        </w:tc>
        <w:tc>
          <w:tcPr>
            <w:tcW w:w="1312"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246 979</w:t>
            </w:r>
          </w:p>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423.0</w:t>
            </w:r>
          </w:p>
        </w:tc>
      </w:tr>
      <w:tr w:rsidR="00A93F62" w:rsidRPr="003712EA">
        <w:trPr>
          <w:trHeight w:val="605"/>
        </w:trPr>
        <w:tc>
          <w:tcPr>
            <w:cnfStyle w:val="001000000000" w:firstRow="0" w:lastRow="0" w:firstColumn="1" w:lastColumn="0" w:oddVBand="0" w:evenVBand="0" w:oddHBand="0" w:evenHBand="0" w:firstRowFirstColumn="0" w:firstRowLastColumn="0" w:lastRowFirstColumn="0" w:lastRowLastColumn="0"/>
            <w:tcW w:w="3100" w:type="dxa"/>
            <w:tcBorders>
              <w:top w:val="nil"/>
            </w:tcBorders>
          </w:tcPr>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其中：</w:t>
            </w:r>
            <w:r w:rsidRPr="003712EA">
              <w:rPr>
                <w:snapToGrid/>
                <w:sz w:val="18"/>
                <w:szCs w:val="18"/>
                <w:lang w:val="en-GB"/>
              </w:rPr>
              <w:t xml:space="preserve"> </w:t>
            </w:r>
          </w:p>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领取残疾津贴的人数，</w:t>
            </w:r>
          </w:p>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人</w:t>
            </w:r>
          </w:p>
        </w:tc>
        <w:tc>
          <w:tcPr>
            <w:tcW w:w="1400"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73 952</w:t>
            </w:r>
          </w:p>
        </w:tc>
        <w:tc>
          <w:tcPr>
            <w:tcW w:w="1388"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73 813</w:t>
            </w:r>
          </w:p>
        </w:tc>
        <w:tc>
          <w:tcPr>
            <w:tcW w:w="1312"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76 271</w:t>
            </w:r>
          </w:p>
        </w:tc>
      </w:tr>
      <w:tr w:rsidR="00A93F62" w:rsidRPr="003712EA">
        <w:trPr>
          <w:trHeight w:hRule="exact" w:val="364"/>
        </w:trPr>
        <w:tc>
          <w:tcPr>
            <w:cnfStyle w:val="001000000000" w:firstRow="0" w:lastRow="0" w:firstColumn="1" w:lastColumn="0" w:oddVBand="0" w:evenVBand="0" w:oddHBand="0" w:evenHBand="0" w:firstRowFirstColumn="0" w:firstRowLastColumn="0" w:lastRowFirstColumn="0" w:lastRowLastColumn="0"/>
            <w:tcW w:w="3100" w:type="dxa"/>
            <w:tcBorders>
              <w:top w:val="nil"/>
            </w:tcBorders>
          </w:tcPr>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每月津贴平均额度，千马纳特</w:t>
            </w:r>
          </w:p>
        </w:tc>
        <w:tc>
          <w:tcPr>
            <w:tcW w:w="1400"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279.6</w:t>
            </w:r>
          </w:p>
        </w:tc>
        <w:tc>
          <w:tcPr>
            <w:tcW w:w="1388"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275,9</w:t>
            </w:r>
          </w:p>
        </w:tc>
        <w:tc>
          <w:tcPr>
            <w:tcW w:w="1312"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416.9</w:t>
            </w:r>
          </w:p>
        </w:tc>
      </w:tr>
      <w:tr w:rsidR="00A93F62" w:rsidRPr="003712EA">
        <w:trPr>
          <w:trHeight w:val="591"/>
        </w:trPr>
        <w:tc>
          <w:tcPr>
            <w:cnfStyle w:val="001000000000" w:firstRow="0" w:lastRow="0" w:firstColumn="1" w:lastColumn="0" w:oddVBand="0" w:evenVBand="0" w:oddHBand="0" w:evenHBand="0" w:firstRowFirstColumn="0" w:firstRowLastColumn="0" w:lastRowFirstColumn="0" w:lastRowLastColumn="0"/>
            <w:tcW w:w="3100" w:type="dxa"/>
            <w:tcBorders>
              <w:top w:val="nil"/>
            </w:tcBorders>
          </w:tcPr>
          <w:p w:rsidR="00A93F62" w:rsidRPr="003712EA" w:rsidRDefault="00A93F62">
            <w:pPr>
              <w:tabs>
                <w:tab w:val="clear" w:pos="431"/>
              </w:tabs>
              <w:suppressAutoHyphens/>
              <w:overflowPunct/>
              <w:adjustRightInd/>
              <w:spacing w:before="0" w:after="0" w:line="240" w:lineRule="auto"/>
              <w:rPr>
                <w:rFonts w:hint="eastAsia"/>
                <w:snapToGrid/>
                <w:sz w:val="18"/>
                <w:szCs w:val="18"/>
                <w:lang w:val="en-GB"/>
              </w:rPr>
            </w:pPr>
            <w:r w:rsidRPr="003712EA">
              <w:rPr>
                <w:snapToGrid/>
                <w:sz w:val="18"/>
                <w:szCs w:val="18"/>
                <w:lang w:val="en-GB"/>
              </w:rPr>
              <w:t>领取失去赡养人津贴人数，</w:t>
            </w:r>
          </w:p>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人</w:t>
            </w:r>
          </w:p>
        </w:tc>
        <w:tc>
          <w:tcPr>
            <w:tcW w:w="1400" w:type="dxa"/>
            <w:tcBorders>
              <w:top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47 691</w:t>
            </w:r>
          </w:p>
        </w:tc>
        <w:tc>
          <w:tcPr>
            <w:tcW w:w="1388" w:type="dxa"/>
            <w:tcBorders>
              <w:top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46 787</w:t>
            </w:r>
          </w:p>
        </w:tc>
        <w:tc>
          <w:tcPr>
            <w:tcW w:w="1312" w:type="dxa"/>
            <w:tcBorders>
              <w:top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51 170</w:t>
            </w:r>
          </w:p>
        </w:tc>
      </w:tr>
      <w:tr w:rsidR="00A93F62" w:rsidRPr="003712EA">
        <w:trPr>
          <w:trHeight w:hRule="exact" w:val="364"/>
        </w:trPr>
        <w:tc>
          <w:tcPr>
            <w:cnfStyle w:val="001000000000" w:firstRow="0" w:lastRow="0" w:firstColumn="1" w:lastColumn="0" w:oddVBand="0" w:evenVBand="0" w:oddHBand="0" w:evenHBand="0" w:firstRowFirstColumn="0" w:firstRowLastColumn="0" w:lastRowFirstColumn="0" w:lastRowLastColumn="0"/>
            <w:tcW w:w="3100" w:type="dxa"/>
            <w:tcBorders>
              <w:top w:val="nil"/>
            </w:tcBorders>
          </w:tcPr>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每月津贴平均额度，千马纳特</w:t>
            </w:r>
          </w:p>
        </w:tc>
        <w:tc>
          <w:tcPr>
            <w:tcW w:w="1400"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278.2</w:t>
            </w:r>
          </w:p>
        </w:tc>
        <w:tc>
          <w:tcPr>
            <w:tcW w:w="1388"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270,0</w:t>
            </w:r>
          </w:p>
        </w:tc>
        <w:tc>
          <w:tcPr>
            <w:tcW w:w="1312"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483.8</w:t>
            </w:r>
          </w:p>
        </w:tc>
      </w:tr>
      <w:tr w:rsidR="00A93F62" w:rsidRPr="003712EA">
        <w:trPr>
          <w:trHeight w:val="577"/>
        </w:trPr>
        <w:tc>
          <w:tcPr>
            <w:cnfStyle w:val="001000000000" w:firstRow="0" w:lastRow="0" w:firstColumn="1" w:lastColumn="0" w:oddVBand="0" w:evenVBand="0" w:oddHBand="0" w:evenHBand="0" w:firstRowFirstColumn="0" w:firstRowLastColumn="0" w:lastRowFirstColumn="0" w:lastRowLastColumn="0"/>
            <w:tcW w:w="3100" w:type="dxa"/>
          </w:tcPr>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领取育儿津贴人数，</w:t>
            </w:r>
          </w:p>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人</w:t>
            </w:r>
          </w:p>
        </w:tc>
        <w:tc>
          <w:tcPr>
            <w:tcW w:w="1400"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8</w:t>
            </w:r>
          </w:p>
        </w:tc>
        <w:tc>
          <w:tcPr>
            <w:tcW w:w="1388"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8</w:t>
            </w:r>
          </w:p>
        </w:tc>
        <w:tc>
          <w:tcPr>
            <w:tcW w:w="1312"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110 053</w:t>
            </w:r>
          </w:p>
        </w:tc>
      </w:tr>
      <w:tr w:rsidR="00A93F62" w:rsidRPr="003712EA">
        <w:trPr>
          <w:trHeight w:val="605"/>
        </w:trPr>
        <w:tc>
          <w:tcPr>
            <w:cnfStyle w:val="001000000000" w:firstRow="0" w:lastRow="0" w:firstColumn="1" w:lastColumn="0" w:oddVBand="0" w:evenVBand="0" w:oddHBand="0" w:evenHBand="0" w:firstRowFirstColumn="0" w:firstRowLastColumn="0" w:lastRowFirstColumn="0" w:lastRowLastColumn="0"/>
            <w:tcW w:w="3100" w:type="dxa"/>
          </w:tcPr>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每月津贴平均额度，</w:t>
            </w:r>
          </w:p>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千马纳特</w:t>
            </w:r>
          </w:p>
        </w:tc>
        <w:tc>
          <w:tcPr>
            <w:tcW w:w="1400"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200.0</w:t>
            </w:r>
          </w:p>
        </w:tc>
        <w:tc>
          <w:tcPr>
            <w:tcW w:w="1388"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200.0</w:t>
            </w:r>
          </w:p>
        </w:tc>
        <w:tc>
          <w:tcPr>
            <w:tcW w:w="1312"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250.0</w:t>
            </w:r>
          </w:p>
        </w:tc>
      </w:tr>
      <w:tr w:rsidR="00A93F62" w:rsidRPr="003712EA">
        <w:trPr>
          <w:trHeight w:val="577"/>
        </w:trPr>
        <w:tc>
          <w:tcPr>
            <w:cnfStyle w:val="001000000000" w:firstRow="0" w:lastRow="0" w:firstColumn="1" w:lastColumn="0" w:oddVBand="0" w:evenVBand="0" w:oddHBand="0" w:evenHBand="0" w:firstRowFirstColumn="0" w:firstRowLastColumn="0" w:lastRowFirstColumn="0" w:lastRowLastColumn="0"/>
            <w:tcW w:w="3100" w:type="dxa"/>
          </w:tcPr>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领取社会津贴人数，</w:t>
            </w:r>
          </w:p>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人</w:t>
            </w:r>
          </w:p>
        </w:tc>
        <w:tc>
          <w:tcPr>
            <w:tcW w:w="1400"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1 071</w:t>
            </w:r>
          </w:p>
        </w:tc>
        <w:tc>
          <w:tcPr>
            <w:tcW w:w="1388"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1 385</w:t>
            </w:r>
          </w:p>
        </w:tc>
        <w:tc>
          <w:tcPr>
            <w:tcW w:w="1312"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9 485</w:t>
            </w:r>
          </w:p>
        </w:tc>
      </w:tr>
      <w:tr w:rsidR="00A93F62" w:rsidRPr="003712EA">
        <w:trPr>
          <w:trHeight w:val="537"/>
        </w:trPr>
        <w:tc>
          <w:tcPr>
            <w:cnfStyle w:val="001000000000" w:firstRow="0" w:lastRow="0" w:firstColumn="1" w:lastColumn="0" w:oddVBand="0" w:evenVBand="0" w:oddHBand="0" w:evenHBand="0" w:firstRowFirstColumn="0" w:firstRowLastColumn="0" w:lastRowFirstColumn="0" w:lastRowLastColumn="0"/>
            <w:tcW w:w="3100" w:type="dxa"/>
          </w:tcPr>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每月津贴平均额度，</w:t>
            </w:r>
          </w:p>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千马纳特</w:t>
            </w:r>
          </w:p>
        </w:tc>
        <w:tc>
          <w:tcPr>
            <w:tcW w:w="1400"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p>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200.0</w:t>
            </w:r>
          </w:p>
        </w:tc>
        <w:tc>
          <w:tcPr>
            <w:tcW w:w="1388"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200.0</w:t>
            </w:r>
          </w:p>
        </w:tc>
        <w:tc>
          <w:tcPr>
            <w:tcW w:w="1312"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300.0</w:t>
            </w:r>
          </w:p>
        </w:tc>
      </w:tr>
      <w:tr w:rsidR="00A93F62" w:rsidRPr="003712EA">
        <w:trPr>
          <w:trHeight w:val="549"/>
        </w:trPr>
        <w:tc>
          <w:tcPr>
            <w:cnfStyle w:val="001000000000" w:firstRow="0" w:lastRow="0" w:firstColumn="1" w:lastColumn="0" w:oddVBand="0" w:evenVBand="0" w:oddHBand="0" w:evenHBand="0" w:firstRowFirstColumn="0" w:firstRowLastColumn="0" w:lastRowFirstColumn="0" w:lastRowLastColumn="0"/>
            <w:tcW w:w="3100" w:type="dxa"/>
          </w:tcPr>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分娩时支付一次性津贴人数，</w:t>
            </w:r>
          </w:p>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人</w:t>
            </w:r>
          </w:p>
        </w:tc>
        <w:tc>
          <w:tcPr>
            <w:tcW w:w="1400"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w:t>
            </w:r>
          </w:p>
        </w:tc>
        <w:tc>
          <w:tcPr>
            <w:tcW w:w="1388"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w:t>
            </w:r>
          </w:p>
        </w:tc>
        <w:tc>
          <w:tcPr>
            <w:tcW w:w="1312"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30 956</w:t>
            </w:r>
          </w:p>
        </w:tc>
      </w:tr>
      <w:tr w:rsidR="00A93F62" w:rsidRPr="003712EA">
        <w:trPr>
          <w:trHeight w:val="395"/>
        </w:trPr>
        <w:tc>
          <w:tcPr>
            <w:cnfStyle w:val="001000000000" w:firstRow="0" w:lastRow="0" w:firstColumn="1" w:lastColumn="0" w:oddVBand="0" w:evenVBand="0" w:oddHBand="0" w:evenHBand="0" w:firstRowFirstColumn="0" w:firstRowLastColumn="0" w:lastRowFirstColumn="0" w:lastRowLastColumn="0"/>
            <w:tcW w:w="3100" w:type="dxa"/>
          </w:tcPr>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支付津贴总额，十亿马纳特</w:t>
            </w:r>
          </w:p>
        </w:tc>
        <w:tc>
          <w:tcPr>
            <w:tcW w:w="1400"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w:t>
            </w:r>
          </w:p>
        </w:tc>
        <w:tc>
          <w:tcPr>
            <w:tcW w:w="1388"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w:t>
            </w:r>
          </w:p>
        </w:tc>
        <w:tc>
          <w:tcPr>
            <w:tcW w:w="1312"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23.6</w:t>
            </w:r>
          </w:p>
        </w:tc>
      </w:tr>
      <w:tr w:rsidR="00A93F62" w:rsidRPr="003712EA">
        <w:trPr>
          <w:trHeight w:hRule="exact" w:val="364"/>
        </w:trPr>
        <w:tc>
          <w:tcPr>
            <w:cnfStyle w:val="001000000000" w:firstRow="0" w:lastRow="0" w:firstColumn="1" w:lastColumn="0" w:oddVBand="0" w:evenVBand="0" w:oddHBand="0" w:evenHBand="0" w:firstRowFirstColumn="0" w:firstRowLastColumn="0" w:lastRowFirstColumn="0" w:lastRowLastColumn="0"/>
            <w:tcW w:w="3100" w:type="dxa"/>
            <w:tcBorders>
              <w:top w:val="nil"/>
            </w:tcBorders>
          </w:tcPr>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社会保障支出，十亿马纳特</w:t>
            </w:r>
          </w:p>
        </w:tc>
        <w:tc>
          <w:tcPr>
            <w:tcW w:w="1400"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3 054.5</w:t>
            </w:r>
          </w:p>
        </w:tc>
        <w:tc>
          <w:tcPr>
            <w:tcW w:w="1388"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2 458.5</w:t>
            </w:r>
          </w:p>
        </w:tc>
        <w:tc>
          <w:tcPr>
            <w:tcW w:w="1312" w:type="dxa"/>
            <w:tcBorders>
              <w:top w:val="nil"/>
              <w:bottom w:val="nil"/>
            </w:tcBorders>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3 084.5</w:t>
            </w:r>
          </w:p>
        </w:tc>
      </w:tr>
      <w:tr w:rsidR="00A93F62" w:rsidRPr="003712EA">
        <w:trPr>
          <w:trHeight w:val="479"/>
        </w:trPr>
        <w:tc>
          <w:tcPr>
            <w:cnfStyle w:val="001000000000" w:firstRow="0" w:lastRow="0" w:firstColumn="1" w:lastColumn="0" w:oddVBand="0" w:evenVBand="0" w:oddHBand="0" w:evenHBand="0" w:firstRowFirstColumn="0" w:firstRowLastColumn="0" w:lastRowFirstColumn="0" w:lastRowLastColumn="0"/>
            <w:tcW w:w="3100" w:type="dxa"/>
          </w:tcPr>
          <w:p w:rsidR="00A93F62" w:rsidRPr="003712EA" w:rsidRDefault="00A93F62">
            <w:pPr>
              <w:tabs>
                <w:tab w:val="clear" w:pos="431"/>
              </w:tabs>
              <w:suppressAutoHyphens/>
              <w:overflowPunct/>
              <w:spacing w:before="0" w:after="0" w:line="240" w:lineRule="auto"/>
              <w:rPr>
                <w:snapToGrid/>
                <w:sz w:val="18"/>
                <w:szCs w:val="18"/>
                <w:lang w:val="en-GB"/>
              </w:rPr>
            </w:pPr>
            <w:r w:rsidRPr="003712EA">
              <w:rPr>
                <w:snapToGrid/>
                <w:sz w:val="18"/>
                <w:szCs w:val="18"/>
                <w:lang w:val="en-GB"/>
              </w:rPr>
              <w:t>其中：</w:t>
            </w:r>
          </w:p>
          <w:p w:rsidR="00A93F62" w:rsidRPr="003712EA" w:rsidRDefault="00A93F62">
            <w:pPr>
              <w:tabs>
                <w:tab w:val="clear" w:pos="431"/>
              </w:tabs>
              <w:suppressAutoHyphens/>
              <w:overflowPunct/>
              <w:adjustRightInd/>
              <w:spacing w:before="0" w:after="0" w:line="240" w:lineRule="auto"/>
              <w:rPr>
                <w:snapToGrid/>
                <w:sz w:val="18"/>
                <w:szCs w:val="18"/>
                <w:lang w:val="en-GB"/>
              </w:rPr>
            </w:pPr>
            <w:r w:rsidRPr="003712EA">
              <w:rPr>
                <w:snapToGrid/>
                <w:sz w:val="18"/>
                <w:szCs w:val="18"/>
                <w:lang w:val="en-GB"/>
              </w:rPr>
              <w:t>退休金，十亿马纳特</w:t>
            </w:r>
          </w:p>
        </w:tc>
        <w:tc>
          <w:tcPr>
            <w:tcW w:w="1400"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2 657.5</w:t>
            </w:r>
          </w:p>
        </w:tc>
        <w:tc>
          <w:tcPr>
            <w:tcW w:w="1388"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2 053.3</w:t>
            </w:r>
          </w:p>
        </w:tc>
        <w:tc>
          <w:tcPr>
            <w:tcW w:w="1312"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2 345.6</w:t>
            </w:r>
          </w:p>
        </w:tc>
      </w:tr>
      <w:tr w:rsidR="00A93F62" w:rsidRPr="003712EA">
        <w:trPr>
          <w:trHeight w:val="365"/>
        </w:trPr>
        <w:tc>
          <w:tcPr>
            <w:cnfStyle w:val="001000000000" w:firstRow="0" w:lastRow="0" w:firstColumn="1" w:lastColumn="0" w:oddVBand="0" w:evenVBand="0" w:oddHBand="0" w:evenHBand="0" w:firstRowFirstColumn="0" w:firstRowLastColumn="0" w:lastRowFirstColumn="0" w:lastRowLastColumn="0"/>
            <w:tcW w:w="3100" w:type="dxa"/>
          </w:tcPr>
          <w:p w:rsidR="00A93F62" w:rsidRPr="003712EA" w:rsidRDefault="00A93F62">
            <w:pPr>
              <w:tabs>
                <w:tab w:val="clear" w:pos="431"/>
              </w:tabs>
              <w:suppressAutoHyphens/>
              <w:overflowPunct/>
              <w:adjustRightInd/>
              <w:spacing w:before="0" w:after="0" w:line="240" w:lineRule="auto"/>
              <w:rPr>
                <w:snapToGrid/>
                <w:sz w:val="18"/>
                <w:szCs w:val="18"/>
                <w:lang w:val="en-GB" w:eastAsia="en-US"/>
              </w:rPr>
            </w:pPr>
            <w:r w:rsidRPr="003712EA">
              <w:rPr>
                <w:snapToGrid/>
                <w:sz w:val="18"/>
                <w:szCs w:val="18"/>
                <w:lang w:val="en-GB"/>
              </w:rPr>
              <w:t>津贴</w:t>
            </w:r>
            <w:r w:rsidRPr="003712EA">
              <w:rPr>
                <w:rFonts w:eastAsia="SimHei"/>
                <w:snapToGrid/>
                <w:sz w:val="18"/>
                <w:szCs w:val="18"/>
                <w:vertAlign w:val="superscript"/>
                <w:lang w:val="en-GB" w:eastAsia="en-US"/>
              </w:rPr>
              <w:t>2,</w:t>
            </w:r>
            <w:r w:rsidRPr="003712EA">
              <w:rPr>
                <w:snapToGrid/>
                <w:sz w:val="18"/>
                <w:szCs w:val="18"/>
                <w:lang w:val="en-GB"/>
              </w:rPr>
              <w:t>十亿马纳特</w:t>
            </w:r>
          </w:p>
        </w:tc>
        <w:tc>
          <w:tcPr>
            <w:tcW w:w="1400"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397.0</w:t>
            </w:r>
          </w:p>
        </w:tc>
        <w:tc>
          <w:tcPr>
            <w:tcW w:w="1388"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405.2</w:t>
            </w:r>
          </w:p>
        </w:tc>
        <w:tc>
          <w:tcPr>
            <w:tcW w:w="1312" w:type="dxa"/>
          </w:tcPr>
          <w:p w:rsidR="00A93F62" w:rsidRPr="003712EA" w:rsidRDefault="00A93F62" w:rsidP="003712EA">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3712EA">
              <w:rPr>
                <w:snapToGrid/>
                <w:sz w:val="18"/>
                <w:szCs w:val="18"/>
                <w:lang w:val="en-GB" w:eastAsia="en-US"/>
              </w:rPr>
              <w:t>738.9</w:t>
            </w:r>
          </w:p>
        </w:tc>
      </w:tr>
    </w:tbl>
    <w:p w:rsidR="00A93F62" w:rsidRDefault="00A93F62">
      <w:pPr>
        <w:tabs>
          <w:tab w:val="clear" w:pos="431"/>
        </w:tabs>
        <w:suppressAutoHyphens/>
        <w:overflowPunct/>
        <w:adjustRightInd/>
        <w:snapToGrid/>
        <w:spacing w:line="240" w:lineRule="atLeast"/>
        <w:ind w:left="1260" w:right="1134"/>
        <w:rPr>
          <w:snapToGrid/>
          <w:sz w:val="18"/>
          <w:szCs w:val="18"/>
          <w:lang w:val="en-GB"/>
        </w:rPr>
      </w:pPr>
      <w:r>
        <w:rPr>
          <w:rFonts w:eastAsia="KaiTi_GB2312"/>
          <w:snapToGrid/>
          <w:sz w:val="18"/>
          <w:szCs w:val="18"/>
          <w:lang w:val="en-GB"/>
        </w:rPr>
        <w:t>备注</w:t>
      </w:r>
      <w:r>
        <w:rPr>
          <w:snapToGrid/>
          <w:sz w:val="18"/>
          <w:szCs w:val="18"/>
          <w:lang w:val="en-GB"/>
        </w:rPr>
        <w:t>：</w:t>
      </w:r>
    </w:p>
    <w:p w:rsidR="00A93F62" w:rsidRDefault="00A93F62">
      <w:pPr>
        <w:tabs>
          <w:tab w:val="clear" w:pos="431"/>
        </w:tabs>
        <w:suppressAutoHyphens/>
        <w:overflowPunct/>
        <w:adjustRightInd/>
        <w:spacing w:line="240" w:lineRule="atLeast"/>
        <w:ind w:left="1134" w:right="1134" w:firstLine="567"/>
        <w:rPr>
          <w:snapToGrid/>
          <w:sz w:val="18"/>
          <w:szCs w:val="18"/>
          <w:lang w:val="en-GB"/>
        </w:rPr>
      </w:pPr>
      <w:r>
        <w:rPr>
          <w:snapToGrid/>
          <w:sz w:val="18"/>
          <w:szCs w:val="18"/>
          <w:vertAlign w:val="superscript"/>
          <w:lang w:val="en-GB"/>
        </w:rPr>
        <w:t>1</w:t>
      </w:r>
      <w:r>
        <w:rPr>
          <w:rFonts w:hint="eastAsia"/>
          <w:snapToGrid/>
          <w:sz w:val="18"/>
          <w:szCs w:val="18"/>
          <w:vertAlign w:val="superscript"/>
          <w:lang w:val="en-GB"/>
        </w:rPr>
        <w:t xml:space="preserve">  </w:t>
      </w:r>
      <w:r>
        <w:rPr>
          <w:snapToGrid/>
          <w:sz w:val="18"/>
          <w:szCs w:val="18"/>
          <w:lang w:val="en-GB"/>
        </w:rPr>
        <w:t>不包括临时失去劳动能力津贴、孕妇津贴、分娩津贴。</w:t>
      </w:r>
    </w:p>
    <w:p w:rsidR="00A93F62" w:rsidRDefault="00A93F62">
      <w:pPr>
        <w:tabs>
          <w:tab w:val="clear" w:pos="431"/>
        </w:tabs>
        <w:suppressAutoHyphens/>
        <w:overflowPunct/>
        <w:adjustRightInd/>
        <w:snapToGrid/>
        <w:spacing w:line="240" w:lineRule="atLeast"/>
        <w:ind w:left="1134" w:right="1134" w:firstLine="567"/>
        <w:rPr>
          <w:snapToGrid/>
          <w:sz w:val="18"/>
          <w:szCs w:val="18"/>
          <w:lang w:val="en-GB"/>
        </w:rPr>
      </w:pPr>
      <w:r>
        <w:rPr>
          <w:snapToGrid/>
          <w:sz w:val="18"/>
          <w:szCs w:val="18"/>
          <w:vertAlign w:val="superscript"/>
          <w:lang w:val="en-GB"/>
        </w:rPr>
        <w:t>2</w:t>
      </w:r>
      <w:r>
        <w:rPr>
          <w:rFonts w:hint="eastAsia"/>
          <w:snapToGrid/>
          <w:sz w:val="18"/>
          <w:szCs w:val="18"/>
          <w:vertAlign w:val="superscript"/>
          <w:lang w:val="en-GB"/>
        </w:rPr>
        <w:t xml:space="preserve">  </w:t>
      </w:r>
      <w:r>
        <w:rPr>
          <w:snapToGrid/>
          <w:sz w:val="18"/>
          <w:szCs w:val="18"/>
          <w:lang w:val="en-GB"/>
        </w:rPr>
        <w:t>不包括临时失去劳动能力津贴、孕妇津贴。</w:t>
      </w:r>
    </w:p>
    <w:p w:rsidR="00A93F62" w:rsidRDefault="00A93F62">
      <w:pPr>
        <w:tabs>
          <w:tab w:val="clear" w:pos="431"/>
        </w:tabs>
        <w:suppressAutoHyphens/>
        <w:overflowPunct/>
        <w:adjustRightInd/>
        <w:snapToGrid/>
        <w:spacing w:after="120" w:line="320" w:lineRule="atLeast"/>
        <w:ind w:left="1134" w:right="1134"/>
        <w:rPr>
          <w:rFonts w:hint="eastAsia"/>
          <w:snapToGrid/>
          <w:szCs w:val="21"/>
          <w:lang w:val="en-GB"/>
        </w:rPr>
      </w:pPr>
      <w:r>
        <w:rPr>
          <w:snapToGrid/>
          <w:szCs w:val="21"/>
          <w:lang w:val="en-GB"/>
        </w:rPr>
        <w:br w:type="page"/>
        <w:t>168.</w:t>
      </w:r>
      <w:r>
        <w:rPr>
          <w:rFonts w:hint="eastAsia"/>
          <w:snapToGrid/>
          <w:szCs w:val="21"/>
          <w:lang w:val="en-GB"/>
        </w:rPr>
        <w:t xml:space="preserve">  </w:t>
      </w:r>
      <w:r>
        <w:rPr>
          <w:snapToGrid/>
          <w:szCs w:val="21"/>
          <w:lang w:val="en-GB"/>
        </w:rPr>
        <w:t>提供退休金与国家津贴：</w:t>
      </w:r>
    </w:p>
    <w:tbl>
      <w:tblPr>
        <w:tblStyle w:val="TableGrid"/>
        <w:tblW w:w="0" w:type="auto"/>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49"/>
        <w:gridCol w:w="3761"/>
      </w:tblGrid>
      <w:tr w:rsidR="00A93F62">
        <w:tc>
          <w:tcPr>
            <w:tcW w:w="3649" w:type="dxa"/>
            <w:tcBorders>
              <w:top w:val="single" w:sz="4" w:space="0" w:color="auto"/>
              <w:bottom w:val="single" w:sz="12" w:space="0" w:color="auto"/>
            </w:tcBorders>
          </w:tcPr>
          <w:p w:rsidR="00A93F62" w:rsidRDefault="00A93F62">
            <w:pPr>
              <w:tabs>
                <w:tab w:val="clear" w:pos="431"/>
              </w:tabs>
              <w:overflowPunct/>
              <w:adjustRightInd/>
              <w:snapToGrid/>
              <w:spacing w:line="240" w:lineRule="atLeast"/>
              <w:rPr>
                <w:snapToGrid/>
                <w:sz w:val="18"/>
                <w:szCs w:val="18"/>
                <w:lang w:val="en-GB"/>
              </w:rPr>
            </w:pPr>
            <w:r>
              <w:rPr>
                <w:rFonts w:eastAsia="KaiTi_GB2312"/>
                <w:snapToGrid/>
                <w:sz w:val="18"/>
                <w:szCs w:val="18"/>
                <w:lang w:val="en-GB"/>
              </w:rPr>
              <w:t>种类</w:t>
            </w:r>
          </w:p>
        </w:tc>
        <w:tc>
          <w:tcPr>
            <w:tcW w:w="3761" w:type="dxa"/>
            <w:tcBorders>
              <w:top w:val="single" w:sz="4" w:space="0" w:color="auto"/>
              <w:bottom w:val="single" w:sz="12" w:space="0" w:color="auto"/>
            </w:tcBorders>
          </w:tcPr>
          <w:p w:rsidR="00A93F62" w:rsidRDefault="00A93F62">
            <w:pPr>
              <w:tabs>
                <w:tab w:val="clear" w:pos="431"/>
              </w:tabs>
              <w:overflowPunct/>
              <w:adjustRightInd/>
              <w:snapToGrid/>
              <w:spacing w:line="240" w:lineRule="atLeast"/>
              <w:rPr>
                <w:snapToGrid/>
                <w:sz w:val="18"/>
                <w:szCs w:val="18"/>
                <w:lang w:val="en-GB"/>
              </w:rPr>
            </w:pPr>
            <w:r>
              <w:rPr>
                <w:rFonts w:eastAsia="KaiTi_GB2312"/>
                <w:snapToGrid/>
                <w:sz w:val="18"/>
                <w:szCs w:val="18"/>
                <w:lang w:val="en-GB"/>
              </w:rPr>
              <w:t>资金来源</w:t>
            </w:r>
          </w:p>
        </w:tc>
      </w:tr>
      <w:tr w:rsidR="00A93F62">
        <w:tc>
          <w:tcPr>
            <w:tcW w:w="3649" w:type="dxa"/>
            <w:tcBorders>
              <w:top w:val="single" w:sz="12" w:space="0" w:color="auto"/>
            </w:tcBorders>
          </w:tcPr>
          <w:p w:rsidR="00A93F62" w:rsidRDefault="00A93F62">
            <w:pPr>
              <w:tabs>
                <w:tab w:val="clear" w:pos="431"/>
              </w:tabs>
              <w:overflowPunct/>
              <w:adjustRightInd/>
              <w:snapToGrid/>
              <w:spacing w:line="240" w:lineRule="atLeast"/>
              <w:rPr>
                <w:snapToGrid/>
                <w:sz w:val="18"/>
                <w:szCs w:val="18"/>
                <w:lang w:val="en-GB"/>
              </w:rPr>
            </w:pPr>
            <w:r>
              <w:rPr>
                <w:snapToGrid/>
                <w:sz w:val="18"/>
                <w:szCs w:val="18"/>
                <w:lang w:val="en-GB"/>
              </w:rPr>
              <w:t>劳动退休金</w:t>
            </w:r>
          </w:p>
        </w:tc>
        <w:tc>
          <w:tcPr>
            <w:tcW w:w="3761" w:type="dxa"/>
            <w:vMerge w:val="restart"/>
            <w:tcBorders>
              <w:top w:val="single" w:sz="12" w:space="0" w:color="auto"/>
            </w:tcBorders>
          </w:tcPr>
          <w:p w:rsidR="00A93F62" w:rsidRDefault="00A93F62">
            <w:pPr>
              <w:tabs>
                <w:tab w:val="clear" w:pos="431"/>
              </w:tabs>
              <w:overflowPunct/>
              <w:adjustRightInd/>
              <w:snapToGrid/>
              <w:spacing w:beforeLines="50" w:before="163" w:line="240" w:lineRule="atLeast"/>
              <w:rPr>
                <w:rFonts w:hint="eastAsia"/>
                <w:snapToGrid/>
                <w:szCs w:val="21"/>
                <w:lang w:val="en-GB"/>
              </w:rPr>
            </w:pPr>
            <w:r>
              <w:rPr>
                <w:snapToGrid/>
                <w:sz w:val="18"/>
                <w:szCs w:val="18"/>
                <w:lang w:val="en-GB"/>
              </w:rPr>
              <w:t>20%</w:t>
            </w:r>
            <w:r>
              <w:rPr>
                <w:snapToGrid/>
                <w:sz w:val="18"/>
                <w:szCs w:val="18"/>
                <w:lang w:val="en-GB"/>
              </w:rPr>
              <w:t>的社会保障金提成，雇主以劳动报酬基金支付</w:t>
            </w:r>
          </w:p>
        </w:tc>
      </w:tr>
      <w:tr w:rsidR="00A93F62">
        <w:tc>
          <w:tcPr>
            <w:tcW w:w="3649" w:type="dxa"/>
          </w:tcPr>
          <w:p w:rsidR="00A93F62" w:rsidRDefault="00A93F62">
            <w:pPr>
              <w:tabs>
                <w:tab w:val="clear" w:pos="431"/>
              </w:tabs>
              <w:overflowPunct/>
              <w:adjustRightInd/>
              <w:snapToGrid/>
              <w:spacing w:line="240" w:lineRule="atLeast"/>
              <w:rPr>
                <w:snapToGrid/>
                <w:sz w:val="18"/>
                <w:szCs w:val="18"/>
                <w:lang w:val="en-GB"/>
              </w:rPr>
            </w:pPr>
            <w:r>
              <w:rPr>
                <w:snapToGrid/>
                <w:sz w:val="18"/>
                <w:szCs w:val="18"/>
                <w:lang w:val="en-GB"/>
              </w:rPr>
              <w:t>伤残津贴</w:t>
            </w:r>
          </w:p>
        </w:tc>
        <w:tc>
          <w:tcPr>
            <w:tcW w:w="3761" w:type="dxa"/>
            <w:vMerge/>
          </w:tcPr>
          <w:p w:rsidR="00A93F62" w:rsidRDefault="00A93F62">
            <w:pPr>
              <w:tabs>
                <w:tab w:val="clear" w:pos="431"/>
              </w:tabs>
              <w:overflowPunct/>
              <w:adjustRightInd/>
              <w:snapToGrid/>
              <w:spacing w:line="240" w:lineRule="atLeast"/>
              <w:rPr>
                <w:rFonts w:hint="eastAsia"/>
                <w:snapToGrid/>
                <w:szCs w:val="21"/>
                <w:lang w:val="en-GB"/>
              </w:rPr>
            </w:pPr>
          </w:p>
        </w:tc>
      </w:tr>
      <w:tr w:rsidR="00A93F62">
        <w:tc>
          <w:tcPr>
            <w:tcW w:w="3649" w:type="dxa"/>
          </w:tcPr>
          <w:p w:rsidR="00A93F62" w:rsidRDefault="00A93F62">
            <w:pPr>
              <w:tabs>
                <w:tab w:val="clear" w:pos="431"/>
              </w:tabs>
              <w:overflowPunct/>
              <w:adjustRightInd/>
              <w:snapToGrid/>
              <w:spacing w:line="240" w:lineRule="atLeast"/>
              <w:rPr>
                <w:snapToGrid/>
                <w:sz w:val="18"/>
                <w:szCs w:val="18"/>
                <w:lang w:val="en-GB"/>
              </w:rPr>
            </w:pPr>
            <w:r>
              <w:rPr>
                <w:snapToGrid/>
                <w:sz w:val="18"/>
                <w:szCs w:val="18"/>
                <w:lang w:val="en-GB"/>
              </w:rPr>
              <w:t>失去赡养人津贴</w:t>
            </w:r>
          </w:p>
        </w:tc>
        <w:tc>
          <w:tcPr>
            <w:tcW w:w="3761" w:type="dxa"/>
            <w:vMerge/>
          </w:tcPr>
          <w:p w:rsidR="00A93F62" w:rsidRDefault="00A93F62">
            <w:pPr>
              <w:tabs>
                <w:tab w:val="clear" w:pos="431"/>
              </w:tabs>
              <w:overflowPunct/>
              <w:adjustRightInd/>
              <w:snapToGrid/>
              <w:spacing w:line="240" w:lineRule="atLeast"/>
              <w:rPr>
                <w:rFonts w:hint="eastAsia"/>
                <w:snapToGrid/>
                <w:szCs w:val="21"/>
                <w:lang w:val="en-GB"/>
              </w:rPr>
            </w:pPr>
          </w:p>
        </w:tc>
      </w:tr>
      <w:tr w:rsidR="00A93F62">
        <w:tc>
          <w:tcPr>
            <w:tcW w:w="3649" w:type="dxa"/>
          </w:tcPr>
          <w:p w:rsidR="00A93F62" w:rsidRDefault="00A93F62">
            <w:pPr>
              <w:tabs>
                <w:tab w:val="clear" w:pos="431"/>
              </w:tabs>
              <w:overflowPunct/>
              <w:adjustRightInd/>
              <w:snapToGrid/>
              <w:spacing w:line="240" w:lineRule="atLeast"/>
              <w:rPr>
                <w:rFonts w:hint="eastAsia"/>
                <w:snapToGrid/>
                <w:szCs w:val="21"/>
                <w:lang w:val="en-GB"/>
              </w:rPr>
            </w:pPr>
            <w:r>
              <w:rPr>
                <w:snapToGrid/>
                <w:sz w:val="18"/>
                <w:szCs w:val="18"/>
                <w:lang w:val="en-GB"/>
              </w:rPr>
              <w:t>储蓄退休金</w:t>
            </w:r>
          </w:p>
        </w:tc>
        <w:tc>
          <w:tcPr>
            <w:tcW w:w="3761" w:type="dxa"/>
          </w:tcPr>
          <w:p w:rsidR="00A93F62" w:rsidRDefault="00A93F62">
            <w:pPr>
              <w:tabs>
                <w:tab w:val="clear" w:pos="431"/>
              </w:tabs>
              <w:overflowPunct/>
              <w:adjustRightInd/>
              <w:snapToGrid/>
              <w:spacing w:line="240" w:lineRule="atLeast"/>
              <w:rPr>
                <w:rFonts w:hint="eastAsia"/>
                <w:snapToGrid/>
                <w:szCs w:val="21"/>
                <w:lang w:val="en-GB"/>
              </w:rPr>
            </w:pPr>
            <w:r>
              <w:rPr>
                <w:snapToGrid/>
                <w:sz w:val="18"/>
                <w:szCs w:val="18"/>
                <w:lang w:val="en-GB"/>
              </w:rPr>
              <w:t>劳动者工资不少于</w:t>
            </w:r>
            <w:r>
              <w:rPr>
                <w:snapToGrid/>
                <w:sz w:val="18"/>
                <w:szCs w:val="18"/>
                <w:lang w:val="en-GB"/>
              </w:rPr>
              <w:t>2%</w:t>
            </w:r>
            <w:r>
              <w:rPr>
                <w:snapToGrid/>
                <w:sz w:val="18"/>
                <w:szCs w:val="18"/>
                <w:lang w:val="en-GB"/>
              </w:rPr>
              <w:t>的退休金缴费</w:t>
            </w:r>
          </w:p>
        </w:tc>
      </w:tr>
      <w:tr w:rsidR="00A93F62">
        <w:tc>
          <w:tcPr>
            <w:tcW w:w="3649" w:type="dxa"/>
          </w:tcPr>
          <w:p w:rsidR="00A93F62" w:rsidRDefault="00A93F62">
            <w:pPr>
              <w:tabs>
                <w:tab w:val="clear" w:pos="431"/>
              </w:tabs>
              <w:overflowPunct/>
              <w:adjustRightInd/>
              <w:snapToGrid/>
              <w:spacing w:line="240" w:lineRule="atLeast"/>
              <w:rPr>
                <w:snapToGrid/>
                <w:sz w:val="18"/>
                <w:szCs w:val="18"/>
                <w:lang w:val="en-GB"/>
              </w:rPr>
            </w:pPr>
            <w:r>
              <w:rPr>
                <w:snapToGrid/>
                <w:sz w:val="18"/>
                <w:szCs w:val="18"/>
                <w:lang w:val="en-GB"/>
              </w:rPr>
              <w:t>临时失去劳动能力津贴</w:t>
            </w:r>
          </w:p>
        </w:tc>
        <w:tc>
          <w:tcPr>
            <w:tcW w:w="3761" w:type="dxa"/>
            <w:vMerge w:val="restart"/>
          </w:tcPr>
          <w:p w:rsidR="00A93F62" w:rsidRDefault="00A93F62">
            <w:pPr>
              <w:tabs>
                <w:tab w:val="clear" w:pos="431"/>
              </w:tabs>
              <w:overflowPunct/>
              <w:adjustRightInd/>
              <w:snapToGrid/>
              <w:spacing w:beforeLines="50" w:before="163" w:line="240" w:lineRule="atLeast"/>
              <w:rPr>
                <w:rFonts w:hint="eastAsia"/>
                <w:snapToGrid/>
                <w:szCs w:val="21"/>
                <w:lang w:val="en-GB"/>
              </w:rPr>
            </w:pPr>
            <w:r>
              <w:rPr>
                <w:snapToGrid/>
                <w:sz w:val="18"/>
                <w:szCs w:val="18"/>
                <w:lang w:val="en-GB"/>
              </w:rPr>
              <w:t>依靠企业自有资金</w:t>
            </w:r>
          </w:p>
        </w:tc>
      </w:tr>
      <w:tr w:rsidR="00A93F62">
        <w:tc>
          <w:tcPr>
            <w:tcW w:w="3649" w:type="dxa"/>
          </w:tcPr>
          <w:p w:rsidR="00A93F62" w:rsidRDefault="00A93F62">
            <w:pPr>
              <w:tabs>
                <w:tab w:val="clear" w:pos="431"/>
              </w:tabs>
              <w:overflowPunct/>
              <w:adjustRightInd/>
              <w:snapToGrid/>
              <w:spacing w:line="240" w:lineRule="atLeast"/>
              <w:rPr>
                <w:snapToGrid/>
                <w:sz w:val="18"/>
                <w:szCs w:val="18"/>
                <w:lang w:val="en-GB"/>
              </w:rPr>
            </w:pPr>
            <w:r>
              <w:rPr>
                <w:snapToGrid/>
                <w:sz w:val="18"/>
                <w:szCs w:val="18"/>
                <w:lang w:val="en-GB"/>
              </w:rPr>
              <w:t>孕妇津贴</w:t>
            </w:r>
          </w:p>
        </w:tc>
        <w:tc>
          <w:tcPr>
            <w:tcW w:w="3761" w:type="dxa"/>
            <w:vMerge/>
          </w:tcPr>
          <w:p w:rsidR="00A93F62" w:rsidRDefault="00A93F62">
            <w:pPr>
              <w:tabs>
                <w:tab w:val="clear" w:pos="431"/>
              </w:tabs>
              <w:overflowPunct/>
              <w:adjustRightInd/>
              <w:snapToGrid/>
              <w:spacing w:line="240" w:lineRule="atLeast"/>
              <w:rPr>
                <w:rFonts w:hint="eastAsia"/>
                <w:snapToGrid/>
                <w:szCs w:val="21"/>
                <w:lang w:val="en-GB"/>
              </w:rPr>
            </w:pPr>
          </w:p>
        </w:tc>
      </w:tr>
      <w:tr w:rsidR="00A93F62">
        <w:tc>
          <w:tcPr>
            <w:tcW w:w="3649" w:type="dxa"/>
          </w:tcPr>
          <w:p w:rsidR="00A93F62" w:rsidRDefault="00A93F62">
            <w:pPr>
              <w:tabs>
                <w:tab w:val="clear" w:pos="431"/>
              </w:tabs>
              <w:overflowPunct/>
              <w:adjustRightInd/>
              <w:snapToGrid/>
              <w:spacing w:line="240" w:lineRule="atLeast"/>
              <w:rPr>
                <w:snapToGrid/>
                <w:sz w:val="18"/>
                <w:szCs w:val="18"/>
                <w:lang w:val="en-GB"/>
              </w:rPr>
            </w:pPr>
            <w:r>
              <w:rPr>
                <w:snapToGrid/>
                <w:sz w:val="18"/>
                <w:szCs w:val="18"/>
                <w:lang w:val="en-GB"/>
              </w:rPr>
              <w:t>分娩津贴</w:t>
            </w:r>
          </w:p>
        </w:tc>
        <w:tc>
          <w:tcPr>
            <w:tcW w:w="3761" w:type="dxa"/>
            <w:vMerge w:val="restart"/>
          </w:tcPr>
          <w:p w:rsidR="00A93F62" w:rsidRDefault="00A93F62">
            <w:pPr>
              <w:tabs>
                <w:tab w:val="clear" w:pos="431"/>
              </w:tabs>
              <w:overflowPunct/>
              <w:adjustRightInd/>
              <w:snapToGrid/>
              <w:spacing w:beforeLines="150" w:before="489" w:line="240" w:lineRule="atLeast"/>
              <w:rPr>
                <w:rFonts w:hint="eastAsia"/>
                <w:snapToGrid/>
                <w:szCs w:val="21"/>
                <w:lang w:val="en-GB"/>
              </w:rPr>
            </w:pPr>
            <w:r>
              <w:rPr>
                <w:snapToGrid/>
                <w:sz w:val="18"/>
                <w:szCs w:val="18"/>
                <w:lang w:val="en-GB"/>
              </w:rPr>
              <w:t>土库曼斯坦中央预算内资金</w:t>
            </w:r>
          </w:p>
        </w:tc>
      </w:tr>
      <w:tr w:rsidR="00A93F62">
        <w:tc>
          <w:tcPr>
            <w:tcW w:w="3649" w:type="dxa"/>
          </w:tcPr>
          <w:p w:rsidR="00A93F62" w:rsidRDefault="00A93F62">
            <w:pPr>
              <w:tabs>
                <w:tab w:val="clear" w:pos="431"/>
              </w:tabs>
              <w:overflowPunct/>
              <w:adjustRightInd/>
              <w:snapToGrid/>
              <w:spacing w:line="240" w:lineRule="atLeast"/>
              <w:rPr>
                <w:snapToGrid/>
                <w:sz w:val="18"/>
                <w:szCs w:val="18"/>
                <w:lang w:val="en-GB"/>
              </w:rPr>
            </w:pPr>
            <w:r>
              <w:rPr>
                <w:snapToGrid/>
                <w:sz w:val="18"/>
                <w:szCs w:val="18"/>
                <w:lang w:val="en-GB"/>
              </w:rPr>
              <w:t>育儿津贴</w:t>
            </w:r>
          </w:p>
        </w:tc>
        <w:tc>
          <w:tcPr>
            <w:tcW w:w="3761" w:type="dxa"/>
            <w:vMerge/>
          </w:tcPr>
          <w:p w:rsidR="00A93F62" w:rsidRDefault="00A93F62">
            <w:pPr>
              <w:tabs>
                <w:tab w:val="clear" w:pos="431"/>
              </w:tabs>
              <w:overflowPunct/>
              <w:adjustRightInd/>
              <w:snapToGrid/>
              <w:spacing w:line="240" w:lineRule="atLeast"/>
              <w:rPr>
                <w:rFonts w:hint="eastAsia"/>
                <w:snapToGrid/>
                <w:szCs w:val="21"/>
                <w:lang w:val="en-GB"/>
              </w:rPr>
            </w:pPr>
          </w:p>
        </w:tc>
      </w:tr>
      <w:tr w:rsidR="00A93F62">
        <w:tc>
          <w:tcPr>
            <w:tcW w:w="3649" w:type="dxa"/>
          </w:tcPr>
          <w:p w:rsidR="00A93F62" w:rsidRDefault="00A93F62">
            <w:pPr>
              <w:tabs>
                <w:tab w:val="clear" w:pos="431"/>
              </w:tabs>
              <w:overflowPunct/>
              <w:adjustRightInd/>
              <w:snapToGrid/>
              <w:spacing w:line="240" w:lineRule="atLeast"/>
              <w:rPr>
                <w:snapToGrid/>
                <w:sz w:val="18"/>
                <w:szCs w:val="18"/>
                <w:lang w:val="en-GB"/>
              </w:rPr>
            </w:pPr>
            <w:r>
              <w:rPr>
                <w:snapToGrid/>
                <w:sz w:val="18"/>
                <w:szCs w:val="18"/>
                <w:lang w:val="en-GB"/>
              </w:rPr>
              <w:t>社会津贴</w:t>
            </w:r>
          </w:p>
        </w:tc>
        <w:tc>
          <w:tcPr>
            <w:tcW w:w="3761" w:type="dxa"/>
            <w:vMerge/>
          </w:tcPr>
          <w:p w:rsidR="00A93F62" w:rsidRDefault="00A93F62">
            <w:pPr>
              <w:tabs>
                <w:tab w:val="clear" w:pos="431"/>
              </w:tabs>
              <w:overflowPunct/>
              <w:adjustRightInd/>
              <w:snapToGrid/>
              <w:spacing w:line="240" w:lineRule="atLeast"/>
              <w:rPr>
                <w:rFonts w:hint="eastAsia"/>
                <w:snapToGrid/>
                <w:szCs w:val="21"/>
                <w:lang w:val="en-GB"/>
              </w:rPr>
            </w:pPr>
          </w:p>
        </w:tc>
      </w:tr>
      <w:tr w:rsidR="00A93F62">
        <w:tc>
          <w:tcPr>
            <w:tcW w:w="3649" w:type="dxa"/>
            <w:tcBorders>
              <w:bottom w:val="single" w:sz="12" w:space="0" w:color="auto"/>
            </w:tcBorders>
          </w:tcPr>
          <w:p w:rsidR="00A93F62" w:rsidRDefault="00A93F62">
            <w:pPr>
              <w:tabs>
                <w:tab w:val="clear" w:pos="431"/>
              </w:tabs>
              <w:overflowPunct/>
              <w:adjustRightInd/>
              <w:snapToGrid/>
              <w:spacing w:line="240" w:lineRule="atLeast"/>
              <w:rPr>
                <w:snapToGrid/>
                <w:sz w:val="18"/>
                <w:szCs w:val="18"/>
                <w:lang w:val="en-GB"/>
              </w:rPr>
            </w:pPr>
            <w:r>
              <w:rPr>
                <w:snapToGrid/>
                <w:sz w:val="18"/>
                <w:szCs w:val="18"/>
                <w:lang w:val="en-GB"/>
              </w:rPr>
              <w:t>国家援助</w:t>
            </w:r>
          </w:p>
        </w:tc>
        <w:tc>
          <w:tcPr>
            <w:tcW w:w="3761" w:type="dxa"/>
            <w:vMerge/>
            <w:tcBorders>
              <w:bottom w:val="single" w:sz="12" w:space="0" w:color="auto"/>
            </w:tcBorders>
          </w:tcPr>
          <w:p w:rsidR="00A93F62" w:rsidRDefault="00A93F62">
            <w:pPr>
              <w:tabs>
                <w:tab w:val="clear" w:pos="431"/>
              </w:tabs>
              <w:overflowPunct/>
              <w:adjustRightInd/>
              <w:snapToGrid/>
              <w:spacing w:line="240" w:lineRule="atLeast"/>
              <w:rPr>
                <w:rFonts w:hint="eastAsia"/>
                <w:snapToGrid/>
                <w:szCs w:val="21"/>
                <w:lang w:val="en-GB"/>
              </w:rPr>
            </w:pPr>
          </w:p>
        </w:tc>
      </w:tr>
    </w:tbl>
    <w:p w:rsidR="00A93F62" w:rsidRDefault="00A93F62">
      <w:pPr>
        <w:numPr>
          <w:ilvl w:val="0"/>
          <w:numId w:val="41"/>
        </w:numPr>
        <w:tabs>
          <w:tab w:val="clear" w:pos="431"/>
        </w:tabs>
        <w:suppressAutoHyphens/>
        <w:overflowPunct/>
        <w:adjustRightInd/>
        <w:snapToGrid/>
        <w:spacing w:beforeLines="50" w:before="163" w:after="120" w:line="320" w:lineRule="atLeast"/>
        <w:ind w:left="1735" w:right="1134" w:hanging="601"/>
        <w:rPr>
          <w:rFonts w:hint="eastAsia"/>
          <w:snapToGrid/>
          <w:szCs w:val="21"/>
          <w:lang w:val="en-GB"/>
        </w:rPr>
      </w:pPr>
      <w:r>
        <w:rPr>
          <w:snapToGrid/>
          <w:szCs w:val="21"/>
          <w:lang w:val="en-GB"/>
        </w:rPr>
        <w:t>支付退休金、国家津贴、其它社会津贴的支出与国内总产量的比重：</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94"/>
        <w:gridCol w:w="3676"/>
      </w:tblGrid>
      <w:tr w:rsidR="00A93F62">
        <w:tc>
          <w:tcPr>
            <w:tcW w:w="3649" w:type="dxa"/>
            <w:tcBorders>
              <w:top w:val="single" w:sz="4" w:space="0" w:color="auto"/>
              <w:bottom w:val="single" w:sz="12" w:space="0" w:color="auto"/>
            </w:tcBorders>
            <w:shd w:val="clear" w:color="auto" w:fill="auto"/>
            <w:vAlign w:val="bottom"/>
          </w:tcPr>
          <w:p w:rsidR="00A93F62" w:rsidRDefault="00A93F62">
            <w:pPr>
              <w:pStyle w:val="a"/>
              <w:suppressAutoHyphens w:val="0"/>
              <w:ind w:left="57" w:right="0"/>
              <w:jc w:val="left"/>
              <w:rPr>
                <w:i/>
                <w:snapToGrid/>
                <w:lang w:val="en-GB"/>
              </w:rPr>
            </w:pPr>
            <w:r>
              <w:rPr>
                <w:snapToGrid/>
                <w:lang w:val="en-GB"/>
              </w:rPr>
              <w:t>年份</w:t>
            </w:r>
          </w:p>
        </w:tc>
        <w:tc>
          <w:tcPr>
            <w:tcW w:w="3631" w:type="dxa"/>
            <w:tcBorders>
              <w:top w:val="single" w:sz="4" w:space="0" w:color="auto"/>
              <w:bottom w:val="single" w:sz="12" w:space="0" w:color="auto"/>
            </w:tcBorders>
            <w:shd w:val="clear" w:color="auto" w:fill="auto"/>
            <w:vAlign w:val="bottom"/>
          </w:tcPr>
          <w:p w:rsidR="00A93F62" w:rsidRDefault="00A93F62">
            <w:pPr>
              <w:pStyle w:val="a"/>
              <w:suppressAutoHyphens w:val="0"/>
              <w:ind w:right="57"/>
              <w:jc w:val="right"/>
              <w:rPr>
                <w:i/>
                <w:snapToGrid/>
                <w:lang w:val="en-GB"/>
              </w:rPr>
            </w:pPr>
            <w:r>
              <w:rPr>
                <w:snapToGrid/>
                <w:lang w:val="en-GB"/>
              </w:rPr>
              <w:t>比重</w:t>
            </w:r>
          </w:p>
        </w:tc>
      </w:tr>
      <w:tr w:rsidR="00A93F62">
        <w:tc>
          <w:tcPr>
            <w:tcW w:w="3649" w:type="dxa"/>
            <w:tcBorders>
              <w:top w:val="single" w:sz="12" w:space="0" w:color="auto"/>
            </w:tcBorders>
            <w:shd w:val="clear" w:color="auto" w:fill="auto"/>
            <w:vAlign w:val="bottom"/>
          </w:tcPr>
          <w:p w:rsidR="00A93F62" w:rsidRDefault="00A93F62">
            <w:pPr>
              <w:pStyle w:val="a4"/>
              <w:suppressAutoHyphens w:val="0"/>
              <w:overflowPunct/>
              <w:ind w:left="57" w:right="0"/>
              <w:jc w:val="left"/>
              <w:rPr>
                <w:rFonts w:hint="eastAsia"/>
                <w:snapToGrid/>
                <w:lang w:val="en-GB"/>
              </w:rPr>
            </w:pPr>
            <w:r>
              <w:rPr>
                <w:snapToGrid/>
                <w:lang w:val="en-GB"/>
              </w:rPr>
              <w:t>2000</w:t>
            </w:r>
          </w:p>
        </w:tc>
        <w:tc>
          <w:tcPr>
            <w:tcW w:w="3631" w:type="dxa"/>
            <w:tcBorders>
              <w:top w:val="single" w:sz="12" w:space="0" w:color="auto"/>
            </w:tcBorders>
            <w:shd w:val="clear" w:color="auto" w:fill="auto"/>
            <w:vAlign w:val="bottom"/>
          </w:tcPr>
          <w:p w:rsidR="00A93F62" w:rsidRDefault="00A93F62">
            <w:pPr>
              <w:pStyle w:val="a4"/>
              <w:suppressAutoHyphens w:val="0"/>
              <w:overflowPunct/>
              <w:ind w:right="57"/>
              <w:jc w:val="right"/>
              <w:rPr>
                <w:snapToGrid/>
                <w:lang w:val="en-GB"/>
              </w:rPr>
            </w:pPr>
            <w:r>
              <w:rPr>
                <w:snapToGrid/>
                <w:lang w:val="en-GB"/>
              </w:rPr>
              <w:t>3.75</w:t>
            </w:r>
          </w:p>
        </w:tc>
      </w:tr>
      <w:tr w:rsidR="00A93F62">
        <w:tc>
          <w:tcPr>
            <w:tcW w:w="3649" w:type="dxa"/>
            <w:shd w:val="clear" w:color="auto" w:fill="auto"/>
            <w:vAlign w:val="bottom"/>
          </w:tcPr>
          <w:p w:rsidR="00A93F62" w:rsidRDefault="00A93F62">
            <w:pPr>
              <w:pStyle w:val="a4"/>
              <w:suppressAutoHyphens w:val="0"/>
              <w:overflowPunct/>
              <w:ind w:left="57" w:right="0"/>
              <w:jc w:val="left"/>
              <w:rPr>
                <w:rFonts w:hint="eastAsia"/>
                <w:snapToGrid/>
                <w:lang w:val="en-GB"/>
              </w:rPr>
            </w:pPr>
            <w:r>
              <w:rPr>
                <w:snapToGrid/>
                <w:lang w:val="en-GB"/>
              </w:rPr>
              <w:t>2001</w:t>
            </w:r>
          </w:p>
        </w:tc>
        <w:tc>
          <w:tcPr>
            <w:tcW w:w="3631" w:type="dxa"/>
            <w:shd w:val="clear" w:color="auto" w:fill="auto"/>
            <w:vAlign w:val="bottom"/>
          </w:tcPr>
          <w:p w:rsidR="00A93F62" w:rsidRDefault="00A93F62">
            <w:pPr>
              <w:pStyle w:val="a4"/>
              <w:suppressAutoHyphens w:val="0"/>
              <w:overflowPunct/>
              <w:ind w:right="57"/>
              <w:jc w:val="right"/>
              <w:rPr>
                <w:snapToGrid/>
                <w:lang w:val="en-GB"/>
              </w:rPr>
            </w:pPr>
            <w:r>
              <w:rPr>
                <w:snapToGrid/>
                <w:lang w:val="en-GB"/>
              </w:rPr>
              <w:t>4.70</w:t>
            </w:r>
          </w:p>
        </w:tc>
      </w:tr>
      <w:tr w:rsidR="00A93F62">
        <w:tc>
          <w:tcPr>
            <w:tcW w:w="3649" w:type="dxa"/>
            <w:shd w:val="clear" w:color="auto" w:fill="auto"/>
            <w:vAlign w:val="bottom"/>
          </w:tcPr>
          <w:p w:rsidR="00A93F62" w:rsidRDefault="00A93F62">
            <w:pPr>
              <w:pStyle w:val="a4"/>
              <w:suppressAutoHyphens w:val="0"/>
              <w:overflowPunct/>
              <w:ind w:left="57" w:right="0"/>
              <w:jc w:val="left"/>
              <w:rPr>
                <w:snapToGrid/>
                <w:lang w:val="en-GB"/>
              </w:rPr>
            </w:pPr>
            <w:r>
              <w:rPr>
                <w:snapToGrid/>
                <w:lang w:val="en-GB"/>
              </w:rPr>
              <w:t>2002</w:t>
            </w:r>
          </w:p>
        </w:tc>
        <w:tc>
          <w:tcPr>
            <w:tcW w:w="3631" w:type="dxa"/>
            <w:shd w:val="clear" w:color="auto" w:fill="auto"/>
            <w:vAlign w:val="bottom"/>
          </w:tcPr>
          <w:p w:rsidR="00A93F62" w:rsidRDefault="00A93F62">
            <w:pPr>
              <w:pStyle w:val="a4"/>
              <w:suppressAutoHyphens w:val="0"/>
              <w:overflowPunct/>
              <w:ind w:right="57"/>
              <w:jc w:val="right"/>
              <w:rPr>
                <w:snapToGrid/>
                <w:lang w:val="en-GB"/>
              </w:rPr>
            </w:pPr>
            <w:r>
              <w:rPr>
                <w:snapToGrid/>
                <w:lang w:val="en-GB"/>
              </w:rPr>
              <w:t>3.46</w:t>
            </w:r>
          </w:p>
        </w:tc>
      </w:tr>
      <w:tr w:rsidR="00A93F62">
        <w:tc>
          <w:tcPr>
            <w:tcW w:w="3649" w:type="dxa"/>
            <w:shd w:val="clear" w:color="auto" w:fill="auto"/>
            <w:vAlign w:val="bottom"/>
          </w:tcPr>
          <w:p w:rsidR="00A93F62" w:rsidRDefault="00A93F62">
            <w:pPr>
              <w:pStyle w:val="a4"/>
              <w:suppressAutoHyphens w:val="0"/>
              <w:overflowPunct/>
              <w:ind w:left="57" w:right="0"/>
              <w:jc w:val="left"/>
              <w:rPr>
                <w:rFonts w:hint="eastAsia"/>
                <w:snapToGrid/>
                <w:lang w:val="en-GB"/>
              </w:rPr>
            </w:pPr>
            <w:r>
              <w:rPr>
                <w:snapToGrid/>
                <w:lang w:val="en-GB"/>
              </w:rPr>
              <w:t>2003</w:t>
            </w:r>
          </w:p>
        </w:tc>
        <w:tc>
          <w:tcPr>
            <w:tcW w:w="3631" w:type="dxa"/>
            <w:shd w:val="clear" w:color="auto" w:fill="auto"/>
            <w:vAlign w:val="bottom"/>
          </w:tcPr>
          <w:p w:rsidR="00A93F62" w:rsidRDefault="00A93F62">
            <w:pPr>
              <w:pStyle w:val="a4"/>
              <w:suppressAutoHyphens w:val="0"/>
              <w:overflowPunct/>
              <w:ind w:right="57"/>
              <w:jc w:val="right"/>
              <w:rPr>
                <w:snapToGrid/>
                <w:lang w:val="en-GB"/>
              </w:rPr>
            </w:pPr>
            <w:r>
              <w:rPr>
                <w:snapToGrid/>
                <w:lang w:val="en-GB"/>
              </w:rPr>
              <w:t>3.58</w:t>
            </w:r>
          </w:p>
        </w:tc>
      </w:tr>
      <w:tr w:rsidR="00A93F62">
        <w:tc>
          <w:tcPr>
            <w:tcW w:w="3649" w:type="dxa"/>
            <w:shd w:val="clear" w:color="auto" w:fill="auto"/>
            <w:vAlign w:val="bottom"/>
          </w:tcPr>
          <w:p w:rsidR="00A93F62" w:rsidRDefault="00A93F62">
            <w:pPr>
              <w:pStyle w:val="a4"/>
              <w:suppressAutoHyphens w:val="0"/>
              <w:overflowPunct/>
              <w:ind w:left="57" w:right="0"/>
              <w:jc w:val="left"/>
              <w:rPr>
                <w:snapToGrid/>
                <w:lang w:val="en-GB"/>
              </w:rPr>
            </w:pPr>
            <w:r>
              <w:rPr>
                <w:snapToGrid/>
                <w:lang w:val="en-GB"/>
              </w:rPr>
              <w:t>2004</w:t>
            </w:r>
          </w:p>
        </w:tc>
        <w:tc>
          <w:tcPr>
            <w:tcW w:w="3631" w:type="dxa"/>
            <w:shd w:val="clear" w:color="auto" w:fill="auto"/>
            <w:vAlign w:val="bottom"/>
          </w:tcPr>
          <w:p w:rsidR="00A93F62" w:rsidRDefault="00A93F62">
            <w:pPr>
              <w:pStyle w:val="a4"/>
              <w:suppressAutoHyphens w:val="0"/>
              <w:overflowPunct/>
              <w:ind w:right="57"/>
              <w:jc w:val="right"/>
              <w:rPr>
                <w:snapToGrid/>
                <w:lang w:val="en-GB"/>
              </w:rPr>
            </w:pPr>
            <w:r>
              <w:rPr>
                <w:snapToGrid/>
                <w:lang w:val="en-GB"/>
              </w:rPr>
              <w:t>3.85</w:t>
            </w:r>
          </w:p>
        </w:tc>
      </w:tr>
      <w:tr w:rsidR="00A93F62">
        <w:tc>
          <w:tcPr>
            <w:tcW w:w="3649" w:type="dxa"/>
            <w:shd w:val="clear" w:color="auto" w:fill="auto"/>
            <w:vAlign w:val="bottom"/>
          </w:tcPr>
          <w:p w:rsidR="00A93F62" w:rsidRDefault="00A93F62">
            <w:pPr>
              <w:pStyle w:val="a4"/>
              <w:suppressAutoHyphens w:val="0"/>
              <w:overflowPunct/>
              <w:ind w:left="57" w:right="0"/>
              <w:jc w:val="left"/>
              <w:rPr>
                <w:snapToGrid/>
                <w:lang w:val="en-GB"/>
              </w:rPr>
            </w:pPr>
            <w:r>
              <w:rPr>
                <w:snapToGrid/>
                <w:lang w:val="en-GB"/>
              </w:rPr>
              <w:t>2005</w:t>
            </w:r>
          </w:p>
        </w:tc>
        <w:tc>
          <w:tcPr>
            <w:tcW w:w="3631" w:type="dxa"/>
            <w:shd w:val="clear" w:color="auto" w:fill="auto"/>
            <w:vAlign w:val="bottom"/>
          </w:tcPr>
          <w:p w:rsidR="00A93F62" w:rsidRDefault="00A93F62">
            <w:pPr>
              <w:pStyle w:val="a4"/>
              <w:suppressAutoHyphens w:val="0"/>
              <w:overflowPunct/>
              <w:ind w:right="57"/>
              <w:jc w:val="right"/>
              <w:rPr>
                <w:snapToGrid/>
                <w:lang w:val="en-GB"/>
              </w:rPr>
            </w:pPr>
            <w:r>
              <w:rPr>
                <w:snapToGrid/>
                <w:lang w:val="en-GB"/>
              </w:rPr>
              <w:t>4.05</w:t>
            </w:r>
          </w:p>
        </w:tc>
      </w:tr>
      <w:tr w:rsidR="00A93F62">
        <w:tc>
          <w:tcPr>
            <w:tcW w:w="3649" w:type="dxa"/>
            <w:shd w:val="clear" w:color="auto" w:fill="auto"/>
            <w:vAlign w:val="bottom"/>
          </w:tcPr>
          <w:p w:rsidR="00A93F62" w:rsidRDefault="00A93F62">
            <w:pPr>
              <w:pStyle w:val="a4"/>
              <w:suppressAutoHyphens w:val="0"/>
              <w:overflowPunct/>
              <w:ind w:left="57" w:right="0"/>
              <w:jc w:val="left"/>
              <w:rPr>
                <w:snapToGrid/>
                <w:lang w:val="en-GB"/>
              </w:rPr>
            </w:pPr>
            <w:r>
              <w:rPr>
                <w:snapToGrid/>
                <w:lang w:val="en-GB"/>
              </w:rPr>
              <w:t>2006</w:t>
            </w:r>
          </w:p>
        </w:tc>
        <w:tc>
          <w:tcPr>
            <w:tcW w:w="3631" w:type="dxa"/>
            <w:shd w:val="clear" w:color="auto" w:fill="auto"/>
            <w:vAlign w:val="bottom"/>
          </w:tcPr>
          <w:p w:rsidR="00A93F62" w:rsidRDefault="00A93F62">
            <w:pPr>
              <w:pStyle w:val="a4"/>
              <w:suppressAutoHyphens w:val="0"/>
              <w:overflowPunct/>
              <w:ind w:right="57"/>
              <w:jc w:val="right"/>
              <w:rPr>
                <w:snapToGrid/>
                <w:lang w:val="en-GB"/>
              </w:rPr>
            </w:pPr>
            <w:r>
              <w:rPr>
                <w:snapToGrid/>
                <w:lang w:val="en-GB"/>
              </w:rPr>
              <w:t>2.72</w:t>
            </w:r>
          </w:p>
        </w:tc>
      </w:tr>
      <w:tr w:rsidR="00A93F62">
        <w:tc>
          <w:tcPr>
            <w:tcW w:w="3649" w:type="dxa"/>
            <w:shd w:val="clear" w:color="auto" w:fill="auto"/>
            <w:vAlign w:val="bottom"/>
          </w:tcPr>
          <w:p w:rsidR="00A93F62" w:rsidRDefault="00A93F62">
            <w:pPr>
              <w:pStyle w:val="a4"/>
              <w:suppressAutoHyphens w:val="0"/>
              <w:overflowPunct/>
              <w:ind w:left="57" w:right="0"/>
              <w:jc w:val="left"/>
              <w:rPr>
                <w:snapToGrid/>
                <w:lang w:val="en-GB"/>
              </w:rPr>
            </w:pPr>
            <w:r>
              <w:rPr>
                <w:snapToGrid/>
                <w:lang w:val="en-GB"/>
              </w:rPr>
              <w:t>2007</w:t>
            </w:r>
          </w:p>
        </w:tc>
        <w:tc>
          <w:tcPr>
            <w:tcW w:w="3631" w:type="dxa"/>
            <w:shd w:val="clear" w:color="auto" w:fill="auto"/>
            <w:vAlign w:val="bottom"/>
          </w:tcPr>
          <w:p w:rsidR="00A93F62" w:rsidRDefault="00A93F62">
            <w:pPr>
              <w:pStyle w:val="a4"/>
              <w:suppressAutoHyphens w:val="0"/>
              <w:overflowPunct/>
              <w:ind w:right="57"/>
              <w:jc w:val="right"/>
              <w:rPr>
                <w:snapToGrid/>
                <w:lang w:val="en-GB"/>
              </w:rPr>
            </w:pPr>
            <w:r>
              <w:rPr>
                <w:snapToGrid/>
                <w:lang w:val="en-GB"/>
              </w:rPr>
              <w:t>2.89</w:t>
            </w:r>
          </w:p>
        </w:tc>
      </w:tr>
    </w:tbl>
    <w:p w:rsidR="00A93F62" w:rsidRDefault="00A93F62">
      <w:pPr>
        <w:tabs>
          <w:tab w:val="clear" w:pos="431"/>
        </w:tabs>
        <w:suppressAutoHyphens/>
        <w:overflowPunct/>
        <w:adjustRightInd/>
        <w:snapToGrid/>
        <w:spacing w:beforeLines="50" w:before="163" w:after="120" w:line="240" w:lineRule="atLeast"/>
        <w:ind w:left="1134" w:right="1134"/>
        <w:rPr>
          <w:snapToGrid/>
          <w:szCs w:val="21"/>
          <w:lang w:val="en-GB"/>
        </w:rPr>
      </w:pPr>
      <w:r>
        <w:rPr>
          <w:snapToGrid/>
          <w:szCs w:val="21"/>
          <w:lang w:val="en-GB"/>
        </w:rPr>
        <w:t>在社会津贴及其拨款费用的领取人数增长速度较慢的情况下，经济发展速度较快，决定了土库曼斯坦退休金、国家津贴与其它社会津贴支付费用占国内总产量的比例减少。</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170.</w:t>
      </w:r>
      <w:r>
        <w:rPr>
          <w:rFonts w:hint="eastAsia"/>
          <w:snapToGrid/>
          <w:szCs w:val="21"/>
          <w:lang w:val="en-GB"/>
        </w:rPr>
        <w:t xml:space="preserve">  </w:t>
      </w:r>
      <w:r>
        <w:rPr>
          <w:snapToGrid/>
          <w:szCs w:val="21"/>
          <w:lang w:val="en-GB"/>
        </w:rPr>
        <w:t>在社会领域内，土库曼斯坦政府积极与联合国合作。在土库曼斯坦政府与联合国签署的</w:t>
      </w:r>
      <w:r>
        <w:rPr>
          <w:snapToGrid/>
          <w:color w:val="000000"/>
          <w:szCs w:val="21"/>
          <w:lang w:val="en-GB"/>
        </w:rPr>
        <w:t>《联合国</w:t>
      </w:r>
      <w:r>
        <w:rPr>
          <w:snapToGrid/>
          <w:color w:val="000000"/>
          <w:szCs w:val="21"/>
          <w:lang w:val="en-GB"/>
        </w:rPr>
        <w:t>2005-2009</w:t>
      </w:r>
      <w:r>
        <w:rPr>
          <w:snapToGrid/>
          <w:color w:val="000000"/>
          <w:szCs w:val="21"/>
          <w:lang w:val="en-GB"/>
        </w:rPr>
        <w:t>年促进发展框架纲领的行动计划》</w:t>
      </w:r>
      <w:r>
        <w:rPr>
          <w:snapToGrid/>
          <w:szCs w:val="21"/>
          <w:lang w:val="en-GB"/>
        </w:rPr>
        <w:t>范围内，土库曼斯坦社会保障部会同联合国开发计划署一起，实施</w:t>
      </w:r>
      <w:r>
        <w:rPr>
          <w:snapToGrid/>
          <w:szCs w:val="21"/>
          <w:lang w:val="en-GB"/>
        </w:rPr>
        <w:t>“</w:t>
      </w:r>
      <w:r>
        <w:rPr>
          <w:snapToGrid/>
          <w:szCs w:val="21"/>
          <w:lang w:val="en-GB"/>
        </w:rPr>
        <w:t>支持社会保护系统发展</w:t>
      </w:r>
      <w:r>
        <w:rPr>
          <w:snapToGrid/>
          <w:szCs w:val="21"/>
          <w:lang w:val="en-GB"/>
        </w:rPr>
        <w:t>”</w:t>
      </w:r>
      <w:r>
        <w:rPr>
          <w:snapToGrid/>
          <w:szCs w:val="21"/>
          <w:lang w:val="en-GB"/>
        </w:rPr>
        <w:t>计划。根据该计划，办事处实施了提高专家职业技能水平的措施，组织有国际专家参加的讨论会。</w:t>
      </w:r>
    </w:p>
    <w:p w:rsidR="00A93F62" w:rsidRDefault="00A93F62">
      <w:pPr>
        <w:pStyle w:val="H1GC"/>
        <w:rPr>
          <w:snapToGrid/>
          <w:lang w:val="en-GB"/>
        </w:rPr>
      </w:pPr>
      <w:r>
        <w:rPr>
          <w:rFonts w:hint="eastAsia"/>
          <w:snapToGrid/>
          <w:lang w:val="en-GB"/>
        </w:rPr>
        <w:tab/>
      </w:r>
      <w:r>
        <w:rPr>
          <w:rFonts w:hint="eastAsia"/>
          <w:snapToGrid/>
          <w:lang w:val="en-GB"/>
        </w:rPr>
        <w:tab/>
      </w:r>
      <w:r>
        <w:rPr>
          <w:snapToGrid/>
          <w:lang w:val="en-GB"/>
        </w:rPr>
        <w:t>第十条</w:t>
      </w:r>
      <w:r>
        <w:rPr>
          <w:snapToGrid/>
          <w:lang w:val="en-GB"/>
        </w:rPr>
        <w:t xml:space="preserve"> </w:t>
      </w:r>
      <w:r>
        <w:rPr>
          <w:rFonts w:hint="eastAsia"/>
          <w:snapToGrid/>
          <w:lang w:val="en-GB"/>
        </w:rPr>
        <w:br/>
      </w:r>
      <w:r>
        <w:rPr>
          <w:snapToGrid/>
          <w:lang w:val="en-GB"/>
        </w:rPr>
        <w:t>婚姻和家庭生活权</w:t>
      </w:r>
    </w:p>
    <w:p w:rsidR="00A93F62" w:rsidRDefault="00A93F62">
      <w:pPr>
        <w:tabs>
          <w:tab w:val="clear" w:pos="431"/>
        </w:tabs>
        <w:suppressAutoHyphens/>
        <w:overflowPunct/>
        <w:adjustRightInd/>
        <w:snapToGrid/>
        <w:spacing w:after="120" w:line="320" w:lineRule="atLeast"/>
        <w:ind w:left="1134" w:right="1134"/>
        <w:rPr>
          <w:snapToGrid/>
          <w:spacing w:val="-2"/>
          <w:szCs w:val="21"/>
          <w:lang w:val="en-GB"/>
        </w:rPr>
      </w:pPr>
      <w:r>
        <w:rPr>
          <w:snapToGrid/>
          <w:szCs w:val="21"/>
          <w:lang w:val="en-GB"/>
        </w:rPr>
        <w:t>171.</w:t>
      </w:r>
      <w:r>
        <w:rPr>
          <w:rFonts w:hint="eastAsia"/>
          <w:snapToGrid/>
          <w:szCs w:val="21"/>
          <w:lang w:val="en-GB"/>
        </w:rPr>
        <w:t xml:space="preserve">  </w:t>
      </w:r>
      <w:r>
        <w:rPr>
          <w:snapToGrid/>
          <w:spacing w:val="-2"/>
          <w:szCs w:val="21"/>
          <w:lang w:val="en-GB"/>
        </w:rPr>
        <w:t>根据《土库曼斯坦宪法》第</w:t>
      </w:r>
      <w:r>
        <w:rPr>
          <w:snapToGrid/>
          <w:spacing w:val="-2"/>
          <w:szCs w:val="21"/>
          <w:lang w:val="en-GB"/>
        </w:rPr>
        <w:t>27</w:t>
      </w:r>
      <w:r>
        <w:rPr>
          <w:snapToGrid/>
          <w:spacing w:val="-2"/>
          <w:szCs w:val="21"/>
          <w:lang w:val="en-GB"/>
        </w:rPr>
        <w:t>条，达到结婚年龄的女性与男子，经双方同意，有权结婚并组建家庭。家庭关系中，夫妇权利平等。父母或相应替代人员有以下权利与义务：抚养孩子，关心其健康、成长、学习，培养他们从事劳动，向其灌输尊重法律，历史与民族传统的观念。成年孩子应关心父母，并提供帮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172.</w:t>
      </w:r>
      <w:r>
        <w:rPr>
          <w:rFonts w:hint="eastAsia"/>
          <w:snapToGrid/>
          <w:szCs w:val="21"/>
          <w:lang w:val="en-GB"/>
        </w:rPr>
        <w:t xml:space="preserve">  </w:t>
      </w:r>
      <w:r>
        <w:rPr>
          <w:snapToGrid/>
          <w:szCs w:val="21"/>
          <w:lang w:val="en-GB"/>
        </w:rPr>
        <w:t>《土库曼斯坦婚姻与家庭法典》第</w:t>
      </w:r>
      <w:r>
        <w:rPr>
          <w:snapToGrid/>
          <w:szCs w:val="21"/>
          <w:lang w:val="en-GB"/>
        </w:rPr>
        <w:t>4</w:t>
      </w:r>
      <w:r>
        <w:rPr>
          <w:snapToGrid/>
          <w:szCs w:val="21"/>
          <w:lang w:val="en-GB"/>
        </w:rPr>
        <w:t>条规定，所有公民在家庭关系中权利平等。不允许直接或间接地限制权力，由于出身、社会与财产状况、人种与民族属性、性别、教育、语言、宗教信仰、性别和职业特点、居住地及其它情况，在婚姻和家庭关系中，确立直接或间接的优势地位。</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173.</w:t>
      </w:r>
      <w:r>
        <w:rPr>
          <w:rFonts w:hint="eastAsia"/>
          <w:snapToGrid/>
          <w:szCs w:val="21"/>
          <w:lang w:val="en-GB"/>
        </w:rPr>
        <w:t xml:space="preserve">  </w:t>
      </w:r>
      <w:r>
        <w:rPr>
          <w:snapToGrid/>
          <w:szCs w:val="21"/>
          <w:lang w:val="en-GB"/>
        </w:rPr>
        <w:t>国家通过建立、普及助产室、托儿所和幼儿园、寄宿学校和其它儿童机构，建立并完善服务和餐饮部门，支付分娩津贴，向独身母亲与多子女家庭提供津贴与优惠，向家庭提供其它津贴与帮助，来关心家庭。</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174.</w:t>
      </w:r>
      <w:r>
        <w:rPr>
          <w:rFonts w:hint="eastAsia"/>
          <w:snapToGrid/>
          <w:szCs w:val="21"/>
          <w:lang w:val="en-GB"/>
        </w:rPr>
        <w:t xml:space="preserve">  </w:t>
      </w:r>
      <w:r>
        <w:rPr>
          <w:snapToGrid/>
          <w:szCs w:val="21"/>
          <w:lang w:val="en-GB"/>
        </w:rPr>
        <w:t>在土库曼斯坦，母亲得到全民尊敬，受到国家的保护与奖励。通过采取保护妇女劳动与健康的社会措施，创造将劳动与为人母的责任结合的条件，向妇女儿童施以物质与道德援助，包括向妇女提供保留工资的产假，向孕妇与母亲提供其它优惠，来维护母亲与孩子的利益。</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175.</w:t>
      </w:r>
      <w:r>
        <w:rPr>
          <w:rFonts w:hint="eastAsia"/>
          <w:snapToGrid/>
          <w:szCs w:val="21"/>
          <w:lang w:val="en-GB"/>
        </w:rPr>
        <w:t xml:space="preserve">  </w:t>
      </w:r>
      <w:r>
        <w:rPr>
          <w:snapToGrid/>
          <w:szCs w:val="21"/>
          <w:lang w:val="en-GB"/>
        </w:rPr>
        <w:t>在国家民事登记机关进行婚姻注册。婚姻登记规定既符合国家与社会的利益，也切实保护了夫妇与孩子的个人与财产权益。只有在国家民事登记机关注册的婚姻，才可以形成夫妇的权利与义务。</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176.</w:t>
      </w:r>
      <w:r>
        <w:rPr>
          <w:rFonts w:hint="eastAsia"/>
          <w:snapToGrid/>
          <w:szCs w:val="21"/>
          <w:lang w:val="en-GB"/>
        </w:rPr>
        <w:t xml:space="preserve">  </w:t>
      </w:r>
      <w:r>
        <w:rPr>
          <w:snapToGrid/>
          <w:szCs w:val="21"/>
          <w:lang w:val="en-GB"/>
        </w:rPr>
        <w:t>希望结婚人员，在向国家民事登记机关递交申请一个月期满后，进行婚姻登记。如有正当理由，民事登记处主任可以将一个月的期限缩短或延长，但不得超过三个月。婚姻注册很隆重，经结婚人员同意，民事登记机关应保证提供隆重的环境。</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177.</w:t>
      </w:r>
      <w:r>
        <w:rPr>
          <w:rFonts w:hint="eastAsia"/>
          <w:snapToGrid/>
          <w:szCs w:val="21"/>
          <w:lang w:val="en-GB"/>
        </w:rPr>
        <w:t xml:space="preserve">  </w:t>
      </w:r>
      <w:r>
        <w:rPr>
          <w:snapToGrid/>
          <w:szCs w:val="21"/>
          <w:lang w:val="en-GB"/>
        </w:rPr>
        <w:t>土库曼斯坦公民与外国公民或无国籍人士结婚时，应签署婚约，规定双方的财产权利与义务，并以本法令规定的方式，供养孩子与需要物质帮助、无劳动能力配偶的义务。结婚人员签字，并在国家民事登记机关注册后，婚约生效。递交申请三个月期满后</w:t>
      </w:r>
      <w:r>
        <w:rPr>
          <w:snapToGrid/>
          <w:szCs w:val="21"/>
          <w:lang w:val="en-GB"/>
        </w:rPr>
        <w:t>(</w:t>
      </w:r>
      <w:r>
        <w:rPr>
          <w:snapToGrid/>
          <w:szCs w:val="21"/>
          <w:lang w:val="en-GB"/>
        </w:rPr>
        <w:t>必要情况下期限可延长至六个月</w:t>
      </w:r>
      <w:r>
        <w:rPr>
          <w:snapToGrid/>
          <w:szCs w:val="21"/>
          <w:lang w:val="en-GB"/>
        </w:rPr>
        <w:t>)</w:t>
      </w:r>
      <w:r>
        <w:rPr>
          <w:snapToGrid/>
          <w:szCs w:val="21"/>
          <w:lang w:val="en-GB"/>
        </w:rPr>
        <w:t>，土库曼斯坦公民可与外国公民或无国籍人士结婚。</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178.</w:t>
      </w:r>
      <w:r>
        <w:rPr>
          <w:rFonts w:hint="eastAsia"/>
          <w:snapToGrid/>
          <w:szCs w:val="21"/>
          <w:lang w:val="en-GB"/>
        </w:rPr>
        <w:t xml:space="preserve">  </w:t>
      </w:r>
      <w:r>
        <w:rPr>
          <w:snapToGrid/>
          <w:szCs w:val="21"/>
          <w:lang w:val="en-GB"/>
        </w:rPr>
        <w:t>经结婚人员双方同意，且达到结婚年龄，才可以登记结婚。土库曼斯坦公民与外国公民或无国籍人士结婚时，除了本条款第一部分规定的条件外，此人在土库曼斯坦居住时间应不少于一年。</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179. </w:t>
      </w:r>
      <w:r>
        <w:rPr>
          <w:snapToGrid/>
          <w:szCs w:val="21"/>
          <w:lang w:val="en-GB"/>
        </w:rPr>
        <w:t>土库曼斯坦规定的结婚年龄为</w:t>
      </w:r>
      <w:r>
        <w:rPr>
          <w:snapToGrid/>
          <w:szCs w:val="21"/>
          <w:lang w:val="en-GB"/>
        </w:rPr>
        <w:t>16</w:t>
      </w:r>
      <w:r>
        <w:rPr>
          <w:snapToGrid/>
          <w:szCs w:val="21"/>
          <w:lang w:val="en-GB"/>
        </w:rPr>
        <w:t>岁，与外国公民和无国籍人士缔结婚姻的土库曼斯坦公民的结婚年龄定为</w:t>
      </w:r>
      <w:r>
        <w:rPr>
          <w:snapToGrid/>
          <w:szCs w:val="21"/>
          <w:lang w:val="en-GB"/>
        </w:rPr>
        <w:t>18</w:t>
      </w:r>
      <w:r>
        <w:rPr>
          <w:snapToGrid/>
          <w:szCs w:val="21"/>
          <w:lang w:val="en-GB"/>
        </w:rPr>
        <w:t>岁</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180.</w:t>
      </w:r>
      <w:r>
        <w:rPr>
          <w:rFonts w:hint="eastAsia"/>
          <w:snapToGrid/>
          <w:szCs w:val="21"/>
          <w:lang w:val="en-GB"/>
        </w:rPr>
        <w:t xml:space="preserve">  </w:t>
      </w:r>
      <w:r>
        <w:rPr>
          <w:snapToGrid/>
          <w:szCs w:val="21"/>
          <w:lang w:val="en-GB"/>
        </w:rPr>
        <w:t>根据《土库曼斯坦宪法》，依照</w:t>
      </w:r>
      <w:smartTag w:uri="urn:schemas-microsoft-com:office:smarttags" w:element="chsdate">
        <w:smartTagPr>
          <w:attr w:name="IsROCDate" w:val="False"/>
          <w:attr w:name="IsLunarDate" w:val="False"/>
          <w:attr w:name="Day" w:val="14"/>
          <w:attr w:name="Month" w:val="12"/>
          <w:attr w:name="Year" w:val="2002"/>
        </w:smartTagPr>
        <w:r>
          <w:rPr>
            <w:snapToGrid/>
            <w:szCs w:val="21"/>
            <w:lang w:val="en-GB"/>
          </w:rPr>
          <w:t>2002</w:t>
        </w:r>
        <w:r>
          <w:rPr>
            <w:snapToGrid/>
            <w:szCs w:val="21"/>
            <w:lang w:val="en-GB"/>
          </w:rPr>
          <w:t>年</w:t>
        </w:r>
        <w:r>
          <w:rPr>
            <w:snapToGrid/>
            <w:szCs w:val="21"/>
            <w:lang w:val="en-GB"/>
          </w:rPr>
          <w:t>12</w:t>
        </w:r>
        <w:r>
          <w:rPr>
            <w:snapToGrid/>
            <w:szCs w:val="21"/>
            <w:lang w:val="en-GB"/>
          </w:rPr>
          <w:t>月</w:t>
        </w:r>
        <w:r>
          <w:rPr>
            <w:snapToGrid/>
            <w:szCs w:val="21"/>
            <w:lang w:val="en-GB"/>
          </w:rPr>
          <w:t>14</w:t>
        </w:r>
        <w:r>
          <w:rPr>
            <w:snapToGrid/>
            <w:szCs w:val="21"/>
            <w:lang w:val="en-GB"/>
          </w:rPr>
          <w:t>日</w:t>
        </w:r>
      </w:smartTag>
      <w:r>
        <w:rPr>
          <w:snapToGrid/>
          <w:szCs w:val="21"/>
          <w:lang w:val="en-GB"/>
        </w:rPr>
        <w:t>通过的土库曼斯坦《公民健康保护法》第</w:t>
      </w:r>
      <w:r>
        <w:rPr>
          <w:snapToGrid/>
          <w:szCs w:val="21"/>
          <w:lang w:val="en-GB"/>
        </w:rPr>
        <w:t>14</w:t>
      </w:r>
      <w:r>
        <w:rPr>
          <w:snapToGrid/>
          <w:szCs w:val="21"/>
          <w:lang w:val="en-GB"/>
        </w:rPr>
        <w:t>条，不论其民族、种族、性别、出身、财产与职务状况、居住地、语言、宗教信仰、政治信念、有否有党派，全体公民都有保健权。根据土库曼斯坦加入的国际公约，土库曼斯坦境外公民也有保健权。公民有国家自愿医疗保险权。</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181.</w:t>
      </w:r>
      <w:r>
        <w:rPr>
          <w:rFonts w:hint="eastAsia"/>
          <w:snapToGrid/>
          <w:szCs w:val="21"/>
          <w:lang w:val="en-GB"/>
        </w:rPr>
        <w:t xml:space="preserve">  </w:t>
      </w:r>
      <w:r>
        <w:rPr>
          <w:snapToGrid/>
          <w:szCs w:val="21"/>
          <w:lang w:val="en-GB"/>
        </w:rPr>
        <w:t>根据土库曼斯坦加入的国际公约，土库曼斯坦境内的外国公民也有保健权。临时或长期居住在土库曼斯坦的外国公民和无国籍人士，以及难民都有与土库曼斯坦公民同样的保健权，如果土库曼斯坦加入的国际公约未另作规定。</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182.</w:t>
      </w:r>
      <w:r>
        <w:rPr>
          <w:rFonts w:hint="eastAsia"/>
          <w:snapToGrid/>
          <w:szCs w:val="21"/>
          <w:lang w:val="en-GB"/>
        </w:rPr>
        <w:t xml:space="preserve">  </w:t>
      </w:r>
      <w:r>
        <w:rPr>
          <w:snapToGrid/>
          <w:szCs w:val="21"/>
          <w:lang w:val="en-GB"/>
        </w:rPr>
        <w:t>切实保障孕妇与母亲的保健权：</w:t>
      </w:r>
    </w:p>
    <w:p w:rsidR="00A93F62" w:rsidRDefault="00A93F62">
      <w:pPr>
        <w:pStyle w:val="Bullet1GC"/>
        <w:numPr>
          <w:ilvl w:val="0"/>
          <w:numId w:val="14"/>
        </w:numPr>
        <w:rPr>
          <w:snapToGrid/>
          <w:lang w:val="en-GB"/>
        </w:rPr>
      </w:pPr>
      <w:r>
        <w:rPr>
          <w:snapToGrid/>
          <w:lang w:val="en-GB"/>
        </w:rPr>
        <w:t>安排实施预防措施，将现代化科学成果运用到医疗服务中，预防和治疗妇科病，妊娠、分娩、产后并发症，发现贫血症，培养妇女健康的生活方式；</w:t>
      </w:r>
    </w:p>
    <w:p w:rsidR="00A93F62" w:rsidRDefault="00A93F62">
      <w:pPr>
        <w:pStyle w:val="Bullet1GC"/>
        <w:numPr>
          <w:ilvl w:val="0"/>
          <w:numId w:val="14"/>
        </w:numPr>
        <w:rPr>
          <w:snapToGrid/>
          <w:lang w:val="en-GB"/>
        </w:rPr>
      </w:pPr>
      <w:r>
        <w:rPr>
          <w:snapToGrid/>
          <w:lang w:val="en-GB"/>
        </w:rPr>
        <w:t>以有效无害的手段与方法落实避孕与预防流产工作；</w:t>
      </w:r>
    </w:p>
    <w:p w:rsidR="00A93F62" w:rsidRDefault="00A93F62">
      <w:pPr>
        <w:pStyle w:val="Bullet1GC"/>
        <w:numPr>
          <w:ilvl w:val="0"/>
          <w:numId w:val="14"/>
        </w:numPr>
        <w:rPr>
          <w:snapToGrid/>
          <w:lang w:val="en-GB"/>
        </w:rPr>
      </w:pPr>
      <w:r>
        <w:rPr>
          <w:snapToGrid/>
          <w:lang w:val="en-GB"/>
        </w:rPr>
        <w:t>孕期，分娩时及产后，提供国家保健机构免费专业的医疗服务；</w:t>
      </w:r>
    </w:p>
    <w:p w:rsidR="00A93F62" w:rsidRDefault="00A93F62">
      <w:pPr>
        <w:pStyle w:val="Bullet1GC"/>
        <w:numPr>
          <w:ilvl w:val="0"/>
          <w:numId w:val="14"/>
        </w:numPr>
        <w:rPr>
          <w:snapToGrid/>
          <w:lang w:val="en-GB"/>
        </w:rPr>
      </w:pPr>
      <w:r>
        <w:rPr>
          <w:snapToGrid/>
          <w:lang w:val="en-GB"/>
        </w:rPr>
        <w:t>根据土库曼斯坦法律，提供社会法律援助。</w:t>
      </w:r>
      <w:r>
        <w:rPr>
          <w:snapToGrid/>
          <w:lang w:val="en-GB"/>
        </w:rPr>
        <w:t xml:space="preserve"> </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183.</w:t>
      </w:r>
      <w:r>
        <w:rPr>
          <w:rFonts w:hint="eastAsia"/>
          <w:snapToGrid/>
          <w:szCs w:val="21"/>
          <w:lang w:val="en-GB"/>
        </w:rPr>
        <w:t xml:space="preserve">  </w:t>
      </w:r>
      <w:r>
        <w:rPr>
          <w:snapToGrid/>
          <w:szCs w:val="21"/>
          <w:lang w:val="en-GB"/>
        </w:rPr>
        <w:t>国家保障孕妇权利，使其在符合自身生理特点与健康状况的条件下工作。每位妇女在孕期、分娩时、婴儿一岁前，以及一岁前的孩子，都享有免费专业的医疗服务，及国家保健体系医疗预防机构提供的其它优惠。妇女在孕期、分娩时、婴儿一岁前，以及一岁前的孩子享有的优惠清单，本报告中见对《公约》第九条的评论。</w:t>
      </w:r>
    </w:p>
    <w:p w:rsidR="00A93F62" w:rsidRDefault="00A93F62">
      <w:pPr>
        <w:tabs>
          <w:tab w:val="clear" w:pos="431"/>
        </w:tabs>
        <w:suppressAutoHyphens/>
        <w:overflowPunct/>
        <w:adjustRightInd/>
        <w:snapToGrid/>
        <w:spacing w:after="120" w:line="320" w:lineRule="atLeast"/>
        <w:ind w:left="1134" w:right="1134"/>
        <w:rPr>
          <w:snapToGrid/>
          <w:spacing w:val="-2"/>
          <w:szCs w:val="21"/>
          <w:lang w:val="en-GB"/>
        </w:rPr>
      </w:pPr>
      <w:r>
        <w:rPr>
          <w:snapToGrid/>
          <w:szCs w:val="21"/>
          <w:lang w:val="en-GB"/>
        </w:rPr>
        <w:t>184.</w:t>
      </w:r>
      <w:r>
        <w:rPr>
          <w:rFonts w:hint="eastAsia"/>
          <w:snapToGrid/>
          <w:szCs w:val="21"/>
          <w:lang w:val="en-GB"/>
        </w:rPr>
        <w:t xml:space="preserve">  </w:t>
      </w:r>
      <w:r>
        <w:rPr>
          <w:snapToGrid/>
          <w:spacing w:val="-2"/>
          <w:szCs w:val="21"/>
          <w:lang w:val="en-GB"/>
        </w:rPr>
        <w:t>妇女由于母性享有的保障与优惠</w:t>
      </w:r>
      <w:r>
        <w:rPr>
          <w:snapToGrid/>
          <w:spacing w:val="-2"/>
          <w:szCs w:val="21"/>
          <w:lang w:val="en-GB"/>
        </w:rPr>
        <w:t>(</w:t>
      </w:r>
      <w:r>
        <w:rPr>
          <w:snapToGrid/>
          <w:spacing w:val="-2"/>
          <w:szCs w:val="21"/>
          <w:lang w:val="en-GB"/>
        </w:rPr>
        <w:t>限制上夜班、加班，限制在休息日、节日和纪念日工作，限制出差，不保留工资提供休假，确立劳动优惠制度，以及现行法律规定的其它保障与优惠</w:t>
      </w:r>
      <w:r>
        <w:rPr>
          <w:snapToGrid/>
          <w:spacing w:val="-2"/>
          <w:szCs w:val="21"/>
          <w:lang w:val="en-GB"/>
        </w:rPr>
        <w:t>)</w:t>
      </w:r>
      <w:r>
        <w:rPr>
          <w:snapToGrid/>
          <w:spacing w:val="-2"/>
          <w:szCs w:val="21"/>
          <w:lang w:val="en-GB"/>
        </w:rPr>
        <w:t>，也适用于单独抚养孩子的父亲</w:t>
      </w:r>
      <w:r>
        <w:rPr>
          <w:snapToGrid/>
          <w:spacing w:val="-2"/>
          <w:szCs w:val="21"/>
          <w:lang w:val="en-GB"/>
        </w:rPr>
        <w:t>(</w:t>
      </w:r>
      <w:r>
        <w:rPr>
          <w:snapToGrid/>
          <w:spacing w:val="-2"/>
          <w:szCs w:val="21"/>
          <w:lang w:val="en-GB"/>
        </w:rPr>
        <w:t>如母亲去世，被剥夺父母的权利，长期住院及其它没有母亲照顾的情况</w:t>
      </w:r>
      <w:r>
        <w:rPr>
          <w:snapToGrid/>
          <w:spacing w:val="-2"/>
          <w:szCs w:val="21"/>
          <w:lang w:val="en-GB"/>
        </w:rPr>
        <w:t>)</w:t>
      </w:r>
      <w:r>
        <w:rPr>
          <w:snapToGrid/>
          <w:spacing w:val="-2"/>
          <w:szCs w:val="21"/>
          <w:lang w:val="en-GB"/>
        </w:rPr>
        <w:t>，以及未成年人的监护人。</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185.</w:t>
      </w:r>
      <w:r>
        <w:rPr>
          <w:rFonts w:hint="eastAsia"/>
          <w:snapToGrid/>
          <w:szCs w:val="21"/>
          <w:lang w:val="en-GB"/>
        </w:rPr>
        <w:t xml:space="preserve">  </w:t>
      </w:r>
      <w:r>
        <w:rPr>
          <w:snapToGrid/>
          <w:szCs w:val="21"/>
          <w:lang w:val="en-GB"/>
        </w:rPr>
        <w:t>为保护夫妇及其后代的健康，在土库曼斯坦结婚的公民，有权在他们选择的保健机构，进行医疗、医疗遗传诊察。</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186.</w:t>
      </w:r>
      <w:r>
        <w:rPr>
          <w:rFonts w:hint="eastAsia"/>
          <w:snapToGrid/>
          <w:szCs w:val="21"/>
          <w:lang w:val="en-GB"/>
        </w:rPr>
        <w:t xml:space="preserve">  </w:t>
      </w:r>
      <w:r>
        <w:rPr>
          <w:snapToGrid/>
          <w:szCs w:val="21"/>
          <w:lang w:val="en-GB"/>
        </w:rPr>
        <w:t>根据《土库曼斯坦儿童权利保障法》</w:t>
      </w:r>
      <w:r>
        <w:rPr>
          <w:snapToGrid/>
          <w:szCs w:val="21"/>
          <w:lang w:val="en-GB"/>
        </w:rPr>
        <w:t>(</w:t>
      </w:r>
      <w:smartTag w:uri="urn:schemas-microsoft-com:office:smarttags" w:element="chsdate">
        <w:smartTagPr>
          <w:attr w:name="IsROCDate" w:val="False"/>
          <w:attr w:name="IsLunarDate" w:val="False"/>
          <w:attr w:name="Day" w:val="5"/>
          <w:attr w:name="Month" w:val="6"/>
          <w:attr w:name="Year" w:val="2002"/>
        </w:smartTagPr>
        <w:r>
          <w:rPr>
            <w:snapToGrid/>
            <w:szCs w:val="21"/>
            <w:lang w:val="en-GB"/>
          </w:rPr>
          <w:t>2002</w:t>
        </w:r>
        <w:r>
          <w:rPr>
            <w:snapToGrid/>
            <w:szCs w:val="21"/>
            <w:lang w:val="en-GB"/>
          </w:rPr>
          <w:t>年</w:t>
        </w:r>
        <w:r>
          <w:rPr>
            <w:snapToGrid/>
            <w:szCs w:val="21"/>
            <w:lang w:val="en-GB"/>
          </w:rPr>
          <w:t>6</w:t>
        </w:r>
        <w:r>
          <w:rPr>
            <w:snapToGrid/>
            <w:szCs w:val="21"/>
            <w:lang w:val="en-GB"/>
          </w:rPr>
          <w:t>月</w:t>
        </w:r>
        <w:r>
          <w:rPr>
            <w:snapToGrid/>
            <w:szCs w:val="21"/>
            <w:lang w:val="en-GB"/>
          </w:rPr>
          <w:t>5</w:t>
        </w:r>
        <w:r>
          <w:rPr>
            <w:snapToGrid/>
            <w:szCs w:val="21"/>
            <w:lang w:val="en-GB"/>
          </w:rPr>
          <w:t>日</w:t>
        </w:r>
      </w:smartTag>
      <w:r>
        <w:rPr>
          <w:snapToGrid/>
          <w:szCs w:val="21"/>
          <w:lang w:val="en-GB"/>
        </w:rPr>
        <w:t>)</w:t>
      </w:r>
      <w:r>
        <w:rPr>
          <w:snapToGrid/>
          <w:szCs w:val="21"/>
          <w:lang w:val="en-GB"/>
        </w:rPr>
        <w:t>，所有生活在土库曼斯坦土地上的儿童都享有同等的权利，无论其民族、性别、语言、信仰、受教育程度、居住地、出生状况、身体状况，等等。</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187.</w:t>
      </w:r>
      <w:r>
        <w:rPr>
          <w:rFonts w:hint="eastAsia"/>
          <w:snapToGrid/>
          <w:szCs w:val="21"/>
          <w:lang w:val="en-GB"/>
        </w:rPr>
        <w:t xml:space="preserve">  </w:t>
      </w:r>
      <w:r>
        <w:rPr>
          <w:snapToGrid/>
          <w:szCs w:val="21"/>
          <w:lang w:val="en-GB"/>
        </w:rPr>
        <w:t>儿童有权享受提供给他的所有权利与自由。权利与自由的实施不应有害于儿童的生命、健康、教育及全面发展。国际法原则与规范公认的土库曼斯坦法律和其它标准法令，保障儿童权利平等。</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188.</w:t>
      </w:r>
      <w:r>
        <w:rPr>
          <w:rFonts w:hint="eastAsia"/>
          <w:snapToGrid/>
          <w:szCs w:val="21"/>
          <w:lang w:val="en-GB"/>
        </w:rPr>
        <w:t xml:space="preserve">  </w:t>
      </w:r>
      <w:r>
        <w:rPr>
          <w:snapToGrid/>
          <w:szCs w:val="21"/>
          <w:lang w:val="en-GB"/>
        </w:rPr>
        <w:t>符合儿童利益的土库曼斯坦国家政策规定：</w:t>
      </w:r>
    </w:p>
    <w:p w:rsidR="00A93F62" w:rsidRDefault="00A93F62">
      <w:pPr>
        <w:pStyle w:val="Bullet1GC"/>
        <w:numPr>
          <w:ilvl w:val="0"/>
          <w:numId w:val="14"/>
        </w:numPr>
        <w:rPr>
          <w:snapToGrid/>
          <w:lang w:val="en-GB"/>
        </w:rPr>
      </w:pPr>
      <w:r>
        <w:rPr>
          <w:snapToGrid/>
          <w:lang w:val="en-GB"/>
        </w:rPr>
        <w:t>法律保障儿童的权利与合法利益，不允许歧视儿童。受到侵犯时，应恢复儿童的权利；</w:t>
      </w:r>
    </w:p>
    <w:p w:rsidR="00A93F62" w:rsidRDefault="00A93F62">
      <w:pPr>
        <w:pStyle w:val="Bullet1GC"/>
        <w:numPr>
          <w:ilvl w:val="0"/>
          <w:numId w:val="14"/>
        </w:numPr>
        <w:rPr>
          <w:snapToGrid/>
          <w:lang w:val="en-GB"/>
        </w:rPr>
      </w:pPr>
      <w:r>
        <w:rPr>
          <w:snapToGrid/>
          <w:lang w:val="en-GB"/>
        </w:rPr>
        <w:t>应制订实施国家专项计划，保障儿童的权利与合法利益，帮助母亲与儿童；</w:t>
      </w:r>
    </w:p>
    <w:p w:rsidR="00A93F62" w:rsidRDefault="00A93F62">
      <w:pPr>
        <w:pStyle w:val="Bullet1GC"/>
        <w:numPr>
          <w:ilvl w:val="0"/>
          <w:numId w:val="14"/>
        </w:numPr>
        <w:rPr>
          <w:snapToGrid/>
          <w:lang w:val="en-GB"/>
        </w:rPr>
      </w:pPr>
      <w:r>
        <w:rPr>
          <w:snapToGrid/>
          <w:lang w:val="en-GB"/>
        </w:rPr>
        <w:t>制定儿童生活水平的国家社会标准；</w:t>
      </w:r>
    </w:p>
    <w:p w:rsidR="00A93F62" w:rsidRDefault="00A93F62">
      <w:pPr>
        <w:pStyle w:val="Bullet1GC"/>
        <w:numPr>
          <w:ilvl w:val="0"/>
          <w:numId w:val="14"/>
        </w:numPr>
        <w:rPr>
          <w:snapToGrid/>
          <w:lang w:val="en-GB"/>
        </w:rPr>
      </w:pPr>
      <w:r>
        <w:rPr>
          <w:snapToGrid/>
          <w:lang w:val="en-GB"/>
        </w:rPr>
        <w:t>协助儿童身体、智力、精神与道德方面的培养与发展；</w:t>
      </w:r>
    </w:p>
    <w:p w:rsidR="00A93F62" w:rsidRDefault="00A93F62">
      <w:pPr>
        <w:pStyle w:val="Bullet1GC"/>
        <w:numPr>
          <w:ilvl w:val="0"/>
          <w:numId w:val="14"/>
        </w:numPr>
        <w:rPr>
          <w:snapToGrid/>
          <w:lang w:val="en-GB"/>
        </w:rPr>
      </w:pPr>
      <w:r>
        <w:rPr>
          <w:snapToGrid/>
          <w:lang w:val="en-GB"/>
        </w:rPr>
        <w:t>帮助并与从事儿童工作的社团及其它组织进行合作；</w:t>
      </w:r>
    </w:p>
    <w:p w:rsidR="00A93F62" w:rsidRDefault="00A93F62">
      <w:pPr>
        <w:pStyle w:val="Bullet1GC"/>
        <w:numPr>
          <w:ilvl w:val="0"/>
          <w:numId w:val="14"/>
        </w:numPr>
        <w:rPr>
          <w:snapToGrid/>
          <w:lang w:val="en-GB"/>
        </w:rPr>
      </w:pPr>
      <w:r>
        <w:rPr>
          <w:snapToGrid/>
          <w:lang w:val="en-GB"/>
        </w:rPr>
        <w:t>履行土库曼斯坦的国际义务，维护儿童权利与合法利益。</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szCs w:val="21"/>
          <w:lang w:val="en-GB"/>
        </w:rPr>
        <w:t>在实施有利于儿童的国家政策时，会采取措施，对儿童商品的生产与提供儿童的服务进行国家采购。</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189.</w:t>
      </w:r>
      <w:r>
        <w:rPr>
          <w:rFonts w:hint="eastAsia"/>
          <w:snapToGrid/>
          <w:szCs w:val="21"/>
          <w:lang w:val="en-GB"/>
        </w:rPr>
        <w:t xml:space="preserve">  </w:t>
      </w:r>
      <w:r>
        <w:rPr>
          <w:snapToGrid/>
          <w:szCs w:val="21"/>
          <w:lang w:val="en-GB"/>
        </w:rPr>
        <w:t>儿童享有不可剥夺的生活权利，正常的身体、智力与精神发展条件权利。国家及相应机构会采取法律、经济、社会及其它措施，切实保障儿童生活与发育需要的正常条件，健康安全的居住环境。</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190.</w:t>
      </w:r>
      <w:r>
        <w:rPr>
          <w:rFonts w:hint="eastAsia"/>
          <w:snapToGrid/>
          <w:szCs w:val="21"/>
          <w:lang w:val="en-GB"/>
        </w:rPr>
        <w:t xml:space="preserve">  </w:t>
      </w:r>
      <w:r>
        <w:rPr>
          <w:snapToGrid/>
          <w:szCs w:val="21"/>
          <w:lang w:val="en-GB"/>
        </w:rPr>
        <w:t>自出世起，儿童有权保留自己的个性，包括国籍、民族、姓名与家庭关系。民事登记机关应以规定的方式，记录儿童的出生。</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191.</w:t>
      </w:r>
      <w:r>
        <w:rPr>
          <w:rFonts w:hint="eastAsia"/>
          <w:snapToGrid/>
          <w:szCs w:val="21"/>
          <w:lang w:val="en-GB"/>
        </w:rPr>
        <w:t xml:space="preserve">  </w:t>
      </w:r>
      <w:r>
        <w:rPr>
          <w:snapToGrid/>
          <w:szCs w:val="21"/>
          <w:lang w:val="en-GB"/>
        </w:rPr>
        <w:t>任何一个儿童都不应缺少生存、受照顾、被监护所需要的最基本条件。父母</w:t>
      </w:r>
      <w:r>
        <w:rPr>
          <w:snapToGrid/>
          <w:szCs w:val="21"/>
          <w:lang w:val="en-GB"/>
        </w:rPr>
        <w:t>(</w:t>
      </w:r>
      <w:r>
        <w:rPr>
          <w:snapToGrid/>
          <w:szCs w:val="21"/>
          <w:lang w:val="en-GB"/>
        </w:rPr>
        <w:t>合法代表</w:t>
      </w:r>
      <w:r>
        <w:rPr>
          <w:snapToGrid/>
          <w:szCs w:val="21"/>
          <w:lang w:val="en-GB"/>
        </w:rPr>
        <w:t>)</w:t>
      </w:r>
      <w:r>
        <w:rPr>
          <w:snapToGrid/>
          <w:szCs w:val="21"/>
          <w:lang w:val="en-GB"/>
        </w:rPr>
        <w:t>，政府当局，当地政府机构，应保障儿童必要的生活水平。</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192.</w:t>
      </w:r>
      <w:r>
        <w:rPr>
          <w:rFonts w:hint="eastAsia"/>
          <w:snapToGrid/>
          <w:szCs w:val="21"/>
          <w:lang w:val="en-GB"/>
        </w:rPr>
        <w:t xml:space="preserve">  </w:t>
      </w:r>
      <w:r>
        <w:rPr>
          <w:snapToGrid/>
          <w:szCs w:val="21"/>
          <w:lang w:val="en-GB"/>
        </w:rPr>
        <w:t>儿童有权同父母</w:t>
      </w:r>
      <w:r>
        <w:rPr>
          <w:snapToGrid/>
          <w:szCs w:val="21"/>
          <w:lang w:val="en-GB"/>
        </w:rPr>
        <w:t>(</w:t>
      </w:r>
      <w:r>
        <w:rPr>
          <w:snapToGrid/>
          <w:szCs w:val="21"/>
          <w:lang w:val="en-GB"/>
        </w:rPr>
        <w:t>合法代表</w:t>
      </w:r>
      <w:r>
        <w:rPr>
          <w:snapToGrid/>
          <w:szCs w:val="21"/>
          <w:lang w:val="en-GB"/>
        </w:rPr>
        <w:t>)</w:t>
      </w:r>
      <w:r>
        <w:rPr>
          <w:snapToGrid/>
          <w:szCs w:val="21"/>
          <w:lang w:val="en-GB"/>
        </w:rPr>
        <w:t>一起生活在家庭里，不能违背其愿望与父母分离，土库曼斯坦法律规定的情况除外。不与父母</w:t>
      </w:r>
      <w:r>
        <w:rPr>
          <w:snapToGrid/>
          <w:szCs w:val="21"/>
          <w:lang w:val="en-GB"/>
        </w:rPr>
        <w:t>(</w:t>
      </w:r>
      <w:r>
        <w:rPr>
          <w:snapToGrid/>
          <w:szCs w:val="21"/>
          <w:lang w:val="en-GB"/>
        </w:rPr>
        <w:t>合法代表</w:t>
      </w:r>
      <w:r>
        <w:rPr>
          <w:snapToGrid/>
          <w:szCs w:val="21"/>
          <w:lang w:val="en-GB"/>
        </w:rPr>
        <w:t>)</w:t>
      </w:r>
      <w:r>
        <w:rPr>
          <w:snapToGrid/>
          <w:szCs w:val="21"/>
          <w:lang w:val="en-GB"/>
        </w:rPr>
        <w:t>一起生活的孩子，有权与他们</w:t>
      </w:r>
      <w:r>
        <w:rPr>
          <w:snapToGrid/>
          <w:szCs w:val="21"/>
          <w:lang w:val="en-GB"/>
        </w:rPr>
        <w:t>(</w:t>
      </w:r>
      <w:r>
        <w:rPr>
          <w:snapToGrid/>
          <w:szCs w:val="21"/>
          <w:lang w:val="en-GB"/>
        </w:rPr>
        <w:t>他</w:t>
      </w:r>
      <w:r>
        <w:rPr>
          <w:snapToGrid/>
          <w:szCs w:val="21"/>
          <w:lang w:val="en-GB"/>
        </w:rPr>
        <w:t>)</w:t>
      </w:r>
      <w:r>
        <w:rPr>
          <w:snapToGrid/>
          <w:szCs w:val="21"/>
          <w:lang w:val="en-GB"/>
        </w:rPr>
        <w:t>保持个人关系，并了解他们的情况，如果这不会伤害孩子，泄露收养秘密。国家及相应机构会促使家庭复合。</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193.</w:t>
      </w:r>
      <w:r>
        <w:rPr>
          <w:rFonts w:hint="eastAsia"/>
          <w:snapToGrid/>
          <w:szCs w:val="21"/>
          <w:lang w:val="en-GB"/>
        </w:rPr>
        <w:t xml:space="preserve">  </w:t>
      </w:r>
      <w:r>
        <w:rPr>
          <w:snapToGrid/>
          <w:szCs w:val="21"/>
          <w:lang w:val="en-GB"/>
        </w:rPr>
        <w:t>不允许通过强制或非法干涉，损害儿童的人格、尊严、爱好和名誉的方式，侵犯儿童个人生活权利。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194.</w:t>
      </w:r>
      <w:r>
        <w:rPr>
          <w:rFonts w:hint="eastAsia"/>
          <w:snapToGrid/>
          <w:szCs w:val="21"/>
          <w:lang w:val="en-GB"/>
        </w:rPr>
        <w:t xml:space="preserve">  </w:t>
      </w:r>
      <w:r>
        <w:rPr>
          <w:snapToGrid/>
          <w:szCs w:val="21"/>
          <w:lang w:val="en-GB"/>
        </w:rPr>
        <w:t>儿童有良知、宗教信仰、表达个人意见与观点的权利。解决任何涉及该儿童的问题时，应考虑其年龄与成熟度，采纳其意见与愿望。</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195.</w:t>
      </w:r>
      <w:r>
        <w:rPr>
          <w:rFonts w:hint="eastAsia"/>
          <w:snapToGrid/>
          <w:szCs w:val="21"/>
          <w:lang w:val="en-GB"/>
        </w:rPr>
        <w:t xml:space="preserve">  </w:t>
      </w:r>
      <w:r>
        <w:rPr>
          <w:snapToGrid/>
          <w:szCs w:val="21"/>
          <w:lang w:val="en-GB"/>
        </w:rPr>
        <w:t>根据儿童的年龄、健康、教育程度与职业培训情况，儿童有劳动权利。儿童年满</w:t>
      </w:r>
      <w:r>
        <w:rPr>
          <w:snapToGrid/>
          <w:szCs w:val="21"/>
          <w:lang w:val="en-GB"/>
        </w:rPr>
        <w:t>16</w:t>
      </w:r>
      <w:r>
        <w:rPr>
          <w:snapToGrid/>
          <w:szCs w:val="21"/>
          <w:lang w:val="en-GB"/>
        </w:rPr>
        <w:t>岁时，会产生劳动权利。可在儿童年满</w:t>
      </w:r>
      <w:r>
        <w:rPr>
          <w:snapToGrid/>
          <w:szCs w:val="21"/>
          <w:lang w:val="en-GB"/>
        </w:rPr>
        <w:t>16</w:t>
      </w:r>
      <w:r>
        <w:rPr>
          <w:snapToGrid/>
          <w:szCs w:val="21"/>
          <w:lang w:val="en-GB"/>
        </w:rPr>
        <w:t>岁时，与其签署劳动合同。经一位家长</w:t>
      </w:r>
      <w:r>
        <w:rPr>
          <w:snapToGrid/>
          <w:szCs w:val="21"/>
          <w:lang w:val="en-GB"/>
        </w:rPr>
        <w:t>(</w:t>
      </w:r>
      <w:r>
        <w:rPr>
          <w:snapToGrid/>
          <w:szCs w:val="21"/>
          <w:lang w:val="en-GB"/>
        </w:rPr>
        <w:t>合法代表</w:t>
      </w:r>
      <w:r>
        <w:rPr>
          <w:snapToGrid/>
          <w:szCs w:val="21"/>
          <w:lang w:val="en-GB"/>
        </w:rPr>
        <w:t>)</w:t>
      </w:r>
      <w:r>
        <w:rPr>
          <w:snapToGrid/>
          <w:szCs w:val="21"/>
          <w:lang w:val="en-GB"/>
        </w:rPr>
        <w:t>同意，儿童</w:t>
      </w:r>
      <w:r>
        <w:rPr>
          <w:snapToGrid/>
          <w:szCs w:val="21"/>
          <w:lang w:val="en-GB"/>
        </w:rPr>
        <w:t>15</w:t>
      </w:r>
      <w:r>
        <w:rPr>
          <w:snapToGrid/>
          <w:szCs w:val="21"/>
          <w:lang w:val="en-GB"/>
        </w:rPr>
        <w:t>岁起就可以劳动。土库曼斯坦法律规定了使用童工的条件与方式，以及儿童劳动的优惠条件。国家机构将建立儿童工作岗位的储备。</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196.</w:t>
      </w:r>
      <w:r>
        <w:rPr>
          <w:rFonts w:hint="eastAsia"/>
          <w:snapToGrid/>
          <w:szCs w:val="21"/>
          <w:lang w:val="en-GB"/>
        </w:rPr>
        <w:t xml:space="preserve">  </w:t>
      </w:r>
      <w:r>
        <w:rPr>
          <w:snapToGrid/>
          <w:szCs w:val="21"/>
          <w:lang w:val="en-GB"/>
        </w:rPr>
        <w:t>国家以法律、经济、社会、医疗手段和培养方式，保护儿童不受各种用工侵害。不允许儿童在损害健康，阻碍身体、智力或道德发展的岗位上工作。不允许儿童从事烟草制品或酒精饮料的生产、销售工作。学年期间，不允许招收学生务农，或从事与教学过程无关的其它工作。</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197.</w:t>
      </w:r>
      <w:r>
        <w:rPr>
          <w:rFonts w:hint="eastAsia"/>
          <w:snapToGrid/>
          <w:szCs w:val="21"/>
          <w:lang w:val="en-GB"/>
        </w:rPr>
        <w:t xml:space="preserve">  </w:t>
      </w:r>
      <w:r>
        <w:rPr>
          <w:snapToGrid/>
          <w:szCs w:val="21"/>
          <w:lang w:val="en-GB"/>
        </w:rPr>
        <w:t>根据</w:t>
      </w:r>
      <w:smartTag w:uri="urn:schemas-microsoft-com:office:smarttags" w:element="chsdate">
        <w:smartTagPr>
          <w:attr w:name="IsROCDate" w:val="False"/>
          <w:attr w:name="IsLunarDate" w:val="False"/>
          <w:attr w:name="Day" w:val="1"/>
          <w:attr w:name="Month" w:val="2"/>
          <w:attr w:name="Year" w:val="2005"/>
        </w:smartTagPr>
        <w:r>
          <w:rPr>
            <w:snapToGrid/>
            <w:szCs w:val="21"/>
            <w:lang w:val="en-GB"/>
          </w:rPr>
          <w:t>2005</w:t>
        </w:r>
        <w:r>
          <w:rPr>
            <w:snapToGrid/>
            <w:szCs w:val="21"/>
            <w:lang w:val="en-GB"/>
          </w:rPr>
          <w:t>年</w:t>
        </w:r>
        <w:r>
          <w:rPr>
            <w:snapToGrid/>
            <w:szCs w:val="21"/>
            <w:lang w:val="en-GB"/>
          </w:rPr>
          <w:t>2</w:t>
        </w:r>
        <w:r>
          <w:rPr>
            <w:snapToGrid/>
            <w:szCs w:val="21"/>
            <w:lang w:val="en-GB"/>
          </w:rPr>
          <w:t>月</w:t>
        </w:r>
        <w:r>
          <w:rPr>
            <w:snapToGrid/>
            <w:szCs w:val="21"/>
            <w:lang w:val="en-GB"/>
          </w:rPr>
          <w:t>1</w:t>
        </w:r>
        <w:r>
          <w:rPr>
            <w:snapToGrid/>
            <w:szCs w:val="21"/>
            <w:lang w:val="en-GB"/>
          </w:rPr>
          <w:t>日</w:t>
        </w:r>
      </w:smartTag>
      <w:r>
        <w:rPr>
          <w:snapToGrid/>
          <w:szCs w:val="21"/>
          <w:lang w:val="en-GB"/>
        </w:rPr>
        <w:t>颁布的《青年劳动权利保障法》，不允许与未满十六岁的孩子签署劳动合同。如果得到一位家长</w:t>
      </w:r>
      <w:r>
        <w:rPr>
          <w:snapToGrid/>
          <w:szCs w:val="21"/>
          <w:lang w:val="en-GB"/>
        </w:rPr>
        <w:t>(</w:t>
      </w:r>
      <w:r>
        <w:rPr>
          <w:snapToGrid/>
          <w:szCs w:val="21"/>
          <w:lang w:val="en-GB"/>
        </w:rPr>
        <w:t>监护人，保护人</w:t>
      </w:r>
      <w:r>
        <w:rPr>
          <w:snapToGrid/>
          <w:szCs w:val="21"/>
          <w:lang w:val="en-GB"/>
        </w:rPr>
        <w:t>)</w:t>
      </w:r>
      <w:r>
        <w:rPr>
          <w:snapToGrid/>
          <w:szCs w:val="21"/>
          <w:lang w:val="en-GB"/>
        </w:rPr>
        <w:t>的书面同意，并且劳动将不影响其继续在校学习时，年满十五岁的孩子才可以被录用。任何所有制形式的雇主，都禁止安排未成年劳动者在劳动条件艰苦、有害或危险的岗位工作，并从事地下作业。禁止父母</w:t>
      </w:r>
      <w:r>
        <w:rPr>
          <w:snapToGrid/>
          <w:szCs w:val="21"/>
          <w:lang w:val="en-GB"/>
        </w:rPr>
        <w:t>(</w:t>
      </w:r>
      <w:r>
        <w:rPr>
          <w:snapToGrid/>
          <w:szCs w:val="21"/>
          <w:lang w:val="en-GB"/>
        </w:rPr>
        <w:t>监护人、保护人</w:t>
      </w:r>
      <w:r>
        <w:rPr>
          <w:snapToGrid/>
          <w:szCs w:val="21"/>
          <w:lang w:val="en-GB"/>
        </w:rPr>
        <w:t>)</w:t>
      </w:r>
      <w:r>
        <w:rPr>
          <w:snapToGrid/>
          <w:szCs w:val="21"/>
          <w:lang w:val="en-GB"/>
        </w:rPr>
        <w:t>安排孩子就业，并因工作导致孩子弃学。这将使孩子的权益被侵害，该权益由土库曼斯坦标准法令以及公认的国际法准则确认。孩子长期或临时的任何劳动，都不应妨碍其在校学习。侵害孩子权益，将承担法律规定的责任。</w:t>
      </w:r>
      <w:r>
        <w:rPr>
          <w:snapToGrid/>
          <w:szCs w:val="21"/>
          <w:lang w:val="en-GB"/>
        </w:rPr>
        <w:t>2005</w:t>
      </w:r>
      <w:r>
        <w:rPr>
          <w:snapToGrid/>
          <w:szCs w:val="21"/>
          <w:lang w:val="en-GB"/>
        </w:rPr>
        <w:t>年，通过了《青年劳动权利保障法》。目前，可以与年满</w:t>
      </w:r>
      <w:r>
        <w:rPr>
          <w:snapToGrid/>
          <w:szCs w:val="21"/>
          <w:lang w:val="en-GB"/>
        </w:rPr>
        <w:t>16</w:t>
      </w:r>
      <w:r>
        <w:rPr>
          <w:snapToGrid/>
          <w:szCs w:val="21"/>
          <w:lang w:val="en-GB"/>
        </w:rPr>
        <w:t>岁的青少年签署劳动合同。只有得到一位家长的书面同意，并且劳动将不影响其继续在校学习时，年满十五岁的孩子才可以被录用。该法令取代了《土库曼斯坦劳动法典》第</w:t>
      </w:r>
      <w:r>
        <w:rPr>
          <w:snapToGrid/>
          <w:szCs w:val="21"/>
          <w:lang w:val="en-GB"/>
        </w:rPr>
        <w:t>179</w:t>
      </w:r>
      <w:r>
        <w:rPr>
          <w:snapToGrid/>
          <w:szCs w:val="21"/>
          <w:lang w:val="en-GB"/>
        </w:rPr>
        <w:t>条内容：得到一位家长的书面同意，签署劳动合同的最小年龄为</w:t>
      </w:r>
      <w:r>
        <w:rPr>
          <w:snapToGrid/>
          <w:szCs w:val="21"/>
          <w:lang w:val="en-GB"/>
        </w:rPr>
        <w:t>14</w:t>
      </w:r>
      <w:r>
        <w:rPr>
          <w:snapToGrid/>
          <w:szCs w:val="21"/>
          <w:lang w:val="en-GB"/>
        </w:rPr>
        <w:t>岁。土库曼斯坦有庞大的国家保护系统，保护青年劳动不受经济剥削，避免危及健康，损害身体、智力与精神发展，或妨碍受教育的情况发生。主要在《土库曼斯坦劳动法典》和《土库曼斯坦劳动保护法》中，确立了青年劳动保护措施。土库曼斯坦劳动法中，规定了未满十八岁的劳动者禁止作业</w:t>
      </w:r>
      <w:r>
        <w:rPr>
          <w:snapToGrid/>
          <w:szCs w:val="21"/>
          <w:lang w:val="en-GB"/>
        </w:rPr>
        <w:t>(</w:t>
      </w:r>
      <w:r>
        <w:rPr>
          <w:snapToGrid/>
          <w:szCs w:val="21"/>
          <w:lang w:val="en-GB"/>
        </w:rPr>
        <w:t>第</w:t>
      </w:r>
      <w:r>
        <w:rPr>
          <w:snapToGrid/>
          <w:szCs w:val="21"/>
          <w:lang w:val="en-GB"/>
        </w:rPr>
        <w:t>181</w:t>
      </w:r>
      <w:r>
        <w:rPr>
          <w:snapToGrid/>
          <w:szCs w:val="21"/>
          <w:lang w:val="en-GB"/>
        </w:rPr>
        <w:t>条</w:t>
      </w:r>
      <w:r>
        <w:rPr>
          <w:snapToGrid/>
          <w:szCs w:val="21"/>
          <w:lang w:val="en-GB"/>
        </w:rPr>
        <w:t>)</w:t>
      </w:r>
      <w:r>
        <w:rPr>
          <w:snapToGrid/>
          <w:szCs w:val="21"/>
          <w:lang w:val="en-GB"/>
        </w:rPr>
        <w:t>的工作岗位；禁止招收未满</w:t>
      </w:r>
      <w:r>
        <w:rPr>
          <w:snapToGrid/>
          <w:szCs w:val="21"/>
          <w:lang w:val="en-GB"/>
        </w:rPr>
        <w:t>18</w:t>
      </w:r>
      <w:r>
        <w:rPr>
          <w:snapToGrid/>
          <w:szCs w:val="21"/>
          <w:lang w:val="en-GB"/>
        </w:rPr>
        <w:t>岁的劳动者上夜班，加班</w:t>
      </w:r>
      <w:r>
        <w:rPr>
          <w:snapToGrid/>
          <w:szCs w:val="21"/>
          <w:lang w:val="en-GB"/>
        </w:rPr>
        <w:t>(</w:t>
      </w:r>
      <w:r>
        <w:rPr>
          <w:snapToGrid/>
          <w:szCs w:val="21"/>
          <w:lang w:val="en-GB"/>
        </w:rPr>
        <w:t>第</w:t>
      </w:r>
      <w:r>
        <w:rPr>
          <w:snapToGrid/>
          <w:szCs w:val="21"/>
          <w:lang w:val="en-GB"/>
        </w:rPr>
        <w:t>183</w:t>
      </w:r>
      <w:r>
        <w:rPr>
          <w:snapToGrid/>
          <w:szCs w:val="21"/>
          <w:lang w:val="en-GB"/>
        </w:rPr>
        <w:t>条</w:t>
      </w:r>
      <w:r>
        <w:rPr>
          <w:snapToGrid/>
          <w:szCs w:val="21"/>
          <w:lang w:val="en-GB"/>
        </w:rPr>
        <w:t>)</w:t>
      </w:r>
      <w:r>
        <w:rPr>
          <w:snapToGrid/>
          <w:szCs w:val="21"/>
          <w:lang w:val="en-GB"/>
        </w:rPr>
        <w:t>；未满</w:t>
      </w:r>
      <w:r>
        <w:rPr>
          <w:snapToGrid/>
          <w:szCs w:val="21"/>
          <w:lang w:val="en-GB"/>
        </w:rPr>
        <w:t>18</w:t>
      </w:r>
      <w:r>
        <w:rPr>
          <w:snapToGrid/>
          <w:szCs w:val="21"/>
          <w:lang w:val="en-GB"/>
        </w:rPr>
        <w:t>岁人员应每年体检</w:t>
      </w:r>
      <w:r>
        <w:rPr>
          <w:snapToGrid/>
          <w:szCs w:val="21"/>
          <w:lang w:val="en-GB"/>
        </w:rPr>
        <w:t>(</w:t>
      </w:r>
      <w:r>
        <w:rPr>
          <w:snapToGrid/>
          <w:szCs w:val="21"/>
          <w:lang w:val="en-GB"/>
        </w:rPr>
        <w:t>第</w:t>
      </w:r>
      <w:r>
        <w:rPr>
          <w:snapToGrid/>
          <w:szCs w:val="21"/>
          <w:lang w:val="en-GB"/>
        </w:rPr>
        <w:t>182</w:t>
      </w:r>
      <w:r>
        <w:rPr>
          <w:snapToGrid/>
          <w:szCs w:val="21"/>
          <w:lang w:val="en-GB"/>
        </w:rPr>
        <w:t>条</w:t>
      </w:r>
      <w:r>
        <w:rPr>
          <w:snapToGrid/>
          <w:szCs w:val="21"/>
          <w:lang w:val="en-GB"/>
        </w:rPr>
        <w:t>)</w:t>
      </w:r>
      <w:r>
        <w:rPr>
          <w:snapToGrid/>
          <w:szCs w:val="21"/>
          <w:lang w:val="en-GB"/>
        </w:rPr>
        <w:t>；限制解雇未满</w:t>
      </w:r>
      <w:r>
        <w:rPr>
          <w:snapToGrid/>
          <w:szCs w:val="21"/>
          <w:lang w:val="en-GB"/>
        </w:rPr>
        <w:t>18</w:t>
      </w:r>
      <w:r>
        <w:rPr>
          <w:snapToGrid/>
          <w:szCs w:val="21"/>
          <w:lang w:val="en-GB"/>
        </w:rPr>
        <w:t>岁的劳动者</w:t>
      </w:r>
      <w:r>
        <w:rPr>
          <w:snapToGrid/>
          <w:szCs w:val="21"/>
          <w:lang w:val="en-GB"/>
        </w:rPr>
        <w:t>(</w:t>
      </w:r>
      <w:r>
        <w:rPr>
          <w:snapToGrid/>
          <w:szCs w:val="21"/>
          <w:lang w:val="en-GB"/>
        </w:rPr>
        <w:t>第</w:t>
      </w:r>
      <w:r>
        <w:rPr>
          <w:snapToGrid/>
          <w:szCs w:val="21"/>
          <w:lang w:val="en-GB"/>
        </w:rPr>
        <w:t>189</w:t>
      </w:r>
      <w:r>
        <w:rPr>
          <w:snapToGrid/>
          <w:szCs w:val="21"/>
          <w:lang w:val="en-GB"/>
        </w:rPr>
        <w:t>条</w:t>
      </w:r>
      <w:r>
        <w:rPr>
          <w:snapToGrid/>
          <w:szCs w:val="21"/>
          <w:lang w:val="en-GB"/>
        </w:rPr>
        <w:t>)</w:t>
      </w:r>
      <w:r>
        <w:rPr>
          <w:snapToGrid/>
          <w:szCs w:val="21"/>
          <w:lang w:val="en-GB"/>
        </w:rPr>
        <w:t>；应按父母、监护人的要求，与未满</w:t>
      </w:r>
      <w:r>
        <w:rPr>
          <w:snapToGrid/>
          <w:szCs w:val="21"/>
          <w:lang w:val="en-GB"/>
        </w:rPr>
        <w:t>18</w:t>
      </w:r>
      <w:r>
        <w:rPr>
          <w:snapToGrid/>
          <w:szCs w:val="21"/>
          <w:lang w:val="en-GB"/>
        </w:rPr>
        <w:t>岁的劳动者解除劳动合同</w:t>
      </w:r>
      <w:r>
        <w:rPr>
          <w:snapToGrid/>
          <w:szCs w:val="21"/>
          <w:lang w:val="en-GB"/>
        </w:rPr>
        <w:t>(</w:t>
      </w:r>
      <w:r>
        <w:rPr>
          <w:snapToGrid/>
          <w:szCs w:val="21"/>
          <w:lang w:val="en-GB"/>
        </w:rPr>
        <w:t>第</w:t>
      </w:r>
      <w:r>
        <w:rPr>
          <w:snapToGrid/>
          <w:szCs w:val="21"/>
          <w:lang w:val="en-GB"/>
        </w:rPr>
        <w:t>190</w:t>
      </w:r>
      <w:r>
        <w:rPr>
          <w:snapToGrid/>
          <w:szCs w:val="21"/>
          <w:lang w:val="en-GB"/>
        </w:rPr>
        <w:t>条</w:t>
      </w:r>
      <w:r>
        <w:rPr>
          <w:snapToGrid/>
          <w:szCs w:val="21"/>
          <w:lang w:val="en-GB"/>
        </w:rPr>
        <w:t>)</w:t>
      </w:r>
      <w:r>
        <w:rPr>
          <w:snapToGrid/>
          <w:szCs w:val="21"/>
          <w:lang w:val="en-GB"/>
        </w:rPr>
        <w:t>。土库曼斯坦未满</w:t>
      </w:r>
      <w:r>
        <w:rPr>
          <w:snapToGrid/>
          <w:szCs w:val="21"/>
          <w:lang w:val="en-GB"/>
        </w:rPr>
        <w:t>16</w:t>
      </w:r>
      <w:r>
        <w:rPr>
          <w:snapToGrid/>
          <w:szCs w:val="21"/>
          <w:lang w:val="en-GB"/>
        </w:rPr>
        <w:t>岁的劳动者数量不多。他们在大中型企业的就业人数不超过劳动者总数的</w:t>
      </w:r>
      <w:r>
        <w:rPr>
          <w:snapToGrid/>
          <w:szCs w:val="21"/>
          <w:lang w:val="en-GB"/>
        </w:rPr>
        <w:t>0.2%</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198.</w:t>
      </w:r>
      <w:r>
        <w:rPr>
          <w:rFonts w:hint="eastAsia"/>
          <w:snapToGrid/>
          <w:szCs w:val="21"/>
          <w:lang w:val="en-GB"/>
        </w:rPr>
        <w:t xml:space="preserve">  </w:t>
      </w:r>
      <w:r>
        <w:rPr>
          <w:snapToGrid/>
          <w:szCs w:val="21"/>
          <w:lang w:val="en-GB"/>
        </w:rPr>
        <w:t>招收未满十八岁的人员做工时，必须事先对他们进行体检，并且在未来他们满十八岁之前的每一年都应进行体检。体检应利用工作时间进行，并保留工人的平均工资。</w:t>
      </w:r>
    </w:p>
    <w:p w:rsidR="00A93F62" w:rsidRDefault="00A93F62">
      <w:pPr>
        <w:pStyle w:val="H1GC"/>
        <w:rPr>
          <w:rFonts w:hint="eastAsia"/>
          <w:snapToGrid/>
          <w:lang w:val="en-GB"/>
        </w:rPr>
      </w:pPr>
      <w:r>
        <w:rPr>
          <w:rFonts w:hint="eastAsia"/>
          <w:snapToGrid/>
          <w:lang w:val="en-GB"/>
        </w:rPr>
        <w:tab/>
      </w:r>
      <w:r>
        <w:rPr>
          <w:rFonts w:hint="eastAsia"/>
          <w:snapToGrid/>
          <w:lang w:val="en-GB"/>
        </w:rPr>
        <w:tab/>
      </w:r>
      <w:r>
        <w:rPr>
          <w:snapToGrid/>
          <w:lang w:val="en-GB"/>
        </w:rPr>
        <w:t>第十一条</w:t>
      </w:r>
      <w:r>
        <w:rPr>
          <w:snapToGrid/>
          <w:lang w:val="en-GB"/>
        </w:rPr>
        <w:t xml:space="preserve"> </w:t>
      </w:r>
      <w:r>
        <w:rPr>
          <w:rFonts w:hint="eastAsia"/>
          <w:snapToGrid/>
          <w:lang w:val="en-GB"/>
        </w:rPr>
        <w:br/>
      </w:r>
      <w:r>
        <w:rPr>
          <w:snapToGrid/>
          <w:lang w:val="en-GB"/>
        </w:rPr>
        <w:t>生活水</w:t>
      </w:r>
      <w:r>
        <w:rPr>
          <w:rFonts w:hint="eastAsia"/>
          <w:snapToGrid/>
          <w:lang w:val="en-GB"/>
        </w:rPr>
        <w:t>准</w:t>
      </w:r>
    </w:p>
    <w:p w:rsidR="00A93F62" w:rsidRDefault="00A93F62">
      <w:pPr>
        <w:tabs>
          <w:tab w:val="clear" w:pos="431"/>
        </w:tabs>
        <w:suppressAutoHyphens/>
        <w:overflowPunct/>
        <w:adjustRightInd/>
        <w:snapToGrid/>
        <w:spacing w:after="120" w:line="320" w:lineRule="atLeast"/>
        <w:ind w:left="1134" w:right="1134"/>
        <w:rPr>
          <w:rFonts w:hint="eastAsia"/>
          <w:snapToGrid/>
          <w:szCs w:val="21"/>
          <w:lang w:val="en-GB"/>
        </w:rPr>
      </w:pPr>
      <w:r>
        <w:rPr>
          <w:snapToGrid/>
          <w:szCs w:val="21"/>
          <w:lang w:val="en-GB"/>
        </w:rPr>
        <w:t>199.</w:t>
      </w:r>
      <w:r>
        <w:rPr>
          <w:rFonts w:hint="eastAsia"/>
          <w:snapToGrid/>
          <w:szCs w:val="21"/>
          <w:lang w:val="en-GB"/>
        </w:rPr>
        <w:t xml:space="preserve">  </w:t>
      </w:r>
      <w:r>
        <w:rPr>
          <w:snapToGrid/>
          <w:szCs w:val="21"/>
          <w:lang w:val="en-GB"/>
        </w:rPr>
        <w:t>在世界银行协助下，</w:t>
      </w:r>
      <w:r>
        <w:rPr>
          <w:snapToGrid/>
          <w:szCs w:val="21"/>
          <w:lang w:val="en-GB"/>
        </w:rPr>
        <w:t>1998</w:t>
      </w:r>
      <w:r>
        <w:rPr>
          <w:snapToGrid/>
          <w:szCs w:val="21"/>
          <w:lang w:val="en-GB"/>
        </w:rPr>
        <w:t>年春，进行了第一次土库曼斯坦居民生活水平的调查。国家居民</w:t>
      </w:r>
      <w:r>
        <w:rPr>
          <w:snapToGrid/>
          <w:szCs w:val="21"/>
          <w:lang w:val="en-GB"/>
        </w:rPr>
        <w:t>1998</w:t>
      </w:r>
      <w:r>
        <w:rPr>
          <w:snapToGrid/>
          <w:szCs w:val="21"/>
          <w:lang w:val="en-GB"/>
        </w:rPr>
        <w:t>年生活水平的主要指标数据库最终形成，并进行了分析。为监测与发现指标变化的基本趋势，</w:t>
      </w:r>
      <w:r>
        <w:rPr>
          <w:snapToGrid/>
          <w:szCs w:val="21"/>
          <w:lang w:val="en-GB"/>
        </w:rPr>
        <w:t>5</w:t>
      </w:r>
      <w:r>
        <w:rPr>
          <w:snapToGrid/>
          <w:szCs w:val="21"/>
          <w:lang w:val="en-GB"/>
        </w:rPr>
        <w:t>年后的</w:t>
      </w:r>
      <w:r>
        <w:rPr>
          <w:snapToGrid/>
          <w:szCs w:val="21"/>
          <w:lang w:val="en-GB"/>
        </w:rPr>
        <w:t>2003</w:t>
      </w:r>
      <w:r>
        <w:rPr>
          <w:snapToGrid/>
          <w:szCs w:val="21"/>
          <w:lang w:val="en-GB"/>
        </w:rPr>
        <w:t>年，根据土库曼斯坦政府与亚洲发展银行的协议，进行了再一次的类似调查。根据土库曼斯坦居民生活水平的调查材料，</w:t>
      </w:r>
      <w:r>
        <w:rPr>
          <w:snapToGrid/>
          <w:szCs w:val="21"/>
          <w:lang w:val="en-GB"/>
        </w:rPr>
        <w:t>1998-2003</w:t>
      </w:r>
      <w:r>
        <w:rPr>
          <w:snapToGrid/>
          <w:szCs w:val="21"/>
          <w:lang w:val="en-GB"/>
        </w:rPr>
        <w:t>年间，家庭总收入增加了</w:t>
      </w:r>
      <w:r>
        <w:rPr>
          <w:snapToGrid/>
          <w:szCs w:val="21"/>
          <w:lang w:val="en-GB"/>
        </w:rPr>
        <w:t>6.1</w:t>
      </w:r>
      <w:r>
        <w:rPr>
          <w:snapToGrid/>
          <w:szCs w:val="21"/>
          <w:lang w:val="en-GB"/>
        </w:rPr>
        <w:t>倍。地区收入水平差距缩小了</w:t>
      </w:r>
      <w:r>
        <w:rPr>
          <w:snapToGrid/>
          <w:szCs w:val="21"/>
          <w:lang w:val="en-GB"/>
        </w:rPr>
        <w:t>1/3</w:t>
      </w:r>
      <w:r>
        <w:rPr>
          <w:snapToGrid/>
          <w:szCs w:val="21"/>
          <w:lang w:val="en-GB"/>
        </w:rPr>
        <w:t>以上，高收入与低收入家庭群体收入差距缩小了</w:t>
      </w:r>
      <w:r>
        <w:rPr>
          <w:snapToGrid/>
          <w:szCs w:val="21"/>
          <w:lang w:val="en-GB"/>
        </w:rPr>
        <w:t>1/4</w:t>
      </w:r>
      <w:r>
        <w:rPr>
          <w:snapToGrid/>
          <w:szCs w:val="21"/>
          <w:lang w:val="en-GB"/>
        </w:rPr>
        <w:t>以上。土库曼斯坦最富裕与最贫穷居民的收入差距为</w:t>
      </w:r>
      <w:r>
        <w:rPr>
          <w:snapToGrid/>
          <w:szCs w:val="21"/>
          <w:lang w:val="en-GB"/>
        </w:rPr>
        <w:t>3.7</w:t>
      </w:r>
      <w:r>
        <w:rPr>
          <w:snapToGrid/>
          <w:szCs w:val="21"/>
          <w:lang w:val="en-GB"/>
        </w:rPr>
        <w:t>倍。由于物质生活水平，居民社会阶层的分化程度大幅减小。</w:t>
      </w:r>
      <w:r>
        <w:rPr>
          <w:snapToGrid/>
          <w:szCs w:val="21"/>
          <w:lang w:val="en-GB"/>
        </w:rPr>
        <w:t>1998</w:t>
      </w:r>
      <w:r>
        <w:rPr>
          <w:snapToGrid/>
          <w:szCs w:val="21"/>
          <w:lang w:val="en-GB"/>
        </w:rPr>
        <w:t>年，</w:t>
      </w:r>
      <w:r>
        <w:rPr>
          <w:snapToGrid/>
          <w:szCs w:val="21"/>
          <w:lang w:val="en-GB"/>
        </w:rPr>
        <w:t>20%(1/5)</w:t>
      </w:r>
      <w:r>
        <w:rPr>
          <w:snapToGrid/>
          <w:szCs w:val="21"/>
          <w:lang w:val="en-GB"/>
        </w:rPr>
        <w:t>的高收入家庭群体拥有</w:t>
      </w:r>
      <w:r>
        <w:rPr>
          <w:snapToGrid/>
          <w:szCs w:val="21"/>
          <w:lang w:val="en-GB"/>
        </w:rPr>
        <w:t>55.7%</w:t>
      </w:r>
      <w:r>
        <w:rPr>
          <w:snapToGrid/>
          <w:szCs w:val="21"/>
          <w:lang w:val="en-GB"/>
        </w:rPr>
        <w:t>的总收入，社会转移除外。过去</w:t>
      </w:r>
      <w:r>
        <w:rPr>
          <w:snapToGrid/>
          <w:szCs w:val="21"/>
          <w:lang w:val="en-GB"/>
        </w:rPr>
        <w:t>5</w:t>
      </w:r>
      <w:r>
        <w:rPr>
          <w:snapToGrid/>
          <w:szCs w:val="21"/>
          <w:lang w:val="en-GB"/>
        </w:rPr>
        <w:t>年，他们的比重降低了</w:t>
      </w:r>
      <w:r>
        <w:rPr>
          <w:snapToGrid/>
          <w:szCs w:val="21"/>
          <w:lang w:val="en-GB"/>
        </w:rPr>
        <w:t>1/2</w:t>
      </w:r>
      <w:r>
        <w:rPr>
          <w:snapToGrid/>
          <w:szCs w:val="21"/>
          <w:lang w:val="en-GB"/>
        </w:rPr>
        <w:t>以上，</w:t>
      </w:r>
      <w:r>
        <w:rPr>
          <w:snapToGrid/>
          <w:szCs w:val="21"/>
          <w:lang w:val="en-GB"/>
        </w:rPr>
        <w:t>2003</w:t>
      </w:r>
      <w:r>
        <w:rPr>
          <w:snapToGrid/>
          <w:szCs w:val="21"/>
          <w:lang w:val="en-GB"/>
        </w:rPr>
        <w:t>年为</w:t>
      </w:r>
      <w:r>
        <w:rPr>
          <w:snapToGrid/>
          <w:szCs w:val="21"/>
          <w:lang w:val="en-GB"/>
        </w:rPr>
        <w:t>27%</w:t>
      </w:r>
      <w:r>
        <w:rPr>
          <w:snapToGrid/>
          <w:szCs w:val="21"/>
          <w:lang w:val="en-GB"/>
        </w:rPr>
        <w:t>。最不富裕家庭群体的收入比重在此期间增加了</w:t>
      </w:r>
      <w:r>
        <w:rPr>
          <w:snapToGrid/>
          <w:szCs w:val="21"/>
          <w:lang w:val="en-GB"/>
        </w:rPr>
        <w:t>15%</w:t>
      </w:r>
      <w:r>
        <w:rPr>
          <w:snapToGrid/>
          <w:szCs w:val="21"/>
          <w:lang w:val="en-GB"/>
        </w:rPr>
        <w:t>。调查期间，土库曼斯坦居民的实际收入增加了</w:t>
      </w:r>
      <w:r>
        <w:rPr>
          <w:snapToGrid/>
          <w:szCs w:val="21"/>
          <w:lang w:val="en-GB"/>
        </w:rPr>
        <w:t>3.6</w:t>
      </w:r>
      <w:r>
        <w:rPr>
          <w:snapToGrid/>
          <w:szCs w:val="21"/>
          <w:lang w:val="en-GB"/>
        </w:rPr>
        <w:t>倍。较低的个人所得税率，提供个人所得税的支付优惠，使</w:t>
      </w:r>
      <w:r>
        <w:rPr>
          <w:snapToGrid/>
          <w:szCs w:val="21"/>
          <w:lang w:val="en-GB"/>
        </w:rPr>
        <w:t>2003</w:t>
      </w:r>
      <w:r>
        <w:rPr>
          <w:snapToGrid/>
          <w:szCs w:val="21"/>
          <w:lang w:val="en-GB"/>
        </w:rPr>
        <w:t>年的可支配收入比</w:t>
      </w:r>
      <w:r>
        <w:rPr>
          <w:snapToGrid/>
          <w:szCs w:val="21"/>
          <w:lang w:val="en-GB"/>
        </w:rPr>
        <w:t>1998</w:t>
      </w:r>
      <w:r>
        <w:rPr>
          <w:snapToGrid/>
          <w:szCs w:val="21"/>
          <w:lang w:val="en-GB"/>
        </w:rPr>
        <w:t>年增加了</w:t>
      </w:r>
      <w:r>
        <w:rPr>
          <w:snapToGrid/>
          <w:szCs w:val="21"/>
          <w:lang w:val="en-GB"/>
        </w:rPr>
        <w:t>5.1</w:t>
      </w:r>
      <w:r>
        <w:rPr>
          <w:snapToGrid/>
          <w:szCs w:val="21"/>
          <w:lang w:val="en-GB"/>
        </w:rPr>
        <w:t>倍。</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200. </w:t>
      </w:r>
      <w:r>
        <w:rPr>
          <w:rFonts w:hint="eastAsia"/>
          <w:snapToGrid/>
          <w:szCs w:val="21"/>
          <w:lang w:val="en-GB"/>
        </w:rPr>
        <w:t xml:space="preserve"> </w:t>
      </w:r>
      <w:r>
        <w:rPr>
          <w:snapToGrid/>
          <w:szCs w:val="21"/>
          <w:lang w:val="en-GB"/>
        </w:rPr>
        <w:t>土库曼斯坦是注重社会发展的国家。保证人民应有的生活水平，保证安全，保护公民的权利与自由，发展民主进程和体制</w:t>
      </w:r>
      <w:r>
        <w:rPr>
          <w:rFonts w:hint="eastAsia"/>
          <w:snapToGrid/>
          <w:spacing w:val="-50"/>
          <w:szCs w:val="21"/>
          <w:lang w:val="en-GB"/>
        </w:rPr>
        <w:t>―</w:t>
      </w:r>
      <w:r>
        <w:rPr>
          <w:rFonts w:hint="eastAsia"/>
          <w:snapToGrid/>
          <w:szCs w:val="21"/>
          <w:lang w:val="en-GB"/>
        </w:rPr>
        <w:t>―</w:t>
      </w:r>
      <w:r>
        <w:rPr>
          <w:snapToGrid/>
          <w:szCs w:val="21"/>
          <w:lang w:val="en-GB"/>
        </w:rPr>
        <w:t>所有这些构成国家新领导班子的对内政策。自</w:t>
      </w:r>
      <w:r>
        <w:rPr>
          <w:snapToGrid/>
          <w:szCs w:val="21"/>
          <w:lang w:val="en-GB"/>
        </w:rPr>
        <w:t>1993</w:t>
      </w:r>
      <w:r>
        <w:rPr>
          <w:snapToGrid/>
          <w:szCs w:val="21"/>
          <w:lang w:val="en-GB"/>
        </w:rPr>
        <w:t>年起，土库曼斯坦免费为自己的公民提供天然气、电力、水和食用盐，医疗服务和免费受到中高等教育的条件。</w:t>
      </w:r>
      <w:smartTag w:uri="urn:schemas-microsoft-com:office:smarttags" w:element="chsdate">
        <w:smartTagPr>
          <w:attr w:name="IsROCDate" w:val="False"/>
          <w:attr w:name="IsLunarDate" w:val="False"/>
          <w:attr w:name="Day" w:val="25"/>
          <w:attr w:name="Month" w:val="10"/>
          <w:attr w:name="Year" w:val="2006"/>
        </w:smartTagPr>
        <w:r>
          <w:rPr>
            <w:snapToGrid/>
            <w:szCs w:val="21"/>
            <w:lang w:val="en-GB"/>
          </w:rPr>
          <w:t>2006</w:t>
        </w:r>
        <w:r>
          <w:rPr>
            <w:snapToGrid/>
            <w:szCs w:val="21"/>
            <w:lang w:val="en-GB"/>
          </w:rPr>
          <w:t>年</w:t>
        </w:r>
        <w:r>
          <w:rPr>
            <w:snapToGrid/>
            <w:szCs w:val="21"/>
            <w:lang w:val="en-GB"/>
          </w:rPr>
          <w:t>10</w:t>
        </w:r>
        <w:r>
          <w:rPr>
            <w:snapToGrid/>
            <w:szCs w:val="21"/>
            <w:lang w:val="en-GB"/>
          </w:rPr>
          <w:t>月</w:t>
        </w:r>
        <w:r>
          <w:rPr>
            <w:snapToGrid/>
            <w:szCs w:val="21"/>
            <w:lang w:val="en-GB"/>
          </w:rPr>
          <w:t>25</w:t>
        </w:r>
        <w:r>
          <w:rPr>
            <w:snapToGrid/>
            <w:szCs w:val="21"/>
            <w:lang w:val="en-GB"/>
          </w:rPr>
          <w:t>日</w:t>
        </w:r>
      </w:smartTag>
      <w:r>
        <w:rPr>
          <w:snapToGrid/>
          <w:szCs w:val="21"/>
          <w:lang w:val="en-GB"/>
        </w:rPr>
        <w:t>土库曼斯坦人民委员会颁发决议，将免费向居民提供天然气、电力、饮用水和食用盐的规定延长至</w:t>
      </w:r>
      <w:r>
        <w:rPr>
          <w:snapToGrid/>
          <w:szCs w:val="21"/>
          <w:lang w:val="en-GB"/>
        </w:rPr>
        <w:t>2030</w:t>
      </w:r>
      <w:r>
        <w:rPr>
          <w:snapToGrid/>
          <w:szCs w:val="21"/>
          <w:lang w:val="en-GB"/>
        </w:rPr>
        <w:t>年。一些公共服务、电话和公共交通只象征性地收费。</w:t>
      </w:r>
    </w:p>
    <w:p w:rsidR="00A93F62" w:rsidRDefault="00A93F62">
      <w:pPr>
        <w:tabs>
          <w:tab w:val="clear" w:pos="431"/>
        </w:tabs>
        <w:suppressAutoHyphens/>
        <w:overflowPunct/>
        <w:adjustRightInd/>
        <w:snapToGrid/>
        <w:spacing w:after="120" w:line="320" w:lineRule="atLeast"/>
        <w:ind w:left="1134" w:right="1134"/>
        <w:rPr>
          <w:snapToGrid/>
          <w:color w:val="000000"/>
          <w:szCs w:val="21"/>
          <w:lang w:val="en-GB"/>
        </w:rPr>
      </w:pPr>
      <w:r>
        <w:rPr>
          <w:snapToGrid/>
          <w:szCs w:val="21"/>
          <w:lang w:val="en-GB"/>
        </w:rPr>
        <w:t>201.</w:t>
      </w:r>
      <w:r>
        <w:rPr>
          <w:rFonts w:hint="eastAsia"/>
          <w:snapToGrid/>
          <w:szCs w:val="21"/>
          <w:lang w:val="en-GB"/>
        </w:rPr>
        <w:t xml:space="preserve">  </w:t>
      </w:r>
      <w:r>
        <w:rPr>
          <w:snapToGrid/>
          <w:szCs w:val="21"/>
          <w:lang w:val="en-GB"/>
        </w:rPr>
        <w:t>土库曼斯坦</w:t>
      </w:r>
      <w:r>
        <w:rPr>
          <w:snapToGrid/>
          <w:szCs w:val="21"/>
          <w:lang w:val="en-GB"/>
        </w:rPr>
        <w:t>2009</w:t>
      </w:r>
      <w:r>
        <w:rPr>
          <w:snapToGrid/>
          <w:szCs w:val="21"/>
          <w:lang w:val="en-GB"/>
        </w:rPr>
        <w:t>年的国家预算为</w:t>
      </w:r>
      <w:r>
        <w:rPr>
          <w:snapToGrid/>
          <w:szCs w:val="21"/>
          <w:lang w:val="en-GB"/>
        </w:rPr>
        <w:t>294.5</w:t>
      </w:r>
      <w:r>
        <w:rPr>
          <w:snapToGrid/>
          <w:szCs w:val="21"/>
          <w:lang w:val="en-GB"/>
        </w:rPr>
        <w:t>万亿马纳特</w:t>
      </w:r>
      <w:r>
        <w:rPr>
          <w:snapToGrid/>
          <w:szCs w:val="21"/>
          <w:lang w:val="en-GB"/>
        </w:rPr>
        <w:t>(589</w:t>
      </w:r>
      <w:r>
        <w:rPr>
          <w:snapToGrid/>
          <w:szCs w:val="21"/>
          <w:lang w:val="en-GB"/>
        </w:rPr>
        <w:t>亿改值的马纳特</w:t>
      </w:r>
      <w:r>
        <w:rPr>
          <w:snapToGrid/>
          <w:szCs w:val="21"/>
          <w:lang w:val="en-GB"/>
        </w:rPr>
        <w:t>)</w:t>
      </w:r>
      <w:r>
        <w:rPr>
          <w:snapToGrid/>
          <w:szCs w:val="21"/>
          <w:lang w:val="en-GB"/>
        </w:rPr>
        <w:t>。收入与支出部分，将比</w:t>
      </w:r>
      <w:r>
        <w:rPr>
          <w:snapToGrid/>
          <w:szCs w:val="21"/>
          <w:lang w:val="en-GB"/>
        </w:rPr>
        <w:t>2008</w:t>
      </w:r>
      <w:r>
        <w:rPr>
          <w:snapToGrid/>
          <w:szCs w:val="21"/>
          <w:lang w:val="en-GB"/>
        </w:rPr>
        <w:t>年土库曼斯坦国家预算水平高出</w:t>
      </w:r>
      <w:r>
        <w:rPr>
          <w:snapToGrid/>
          <w:szCs w:val="21"/>
          <w:lang w:val="en-GB"/>
        </w:rPr>
        <w:t>39.5%</w:t>
      </w:r>
      <w:r>
        <w:rPr>
          <w:snapToGrid/>
          <w:szCs w:val="21"/>
          <w:lang w:val="en-GB"/>
        </w:rPr>
        <w:t>。于</w:t>
      </w:r>
      <w:r>
        <w:rPr>
          <w:snapToGrid/>
          <w:szCs w:val="21"/>
          <w:lang w:val="en-GB"/>
        </w:rPr>
        <w:t>2008</w:t>
      </w:r>
      <w:r>
        <w:rPr>
          <w:snapToGrid/>
          <w:szCs w:val="21"/>
          <w:lang w:val="en-GB"/>
        </w:rPr>
        <w:t>年相比，社会领域</w:t>
      </w:r>
      <w:r>
        <w:rPr>
          <w:snapToGrid/>
          <w:szCs w:val="21"/>
          <w:lang w:val="en-GB"/>
        </w:rPr>
        <w:t>(</w:t>
      </w:r>
      <w:r>
        <w:rPr>
          <w:snapToGrid/>
          <w:szCs w:val="21"/>
          <w:lang w:val="en-GB"/>
        </w:rPr>
        <w:t>教育、社会保障系统、卫生保健</w:t>
      </w:r>
      <w:r>
        <w:rPr>
          <w:snapToGrid/>
          <w:szCs w:val="21"/>
          <w:lang w:val="en-GB"/>
        </w:rPr>
        <w:t>)</w:t>
      </w:r>
      <w:r>
        <w:rPr>
          <w:snapToGrid/>
          <w:szCs w:val="21"/>
          <w:lang w:val="en-GB"/>
        </w:rPr>
        <w:t>投资增加</w:t>
      </w:r>
      <w:r>
        <w:rPr>
          <w:snapToGrid/>
          <w:szCs w:val="21"/>
          <w:lang w:val="en-GB"/>
        </w:rPr>
        <w:t>13%</w:t>
      </w:r>
      <w:r>
        <w:rPr>
          <w:snapToGrid/>
          <w:szCs w:val="21"/>
          <w:lang w:val="en-GB"/>
        </w:rPr>
        <w:t>。投资总额达到</w:t>
      </w:r>
      <w:r>
        <w:rPr>
          <w:snapToGrid/>
          <w:szCs w:val="21"/>
          <w:lang w:val="en-GB"/>
        </w:rPr>
        <w:t>18.1</w:t>
      </w:r>
      <w:r>
        <w:rPr>
          <w:snapToGrid/>
          <w:szCs w:val="21"/>
          <w:lang w:val="en-GB"/>
        </w:rPr>
        <w:t>万亿马纳特。与</w:t>
      </w:r>
      <w:r>
        <w:rPr>
          <w:snapToGrid/>
          <w:szCs w:val="21"/>
          <w:lang w:val="en-GB"/>
        </w:rPr>
        <w:t>2008</w:t>
      </w:r>
      <w:r>
        <w:rPr>
          <w:snapToGrid/>
          <w:szCs w:val="21"/>
          <w:lang w:val="en-GB"/>
        </w:rPr>
        <w:t>年相比，预计</w:t>
      </w:r>
      <w:r>
        <w:rPr>
          <w:snapToGrid/>
          <w:szCs w:val="21"/>
          <w:lang w:val="en-GB"/>
        </w:rPr>
        <w:t>2009</w:t>
      </w:r>
      <w:r>
        <w:rPr>
          <w:snapToGrid/>
          <w:szCs w:val="21"/>
          <w:lang w:val="en-GB"/>
        </w:rPr>
        <w:t>年国内总产量将增长</w:t>
      </w:r>
      <w:r>
        <w:rPr>
          <w:snapToGrid/>
          <w:szCs w:val="21"/>
          <w:lang w:val="en-GB"/>
        </w:rPr>
        <w:t>110.7%</w:t>
      </w:r>
      <w:r>
        <w:rPr>
          <w:snapToGrid/>
          <w:szCs w:val="21"/>
          <w:lang w:val="en-GB"/>
        </w:rPr>
        <w:t>。通货膨胀率预计为</w:t>
      </w:r>
      <w:r>
        <w:rPr>
          <w:snapToGrid/>
          <w:szCs w:val="21"/>
          <w:lang w:val="en-GB"/>
        </w:rPr>
        <w:t>7-8%</w:t>
      </w:r>
      <w:r>
        <w:rPr>
          <w:snapToGrid/>
          <w:szCs w:val="21"/>
          <w:lang w:val="en-GB"/>
        </w:rPr>
        <w:t>。古尔邦古雷</w:t>
      </w:r>
      <w:r>
        <w:rPr>
          <w:snapToGrid/>
          <w:szCs w:val="21"/>
          <w:lang w:val="en-GB"/>
        </w:rPr>
        <w:t>·</w:t>
      </w:r>
      <w:r>
        <w:rPr>
          <w:snapToGrid/>
          <w:szCs w:val="21"/>
          <w:lang w:val="en-GB"/>
        </w:rPr>
        <w:t>别尔德穆哈梅多夫</w:t>
      </w:r>
      <w:r>
        <w:rPr>
          <w:snapToGrid/>
          <w:color w:val="000000"/>
          <w:szCs w:val="21"/>
          <w:lang w:val="en-GB"/>
        </w:rPr>
        <w:t>社会政策的</w:t>
      </w:r>
      <w:r>
        <w:rPr>
          <w:snapToGrid/>
          <w:szCs w:val="21"/>
          <w:lang w:val="en-GB"/>
        </w:rPr>
        <w:t>优先地位明显反映在土库曼斯坦法律法规中。通过了《土库曼斯坦社会保障法》。该法令重视保护妇女与儿童；推行新的分娩津贴、照顾孩子到一岁半的育儿津贴；规定残疾人就业安置与职业培训事宜；向最需要保护的居民阶层提供国家援助。</w:t>
      </w:r>
      <w:smartTag w:uri="urn:schemas-microsoft-com:office:smarttags" w:element="chsdate">
        <w:smartTagPr>
          <w:attr w:name="IsROCDate" w:val="False"/>
          <w:attr w:name="IsLunarDate" w:val="False"/>
          <w:attr w:name="Day" w:val="1"/>
          <w:attr w:name="Month" w:val="1"/>
          <w:attr w:name="Year" w:val="2009"/>
        </w:smartTagPr>
        <w:r>
          <w:rPr>
            <w:snapToGrid/>
            <w:szCs w:val="21"/>
            <w:lang w:val="en-GB"/>
          </w:rPr>
          <w:t>2009</w:t>
        </w:r>
        <w:r>
          <w:rPr>
            <w:snapToGrid/>
            <w:szCs w:val="21"/>
            <w:lang w:val="en-GB"/>
          </w:rPr>
          <w:t>年</w:t>
        </w:r>
        <w:r>
          <w:rPr>
            <w:snapToGrid/>
            <w:szCs w:val="21"/>
            <w:lang w:val="en-GB"/>
          </w:rPr>
          <w:t>1</w:t>
        </w:r>
        <w:r>
          <w:rPr>
            <w:snapToGrid/>
            <w:szCs w:val="21"/>
            <w:lang w:val="en-GB"/>
          </w:rPr>
          <w:t>月</w:t>
        </w:r>
        <w:r>
          <w:rPr>
            <w:snapToGrid/>
            <w:szCs w:val="21"/>
            <w:lang w:val="en-GB"/>
          </w:rPr>
          <w:t>1</w:t>
        </w:r>
        <w:r>
          <w:rPr>
            <w:snapToGrid/>
            <w:szCs w:val="21"/>
            <w:lang w:val="en-GB"/>
          </w:rPr>
          <w:t>日</w:t>
        </w:r>
      </w:smartTag>
      <w:r>
        <w:rPr>
          <w:snapToGrid/>
          <w:szCs w:val="21"/>
          <w:lang w:val="en-GB"/>
        </w:rPr>
        <w:t>起，</w:t>
      </w:r>
      <w:r>
        <w:rPr>
          <w:snapToGrid/>
          <w:szCs w:val="21"/>
          <w:lang w:val="en-GB"/>
        </w:rPr>
        <w:t>“</w:t>
      </w:r>
      <w:r>
        <w:rPr>
          <w:snapToGrid/>
          <w:szCs w:val="21"/>
          <w:lang w:val="en-GB"/>
        </w:rPr>
        <w:t>将工资、退休金与津贴增加</w:t>
      </w:r>
      <w:r>
        <w:rPr>
          <w:snapToGrid/>
          <w:szCs w:val="21"/>
          <w:lang w:val="en-GB"/>
        </w:rPr>
        <w:t>”10%</w:t>
      </w:r>
      <w:r>
        <w:rPr>
          <w:snapToGrid/>
          <w:szCs w:val="21"/>
          <w:lang w:val="en-GB"/>
        </w:rPr>
        <w:t>的国家元首令，成为居民社会保障事业的重要举措。改善土库曼斯坦公民的居住条件，为此提供为期</w:t>
      </w:r>
      <w:r>
        <w:rPr>
          <w:snapToGrid/>
          <w:szCs w:val="21"/>
          <w:lang w:val="en-GB"/>
        </w:rPr>
        <w:t>30</w:t>
      </w:r>
      <w:r>
        <w:rPr>
          <w:snapToGrid/>
          <w:szCs w:val="21"/>
          <w:lang w:val="en-GB"/>
        </w:rPr>
        <w:t>年，利率为</w:t>
      </w:r>
      <w:r>
        <w:rPr>
          <w:snapToGrid/>
          <w:szCs w:val="21"/>
          <w:lang w:val="en-GB"/>
        </w:rPr>
        <w:t>1%</w:t>
      </w:r>
      <w:r>
        <w:rPr>
          <w:snapToGrid/>
          <w:szCs w:val="21"/>
          <w:lang w:val="en-GB"/>
        </w:rPr>
        <w:t>的抵押贷款权，成为国家的主要任务。为保障农村居民较高的社会生活水平，通过并实施了《</w:t>
      </w:r>
      <w:r>
        <w:rPr>
          <w:snapToGrid/>
          <w:color w:val="000000"/>
          <w:szCs w:val="21"/>
          <w:lang w:val="en-GB"/>
        </w:rPr>
        <w:t>土库曼斯坦总统至</w:t>
      </w:r>
      <w:r>
        <w:rPr>
          <w:snapToGrid/>
          <w:color w:val="000000"/>
          <w:szCs w:val="21"/>
          <w:lang w:val="en-GB"/>
        </w:rPr>
        <w:t>2020</w:t>
      </w:r>
      <w:r>
        <w:rPr>
          <w:snapToGrid/>
          <w:color w:val="000000"/>
          <w:szCs w:val="21"/>
          <w:lang w:val="en-GB"/>
        </w:rPr>
        <w:t>年改造农村乡镇、城市和中心区域居民社会日常生活条件的国家纲要</w:t>
      </w:r>
      <w:r>
        <w:rPr>
          <w:snapToGrid/>
          <w:szCs w:val="21"/>
          <w:lang w:val="en-GB"/>
        </w:rPr>
        <w:t>》。国家总统倡议，在达守古省建立新的鲁胡别林特</w:t>
      </w:r>
      <w:r>
        <w:rPr>
          <w:snapToGrid/>
          <w:color w:val="000000"/>
          <w:szCs w:val="21"/>
          <w:lang w:val="en-GB"/>
        </w:rPr>
        <w:t>地区</w:t>
      </w:r>
      <w:r>
        <w:rPr>
          <w:snapToGrid/>
          <w:szCs w:val="21"/>
          <w:lang w:val="en-GB"/>
        </w:rPr>
        <w:t>。目前，这里已建成了四十几个社会经济项目</w:t>
      </w:r>
      <w:r>
        <w:rPr>
          <w:snapToGrid/>
          <w:szCs w:val="21"/>
          <w:lang w:val="en-GB"/>
        </w:rPr>
        <w:t>——</w:t>
      </w:r>
      <w:r>
        <w:rPr>
          <w:snapToGrid/>
          <w:szCs w:val="21"/>
          <w:lang w:val="en-GB"/>
        </w:rPr>
        <w:t>文化中心，设有电报局的自动电话站、网络广场、手机通信设备、农贸市场与购物中心，二十几座别墅，学校，配备最新医疗设备的保健所与医院。推广社会服务项目，发展基础设施，提供了新的工作岗位，提高了经济效益。保障村民优质生活，最接近城市的良好劳动条件，是根据</w:t>
      </w:r>
      <w:r>
        <w:rPr>
          <w:snapToGrid/>
          <w:color w:val="000000"/>
          <w:szCs w:val="21"/>
          <w:lang w:val="en-GB"/>
        </w:rPr>
        <w:t>国家总统</w:t>
      </w:r>
      <w:r>
        <w:rPr>
          <w:snapToGrid/>
          <w:szCs w:val="21"/>
          <w:lang w:val="en-GB"/>
        </w:rPr>
        <w:t>古尔邦古雷</w:t>
      </w:r>
      <w:r>
        <w:rPr>
          <w:snapToGrid/>
          <w:szCs w:val="21"/>
          <w:lang w:val="en-GB"/>
        </w:rPr>
        <w:t>·</w:t>
      </w:r>
      <w:r>
        <w:rPr>
          <w:snapToGrid/>
          <w:szCs w:val="21"/>
          <w:lang w:val="en-GB"/>
        </w:rPr>
        <w:t>别尔德穆哈梅多夫</w:t>
      </w:r>
      <w:r>
        <w:rPr>
          <w:snapToGrid/>
          <w:color w:val="000000"/>
          <w:szCs w:val="21"/>
          <w:lang w:val="en-GB"/>
        </w:rPr>
        <w:t>的倡议，在爱先古雷地区实行的庞大计划的主要目的。爱先古雷地区市镇短时间内建成了</w:t>
      </w:r>
      <w:r>
        <w:rPr>
          <w:snapToGrid/>
          <w:color w:val="000000"/>
          <w:szCs w:val="21"/>
          <w:lang w:val="en-GB"/>
        </w:rPr>
        <w:t>20</w:t>
      </w:r>
      <w:r>
        <w:rPr>
          <w:snapToGrid/>
          <w:color w:val="000000"/>
          <w:szCs w:val="21"/>
          <w:lang w:val="en-GB"/>
        </w:rPr>
        <w:t>个现代化项目，其中有保健所和地区医院，</w:t>
      </w:r>
      <w:r>
        <w:rPr>
          <w:snapToGrid/>
          <w:color w:val="000000"/>
          <w:szCs w:val="21"/>
          <w:lang w:val="en-GB"/>
        </w:rPr>
        <w:t>500</w:t>
      </w:r>
      <w:r>
        <w:rPr>
          <w:snapToGrid/>
          <w:color w:val="000000"/>
          <w:szCs w:val="21"/>
          <w:lang w:val="en-GB"/>
        </w:rPr>
        <w:t>个学生的多媒体学校、文化宫、地毯厂。根据</w:t>
      </w:r>
      <w:smartTag w:uri="urn:schemas-microsoft-com:office:smarttags" w:element="chsdate">
        <w:smartTagPr>
          <w:attr w:name="IsROCDate" w:val="False"/>
          <w:attr w:name="IsLunarDate" w:val="False"/>
          <w:attr w:name="Day" w:val="22"/>
          <w:attr w:name="Month" w:val="9"/>
          <w:attr w:name="Year" w:val="2008"/>
        </w:smartTagPr>
        <w:r>
          <w:rPr>
            <w:snapToGrid/>
            <w:color w:val="000000"/>
            <w:szCs w:val="21"/>
            <w:lang w:val="en-GB"/>
          </w:rPr>
          <w:t>2008</w:t>
        </w:r>
        <w:r>
          <w:rPr>
            <w:snapToGrid/>
            <w:color w:val="000000"/>
            <w:szCs w:val="21"/>
            <w:lang w:val="en-GB"/>
          </w:rPr>
          <w:t>年</w:t>
        </w:r>
        <w:r>
          <w:rPr>
            <w:snapToGrid/>
            <w:color w:val="000000"/>
            <w:szCs w:val="21"/>
            <w:lang w:val="en-GB"/>
          </w:rPr>
          <w:t>9</w:t>
        </w:r>
        <w:r>
          <w:rPr>
            <w:snapToGrid/>
            <w:color w:val="000000"/>
            <w:szCs w:val="21"/>
            <w:lang w:val="en-GB"/>
          </w:rPr>
          <w:t>月</w:t>
        </w:r>
        <w:r>
          <w:rPr>
            <w:snapToGrid/>
            <w:color w:val="000000"/>
            <w:szCs w:val="21"/>
            <w:lang w:val="en-GB"/>
          </w:rPr>
          <w:t>22</w:t>
        </w:r>
        <w:r>
          <w:rPr>
            <w:snapToGrid/>
            <w:color w:val="000000"/>
            <w:szCs w:val="21"/>
            <w:lang w:val="en-GB"/>
          </w:rPr>
          <w:t>日</w:t>
        </w:r>
      </w:smartTag>
      <w:r>
        <w:rPr>
          <w:snapToGrid/>
          <w:color w:val="000000"/>
          <w:szCs w:val="21"/>
          <w:lang w:val="en-GB"/>
        </w:rPr>
        <w:t>颁布的</w:t>
      </w:r>
      <w:r>
        <w:rPr>
          <w:snapToGrid/>
          <w:szCs w:val="21"/>
          <w:lang w:val="en-GB"/>
        </w:rPr>
        <w:t>土库曼斯坦总统令，为了土库曼斯坦经济的稳步发展，有效利用土库曼斯坦中央预算的盈余，并为继续提高人民福利，建立了土库曼斯坦稳定基金。稳定基金还能减少国家经济对燃料能源综合体的依赖性，并降低外部因素的不利影响。基金款项将用于土库曼斯坦的社会经济发展，以转账方式划拨到各种预算计划的实施，使用现代化工艺与新设备。稳定基金的部分资产，即所谓的</w:t>
      </w:r>
      <w:r>
        <w:rPr>
          <w:snapToGrid/>
          <w:szCs w:val="21"/>
          <w:lang w:val="en-GB"/>
        </w:rPr>
        <w:t>“</w:t>
      </w:r>
      <w:r>
        <w:rPr>
          <w:snapToGrid/>
          <w:szCs w:val="21"/>
          <w:lang w:val="en-GB"/>
        </w:rPr>
        <w:t>后代资金</w:t>
      </w:r>
      <w:r>
        <w:rPr>
          <w:snapToGrid/>
          <w:szCs w:val="21"/>
          <w:lang w:val="en-GB"/>
        </w:rPr>
        <w:t>”</w:t>
      </w:r>
      <w:r>
        <w:rPr>
          <w:snapToGrid/>
          <w:szCs w:val="21"/>
          <w:lang w:val="en-GB"/>
        </w:rPr>
        <w:t>，将以最低风险被分配到高收入的长期金融股票与企业中。</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202.</w:t>
      </w:r>
      <w:r>
        <w:rPr>
          <w:rFonts w:hint="eastAsia"/>
          <w:snapToGrid/>
          <w:szCs w:val="21"/>
          <w:lang w:val="en-GB"/>
        </w:rPr>
        <w:t xml:space="preserve">  </w:t>
      </w:r>
      <w:r>
        <w:rPr>
          <w:snapToGrid/>
          <w:szCs w:val="21"/>
          <w:lang w:val="en-GB"/>
        </w:rPr>
        <w:t>根据《宪法》第</w:t>
      </w:r>
      <w:r>
        <w:rPr>
          <w:snapToGrid/>
          <w:szCs w:val="21"/>
          <w:lang w:val="en-GB"/>
        </w:rPr>
        <w:t>24</w:t>
      </w:r>
      <w:r>
        <w:rPr>
          <w:snapToGrid/>
          <w:szCs w:val="21"/>
          <w:lang w:val="en-GB"/>
        </w:rPr>
        <w:t>条，每个公民都有权利在国家帮助下，获得或购买设施完善的住房，个人建造住房。住房是不可侵犯的。任何人都无权进入住房，或以其它方式，违背房屋主人的意志非法侵犯住房。保护住房不受非法侵害，是人与公民的权利。任何人都不能剥夺住房，否则将会依法受到惩处。</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203.</w:t>
      </w:r>
      <w:r>
        <w:rPr>
          <w:rFonts w:hint="eastAsia"/>
          <w:snapToGrid/>
          <w:szCs w:val="21"/>
          <w:lang w:val="en-GB"/>
        </w:rPr>
        <w:t xml:space="preserve">  </w:t>
      </w:r>
      <w:r>
        <w:rPr>
          <w:snapToGrid/>
          <w:szCs w:val="21"/>
          <w:lang w:val="en-GB"/>
        </w:rPr>
        <w:t>不断提高土库曼斯坦人民的福利，更充分地满足其物质文化需求，改善国家各地区的生活条件，是国家社会政策的主要方向。国家为了鼓励中小城市，特别是乡村的发展采取的一项主要措施是土库曼斯坦总统批准了《</w:t>
      </w:r>
      <w:r>
        <w:rPr>
          <w:snapToGrid/>
          <w:color w:val="000000"/>
          <w:szCs w:val="21"/>
          <w:lang w:val="en-GB"/>
        </w:rPr>
        <w:t>土库曼斯坦总统至</w:t>
      </w:r>
      <w:r>
        <w:rPr>
          <w:snapToGrid/>
          <w:color w:val="000000"/>
          <w:szCs w:val="21"/>
          <w:lang w:val="en-GB"/>
        </w:rPr>
        <w:t>2020</w:t>
      </w:r>
      <w:r>
        <w:rPr>
          <w:snapToGrid/>
          <w:color w:val="000000"/>
          <w:szCs w:val="21"/>
          <w:lang w:val="en-GB"/>
        </w:rPr>
        <w:t>年改造农村乡镇、城市和中心区域居民社会日常生活条件的国家纲要</w:t>
      </w:r>
      <w:r>
        <w:rPr>
          <w:snapToGrid/>
          <w:szCs w:val="21"/>
          <w:lang w:val="en-GB"/>
        </w:rPr>
        <w:t>》。《纲要》旨在用根本方式改善居住在乡村和小城市居民的日常居住条件，以及发展基础设施建设和农村、乡镇、小城市及国家其他地区的社会发展。《纲要》的实施将分为三个阶段：</w:t>
      </w:r>
      <w:r>
        <w:rPr>
          <w:snapToGrid/>
          <w:szCs w:val="21"/>
          <w:lang w:val="en-GB"/>
        </w:rPr>
        <w:t>2008-2010</w:t>
      </w:r>
      <w:r>
        <w:rPr>
          <w:snapToGrid/>
          <w:szCs w:val="21"/>
          <w:lang w:val="en-GB"/>
        </w:rPr>
        <w:t>年、</w:t>
      </w:r>
      <w:r>
        <w:rPr>
          <w:snapToGrid/>
          <w:szCs w:val="21"/>
          <w:lang w:val="en-GB"/>
        </w:rPr>
        <w:t>2011-2015</w:t>
      </w:r>
      <w:r>
        <w:rPr>
          <w:snapToGrid/>
          <w:szCs w:val="21"/>
          <w:lang w:val="en-GB"/>
        </w:rPr>
        <w:t>年、</w:t>
      </w:r>
      <w:r>
        <w:rPr>
          <w:snapToGrid/>
          <w:szCs w:val="21"/>
          <w:lang w:val="en-GB"/>
        </w:rPr>
        <w:t>2016-2020</w:t>
      </w:r>
      <w:r>
        <w:rPr>
          <w:snapToGrid/>
          <w:szCs w:val="21"/>
          <w:lang w:val="en-GB"/>
        </w:rPr>
        <w:t>年。为落实该纲要预计投资总额将达到</w:t>
      </w:r>
      <w:r>
        <w:rPr>
          <w:snapToGrid/>
          <w:szCs w:val="21"/>
          <w:lang w:val="en-GB"/>
        </w:rPr>
        <w:t>40</w:t>
      </w:r>
      <w:r>
        <w:rPr>
          <w:snapToGrid/>
          <w:szCs w:val="21"/>
          <w:lang w:val="en-GB"/>
        </w:rPr>
        <w:t>亿美元。</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204. </w:t>
      </w:r>
      <w:r>
        <w:rPr>
          <w:rFonts w:hint="eastAsia"/>
          <w:snapToGrid/>
          <w:szCs w:val="21"/>
          <w:lang w:val="en-GB"/>
        </w:rPr>
        <w:t xml:space="preserve"> </w:t>
      </w:r>
      <w:r>
        <w:rPr>
          <w:snapToGrid/>
          <w:szCs w:val="21"/>
          <w:lang w:val="en-GB"/>
        </w:rPr>
        <w:t>落实该纲要需要在下列主要方面加强现代化的社会经济基础设施建设：兴建医院、医疗中心和用房、学校、托儿所、文化宫体校和体育设施，水管网线、钻井、公路、天然气管线、电缆和电力设施、发展电信系统和住宅建设。这样，到</w:t>
      </w:r>
      <w:r>
        <w:rPr>
          <w:snapToGrid/>
          <w:szCs w:val="21"/>
          <w:lang w:val="en-GB"/>
        </w:rPr>
        <w:t>2020</w:t>
      </w:r>
      <w:r>
        <w:rPr>
          <w:snapToGrid/>
          <w:szCs w:val="21"/>
          <w:lang w:val="en-GB"/>
        </w:rPr>
        <w:t>年将建成</w:t>
      </w:r>
      <w:r>
        <w:rPr>
          <w:snapToGrid/>
          <w:szCs w:val="21"/>
          <w:lang w:val="en-GB"/>
        </w:rPr>
        <w:t>522.24</w:t>
      </w:r>
      <w:r>
        <w:rPr>
          <w:snapToGrid/>
          <w:szCs w:val="21"/>
          <w:lang w:val="en-GB"/>
        </w:rPr>
        <w:t>万平方米高水平住宅。实现国家元首倡议的建立</w:t>
      </w:r>
      <w:r>
        <w:rPr>
          <w:snapToGrid/>
          <w:szCs w:val="21"/>
          <w:lang w:val="en-GB"/>
        </w:rPr>
        <w:t>“</w:t>
      </w:r>
      <w:r>
        <w:rPr>
          <w:snapToGrid/>
          <w:szCs w:val="21"/>
          <w:lang w:val="en-GB"/>
        </w:rPr>
        <w:t>阿瓦</w:t>
      </w:r>
      <w:r>
        <w:rPr>
          <w:snapToGrid/>
          <w:spacing w:val="2"/>
          <w:szCs w:val="21"/>
          <w:lang w:val="en-GB"/>
        </w:rPr>
        <w:t>扎</w:t>
      </w:r>
      <w:r>
        <w:rPr>
          <w:snapToGrid/>
          <w:spacing w:val="2"/>
          <w:szCs w:val="21"/>
          <w:lang w:val="en-GB"/>
        </w:rPr>
        <w:t>”</w:t>
      </w:r>
      <w:r>
        <w:rPr>
          <w:snapToGrid/>
          <w:spacing w:val="2"/>
          <w:szCs w:val="21"/>
          <w:lang w:val="en-GB"/>
        </w:rPr>
        <w:t>国家旅游区方案，该方案可以提供旅游休闲，以及相关经济领域</w:t>
      </w:r>
      <w:r>
        <w:rPr>
          <w:snapToGrid/>
          <w:spacing w:val="2"/>
          <w:szCs w:val="21"/>
          <w:lang w:val="en-GB"/>
        </w:rPr>
        <w:t>(</w:t>
      </w:r>
      <w:r>
        <w:rPr>
          <w:snapToGrid/>
          <w:spacing w:val="2"/>
          <w:szCs w:val="21"/>
          <w:lang w:val="en-GB"/>
        </w:rPr>
        <w:t>如交通与通讯、建筑、食品工业、渔业、纺织业</w:t>
      </w:r>
      <w:r>
        <w:rPr>
          <w:snapToGrid/>
          <w:spacing w:val="2"/>
          <w:szCs w:val="21"/>
          <w:lang w:val="en-GB"/>
        </w:rPr>
        <w:t>)</w:t>
      </w:r>
      <w:r>
        <w:rPr>
          <w:snapToGrid/>
          <w:spacing w:val="2"/>
          <w:szCs w:val="21"/>
          <w:lang w:val="en-GB"/>
        </w:rPr>
        <w:t>的几千个工作岗位，对整个国家具有重大意义。国际实践经验表明，自由经济区保障特区就业每年平均增长</w:t>
      </w:r>
      <w:r>
        <w:rPr>
          <w:snapToGrid/>
          <w:spacing w:val="2"/>
          <w:szCs w:val="21"/>
          <w:lang w:val="en-GB"/>
        </w:rPr>
        <w:t>50%</w:t>
      </w:r>
      <w:r>
        <w:rPr>
          <w:snapToGrid/>
          <w:spacing w:val="2"/>
          <w:szCs w:val="21"/>
          <w:lang w:val="en-GB"/>
        </w:rPr>
        <w:t>以上，这明显体现在人们的生活中。目前，根据土库曼斯坦总统倡议，开始实施新方案，在阿什哈巴德建设奥</w:t>
      </w:r>
      <w:r>
        <w:rPr>
          <w:snapToGrid/>
          <w:szCs w:val="21"/>
          <w:lang w:val="en-GB"/>
        </w:rPr>
        <w:t>运村。拟定在一个美丽的地方兴建一座白色大理石宫殿，它是该区域独一无二的宏大综合工程。它包括约</w:t>
      </w:r>
      <w:r>
        <w:rPr>
          <w:snapToGrid/>
          <w:szCs w:val="21"/>
          <w:lang w:val="en-GB"/>
        </w:rPr>
        <w:t>30</w:t>
      </w:r>
      <w:r>
        <w:rPr>
          <w:snapToGrid/>
          <w:szCs w:val="21"/>
          <w:lang w:val="en-GB"/>
        </w:rPr>
        <w:t>个工程项目。其中有可容纳</w:t>
      </w:r>
      <w:r>
        <w:rPr>
          <w:snapToGrid/>
          <w:szCs w:val="21"/>
          <w:lang w:val="en-GB"/>
        </w:rPr>
        <w:t>10 000</w:t>
      </w:r>
      <w:r>
        <w:rPr>
          <w:snapToGrid/>
          <w:szCs w:val="21"/>
          <w:lang w:val="en-GB"/>
        </w:rPr>
        <w:t>名观众的冰球体育馆，开设有土库曼斯坦奥林匹克预备队的专业寄宿训练班；残奥中心；室内和室外的水上运动设施，建有游泳和跳水游泳池；</w:t>
      </w:r>
      <w:r>
        <w:rPr>
          <w:snapToGrid/>
          <w:szCs w:val="21"/>
          <w:lang w:val="en-GB"/>
        </w:rPr>
        <w:t>10</w:t>
      </w:r>
      <w:r>
        <w:rPr>
          <w:snapToGrid/>
          <w:szCs w:val="21"/>
          <w:lang w:val="en-GB"/>
        </w:rPr>
        <w:t>余个网球场；有保龄球、羽毛球、乒乓球内部运动场地的露天自行车赛车场；足球场；迷你足球、举重、击剑和拳击、比赛体育项目、体操用的训练场和大厅，以及许多其它设施。</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205.</w:t>
      </w:r>
      <w:r>
        <w:rPr>
          <w:rFonts w:hint="eastAsia"/>
          <w:snapToGrid/>
          <w:szCs w:val="21"/>
          <w:lang w:val="en-GB"/>
        </w:rPr>
        <w:t xml:space="preserve">  </w:t>
      </w:r>
      <w:r>
        <w:rPr>
          <w:snapToGrid/>
          <w:szCs w:val="21"/>
          <w:lang w:val="en-GB"/>
        </w:rPr>
        <w:t>致力于经济发展是土库曼斯坦的特点，所以土库曼斯坦的住房收费标准较低。根据题为</w:t>
      </w:r>
      <w:r>
        <w:rPr>
          <w:snapToGrid/>
          <w:szCs w:val="21"/>
          <w:lang w:val="en-GB"/>
        </w:rPr>
        <w:t>“</w:t>
      </w:r>
      <w:r>
        <w:rPr>
          <w:snapToGrid/>
          <w:szCs w:val="21"/>
          <w:lang w:val="en-GB"/>
        </w:rPr>
        <w:t>至</w:t>
      </w:r>
      <w:r>
        <w:rPr>
          <w:snapToGrid/>
          <w:szCs w:val="21"/>
          <w:lang w:val="en-GB"/>
        </w:rPr>
        <w:t>2020</w:t>
      </w:r>
      <w:r>
        <w:rPr>
          <w:snapToGrid/>
          <w:szCs w:val="21"/>
          <w:lang w:val="en-GB"/>
        </w:rPr>
        <w:t>年独立的土库曼斯坦经济、政治和文化发展战略</w:t>
      </w:r>
      <w:r>
        <w:rPr>
          <w:snapToGrid/>
          <w:szCs w:val="21"/>
          <w:lang w:val="en-GB"/>
        </w:rPr>
        <w:t>”</w:t>
      </w:r>
      <w:r>
        <w:rPr>
          <w:snapToGrid/>
          <w:szCs w:val="21"/>
          <w:lang w:val="en-GB"/>
        </w:rPr>
        <w:t>的国家纲要，对市政住房房租、公共交通费、电话费给予国家援助。</w:t>
      </w:r>
      <w:r>
        <w:rPr>
          <w:snapToGrid/>
          <w:szCs w:val="21"/>
          <w:lang w:val="en-GB"/>
        </w:rPr>
        <w:t>2007</w:t>
      </w:r>
      <w:r>
        <w:rPr>
          <w:snapToGrid/>
          <w:szCs w:val="21"/>
          <w:lang w:val="en-GB"/>
        </w:rPr>
        <w:t>年，根据家庭预算抽查数据，平均每月一家的房费占总支出的</w:t>
      </w:r>
      <w:r>
        <w:rPr>
          <w:snapToGrid/>
          <w:szCs w:val="21"/>
          <w:lang w:val="en-GB"/>
        </w:rPr>
        <w:t>0.2%</w:t>
      </w:r>
      <w:r>
        <w:rPr>
          <w:snapToGrid/>
          <w:szCs w:val="21"/>
          <w:lang w:val="en-GB"/>
        </w:rPr>
        <w:t>：</w:t>
      </w:r>
    </w:p>
    <w:p w:rsidR="00A93F62" w:rsidRDefault="00AC06A9">
      <w:pPr>
        <w:tabs>
          <w:tab w:val="clear" w:pos="431"/>
        </w:tabs>
        <w:suppressAutoHyphens/>
        <w:overflowPunct/>
        <w:adjustRightInd/>
        <w:snapToGrid/>
        <w:spacing w:after="120" w:line="240" w:lineRule="atLeast"/>
        <w:ind w:left="1134" w:right="1134"/>
        <w:rPr>
          <w:rFonts w:eastAsia="SimHei" w:hint="eastAsia"/>
          <w:snapToGrid/>
          <w:szCs w:val="21"/>
          <w:lang w:val="en-GB"/>
        </w:rPr>
      </w:pPr>
      <w:r>
        <w:rPr>
          <w:rFonts w:eastAsia="SimHei"/>
          <w:snapToGrid/>
          <w:szCs w:val="21"/>
          <w:lang w:val="en-GB"/>
        </w:rPr>
        <w:t xml:space="preserve"> </w:t>
      </w:r>
      <w:r w:rsidR="00A93F62">
        <w:rPr>
          <w:rFonts w:eastAsia="SimHei" w:hint="eastAsia"/>
          <w:snapToGrid/>
          <w:szCs w:val="21"/>
          <w:lang w:val="en-GB"/>
        </w:rPr>
        <w:t>(</w:t>
      </w:r>
      <w:r w:rsidR="00A93F62">
        <w:rPr>
          <w:rFonts w:eastAsia="SimHei"/>
          <w:snapToGrid/>
          <w:szCs w:val="21"/>
          <w:lang w:val="en-GB"/>
        </w:rPr>
        <w:t>a)</w:t>
      </w:r>
      <w:r w:rsidR="00A93F62">
        <w:rPr>
          <w:rFonts w:eastAsia="SimHei" w:hint="eastAsia"/>
          <w:snapToGrid/>
          <w:szCs w:val="21"/>
          <w:lang w:val="en-GB"/>
        </w:rPr>
        <w:tab/>
      </w:r>
      <w:r w:rsidR="00A93F62">
        <w:rPr>
          <w:rFonts w:eastAsia="SimHei"/>
          <w:snapToGrid/>
          <w:szCs w:val="21"/>
          <w:lang w:val="en-GB"/>
        </w:rPr>
        <w:t>居民总居住面积，平方米</w:t>
      </w:r>
      <w:r w:rsidR="00A93F62">
        <w:rPr>
          <w:rFonts w:eastAsia="SimHei"/>
          <w:snapToGrid/>
          <w:szCs w:val="21"/>
          <w:lang w:val="en-GB"/>
        </w:rPr>
        <w:t>/</w:t>
      </w:r>
      <w:r w:rsidR="00A93F62">
        <w:rPr>
          <w:rFonts w:eastAsia="SimHei"/>
          <w:snapToGrid/>
          <w:szCs w:val="21"/>
          <w:lang w:val="en-GB"/>
        </w:rPr>
        <w:t>人</w:t>
      </w:r>
    </w:p>
    <w:tbl>
      <w:tblPr>
        <w:tblStyle w:val="TabNum"/>
        <w:tblW w:w="7493" w:type="dxa"/>
        <w:tblInd w:w="1228" w:type="dxa"/>
        <w:tblLook w:val="01E0" w:firstRow="1" w:lastRow="1" w:firstColumn="1" w:lastColumn="1" w:noHBand="0" w:noVBand="0"/>
      </w:tblPr>
      <w:tblGrid>
        <w:gridCol w:w="1320"/>
        <w:gridCol w:w="854"/>
        <w:gridCol w:w="742"/>
        <w:gridCol w:w="770"/>
        <w:gridCol w:w="742"/>
        <w:gridCol w:w="811"/>
        <w:gridCol w:w="756"/>
        <w:gridCol w:w="728"/>
        <w:gridCol w:w="770"/>
      </w:tblGrid>
      <w:tr w:rsidR="00A93F62" w:rsidRPr="002A6966">
        <w:trPr>
          <w:trHeight w:hRule="exact" w:val="390"/>
          <w:tblHeader/>
        </w:trPr>
        <w:tc>
          <w:tcPr>
            <w:cnfStyle w:val="001000000000" w:firstRow="0" w:lastRow="0" w:firstColumn="1" w:lastColumn="0" w:oddVBand="0" w:evenVBand="0" w:oddHBand="0" w:evenHBand="0" w:firstRowFirstColumn="0" w:firstRowLastColumn="0" w:lastRowFirstColumn="0" w:lastRowLastColumn="0"/>
            <w:tcW w:w="1320" w:type="dxa"/>
            <w:tcBorders>
              <w:bottom w:val="single" w:sz="12" w:space="0" w:color="auto"/>
            </w:tcBorders>
            <w:shd w:val="clear" w:color="auto" w:fill="auto"/>
          </w:tcPr>
          <w:p w:rsidR="00A93F62" w:rsidRPr="002A6966" w:rsidRDefault="00A93F62">
            <w:pPr>
              <w:tabs>
                <w:tab w:val="clear" w:pos="431"/>
              </w:tabs>
              <w:suppressAutoHyphens/>
              <w:overflowPunct/>
              <w:adjustRightInd/>
              <w:snapToGrid/>
              <w:spacing w:before="0" w:after="0" w:line="240" w:lineRule="auto"/>
              <w:rPr>
                <w:i/>
                <w:snapToGrid/>
                <w:sz w:val="18"/>
                <w:szCs w:val="18"/>
                <w:lang w:val="en-GB"/>
              </w:rPr>
            </w:pPr>
          </w:p>
        </w:tc>
        <w:tc>
          <w:tcPr>
            <w:tcW w:w="854" w:type="dxa"/>
            <w:tcBorders>
              <w:top w:val="single" w:sz="4" w:space="0" w:color="auto"/>
              <w:bottom w:val="single" w:sz="12" w:space="0" w:color="auto"/>
            </w:tcBorders>
            <w:shd w:val="clear" w:color="auto" w:fill="auto"/>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4"/>
                <w:sz w:val="18"/>
                <w:szCs w:val="18"/>
                <w:lang w:val="en-GB" w:eastAsia="en-US"/>
              </w:rPr>
            </w:pPr>
            <w:r w:rsidRPr="002A6966">
              <w:rPr>
                <w:rFonts w:eastAsia="KaiTi_GB2312"/>
                <w:snapToGrid/>
                <w:spacing w:val="-4"/>
                <w:sz w:val="18"/>
                <w:szCs w:val="18"/>
                <w:lang w:val="en-GB" w:eastAsia="en-US"/>
              </w:rPr>
              <w:t>2000</w:t>
            </w:r>
            <w:r w:rsidRPr="002A6966">
              <w:rPr>
                <w:rFonts w:eastAsia="KaiTi_GB2312"/>
                <w:snapToGrid/>
                <w:spacing w:val="-4"/>
                <w:sz w:val="18"/>
                <w:szCs w:val="18"/>
                <w:lang w:val="en-GB"/>
              </w:rPr>
              <w:t>年</w:t>
            </w:r>
          </w:p>
        </w:tc>
        <w:tc>
          <w:tcPr>
            <w:tcW w:w="742" w:type="dxa"/>
            <w:tcBorders>
              <w:top w:val="single" w:sz="4" w:space="0" w:color="auto"/>
              <w:bottom w:val="single" w:sz="12" w:space="0" w:color="auto"/>
            </w:tcBorders>
            <w:shd w:val="clear" w:color="auto" w:fill="auto"/>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4"/>
                <w:sz w:val="18"/>
                <w:szCs w:val="18"/>
                <w:lang w:val="en-GB"/>
              </w:rPr>
            </w:pPr>
            <w:r w:rsidRPr="002A6966">
              <w:rPr>
                <w:rFonts w:eastAsia="KaiTi_GB2312"/>
                <w:snapToGrid/>
                <w:spacing w:val="-4"/>
                <w:sz w:val="18"/>
                <w:szCs w:val="18"/>
                <w:lang w:val="en-GB" w:eastAsia="en-US"/>
              </w:rPr>
              <w:t>2001</w:t>
            </w:r>
            <w:r w:rsidRPr="002A6966">
              <w:rPr>
                <w:rFonts w:eastAsia="KaiTi_GB2312"/>
                <w:snapToGrid/>
                <w:spacing w:val="-4"/>
                <w:sz w:val="18"/>
                <w:szCs w:val="18"/>
                <w:lang w:val="en-GB"/>
              </w:rPr>
              <w:t>年</w:t>
            </w:r>
          </w:p>
        </w:tc>
        <w:tc>
          <w:tcPr>
            <w:tcW w:w="770" w:type="dxa"/>
            <w:tcBorders>
              <w:top w:val="single" w:sz="4" w:space="0" w:color="auto"/>
              <w:bottom w:val="single" w:sz="12" w:space="0" w:color="auto"/>
            </w:tcBorders>
            <w:shd w:val="clear" w:color="auto" w:fill="auto"/>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4"/>
                <w:sz w:val="18"/>
                <w:szCs w:val="18"/>
                <w:lang w:val="en-GB" w:eastAsia="en-US"/>
              </w:rPr>
            </w:pPr>
            <w:r w:rsidRPr="002A6966">
              <w:rPr>
                <w:rFonts w:eastAsia="KaiTi_GB2312"/>
                <w:snapToGrid/>
                <w:spacing w:val="-4"/>
                <w:sz w:val="18"/>
                <w:szCs w:val="18"/>
                <w:lang w:val="en-GB" w:eastAsia="en-US"/>
              </w:rPr>
              <w:t>2002</w:t>
            </w:r>
            <w:r w:rsidRPr="002A6966">
              <w:rPr>
                <w:rFonts w:eastAsia="KaiTi_GB2312"/>
                <w:snapToGrid/>
                <w:spacing w:val="-4"/>
                <w:sz w:val="18"/>
                <w:szCs w:val="18"/>
                <w:lang w:val="en-GB"/>
              </w:rPr>
              <w:t>年</w:t>
            </w:r>
          </w:p>
        </w:tc>
        <w:tc>
          <w:tcPr>
            <w:tcW w:w="742" w:type="dxa"/>
            <w:tcBorders>
              <w:top w:val="single" w:sz="4" w:space="0" w:color="auto"/>
              <w:bottom w:val="single" w:sz="12" w:space="0" w:color="auto"/>
            </w:tcBorders>
            <w:shd w:val="clear" w:color="auto" w:fill="auto"/>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4"/>
                <w:sz w:val="18"/>
                <w:szCs w:val="18"/>
                <w:lang w:val="en-GB" w:eastAsia="en-US"/>
              </w:rPr>
            </w:pPr>
            <w:r w:rsidRPr="002A6966">
              <w:rPr>
                <w:rFonts w:eastAsia="KaiTi_GB2312"/>
                <w:snapToGrid/>
                <w:spacing w:val="-4"/>
                <w:sz w:val="18"/>
                <w:szCs w:val="18"/>
                <w:lang w:val="en-GB" w:eastAsia="en-US"/>
              </w:rPr>
              <w:t>2003</w:t>
            </w:r>
            <w:r w:rsidRPr="002A6966">
              <w:rPr>
                <w:rFonts w:eastAsia="KaiTi_GB2312"/>
                <w:snapToGrid/>
                <w:spacing w:val="-4"/>
                <w:sz w:val="18"/>
                <w:szCs w:val="18"/>
                <w:lang w:val="en-GB"/>
              </w:rPr>
              <w:t>年</w:t>
            </w:r>
          </w:p>
        </w:tc>
        <w:tc>
          <w:tcPr>
            <w:tcW w:w="811" w:type="dxa"/>
            <w:tcBorders>
              <w:top w:val="single" w:sz="4" w:space="0" w:color="auto"/>
              <w:bottom w:val="single" w:sz="12" w:space="0" w:color="auto"/>
            </w:tcBorders>
            <w:shd w:val="clear" w:color="auto" w:fill="auto"/>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4"/>
                <w:sz w:val="18"/>
                <w:szCs w:val="18"/>
                <w:lang w:val="en-GB"/>
              </w:rPr>
            </w:pPr>
            <w:r w:rsidRPr="002A6966">
              <w:rPr>
                <w:rFonts w:eastAsia="KaiTi_GB2312"/>
                <w:snapToGrid/>
                <w:spacing w:val="-4"/>
                <w:sz w:val="18"/>
                <w:szCs w:val="18"/>
                <w:lang w:val="en-GB" w:eastAsia="en-US"/>
              </w:rPr>
              <w:t>2004</w:t>
            </w:r>
            <w:r w:rsidRPr="002A6966">
              <w:rPr>
                <w:rFonts w:eastAsia="KaiTi_GB2312"/>
                <w:snapToGrid/>
                <w:spacing w:val="-4"/>
                <w:sz w:val="18"/>
                <w:szCs w:val="18"/>
                <w:lang w:val="en-GB"/>
              </w:rPr>
              <w:t>年</w:t>
            </w:r>
          </w:p>
        </w:tc>
        <w:tc>
          <w:tcPr>
            <w:tcW w:w="756" w:type="dxa"/>
            <w:tcBorders>
              <w:top w:val="single" w:sz="4" w:space="0" w:color="auto"/>
              <w:bottom w:val="single" w:sz="12" w:space="0" w:color="auto"/>
            </w:tcBorders>
            <w:shd w:val="clear" w:color="auto" w:fill="auto"/>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4"/>
                <w:sz w:val="18"/>
                <w:szCs w:val="18"/>
                <w:lang w:val="en-GB"/>
              </w:rPr>
            </w:pPr>
            <w:r w:rsidRPr="002A6966">
              <w:rPr>
                <w:rFonts w:eastAsia="KaiTi_GB2312"/>
                <w:snapToGrid/>
                <w:spacing w:val="-4"/>
                <w:sz w:val="18"/>
                <w:szCs w:val="18"/>
                <w:lang w:val="en-GB" w:eastAsia="en-US"/>
              </w:rPr>
              <w:t>2005</w:t>
            </w:r>
            <w:r w:rsidRPr="002A6966">
              <w:rPr>
                <w:rFonts w:eastAsia="KaiTi_GB2312"/>
                <w:snapToGrid/>
                <w:spacing w:val="-4"/>
                <w:sz w:val="18"/>
                <w:szCs w:val="18"/>
                <w:lang w:val="en-GB"/>
              </w:rPr>
              <w:t>年</w:t>
            </w:r>
          </w:p>
        </w:tc>
        <w:tc>
          <w:tcPr>
            <w:tcW w:w="728" w:type="dxa"/>
            <w:tcBorders>
              <w:top w:val="single" w:sz="4" w:space="0" w:color="auto"/>
              <w:bottom w:val="single" w:sz="12" w:space="0" w:color="auto"/>
            </w:tcBorders>
            <w:shd w:val="clear" w:color="auto" w:fill="auto"/>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4"/>
                <w:sz w:val="18"/>
                <w:szCs w:val="18"/>
                <w:lang w:val="en-GB"/>
              </w:rPr>
            </w:pPr>
            <w:r w:rsidRPr="002A6966">
              <w:rPr>
                <w:rFonts w:eastAsia="KaiTi_GB2312"/>
                <w:snapToGrid/>
                <w:spacing w:val="-4"/>
                <w:sz w:val="18"/>
                <w:szCs w:val="18"/>
                <w:lang w:val="en-GB" w:eastAsia="en-US"/>
              </w:rPr>
              <w:t>2006</w:t>
            </w:r>
            <w:r w:rsidRPr="002A6966">
              <w:rPr>
                <w:rFonts w:eastAsia="KaiTi_GB2312"/>
                <w:snapToGrid/>
                <w:spacing w:val="-4"/>
                <w:sz w:val="18"/>
                <w:szCs w:val="18"/>
                <w:lang w:val="en-GB"/>
              </w:rPr>
              <w:t>年</w:t>
            </w:r>
          </w:p>
        </w:tc>
        <w:tc>
          <w:tcPr>
            <w:tcW w:w="770" w:type="dxa"/>
            <w:tcBorders>
              <w:top w:val="single" w:sz="4" w:space="0" w:color="auto"/>
              <w:bottom w:val="single" w:sz="12" w:space="0" w:color="auto"/>
            </w:tcBorders>
            <w:shd w:val="clear" w:color="auto" w:fill="auto"/>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4"/>
                <w:sz w:val="18"/>
                <w:szCs w:val="18"/>
                <w:lang w:val="en-GB" w:eastAsia="en-US"/>
              </w:rPr>
            </w:pPr>
            <w:r w:rsidRPr="002A6966">
              <w:rPr>
                <w:rFonts w:eastAsia="KaiTi_GB2312"/>
                <w:snapToGrid/>
                <w:spacing w:val="-4"/>
                <w:sz w:val="18"/>
                <w:szCs w:val="18"/>
                <w:lang w:val="en-GB" w:eastAsia="en-US"/>
              </w:rPr>
              <w:t>2007</w:t>
            </w:r>
            <w:r w:rsidRPr="002A6966">
              <w:rPr>
                <w:rFonts w:eastAsia="KaiTi_GB2312"/>
                <w:snapToGrid/>
                <w:spacing w:val="-4"/>
                <w:sz w:val="18"/>
                <w:szCs w:val="18"/>
                <w:lang w:val="en-GB"/>
              </w:rPr>
              <w:t>年</w:t>
            </w:r>
          </w:p>
        </w:tc>
      </w:tr>
      <w:tr w:rsidR="00A93F62" w:rsidRPr="002A6966">
        <w:trPr>
          <w:trHeight w:hRule="exact" w:val="338"/>
        </w:trPr>
        <w:tc>
          <w:tcPr>
            <w:cnfStyle w:val="001000000000" w:firstRow="0" w:lastRow="0" w:firstColumn="1" w:lastColumn="0" w:oddVBand="0" w:evenVBand="0" w:oddHBand="0" w:evenHBand="0" w:firstRowFirstColumn="0" w:firstRowLastColumn="0" w:lastRowFirstColumn="0" w:lastRowLastColumn="0"/>
            <w:tcW w:w="1320" w:type="dxa"/>
          </w:tcPr>
          <w:p w:rsidR="00A93F62" w:rsidRPr="002A6966" w:rsidRDefault="00A93F62">
            <w:pPr>
              <w:tabs>
                <w:tab w:val="clear" w:pos="431"/>
              </w:tabs>
              <w:suppressAutoHyphens/>
              <w:overflowPunct/>
              <w:adjustRightInd/>
              <w:snapToGrid/>
              <w:spacing w:before="0" w:after="0" w:line="240" w:lineRule="auto"/>
              <w:jc w:val="left"/>
              <w:rPr>
                <w:rFonts w:ascii="SimHei" w:eastAsia="SimHei"/>
                <w:b/>
                <w:snapToGrid/>
                <w:sz w:val="18"/>
                <w:szCs w:val="18"/>
                <w:lang w:val="en-GB" w:eastAsia="en-US"/>
              </w:rPr>
            </w:pPr>
            <w:r w:rsidRPr="002A6966">
              <w:rPr>
                <w:rFonts w:ascii="SimHei" w:eastAsia="SimHei"/>
                <w:snapToGrid/>
                <w:sz w:val="18"/>
                <w:szCs w:val="18"/>
                <w:lang w:val="en-GB"/>
              </w:rPr>
              <w:t>土库曼斯坦</w:t>
            </w:r>
          </w:p>
        </w:tc>
        <w:tc>
          <w:tcPr>
            <w:tcW w:w="854"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eastAsia="SimHei"/>
                <w:b/>
                <w:snapToGrid/>
                <w:sz w:val="18"/>
                <w:szCs w:val="18"/>
                <w:lang w:val="en-GB" w:eastAsia="en-US"/>
              </w:rPr>
            </w:pPr>
            <w:r w:rsidRPr="002A6966">
              <w:rPr>
                <w:rFonts w:eastAsia="SimHei"/>
                <w:b/>
                <w:snapToGrid/>
                <w:sz w:val="18"/>
                <w:szCs w:val="18"/>
                <w:lang w:val="en-GB" w:eastAsia="en-US"/>
              </w:rPr>
              <w:t>17.8</w:t>
            </w: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eastAsia="SimHei"/>
                <w:b/>
                <w:snapToGrid/>
                <w:sz w:val="18"/>
                <w:szCs w:val="18"/>
                <w:lang w:val="en-GB" w:eastAsia="en-US"/>
              </w:rPr>
            </w:pPr>
            <w:r w:rsidRPr="002A6966">
              <w:rPr>
                <w:rFonts w:eastAsia="SimHei"/>
                <w:b/>
                <w:snapToGrid/>
                <w:sz w:val="18"/>
                <w:szCs w:val="18"/>
                <w:lang w:val="en-GB" w:eastAsia="en-US"/>
              </w:rPr>
              <w:t>18.3</w:t>
            </w: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eastAsia="SimHei"/>
                <w:b/>
                <w:snapToGrid/>
                <w:sz w:val="18"/>
                <w:szCs w:val="18"/>
                <w:lang w:val="en-GB" w:eastAsia="en-US"/>
              </w:rPr>
            </w:pPr>
            <w:r w:rsidRPr="002A6966">
              <w:rPr>
                <w:rFonts w:eastAsia="SimHei"/>
                <w:b/>
                <w:snapToGrid/>
                <w:sz w:val="18"/>
                <w:szCs w:val="18"/>
                <w:lang w:val="en-GB" w:eastAsia="en-US"/>
              </w:rPr>
              <w:t>19.2</w:t>
            </w: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eastAsia="SimHei"/>
                <w:b/>
                <w:snapToGrid/>
                <w:sz w:val="18"/>
                <w:szCs w:val="18"/>
                <w:lang w:val="en-GB" w:eastAsia="en-US"/>
              </w:rPr>
            </w:pPr>
            <w:r w:rsidRPr="002A6966">
              <w:rPr>
                <w:rFonts w:eastAsia="SimHei"/>
                <w:b/>
                <w:snapToGrid/>
                <w:sz w:val="18"/>
                <w:szCs w:val="18"/>
                <w:lang w:val="en-GB" w:eastAsia="en-US"/>
              </w:rPr>
              <w:t>19.4</w:t>
            </w:r>
          </w:p>
        </w:tc>
        <w:tc>
          <w:tcPr>
            <w:tcW w:w="811"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eastAsia="SimHei"/>
                <w:b/>
                <w:snapToGrid/>
                <w:sz w:val="18"/>
                <w:szCs w:val="18"/>
                <w:lang w:val="en-GB" w:eastAsia="en-US"/>
              </w:rPr>
            </w:pPr>
            <w:r w:rsidRPr="002A6966">
              <w:rPr>
                <w:rFonts w:eastAsia="SimHei"/>
                <w:b/>
                <w:snapToGrid/>
                <w:sz w:val="18"/>
                <w:szCs w:val="18"/>
                <w:lang w:val="en-GB" w:eastAsia="en-US"/>
              </w:rPr>
              <w:t>19.6</w:t>
            </w:r>
          </w:p>
        </w:tc>
        <w:tc>
          <w:tcPr>
            <w:tcW w:w="756"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eastAsia="SimHei"/>
                <w:b/>
                <w:snapToGrid/>
                <w:sz w:val="18"/>
                <w:szCs w:val="18"/>
                <w:lang w:val="en-GB" w:eastAsia="en-US"/>
              </w:rPr>
            </w:pPr>
            <w:r w:rsidRPr="002A6966">
              <w:rPr>
                <w:rFonts w:eastAsia="SimHei"/>
                <w:b/>
                <w:snapToGrid/>
                <w:sz w:val="18"/>
                <w:szCs w:val="18"/>
                <w:lang w:val="en-GB" w:eastAsia="en-US"/>
              </w:rPr>
              <w:t>19.7</w:t>
            </w:r>
          </w:p>
        </w:tc>
        <w:tc>
          <w:tcPr>
            <w:tcW w:w="728"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eastAsia="SimHei"/>
                <w:b/>
                <w:snapToGrid/>
                <w:sz w:val="18"/>
                <w:szCs w:val="18"/>
                <w:lang w:val="en-GB" w:eastAsia="en-US"/>
              </w:rPr>
            </w:pPr>
            <w:r w:rsidRPr="002A6966">
              <w:rPr>
                <w:rFonts w:eastAsia="SimHei"/>
                <w:b/>
                <w:snapToGrid/>
                <w:sz w:val="18"/>
                <w:szCs w:val="18"/>
                <w:lang w:val="en-GB" w:eastAsia="en-US"/>
              </w:rPr>
              <w:t>19.8</w:t>
            </w: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eastAsia="SimHei"/>
                <w:b/>
                <w:snapToGrid/>
                <w:sz w:val="18"/>
                <w:szCs w:val="18"/>
                <w:lang w:val="en-GB" w:eastAsia="en-US"/>
              </w:rPr>
            </w:pPr>
            <w:r w:rsidRPr="002A6966">
              <w:rPr>
                <w:rFonts w:eastAsia="SimHei"/>
                <w:b/>
                <w:snapToGrid/>
                <w:sz w:val="18"/>
                <w:szCs w:val="18"/>
                <w:lang w:val="en-GB" w:eastAsia="en-US"/>
              </w:rPr>
              <w:t>19.9</w:t>
            </w:r>
          </w:p>
        </w:tc>
      </w:tr>
      <w:tr w:rsidR="00A93F62" w:rsidRPr="002A6966">
        <w:trPr>
          <w:trHeight w:hRule="exact" w:val="338"/>
        </w:trPr>
        <w:tc>
          <w:tcPr>
            <w:cnfStyle w:val="001000000000" w:firstRow="0" w:lastRow="0" w:firstColumn="1" w:lastColumn="0" w:oddVBand="0" w:evenVBand="0" w:oddHBand="0" w:evenHBand="0" w:firstRowFirstColumn="0" w:firstRowLastColumn="0" w:lastRowFirstColumn="0" w:lastRowLastColumn="0"/>
            <w:tcW w:w="1320" w:type="dxa"/>
          </w:tcPr>
          <w:p w:rsidR="00A93F62" w:rsidRPr="002A6966" w:rsidRDefault="00A93F62">
            <w:pPr>
              <w:tabs>
                <w:tab w:val="clear" w:pos="431"/>
              </w:tabs>
              <w:suppressAutoHyphens/>
              <w:overflowPunct/>
              <w:adjustRightInd/>
              <w:snapToGrid/>
              <w:spacing w:before="0" w:after="0" w:line="240" w:lineRule="auto"/>
              <w:jc w:val="left"/>
              <w:rPr>
                <w:snapToGrid/>
                <w:sz w:val="18"/>
                <w:szCs w:val="18"/>
                <w:lang w:val="en-GB"/>
              </w:rPr>
            </w:pPr>
            <w:r w:rsidRPr="002A6966">
              <w:rPr>
                <w:snapToGrid/>
                <w:sz w:val="18"/>
                <w:szCs w:val="18"/>
                <w:lang w:val="en-GB"/>
              </w:rPr>
              <w:t>阿什哈巴德市</w:t>
            </w:r>
          </w:p>
        </w:tc>
        <w:tc>
          <w:tcPr>
            <w:tcW w:w="854"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14.7</w:t>
            </w: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15.2</w:t>
            </w: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15.8</w:t>
            </w: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16.0</w:t>
            </w:r>
          </w:p>
        </w:tc>
        <w:tc>
          <w:tcPr>
            <w:tcW w:w="811"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16.2</w:t>
            </w:r>
          </w:p>
        </w:tc>
        <w:tc>
          <w:tcPr>
            <w:tcW w:w="756"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16.3</w:t>
            </w:r>
          </w:p>
        </w:tc>
        <w:tc>
          <w:tcPr>
            <w:tcW w:w="728"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16.4</w:t>
            </w: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16.5</w:t>
            </w:r>
          </w:p>
        </w:tc>
      </w:tr>
      <w:tr w:rsidR="00A93F62" w:rsidRPr="002A6966">
        <w:trPr>
          <w:trHeight w:hRule="exact" w:val="338"/>
        </w:trPr>
        <w:tc>
          <w:tcPr>
            <w:cnfStyle w:val="001000000000" w:firstRow="0" w:lastRow="0" w:firstColumn="1" w:lastColumn="0" w:oddVBand="0" w:evenVBand="0" w:oddHBand="0" w:evenHBand="0" w:firstRowFirstColumn="0" w:firstRowLastColumn="0" w:lastRowFirstColumn="0" w:lastRowLastColumn="0"/>
            <w:tcW w:w="1320" w:type="dxa"/>
          </w:tcPr>
          <w:p w:rsidR="00A93F62" w:rsidRPr="002A6966" w:rsidRDefault="00A93F62">
            <w:pPr>
              <w:tabs>
                <w:tab w:val="clear" w:pos="431"/>
              </w:tabs>
              <w:suppressAutoHyphens/>
              <w:overflowPunct/>
              <w:adjustRightInd/>
              <w:snapToGrid/>
              <w:spacing w:before="0" w:after="0" w:line="240" w:lineRule="auto"/>
              <w:jc w:val="left"/>
              <w:rPr>
                <w:rFonts w:hint="eastAsia"/>
                <w:snapToGrid/>
                <w:sz w:val="18"/>
                <w:szCs w:val="18"/>
                <w:lang w:val="en-GB"/>
              </w:rPr>
            </w:pPr>
            <w:r w:rsidRPr="002A6966">
              <w:rPr>
                <w:snapToGrid/>
                <w:sz w:val="18"/>
                <w:szCs w:val="18"/>
                <w:lang w:val="en-GB"/>
              </w:rPr>
              <w:t>省区：</w:t>
            </w:r>
          </w:p>
        </w:tc>
        <w:tc>
          <w:tcPr>
            <w:tcW w:w="854"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811"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756"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728"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2A6966">
        <w:trPr>
          <w:trHeight w:hRule="exact" w:val="390"/>
        </w:trPr>
        <w:tc>
          <w:tcPr>
            <w:cnfStyle w:val="001000000000" w:firstRow="0" w:lastRow="0" w:firstColumn="1" w:lastColumn="0" w:oddVBand="0" w:evenVBand="0" w:oddHBand="0" w:evenHBand="0" w:firstRowFirstColumn="0" w:firstRowLastColumn="0" w:lastRowFirstColumn="0" w:lastRowLastColumn="0"/>
            <w:tcW w:w="1320" w:type="dxa"/>
          </w:tcPr>
          <w:p w:rsidR="00A93F62" w:rsidRPr="002A6966" w:rsidRDefault="00A93F62">
            <w:pPr>
              <w:tabs>
                <w:tab w:val="clear" w:pos="431"/>
              </w:tabs>
              <w:suppressAutoHyphens/>
              <w:overflowPunct/>
              <w:adjustRightInd/>
              <w:snapToGrid/>
              <w:spacing w:before="0" w:after="0" w:line="240" w:lineRule="auto"/>
              <w:jc w:val="left"/>
              <w:rPr>
                <w:snapToGrid/>
                <w:sz w:val="18"/>
                <w:szCs w:val="18"/>
                <w:lang w:val="en-GB"/>
              </w:rPr>
            </w:pPr>
            <w:r w:rsidRPr="002A6966">
              <w:rPr>
                <w:snapToGrid/>
                <w:sz w:val="18"/>
                <w:szCs w:val="18"/>
                <w:lang w:val="en-GB"/>
              </w:rPr>
              <w:t>阿哈尔省</w:t>
            </w:r>
          </w:p>
        </w:tc>
        <w:tc>
          <w:tcPr>
            <w:tcW w:w="854"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15.3</w:t>
            </w: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15.7</w:t>
            </w: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16.3</w:t>
            </w: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16.5</w:t>
            </w:r>
          </w:p>
        </w:tc>
        <w:tc>
          <w:tcPr>
            <w:tcW w:w="811"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16.6</w:t>
            </w:r>
          </w:p>
        </w:tc>
        <w:tc>
          <w:tcPr>
            <w:tcW w:w="756"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16.7</w:t>
            </w:r>
          </w:p>
        </w:tc>
        <w:tc>
          <w:tcPr>
            <w:tcW w:w="728"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16.7</w:t>
            </w: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16.9</w:t>
            </w:r>
          </w:p>
        </w:tc>
      </w:tr>
      <w:tr w:rsidR="00A93F62" w:rsidRPr="002A6966">
        <w:trPr>
          <w:trHeight w:hRule="exact" w:val="390"/>
        </w:trPr>
        <w:tc>
          <w:tcPr>
            <w:cnfStyle w:val="001000000000" w:firstRow="0" w:lastRow="0" w:firstColumn="1" w:lastColumn="0" w:oddVBand="0" w:evenVBand="0" w:oddHBand="0" w:evenHBand="0" w:firstRowFirstColumn="0" w:firstRowLastColumn="0" w:lastRowFirstColumn="0" w:lastRowLastColumn="0"/>
            <w:tcW w:w="1320" w:type="dxa"/>
          </w:tcPr>
          <w:p w:rsidR="00A93F62" w:rsidRPr="002A6966" w:rsidRDefault="00A93F62">
            <w:pPr>
              <w:tabs>
                <w:tab w:val="clear" w:pos="431"/>
              </w:tabs>
              <w:suppressAutoHyphens/>
              <w:overflowPunct/>
              <w:adjustRightInd/>
              <w:snapToGrid/>
              <w:spacing w:before="0" w:after="0" w:line="240" w:lineRule="auto"/>
              <w:jc w:val="left"/>
              <w:rPr>
                <w:snapToGrid/>
                <w:sz w:val="18"/>
                <w:szCs w:val="18"/>
                <w:lang w:val="en-GB"/>
              </w:rPr>
            </w:pPr>
            <w:r w:rsidRPr="002A6966">
              <w:rPr>
                <w:snapToGrid/>
                <w:sz w:val="18"/>
                <w:szCs w:val="18"/>
                <w:lang w:val="en-GB"/>
              </w:rPr>
              <w:t>巴尔干省</w:t>
            </w:r>
          </w:p>
        </w:tc>
        <w:tc>
          <w:tcPr>
            <w:tcW w:w="854"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13.8</w:t>
            </w: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14.0</w:t>
            </w: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14.6</w:t>
            </w: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14.7</w:t>
            </w:r>
          </w:p>
        </w:tc>
        <w:tc>
          <w:tcPr>
            <w:tcW w:w="811"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14.7</w:t>
            </w:r>
          </w:p>
        </w:tc>
        <w:tc>
          <w:tcPr>
            <w:tcW w:w="756"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14.8</w:t>
            </w:r>
          </w:p>
        </w:tc>
        <w:tc>
          <w:tcPr>
            <w:tcW w:w="728"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15.3</w:t>
            </w: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15.3</w:t>
            </w:r>
          </w:p>
        </w:tc>
      </w:tr>
      <w:tr w:rsidR="00A93F62" w:rsidRPr="002A6966">
        <w:trPr>
          <w:trHeight w:hRule="exact" w:val="390"/>
        </w:trPr>
        <w:tc>
          <w:tcPr>
            <w:cnfStyle w:val="001000000000" w:firstRow="0" w:lastRow="0" w:firstColumn="1" w:lastColumn="0" w:oddVBand="0" w:evenVBand="0" w:oddHBand="0" w:evenHBand="0" w:firstRowFirstColumn="0" w:firstRowLastColumn="0" w:lastRowFirstColumn="0" w:lastRowLastColumn="0"/>
            <w:tcW w:w="1320" w:type="dxa"/>
          </w:tcPr>
          <w:p w:rsidR="00A93F62" w:rsidRPr="002A6966" w:rsidRDefault="00A93F62">
            <w:pPr>
              <w:tabs>
                <w:tab w:val="clear" w:pos="431"/>
              </w:tabs>
              <w:suppressAutoHyphens/>
              <w:overflowPunct/>
              <w:adjustRightInd/>
              <w:snapToGrid/>
              <w:spacing w:before="0" w:after="0" w:line="240" w:lineRule="auto"/>
              <w:jc w:val="left"/>
              <w:rPr>
                <w:snapToGrid/>
                <w:sz w:val="18"/>
                <w:szCs w:val="18"/>
                <w:lang w:val="en-GB"/>
              </w:rPr>
            </w:pPr>
            <w:r w:rsidRPr="002A6966">
              <w:rPr>
                <w:snapToGrid/>
                <w:sz w:val="18"/>
                <w:szCs w:val="18"/>
                <w:lang w:val="en-GB"/>
              </w:rPr>
              <w:t>达守古斯省</w:t>
            </w:r>
          </w:p>
        </w:tc>
        <w:tc>
          <w:tcPr>
            <w:tcW w:w="854"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19.7</w:t>
            </w: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20.2</w:t>
            </w: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21.1</w:t>
            </w: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21.4</w:t>
            </w:r>
          </w:p>
        </w:tc>
        <w:tc>
          <w:tcPr>
            <w:tcW w:w="811"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21.5</w:t>
            </w:r>
          </w:p>
        </w:tc>
        <w:tc>
          <w:tcPr>
            <w:tcW w:w="756"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21.7</w:t>
            </w:r>
          </w:p>
        </w:tc>
        <w:tc>
          <w:tcPr>
            <w:tcW w:w="728"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21.8</w:t>
            </w: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21.9</w:t>
            </w:r>
          </w:p>
        </w:tc>
      </w:tr>
      <w:tr w:rsidR="00A93F62" w:rsidRPr="002A6966">
        <w:trPr>
          <w:trHeight w:hRule="exact" w:val="390"/>
        </w:trPr>
        <w:tc>
          <w:tcPr>
            <w:cnfStyle w:val="001000000000" w:firstRow="0" w:lastRow="0" w:firstColumn="1" w:lastColumn="0" w:oddVBand="0" w:evenVBand="0" w:oddHBand="0" w:evenHBand="0" w:firstRowFirstColumn="0" w:firstRowLastColumn="0" w:lastRowFirstColumn="0" w:lastRowLastColumn="0"/>
            <w:tcW w:w="1320" w:type="dxa"/>
          </w:tcPr>
          <w:p w:rsidR="00A93F62" w:rsidRPr="002A6966" w:rsidRDefault="00A93F62">
            <w:pPr>
              <w:tabs>
                <w:tab w:val="clear" w:pos="431"/>
              </w:tabs>
              <w:suppressAutoHyphens/>
              <w:overflowPunct/>
              <w:adjustRightInd/>
              <w:snapToGrid/>
              <w:spacing w:before="0" w:after="0" w:line="240" w:lineRule="auto"/>
              <w:jc w:val="left"/>
              <w:rPr>
                <w:snapToGrid/>
                <w:sz w:val="18"/>
                <w:szCs w:val="18"/>
                <w:lang w:val="en-GB"/>
              </w:rPr>
            </w:pPr>
            <w:r w:rsidRPr="002A6966">
              <w:rPr>
                <w:snapToGrid/>
                <w:sz w:val="18"/>
                <w:szCs w:val="18"/>
                <w:lang w:val="en-GB"/>
              </w:rPr>
              <w:t>列巴普省</w:t>
            </w:r>
          </w:p>
        </w:tc>
        <w:tc>
          <w:tcPr>
            <w:tcW w:w="854"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19.0</w:t>
            </w: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19.5</w:t>
            </w: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20.3</w:t>
            </w: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20.5</w:t>
            </w:r>
          </w:p>
        </w:tc>
        <w:tc>
          <w:tcPr>
            <w:tcW w:w="811"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20.8</w:t>
            </w:r>
          </w:p>
        </w:tc>
        <w:tc>
          <w:tcPr>
            <w:tcW w:w="756"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20.9</w:t>
            </w:r>
          </w:p>
        </w:tc>
        <w:tc>
          <w:tcPr>
            <w:tcW w:w="728"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21.1</w:t>
            </w: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21.3</w:t>
            </w:r>
          </w:p>
        </w:tc>
      </w:tr>
      <w:tr w:rsidR="00A93F62" w:rsidRPr="002A6966">
        <w:trPr>
          <w:trHeight w:hRule="exact" w:val="390"/>
        </w:trPr>
        <w:tc>
          <w:tcPr>
            <w:cnfStyle w:val="001000000000" w:firstRow="0" w:lastRow="0" w:firstColumn="1" w:lastColumn="0" w:oddVBand="0" w:evenVBand="0" w:oddHBand="0" w:evenHBand="0" w:firstRowFirstColumn="0" w:firstRowLastColumn="0" w:lastRowFirstColumn="0" w:lastRowLastColumn="0"/>
            <w:tcW w:w="1320" w:type="dxa"/>
          </w:tcPr>
          <w:p w:rsidR="00A93F62" w:rsidRPr="002A6966" w:rsidRDefault="00A93F62">
            <w:pPr>
              <w:tabs>
                <w:tab w:val="clear" w:pos="431"/>
              </w:tabs>
              <w:suppressAutoHyphens/>
              <w:overflowPunct/>
              <w:adjustRightInd/>
              <w:snapToGrid/>
              <w:spacing w:before="0" w:after="0" w:line="240" w:lineRule="auto"/>
              <w:jc w:val="left"/>
              <w:rPr>
                <w:snapToGrid/>
                <w:sz w:val="18"/>
                <w:szCs w:val="18"/>
                <w:lang w:val="en-GB"/>
              </w:rPr>
            </w:pPr>
            <w:r w:rsidRPr="002A6966">
              <w:rPr>
                <w:snapToGrid/>
                <w:sz w:val="18"/>
                <w:szCs w:val="18"/>
                <w:lang w:val="en-GB"/>
              </w:rPr>
              <w:t>马雷伊省</w:t>
            </w:r>
          </w:p>
        </w:tc>
        <w:tc>
          <w:tcPr>
            <w:tcW w:w="854"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19.9</w:t>
            </w: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20.4</w:t>
            </w: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21.3</w:t>
            </w:r>
          </w:p>
        </w:tc>
        <w:tc>
          <w:tcPr>
            <w:tcW w:w="742"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21.5</w:t>
            </w:r>
          </w:p>
        </w:tc>
        <w:tc>
          <w:tcPr>
            <w:tcW w:w="811"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21.7</w:t>
            </w:r>
          </w:p>
        </w:tc>
        <w:tc>
          <w:tcPr>
            <w:tcW w:w="756"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21.8</w:t>
            </w:r>
          </w:p>
        </w:tc>
        <w:tc>
          <w:tcPr>
            <w:tcW w:w="728"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21.8</w:t>
            </w:r>
          </w:p>
        </w:tc>
        <w:tc>
          <w:tcPr>
            <w:tcW w:w="770" w:type="dxa"/>
          </w:tcPr>
          <w:p w:rsidR="00A93F62" w:rsidRPr="002A6966" w:rsidRDefault="00A93F62" w:rsidP="002A6966">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A6966">
              <w:rPr>
                <w:snapToGrid/>
                <w:sz w:val="18"/>
                <w:szCs w:val="18"/>
                <w:lang w:val="en-GB" w:eastAsia="en-US"/>
              </w:rPr>
              <w:t>22.0</w:t>
            </w:r>
          </w:p>
        </w:tc>
      </w:tr>
    </w:tbl>
    <w:p w:rsidR="00A93F62" w:rsidRDefault="00A93F62">
      <w:pPr>
        <w:tabs>
          <w:tab w:val="clear" w:pos="431"/>
        </w:tabs>
        <w:suppressAutoHyphens/>
        <w:overflowPunct/>
        <w:adjustRightInd/>
        <w:snapToGrid/>
        <w:spacing w:beforeLines="50" w:before="163" w:after="120" w:line="240" w:lineRule="atLeast"/>
        <w:ind w:left="862" w:right="1134" w:firstLine="431"/>
        <w:rPr>
          <w:rFonts w:eastAsia="SimHei" w:hint="eastAsia"/>
          <w:snapToGrid/>
          <w:szCs w:val="21"/>
          <w:lang w:val="en-GB"/>
        </w:rPr>
      </w:pPr>
      <w:r>
        <w:rPr>
          <w:rFonts w:eastAsia="SimHei"/>
          <w:snapToGrid/>
          <w:szCs w:val="21"/>
          <w:lang w:val="en-GB"/>
        </w:rPr>
        <w:br w:type="page"/>
      </w:r>
      <w:r>
        <w:rPr>
          <w:rFonts w:eastAsia="SimHei" w:hint="eastAsia"/>
          <w:snapToGrid/>
          <w:szCs w:val="21"/>
          <w:lang w:val="en-GB"/>
        </w:rPr>
        <w:t>(</w:t>
      </w:r>
      <w:r>
        <w:rPr>
          <w:rFonts w:eastAsia="SimHei"/>
          <w:snapToGrid/>
          <w:szCs w:val="21"/>
          <w:lang w:val="en-GB"/>
        </w:rPr>
        <w:t>b)</w:t>
      </w:r>
      <w:r>
        <w:rPr>
          <w:rFonts w:eastAsia="SimHei" w:hint="eastAsia"/>
          <w:snapToGrid/>
          <w:szCs w:val="21"/>
          <w:lang w:val="en-GB"/>
        </w:rPr>
        <w:tab/>
      </w:r>
      <w:r>
        <w:rPr>
          <w:rFonts w:eastAsia="SimHei"/>
          <w:snapToGrid/>
          <w:szCs w:val="21"/>
          <w:lang w:val="en-GB"/>
        </w:rPr>
        <w:t>所有制形式的住房基金结构，</w:t>
      </w:r>
      <w:r>
        <w:rPr>
          <w:rFonts w:eastAsia="SimHei"/>
          <w:snapToGrid/>
          <w:szCs w:val="21"/>
          <w:lang w:val="en-GB"/>
        </w:rPr>
        <w:t>%</w:t>
      </w:r>
    </w:p>
    <w:tbl>
      <w:tblPr>
        <w:tblStyle w:val="TabNum"/>
        <w:tblW w:w="7400" w:type="dxa"/>
        <w:tblInd w:w="1228" w:type="dxa"/>
        <w:tblLayout w:type="fixed"/>
        <w:tblLook w:val="01E0" w:firstRow="1" w:lastRow="1" w:firstColumn="1" w:lastColumn="1" w:noHBand="0" w:noVBand="0"/>
      </w:tblPr>
      <w:tblGrid>
        <w:gridCol w:w="4376"/>
        <w:gridCol w:w="1497"/>
        <w:gridCol w:w="1527"/>
      </w:tblGrid>
      <w:tr w:rsidR="00A93F62" w:rsidRPr="00EE0CDD">
        <w:trPr>
          <w:trHeight w:val="300"/>
          <w:tblHeader/>
        </w:trPr>
        <w:tc>
          <w:tcPr>
            <w:cnfStyle w:val="001000000000" w:firstRow="0" w:lastRow="0" w:firstColumn="1" w:lastColumn="0" w:oddVBand="0" w:evenVBand="0" w:oddHBand="0" w:evenHBand="0" w:firstRowFirstColumn="0" w:firstRowLastColumn="0" w:lastRowFirstColumn="0" w:lastRowLastColumn="0"/>
            <w:tcW w:w="4376" w:type="dxa"/>
            <w:tcBorders>
              <w:bottom w:val="single" w:sz="12" w:space="0" w:color="auto"/>
            </w:tcBorders>
            <w:shd w:val="clear" w:color="auto" w:fill="auto"/>
            <w:noWrap/>
          </w:tcPr>
          <w:p w:rsidR="00A93F62" w:rsidRPr="00EE0CDD" w:rsidRDefault="00A93F62">
            <w:pPr>
              <w:tabs>
                <w:tab w:val="clear" w:pos="431"/>
              </w:tabs>
              <w:suppressAutoHyphens/>
              <w:overflowPunct/>
              <w:adjustRightInd/>
              <w:snapToGrid/>
              <w:spacing w:before="0" w:after="0" w:line="240" w:lineRule="atLeast"/>
              <w:rPr>
                <w:i/>
                <w:snapToGrid/>
                <w:sz w:val="18"/>
                <w:szCs w:val="18"/>
                <w:lang w:val="en-GB"/>
              </w:rPr>
            </w:pPr>
          </w:p>
        </w:tc>
        <w:tc>
          <w:tcPr>
            <w:tcW w:w="1497" w:type="dxa"/>
            <w:tcBorders>
              <w:top w:val="single" w:sz="4" w:space="0" w:color="auto"/>
              <w:bottom w:val="single" w:sz="12" w:space="0" w:color="auto"/>
            </w:tcBorders>
            <w:shd w:val="clear" w:color="auto" w:fill="auto"/>
            <w:noWrap/>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EE0CDD">
              <w:rPr>
                <w:rFonts w:eastAsia="KaiTi_GB2312"/>
                <w:snapToGrid/>
                <w:sz w:val="18"/>
                <w:szCs w:val="18"/>
                <w:lang w:val="en-GB"/>
              </w:rPr>
              <w:t>2000</w:t>
            </w:r>
            <w:r w:rsidRPr="00EE0CDD">
              <w:rPr>
                <w:rFonts w:eastAsia="KaiTi_GB2312"/>
                <w:snapToGrid/>
                <w:sz w:val="18"/>
                <w:szCs w:val="18"/>
                <w:lang w:val="en-GB"/>
              </w:rPr>
              <w:t>年</w:t>
            </w:r>
          </w:p>
        </w:tc>
        <w:tc>
          <w:tcPr>
            <w:tcW w:w="1527" w:type="dxa"/>
            <w:tcBorders>
              <w:top w:val="single" w:sz="4" w:space="0" w:color="auto"/>
              <w:bottom w:val="single" w:sz="12" w:space="0" w:color="auto"/>
            </w:tcBorders>
            <w:shd w:val="clear" w:color="auto" w:fill="auto"/>
            <w:noWrap/>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EE0CDD">
              <w:rPr>
                <w:rFonts w:eastAsia="KaiTi_GB2312"/>
                <w:snapToGrid/>
                <w:sz w:val="18"/>
                <w:szCs w:val="18"/>
                <w:lang w:val="en-GB"/>
              </w:rPr>
              <w:t>2007</w:t>
            </w:r>
            <w:r w:rsidRPr="00EE0CDD">
              <w:rPr>
                <w:rFonts w:eastAsia="KaiTi_GB2312"/>
                <w:snapToGrid/>
                <w:sz w:val="18"/>
                <w:szCs w:val="18"/>
                <w:lang w:val="en-GB"/>
              </w:rPr>
              <w:t>年</w:t>
            </w:r>
          </w:p>
        </w:tc>
      </w:tr>
      <w:tr w:rsidR="00A93F62" w:rsidRPr="00EE0CDD">
        <w:trPr>
          <w:trHeight w:val="228"/>
        </w:trPr>
        <w:tc>
          <w:tcPr>
            <w:cnfStyle w:val="001000000000" w:firstRow="0" w:lastRow="0" w:firstColumn="1" w:lastColumn="0" w:oddVBand="0" w:evenVBand="0" w:oddHBand="0" w:evenHBand="0" w:firstRowFirstColumn="0" w:firstRowLastColumn="0" w:lastRowFirstColumn="0" w:lastRowLastColumn="0"/>
            <w:tcW w:w="4376" w:type="dxa"/>
            <w:tcBorders>
              <w:top w:val="single" w:sz="12" w:space="0" w:color="auto"/>
            </w:tcBorders>
          </w:tcPr>
          <w:p w:rsidR="00A93F62" w:rsidRPr="00EE0CDD" w:rsidRDefault="00A93F62">
            <w:pPr>
              <w:tabs>
                <w:tab w:val="clear" w:pos="431"/>
              </w:tabs>
              <w:suppressAutoHyphens/>
              <w:overflowPunct/>
              <w:adjustRightInd/>
              <w:snapToGrid/>
              <w:spacing w:before="0" w:after="0" w:line="240" w:lineRule="atLeast"/>
              <w:rPr>
                <w:rFonts w:eastAsia="SimHei"/>
                <w:snapToGrid/>
                <w:sz w:val="18"/>
                <w:szCs w:val="18"/>
                <w:lang w:val="en-GB"/>
              </w:rPr>
            </w:pPr>
            <w:r w:rsidRPr="00EE0CDD">
              <w:rPr>
                <w:rFonts w:eastAsia="SimHei"/>
                <w:snapToGrid/>
                <w:sz w:val="18"/>
                <w:szCs w:val="18"/>
                <w:lang w:val="en-GB"/>
              </w:rPr>
              <w:t>土库曼斯坦</w:t>
            </w:r>
          </w:p>
        </w:tc>
        <w:tc>
          <w:tcPr>
            <w:tcW w:w="1497" w:type="dxa"/>
            <w:tcBorders>
              <w:top w:val="single" w:sz="12"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p>
        </w:tc>
        <w:tc>
          <w:tcPr>
            <w:tcW w:w="1527" w:type="dxa"/>
            <w:tcBorders>
              <w:top w:val="single" w:sz="12"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p>
        </w:tc>
      </w:tr>
      <w:tr w:rsidR="00A93F62" w:rsidRPr="00EE0CDD">
        <w:trPr>
          <w:trHeight w:val="93"/>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住房基金</w:t>
            </w:r>
            <w:r w:rsidRPr="00EE0CDD">
              <w:rPr>
                <w:rFonts w:ascii="SimSun" w:hAnsi="SimSun" w:hint="eastAsia"/>
                <w:snapToGrid/>
                <w:spacing w:val="-50"/>
                <w:sz w:val="18"/>
                <w:szCs w:val="18"/>
                <w:lang w:val="en-GB"/>
              </w:rPr>
              <w:t>―</w:t>
            </w:r>
            <w:r w:rsidRPr="00EE0CDD">
              <w:rPr>
                <w:rFonts w:ascii="SimSun" w:hAnsi="SimSun" w:hint="eastAsia"/>
                <w:snapToGrid/>
                <w:sz w:val="18"/>
                <w:szCs w:val="18"/>
                <w:lang w:val="en-GB"/>
              </w:rPr>
              <w:t>―</w:t>
            </w:r>
            <w:r w:rsidRPr="00EE0CDD">
              <w:rPr>
                <w:snapToGrid/>
                <w:sz w:val="18"/>
                <w:szCs w:val="18"/>
                <w:lang w:val="en-GB"/>
              </w:rPr>
              <w:t>总计</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100</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100</w:t>
            </w:r>
          </w:p>
        </w:tc>
      </w:tr>
      <w:tr w:rsidR="00A93F62" w:rsidRPr="00EE0CDD">
        <w:trPr>
          <w:trHeight w:val="70"/>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其中：</w:t>
            </w:r>
          </w:p>
        </w:tc>
        <w:tc>
          <w:tcPr>
            <w:tcW w:w="1497"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p>
        </w:tc>
        <w:tc>
          <w:tcPr>
            <w:tcW w:w="1527"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p>
        </w:tc>
      </w:tr>
      <w:tr w:rsidR="00A93F62" w:rsidRPr="00EE0CDD">
        <w:trPr>
          <w:trHeight w:val="166"/>
        </w:trPr>
        <w:tc>
          <w:tcPr>
            <w:cnfStyle w:val="001000000000" w:firstRow="0" w:lastRow="0" w:firstColumn="1" w:lastColumn="0" w:oddVBand="0" w:evenVBand="0" w:oddHBand="0" w:evenHBand="0" w:firstRowFirstColumn="0" w:firstRowLastColumn="0" w:lastRowFirstColumn="0" w:lastRowLastColumn="0"/>
            <w:tcW w:w="4376" w:type="dxa"/>
            <w:tcBorders>
              <w:top w:val="nil"/>
            </w:tcBorders>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国家，社会基金</w:t>
            </w:r>
          </w:p>
        </w:tc>
        <w:tc>
          <w:tcPr>
            <w:tcW w:w="1497" w:type="dxa"/>
            <w:tcBorders>
              <w:top w:val="nil"/>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21.6</w:t>
            </w:r>
          </w:p>
        </w:tc>
        <w:tc>
          <w:tcPr>
            <w:tcW w:w="1527" w:type="dxa"/>
            <w:tcBorders>
              <w:top w:val="nil"/>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19.8</w:t>
            </w:r>
          </w:p>
        </w:tc>
      </w:tr>
      <w:tr w:rsidR="00A93F62" w:rsidRPr="00EE0CDD">
        <w:trPr>
          <w:trHeight w:val="113"/>
        </w:trPr>
        <w:tc>
          <w:tcPr>
            <w:cnfStyle w:val="001000000000" w:firstRow="0" w:lastRow="0" w:firstColumn="1" w:lastColumn="0" w:oddVBand="0" w:evenVBand="0" w:oddHBand="0" w:evenHBand="0" w:firstRowFirstColumn="0" w:firstRowLastColumn="0" w:lastRowFirstColumn="0" w:lastRowLastColumn="0"/>
            <w:tcW w:w="4376" w:type="dxa"/>
            <w:tcBorders>
              <w:top w:val="nil"/>
            </w:tcBorders>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个人住房基金</w:t>
            </w:r>
          </w:p>
        </w:tc>
        <w:tc>
          <w:tcPr>
            <w:tcW w:w="1497" w:type="dxa"/>
            <w:tcBorders>
              <w:top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78.4</w:t>
            </w:r>
          </w:p>
        </w:tc>
        <w:tc>
          <w:tcPr>
            <w:tcW w:w="1527" w:type="dxa"/>
            <w:tcBorders>
              <w:top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80.2</w:t>
            </w:r>
          </w:p>
        </w:tc>
      </w:tr>
      <w:tr w:rsidR="00A93F62" w:rsidRPr="00EE0CDD">
        <w:trPr>
          <w:trHeight w:val="70"/>
        </w:trPr>
        <w:tc>
          <w:tcPr>
            <w:cnfStyle w:val="001000000000" w:firstRow="0" w:lastRow="0" w:firstColumn="1" w:lastColumn="0" w:oddVBand="0" w:evenVBand="0" w:oddHBand="0" w:evenHBand="0" w:firstRowFirstColumn="0" w:firstRowLastColumn="0" w:lastRowFirstColumn="0" w:lastRowLastColumn="0"/>
            <w:tcW w:w="4376" w:type="dxa"/>
            <w:noWrap/>
          </w:tcPr>
          <w:p w:rsidR="00A93F62" w:rsidRPr="00EE0CDD" w:rsidRDefault="00A93F62">
            <w:pPr>
              <w:tabs>
                <w:tab w:val="clear" w:pos="431"/>
              </w:tabs>
              <w:suppressAutoHyphens/>
              <w:overflowPunct/>
              <w:adjustRightInd/>
              <w:snapToGrid/>
              <w:spacing w:before="0" w:after="0" w:line="240" w:lineRule="atLeast"/>
              <w:rPr>
                <w:rFonts w:eastAsia="SimHei"/>
                <w:snapToGrid/>
                <w:sz w:val="18"/>
                <w:szCs w:val="18"/>
                <w:lang w:val="en-GB"/>
              </w:rPr>
            </w:pPr>
            <w:r w:rsidRPr="00EE0CDD">
              <w:rPr>
                <w:snapToGrid/>
                <w:sz w:val="18"/>
                <w:szCs w:val="18"/>
                <w:lang w:val="en-GB"/>
              </w:rPr>
              <w:t>阿什哈巴德市</w:t>
            </w:r>
          </w:p>
        </w:tc>
        <w:tc>
          <w:tcPr>
            <w:tcW w:w="1497" w:type="dxa"/>
            <w:noWrap/>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p>
        </w:tc>
        <w:tc>
          <w:tcPr>
            <w:tcW w:w="1527" w:type="dxa"/>
            <w:noWrap/>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p>
        </w:tc>
      </w:tr>
      <w:tr w:rsidR="00A93F62" w:rsidRPr="00EE0CDD">
        <w:trPr>
          <w:trHeight w:val="163"/>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住房基金</w:t>
            </w:r>
            <w:r w:rsidRPr="00EE0CDD">
              <w:rPr>
                <w:rFonts w:ascii="SimSun" w:hAnsi="SimSun" w:hint="eastAsia"/>
                <w:snapToGrid/>
                <w:spacing w:val="-50"/>
                <w:sz w:val="18"/>
                <w:szCs w:val="18"/>
                <w:lang w:val="en-GB"/>
              </w:rPr>
              <w:t>―</w:t>
            </w:r>
            <w:r w:rsidRPr="00EE0CDD">
              <w:rPr>
                <w:rFonts w:ascii="SimSun" w:hAnsi="SimSun" w:hint="eastAsia"/>
                <w:snapToGrid/>
                <w:sz w:val="18"/>
                <w:szCs w:val="18"/>
                <w:lang w:val="en-GB"/>
              </w:rPr>
              <w:t>―</w:t>
            </w:r>
            <w:r w:rsidRPr="00EE0CDD">
              <w:rPr>
                <w:snapToGrid/>
                <w:sz w:val="18"/>
                <w:szCs w:val="18"/>
                <w:lang w:val="en-GB"/>
              </w:rPr>
              <w:t>总计</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100</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100</w:t>
            </w:r>
          </w:p>
        </w:tc>
      </w:tr>
      <w:tr w:rsidR="00A93F62" w:rsidRPr="00EE0CDD">
        <w:trPr>
          <w:trHeight w:val="105"/>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其中：</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p>
        </w:tc>
      </w:tr>
      <w:tr w:rsidR="00A93F62" w:rsidRPr="00EE0CDD">
        <w:trPr>
          <w:trHeight w:val="236"/>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国家，社会基金</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62.3</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65.6</w:t>
            </w:r>
          </w:p>
        </w:tc>
      </w:tr>
      <w:tr w:rsidR="00A93F62" w:rsidRPr="00EE0CDD">
        <w:trPr>
          <w:trHeight w:val="169"/>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个人住房基金</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37.7</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34.4</w:t>
            </w:r>
          </w:p>
        </w:tc>
      </w:tr>
      <w:tr w:rsidR="00A93F62" w:rsidRPr="00EE0CDD">
        <w:trPr>
          <w:trHeight w:val="110"/>
        </w:trPr>
        <w:tc>
          <w:tcPr>
            <w:cnfStyle w:val="001000000000" w:firstRow="0" w:lastRow="0" w:firstColumn="1" w:lastColumn="0" w:oddVBand="0" w:evenVBand="0" w:oddHBand="0" w:evenHBand="0" w:firstRowFirstColumn="0" w:firstRowLastColumn="0" w:lastRowFirstColumn="0" w:lastRowLastColumn="0"/>
            <w:tcW w:w="4376" w:type="dxa"/>
            <w:noWrap/>
          </w:tcPr>
          <w:p w:rsidR="00A93F62" w:rsidRPr="00EE0CDD" w:rsidRDefault="00A93F62">
            <w:pPr>
              <w:tabs>
                <w:tab w:val="clear" w:pos="431"/>
              </w:tabs>
              <w:suppressAutoHyphens/>
              <w:overflowPunct/>
              <w:adjustRightInd/>
              <w:snapToGrid/>
              <w:spacing w:before="0" w:after="0" w:line="240" w:lineRule="atLeast"/>
              <w:rPr>
                <w:rFonts w:eastAsia="SimHei"/>
                <w:snapToGrid/>
                <w:sz w:val="18"/>
                <w:szCs w:val="18"/>
                <w:lang w:val="en-GB"/>
              </w:rPr>
            </w:pPr>
            <w:r w:rsidRPr="00EE0CDD">
              <w:rPr>
                <w:rFonts w:eastAsia="SimHei"/>
                <w:snapToGrid/>
                <w:sz w:val="18"/>
                <w:szCs w:val="18"/>
                <w:lang w:val="en-GB"/>
              </w:rPr>
              <w:t>阿哈尔省</w:t>
            </w:r>
          </w:p>
        </w:tc>
        <w:tc>
          <w:tcPr>
            <w:tcW w:w="1497" w:type="dxa"/>
            <w:noWrap/>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527" w:type="dxa"/>
            <w:noWrap/>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rPr>
          <w:trHeight w:val="219"/>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住房基金</w:t>
            </w:r>
            <w:r w:rsidRPr="00EE0CDD">
              <w:rPr>
                <w:rFonts w:ascii="SimSun" w:hAnsi="SimSun" w:hint="eastAsia"/>
                <w:snapToGrid/>
                <w:spacing w:val="-50"/>
                <w:sz w:val="18"/>
                <w:szCs w:val="18"/>
                <w:lang w:val="en-GB"/>
              </w:rPr>
              <w:t>―</w:t>
            </w:r>
            <w:r w:rsidRPr="00EE0CDD">
              <w:rPr>
                <w:rFonts w:ascii="SimSun" w:hAnsi="SimSun" w:hint="eastAsia"/>
                <w:snapToGrid/>
                <w:sz w:val="18"/>
                <w:szCs w:val="18"/>
                <w:lang w:val="en-GB"/>
              </w:rPr>
              <w:t>―</w:t>
            </w:r>
            <w:r w:rsidRPr="00EE0CDD">
              <w:rPr>
                <w:snapToGrid/>
                <w:sz w:val="18"/>
                <w:szCs w:val="18"/>
                <w:lang w:val="en-GB"/>
              </w:rPr>
              <w:t>总计</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100</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100</w:t>
            </w:r>
          </w:p>
        </w:tc>
      </w:tr>
      <w:tr w:rsidR="00A93F62" w:rsidRPr="00EE0CDD">
        <w:trPr>
          <w:trHeight w:val="160"/>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其中：</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rPr>
          <w:trHeight w:val="113"/>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国家，社会基金</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17.6</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15.6</w:t>
            </w:r>
          </w:p>
        </w:tc>
      </w:tr>
      <w:tr w:rsidR="00A93F62" w:rsidRPr="00EE0CDD">
        <w:trPr>
          <w:trHeight w:val="70"/>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个人住房基金</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82.4</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84.4</w:t>
            </w:r>
          </w:p>
        </w:tc>
      </w:tr>
      <w:tr w:rsidR="00A93F62" w:rsidRPr="00EE0CDD">
        <w:trPr>
          <w:trHeight w:val="180"/>
        </w:trPr>
        <w:tc>
          <w:tcPr>
            <w:cnfStyle w:val="001000000000" w:firstRow="0" w:lastRow="0" w:firstColumn="1" w:lastColumn="0" w:oddVBand="0" w:evenVBand="0" w:oddHBand="0" w:evenHBand="0" w:firstRowFirstColumn="0" w:firstRowLastColumn="0" w:lastRowFirstColumn="0" w:lastRowLastColumn="0"/>
            <w:tcW w:w="4376" w:type="dxa"/>
            <w:noWrap/>
          </w:tcPr>
          <w:p w:rsidR="00A93F62" w:rsidRPr="00EE0CDD" w:rsidRDefault="00A93F62">
            <w:pPr>
              <w:tabs>
                <w:tab w:val="clear" w:pos="431"/>
              </w:tabs>
              <w:suppressAutoHyphens/>
              <w:overflowPunct/>
              <w:adjustRightInd/>
              <w:snapToGrid/>
              <w:spacing w:before="0" w:after="0" w:line="240" w:lineRule="atLeast"/>
              <w:rPr>
                <w:rFonts w:eastAsia="SimHei"/>
                <w:snapToGrid/>
                <w:sz w:val="18"/>
                <w:szCs w:val="18"/>
                <w:lang w:val="en-GB" w:eastAsia="en-US"/>
              </w:rPr>
            </w:pPr>
            <w:r w:rsidRPr="00EE0CDD">
              <w:rPr>
                <w:rFonts w:eastAsia="SimHei"/>
                <w:snapToGrid/>
                <w:sz w:val="18"/>
                <w:szCs w:val="18"/>
                <w:lang w:val="en-GB"/>
              </w:rPr>
              <w:t>巴尔干省</w:t>
            </w:r>
          </w:p>
        </w:tc>
        <w:tc>
          <w:tcPr>
            <w:tcW w:w="1497" w:type="dxa"/>
            <w:noWrap/>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527" w:type="dxa"/>
            <w:noWrap/>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rPr>
          <w:trHeight w:val="123"/>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住房基金</w:t>
            </w:r>
            <w:r w:rsidRPr="00EE0CDD">
              <w:rPr>
                <w:rFonts w:ascii="SimSun" w:hAnsi="SimSun" w:hint="eastAsia"/>
                <w:snapToGrid/>
                <w:spacing w:val="-50"/>
                <w:sz w:val="18"/>
                <w:szCs w:val="18"/>
                <w:lang w:val="en-GB"/>
              </w:rPr>
              <w:t>―</w:t>
            </w:r>
            <w:r w:rsidRPr="00EE0CDD">
              <w:rPr>
                <w:rFonts w:ascii="SimSun" w:hAnsi="SimSun" w:hint="eastAsia"/>
                <w:snapToGrid/>
                <w:sz w:val="18"/>
                <w:szCs w:val="18"/>
                <w:lang w:val="en-GB"/>
              </w:rPr>
              <w:t>―</w:t>
            </w:r>
            <w:r w:rsidRPr="00EE0CDD">
              <w:rPr>
                <w:snapToGrid/>
                <w:sz w:val="18"/>
                <w:szCs w:val="18"/>
                <w:lang w:val="en-GB"/>
              </w:rPr>
              <w:t>总计</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100</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100</w:t>
            </w:r>
          </w:p>
        </w:tc>
      </w:tr>
      <w:tr w:rsidR="00A93F62" w:rsidRPr="00EE0CDD">
        <w:trPr>
          <w:trHeight w:val="244"/>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其中：</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rPr>
          <w:trHeight w:val="169"/>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国家，社会基金</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40.7</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37.4</w:t>
            </w:r>
          </w:p>
        </w:tc>
      </w:tr>
      <w:tr w:rsidR="00A93F62" w:rsidRPr="00EE0CDD">
        <w:trPr>
          <w:trHeight w:val="101"/>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个人住房基金</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59.3</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62.6</w:t>
            </w:r>
          </w:p>
        </w:tc>
      </w:tr>
      <w:tr w:rsidR="00A93F62" w:rsidRPr="00EE0CDD">
        <w:trPr>
          <w:trHeight w:val="223"/>
        </w:trPr>
        <w:tc>
          <w:tcPr>
            <w:cnfStyle w:val="001000000000" w:firstRow="0" w:lastRow="0" w:firstColumn="1" w:lastColumn="0" w:oddVBand="0" w:evenVBand="0" w:oddHBand="0" w:evenHBand="0" w:firstRowFirstColumn="0" w:firstRowLastColumn="0" w:lastRowFirstColumn="0" w:lastRowLastColumn="0"/>
            <w:tcW w:w="4376" w:type="dxa"/>
            <w:noWrap/>
          </w:tcPr>
          <w:p w:rsidR="00A93F62" w:rsidRPr="00EE0CDD" w:rsidRDefault="00A93F62">
            <w:pPr>
              <w:tabs>
                <w:tab w:val="clear" w:pos="431"/>
              </w:tabs>
              <w:suppressAutoHyphens/>
              <w:overflowPunct/>
              <w:adjustRightInd/>
              <w:snapToGrid/>
              <w:spacing w:before="0" w:after="0" w:line="240" w:lineRule="atLeast"/>
              <w:rPr>
                <w:rFonts w:eastAsia="SimHei"/>
                <w:snapToGrid/>
                <w:sz w:val="18"/>
                <w:szCs w:val="18"/>
                <w:lang w:val="en-GB" w:eastAsia="en-US"/>
              </w:rPr>
            </w:pPr>
            <w:r w:rsidRPr="00EE0CDD">
              <w:rPr>
                <w:rFonts w:eastAsia="SimHei"/>
                <w:snapToGrid/>
                <w:sz w:val="18"/>
                <w:szCs w:val="18"/>
                <w:lang w:val="en-GB"/>
              </w:rPr>
              <w:t>达守古斯省</w:t>
            </w:r>
          </w:p>
        </w:tc>
        <w:tc>
          <w:tcPr>
            <w:tcW w:w="1497" w:type="dxa"/>
            <w:noWrap/>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527" w:type="dxa"/>
            <w:noWrap/>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rPr>
          <w:trHeight w:val="165"/>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住房基金</w:t>
            </w:r>
            <w:r w:rsidRPr="00EE0CDD">
              <w:rPr>
                <w:rFonts w:ascii="SimSun" w:hAnsi="SimSun" w:hint="eastAsia"/>
                <w:snapToGrid/>
                <w:spacing w:val="-50"/>
                <w:sz w:val="18"/>
                <w:szCs w:val="18"/>
                <w:lang w:val="en-GB"/>
              </w:rPr>
              <w:t>―</w:t>
            </w:r>
            <w:r w:rsidRPr="00EE0CDD">
              <w:rPr>
                <w:rFonts w:ascii="SimSun" w:hAnsi="SimSun" w:hint="eastAsia"/>
                <w:snapToGrid/>
                <w:sz w:val="18"/>
                <w:szCs w:val="18"/>
                <w:lang w:val="en-GB"/>
              </w:rPr>
              <w:t>―</w:t>
            </w:r>
            <w:r w:rsidRPr="00EE0CDD">
              <w:rPr>
                <w:snapToGrid/>
                <w:sz w:val="18"/>
                <w:szCs w:val="18"/>
                <w:lang w:val="en-GB"/>
              </w:rPr>
              <w:t>总计</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100</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100</w:t>
            </w:r>
          </w:p>
        </w:tc>
      </w:tr>
      <w:tr w:rsidR="00A93F62" w:rsidRPr="00EE0CDD">
        <w:trPr>
          <w:trHeight w:val="106"/>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其中：</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rPr>
          <w:trHeight w:val="225"/>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国家，社会基金</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11.2</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10.1</w:t>
            </w:r>
          </w:p>
        </w:tc>
      </w:tr>
      <w:tr w:rsidR="00A93F62" w:rsidRPr="00EE0CDD">
        <w:trPr>
          <w:trHeight w:val="170"/>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个人住房基金</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88.8</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89.9</w:t>
            </w:r>
          </w:p>
        </w:tc>
      </w:tr>
      <w:tr w:rsidR="00A93F62" w:rsidRPr="00EE0CDD">
        <w:trPr>
          <w:trHeight w:val="113"/>
        </w:trPr>
        <w:tc>
          <w:tcPr>
            <w:cnfStyle w:val="001000000000" w:firstRow="0" w:lastRow="0" w:firstColumn="1" w:lastColumn="0" w:oddVBand="0" w:evenVBand="0" w:oddHBand="0" w:evenHBand="0" w:firstRowFirstColumn="0" w:firstRowLastColumn="0" w:lastRowFirstColumn="0" w:lastRowLastColumn="0"/>
            <w:tcW w:w="4376" w:type="dxa"/>
            <w:noWrap/>
          </w:tcPr>
          <w:p w:rsidR="00A93F62" w:rsidRPr="00EE0CDD" w:rsidRDefault="00A93F62">
            <w:pPr>
              <w:tabs>
                <w:tab w:val="clear" w:pos="431"/>
              </w:tabs>
              <w:suppressAutoHyphens/>
              <w:overflowPunct/>
              <w:adjustRightInd/>
              <w:snapToGrid/>
              <w:spacing w:before="0" w:after="0" w:line="240" w:lineRule="atLeast"/>
              <w:rPr>
                <w:rFonts w:eastAsia="SimHei"/>
                <w:snapToGrid/>
                <w:sz w:val="18"/>
                <w:szCs w:val="18"/>
                <w:lang w:val="en-GB" w:eastAsia="en-US"/>
              </w:rPr>
            </w:pPr>
            <w:r w:rsidRPr="00EE0CDD">
              <w:rPr>
                <w:rFonts w:eastAsia="SimHei"/>
                <w:snapToGrid/>
                <w:sz w:val="18"/>
                <w:szCs w:val="18"/>
                <w:lang w:val="en-GB"/>
              </w:rPr>
              <w:t>列巴普省</w:t>
            </w:r>
          </w:p>
        </w:tc>
        <w:tc>
          <w:tcPr>
            <w:tcW w:w="1497" w:type="dxa"/>
            <w:noWrap/>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527" w:type="dxa"/>
            <w:noWrap/>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rPr>
          <w:trHeight w:val="234"/>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住房基金</w:t>
            </w:r>
            <w:r w:rsidRPr="00EE0CDD">
              <w:rPr>
                <w:rFonts w:ascii="SimSun" w:hAnsi="SimSun" w:hint="eastAsia"/>
                <w:snapToGrid/>
                <w:spacing w:val="-50"/>
                <w:sz w:val="18"/>
                <w:szCs w:val="18"/>
                <w:lang w:val="en-GB"/>
              </w:rPr>
              <w:t>―</w:t>
            </w:r>
            <w:r w:rsidRPr="00EE0CDD">
              <w:rPr>
                <w:rFonts w:ascii="SimSun" w:hAnsi="SimSun" w:hint="eastAsia"/>
                <w:snapToGrid/>
                <w:sz w:val="18"/>
                <w:szCs w:val="18"/>
                <w:lang w:val="en-GB"/>
              </w:rPr>
              <w:t>―</w:t>
            </w:r>
            <w:r w:rsidRPr="00EE0CDD">
              <w:rPr>
                <w:snapToGrid/>
                <w:sz w:val="18"/>
                <w:szCs w:val="18"/>
                <w:lang w:val="en-GB"/>
              </w:rPr>
              <w:t>总计</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100</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100</w:t>
            </w:r>
          </w:p>
        </w:tc>
      </w:tr>
      <w:tr w:rsidR="00A93F62" w:rsidRPr="00EE0CDD">
        <w:trPr>
          <w:trHeight w:val="176"/>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其中：</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rPr>
          <w:trHeight w:val="129"/>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国家，社会基金</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17.4</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15.4</w:t>
            </w:r>
          </w:p>
        </w:tc>
      </w:tr>
      <w:tr w:rsidR="00A93F62" w:rsidRPr="00EE0CDD">
        <w:trPr>
          <w:trHeight w:val="226"/>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个人住房基金</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82.6</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84.6</w:t>
            </w:r>
          </w:p>
        </w:tc>
      </w:tr>
      <w:tr w:rsidR="00A93F62" w:rsidRPr="00EE0CDD">
        <w:trPr>
          <w:trHeight w:val="70"/>
        </w:trPr>
        <w:tc>
          <w:tcPr>
            <w:cnfStyle w:val="001000000000" w:firstRow="0" w:lastRow="0" w:firstColumn="1" w:lastColumn="0" w:oddVBand="0" w:evenVBand="0" w:oddHBand="0" w:evenHBand="0" w:firstRowFirstColumn="0" w:firstRowLastColumn="0" w:lastRowFirstColumn="0" w:lastRowLastColumn="0"/>
            <w:tcW w:w="4376" w:type="dxa"/>
            <w:noWrap/>
          </w:tcPr>
          <w:p w:rsidR="00A93F62" w:rsidRPr="00EE0CDD" w:rsidRDefault="00A93F62">
            <w:pPr>
              <w:tabs>
                <w:tab w:val="clear" w:pos="431"/>
              </w:tabs>
              <w:suppressAutoHyphens/>
              <w:overflowPunct/>
              <w:adjustRightInd/>
              <w:snapToGrid/>
              <w:spacing w:before="0" w:after="0" w:line="240" w:lineRule="atLeast"/>
              <w:rPr>
                <w:rFonts w:eastAsia="SimHei"/>
                <w:snapToGrid/>
                <w:sz w:val="18"/>
                <w:szCs w:val="18"/>
                <w:lang w:val="en-GB" w:eastAsia="en-US"/>
              </w:rPr>
            </w:pPr>
            <w:r w:rsidRPr="00EE0CDD">
              <w:rPr>
                <w:rFonts w:eastAsia="SimHei"/>
                <w:snapToGrid/>
                <w:sz w:val="18"/>
                <w:szCs w:val="18"/>
                <w:lang w:val="en-GB"/>
              </w:rPr>
              <w:t>马雷伊省</w:t>
            </w:r>
          </w:p>
        </w:tc>
        <w:tc>
          <w:tcPr>
            <w:tcW w:w="1497" w:type="dxa"/>
            <w:noWrap/>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527" w:type="dxa"/>
            <w:noWrap/>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rPr>
          <w:trHeight w:val="110"/>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住房基金</w:t>
            </w:r>
            <w:r w:rsidRPr="00EE0CDD">
              <w:rPr>
                <w:rFonts w:ascii="SimSun" w:hAnsi="SimSun" w:hint="eastAsia"/>
                <w:snapToGrid/>
                <w:spacing w:val="-50"/>
                <w:sz w:val="18"/>
                <w:szCs w:val="18"/>
                <w:lang w:val="en-GB"/>
              </w:rPr>
              <w:t>―</w:t>
            </w:r>
            <w:r w:rsidRPr="00EE0CDD">
              <w:rPr>
                <w:rFonts w:ascii="SimSun" w:hAnsi="SimSun" w:hint="eastAsia"/>
                <w:snapToGrid/>
                <w:sz w:val="18"/>
                <w:szCs w:val="18"/>
                <w:lang w:val="en-GB"/>
              </w:rPr>
              <w:t>―</w:t>
            </w:r>
            <w:r w:rsidRPr="00EE0CDD">
              <w:rPr>
                <w:snapToGrid/>
                <w:sz w:val="18"/>
                <w:szCs w:val="18"/>
                <w:lang w:val="en-GB"/>
              </w:rPr>
              <w:t>总计</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100</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100</w:t>
            </w:r>
          </w:p>
        </w:tc>
      </w:tr>
      <w:tr w:rsidR="00A93F62" w:rsidRPr="00EE0CDD">
        <w:trPr>
          <w:trHeight w:val="176"/>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其中：</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rPr>
          <w:trHeight w:val="186"/>
        </w:trPr>
        <w:tc>
          <w:tcPr>
            <w:cnfStyle w:val="001000000000" w:firstRow="0" w:lastRow="0" w:firstColumn="1" w:lastColumn="0" w:oddVBand="0" w:evenVBand="0" w:oddHBand="0" w:evenHBand="0" w:firstRowFirstColumn="0" w:firstRowLastColumn="0" w:lastRowFirstColumn="0" w:lastRowLastColumn="0"/>
            <w:tcW w:w="4376"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eastAsia="en-US"/>
              </w:rPr>
            </w:pPr>
            <w:r w:rsidRPr="00EE0CDD">
              <w:rPr>
                <w:snapToGrid/>
                <w:sz w:val="18"/>
                <w:szCs w:val="18"/>
                <w:lang w:val="en-GB"/>
              </w:rPr>
              <w:t>国家，社会基金</w:t>
            </w:r>
          </w:p>
        </w:tc>
        <w:tc>
          <w:tcPr>
            <w:tcW w:w="149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16.5</w:t>
            </w:r>
          </w:p>
        </w:tc>
        <w:tc>
          <w:tcPr>
            <w:tcW w:w="1527"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14.3</w:t>
            </w:r>
          </w:p>
        </w:tc>
      </w:tr>
    </w:tbl>
    <w:p w:rsidR="00A93F62" w:rsidRDefault="00A93F62" w:rsidP="00583483">
      <w:pPr>
        <w:tabs>
          <w:tab w:val="clear" w:pos="431"/>
        </w:tabs>
        <w:suppressAutoHyphens/>
        <w:overflowPunct/>
        <w:adjustRightInd/>
        <w:snapToGrid/>
        <w:spacing w:beforeLines="50" w:before="163" w:after="120" w:line="240" w:lineRule="atLeast"/>
        <w:ind w:left="1134" w:right="1134"/>
        <w:rPr>
          <w:rFonts w:eastAsia="SimHei"/>
          <w:snapToGrid/>
          <w:szCs w:val="21"/>
          <w:lang w:val="en-GB"/>
        </w:rPr>
      </w:pPr>
      <w:r>
        <w:rPr>
          <w:rFonts w:eastAsia="SimHei"/>
          <w:snapToGrid/>
          <w:szCs w:val="21"/>
          <w:lang w:val="en-GB"/>
        </w:rPr>
        <w:br w:type="page"/>
      </w:r>
      <w:r>
        <w:rPr>
          <w:rFonts w:eastAsia="SimHei" w:hint="eastAsia"/>
          <w:snapToGrid/>
          <w:szCs w:val="21"/>
          <w:lang w:val="en-GB"/>
        </w:rPr>
        <w:t>(</w:t>
      </w:r>
      <w:r>
        <w:rPr>
          <w:rFonts w:eastAsia="SimHei"/>
          <w:snapToGrid/>
          <w:szCs w:val="21"/>
          <w:lang w:val="en-GB"/>
        </w:rPr>
        <w:t>c)</w:t>
      </w:r>
      <w:r>
        <w:rPr>
          <w:rFonts w:eastAsia="SimHei" w:hint="eastAsia"/>
          <w:snapToGrid/>
          <w:szCs w:val="21"/>
          <w:lang w:val="en-GB"/>
        </w:rPr>
        <w:tab/>
      </w:r>
      <w:r>
        <w:rPr>
          <w:rFonts w:eastAsia="SimHei"/>
          <w:snapToGrid/>
          <w:szCs w:val="21"/>
          <w:lang w:val="en-GB"/>
        </w:rPr>
        <w:t>住房配套服务，</w:t>
      </w:r>
      <w:r>
        <w:rPr>
          <w:rFonts w:eastAsia="SimHei"/>
          <w:snapToGrid/>
          <w:szCs w:val="21"/>
          <w:lang w:val="en-GB"/>
        </w:rPr>
        <w:t>%</w:t>
      </w:r>
    </w:p>
    <w:tbl>
      <w:tblPr>
        <w:tblStyle w:val="TabNum"/>
        <w:tblW w:w="7400" w:type="dxa"/>
        <w:tblInd w:w="1228" w:type="dxa"/>
        <w:tblLook w:val="01E0" w:firstRow="1" w:lastRow="1" w:firstColumn="1" w:lastColumn="1" w:noHBand="0" w:noVBand="0"/>
      </w:tblPr>
      <w:tblGrid>
        <w:gridCol w:w="1900"/>
        <w:gridCol w:w="900"/>
        <w:gridCol w:w="900"/>
        <w:gridCol w:w="900"/>
        <w:gridCol w:w="236"/>
        <w:gridCol w:w="731"/>
        <w:gridCol w:w="933"/>
        <w:gridCol w:w="900"/>
      </w:tblGrid>
      <w:tr w:rsidR="00A93F62" w:rsidRPr="00EE0CDD">
        <w:trPr>
          <w:tblHeader/>
        </w:trPr>
        <w:tc>
          <w:tcPr>
            <w:cnfStyle w:val="001000000000" w:firstRow="0" w:lastRow="0" w:firstColumn="1" w:lastColumn="0" w:oddVBand="0" w:evenVBand="0" w:oddHBand="0" w:evenHBand="0" w:firstRowFirstColumn="0" w:firstRowLastColumn="0" w:lastRowFirstColumn="0" w:lastRowLastColumn="0"/>
            <w:tcW w:w="1900" w:type="dxa"/>
            <w:shd w:val="clear" w:color="auto" w:fill="auto"/>
          </w:tcPr>
          <w:p w:rsidR="00A93F62" w:rsidRPr="00EE0CDD" w:rsidRDefault="00A93F62">
            <w:pPr>
              <w:tabs>
                <w:tab w:val="clear" w:pos="431"/>
              </w:tabs>
              <w:suppressAutoHyphens/>
              <w:overflowPunct/>
              <w:adjustRightInd/>
              <w:snapToGrid/>
              <w:spacing w:before="0" w:after="0" w:line="240" w:lineRule="atLeast"/>
              <w:rPr>
                <w:i/>
                <w:snapToGrid/>
                <w:sz w:val="18"/>
                <w:szCs w:val="18"/>
                <w:lang w:val="en-GB"/>
              </w:rPr>
            </w:pPr>
          </w:p>
        </w:tc>
        <w:tc>
          <w:tcPr>
            <w:tcW w:w="2700" w:type="dxa"/>
            <w:gridSpan w:val="3"/>
            <w:tcBorders>
              <w:top w:val="single" w:sz="4" w:space="0" w:color="auto"/>
              <w:bottom w:val="single" w:sz="2" w:space="0" w:color="auto"/>
            </w:tcBorders>
            <w:shd w:val="clear" w:color="auto" w:fill="auto"/>
          </w:tcPr>
          <w:p w:rsidR="00A93F62" w:rsidRPr="00EE0CDD" w:rsidRDefault="00A93F62">
            <w:pPr>
              <w:tabs>
                <w:tab w:val="clear" w:pos="431"/>
              </w:tabs>
              <w:suppressAutoHyphens/>
              <w:overflowPunct/>
              <w:adjustRightInd/>
              <w:snapToGrid/>
              <w:spacing w:before="0" w:after="0" w:line="240" w:lineRule="atLeast"/>
              <w:jc w:val="center"/>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EE0CDD">
              <w:rPr>
                <w:rFonts w:eastAsia="KaiTi_GB2312"/>
                <w:snapToGrid/>
                <w:sz w:val="18"/>
                <w:szCs w:val="18"/>
                <w:lang w:val="en-GB"/>
              </w:rPr>
              <w:t>2000</w:t>
            </w:r>
            <w:r w:rsidRPr="00EE0CDD">
              <w:rPr>
                <w:rFonts w:eastAsia="KaiTi_GB2312"/>
                <w:snapToGrid/>
                <w:sz w:val="18"/>
                <w:szCs w:val="18"/>
                <w:lang w:val="en-GB"/>
              </w:rPr>
              <w:t>年</w:t>
            </w:r>
          </w:p>
        </w:tc>
        <w:tc>
          <w:tcPr>
            <w:tcW w:w="236" w:type="dxa"/>
            <w:tcBorders>
              <w:top w:val="single" w:sz="4" w:space="0" w:color="auto"/>
              <w:bottom w:val="nil"/>
            </w:tcBorders>
            <w:shd w:val="clear" w:color="auto" w:fill="auto"/>
          </w:tcPr>
          <w:p w:rsidR="00A93F62" w:rsidRPr="00EE0CDD" w:rsidRDefault="00A93F62">
            <w:pPr>
              <w:tabs>
                <w:tab w:val="clear" w:pos="431"/>
              </w:tabs>
              <w:suppressAutoHyphens/>
              <w:overflowPunct/>
              <w:adjustRightInd/>
              <w:snapToGrid/>
              <w:spacing w:before="0" w:after="0" w:line="240" w:lineRule="atLeast"/>
              <w:jc w:val="center"/>
              <w:cnfStyle w:val="000000000000" w:firstRow="0" w:lastRow="0" w:firstColumn="0" w:lastColumn="0" w:oddVBand="0" w:evenVBand="0" w:oddHBand="0" w:evenHBand="0" w:firstRowFirstColumn="0" w:firstRowLastColumn="0" w:lastRowFirstColumn="0" w:lastRowLastColumn="0"/>
              <w:rPr>
                <w:i/>
                <w:snapToGrid/>
                <w:sz w:val="18"/>
                <w:szCs w:val="18"/>
                <w:lang w:val="en-GB"/>
              </w:rPr>
            </w:pPr>
          </w:p>
        </w:tc>
        <w:tc>
          <w:tcPr>
            <w:tcW w:w="2564" w:type="dxa"/>
            <w:gridSpan w:val="3"/>
            <w:tcBorders>
              <w:top w:val="single" w:sz="4" w:space="0" w:color="auto"/>
              <w:bottom w:val="single" w:sz="2" w:space="0" w:color="auto"/>
            </w:tcBorders>
            <w:shd w:val="clear" w:color="auto" w:fill="auto"/>
          </w:tcPr>
          <w:p w:rsidR="00A93F62" w:rsidRPr="00EE0CDD" w:rsidRDefault="00A93F62">
            <w:pPr>
              <w:tabs>
                <w:tab w:val="clear" w:pos="431"/>
              </w:tabs>
              <w:suppressAutoHyphens/>
              <w:overflowPunct/>
              <w:adjustRightInd/>
              <w:snapToGrid/>
              <w:spacing w:line="240" w:lineRule="atLeast"/>
              <w:jc w:val="center"/>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EE0CDD">
              <w:rPr>
                <w:rFonts w:eastAsia="KaiTi_GB2312"/>
                <w:snapToGrid/>
                <w:sz w:val="18"/>
                <w:szCs w:val="18"/>
                <w:lang w:val="en-GB"/>
              </w:rPr>
              <w:t>2007</w:t>
            </w:r>
            <w:r w:rsidRPr="00EE0CDD">
              <w:rPr>
                <w:rFonts w:eastAsia="KaiTi_GB2312"/>
                <w:snapToGrid/>
                <w:sz w:val="18"/>
                <w:szCs w:val="18"/>
                <w:lang w:val="en-GB"/>
              </w:rPr>
              <w:t>年</w:t>
            </w:r>
          </w:p>
        </w:tc>
      </w:tr>
      <w:tr w:rsidR="00A93F62" w:rsidRPr="00EE0CDD">
        <w:trPr>
          <w:tblHeader/>
        </w:trPr>
        <w:tc>
          <w:tcPr>
            <w:cnfStyle w:val="001000000000" w:firstRow="0" w:lastRow="0" w:firstColumn="1" w:lastColumn="0" w:oddVBand="0" w:evenVBand="0" w:oddHBand="0" w:evenHBand="0" w:firstRowFirstColumn="0" w:firstRowLastColumn="0" w:lastRowFirstColumn="0" w:lastRowLastColumn="0"/>
            <w:tcW w:w="1900" w:type="dxa"/>
            <w:tcBorders>
              <w:top w:val="nil"/>
              <w:bottom w:val="single" w:sz="12" w:space="0" w:color="auto"/>
            </w:tcBorders>
            <w:shd w:val="clear" w:color="auto" w:fill="auto"/>
          </w:tcPr>
          <w:p w:rsidR="00A93F62" w:rsidRPr="00EE0CDD" w:rsidRDefault="00A93F62">
            <w:pPr>
              <w:tabs>
                <w:tab w:val="clear" w:pos="431"/>
              </w:tabs>
              <w:suppressAutoHyphens/>
              <w:overflowPunct/>
              <w:adjustRightInd/>
              <w:snapToGrid/>
              <w:spacing w:before="0" w:after="0" w:line="240" w:lineRule="atLeast"/>
              <w:rPr>
                <w:i/>
                <w:snapToGrid/>
                <w:sz w:val="18"/>
                <w:szCs w:val="18"/>
                <w:lang w:val="en-GB"/>
              </w:rPr>
            </w:pPr>
          </w:p>
        </w:tc>
        <w:tc>
          <w:tcPr>
            <w:tcW w:w="900" w:type="dxa"/>
            <w:tcBorders>
              <w:top w:val="single" w:sz="2" w:space="0" w:color="auto"/>
              <w:bottom w:val="single" w:sz="12" w:space="0" w:color="auto"/>
            </w:tcBorders>
            <w:shd w:val="clear" w:color="auto" w:fill="auto"/>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EE0CDD">
              <w:rPr>
                <w:rFonts w:eastAsia="KaiTi_GB2312"/>
                <w:snapToGrid/>
                <w:sz w:val="18"/>
                <w:szCs w:val="18"/>
                <w:lang w:val="en-GB"/>
              </w:rPr>
              <w:t>总计</w:t>
            </w:r>
          </w:p>
        </w:tc>
        <w:tc>
          <w:tcPr>
            <w:tcW w:w="900" w:type="dxa"/>
            <w:tcBorders>
              <w:top w:val="single" w:sz="2" w:space="0" w:color="auto"/>
              <w:bottom w:val="single" w:sz="12" w:space="0" w:color="auto"/>
            </w:tcBorders>
            <w:shd w:val="clear" w:color="auto" w:fill="auto"/>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EE0CDD">
              <w:rPr>
                <w:rFonts w:eastAsia="KaiTi_GB2312"/>
                <w:snapToGrid/>
                <w:sz w:val="18"/>
                <w:szCs w:val="18"/>
                <w:lang w:val="en-GB"/>
              </w:rPr>
              <w:t>城市</w:t>
            </w:r>
          </w:p>
        </w:tc>
        <w:tc>
          <w:tcPr>
            <w:tcW w:w="900" w:type="dxa"/>
            <w:tcBorders>
              <w:top w:val="single" w:sz="2" w:space="0" w:color="auto"/>
              <w:bottom w:val="single" w:sz="12" w:space="0" w:color="auto"/>
            </w:tcBorders>
            <w:shd w:val="clear" w:color="auto" w:fill="auto"/>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EE0CDD">
              <w:rPr>
                <w:rFonts w:eastAsia="KaiTi_GB2312"/>
                <w:snapToGrid/>
                <w:sz w:val="18"/>
                <w:szCs w:val="18"/>
                <w:lang w:val="en-GB"/>
              </w:rPr>
              <w:t>农村</w:t>
            </w:r>
          </w:p>
        </w:tc>
        <w:tc>
          <w:tcPr>
            <w:tcW w:w="967" w:type="dxa"/>
            <w:gridSpan w:val="2"/>
            <w:tcBorders>
              <w:top w:val="nil"/>
              <w:bottom w:val="single" w:sz="12" w:space="0" w:color="auto"/>
            </w:tcBorders>
            <w:shd w:val="clear" w:color="auto" w:fill="auto"/>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EE0CDD">
              <w:rPr>
                <w:rFonts w:eastAsia="KaiTi_GB2312"/>
                <w:snapToGrid/>
                <w:sz w:val="18"/>
                <w:szCs w:val="18"/>
                <w:lang w:val="en-GB"/>
              </w:rPr>
              <w:t>总计</w:t>
            </w:r>
          </w:p>
        </w:tc>
        <w:tc>
          <w:tcPr>
            <w:tcW w:w="933" w:type="dxa"/>
            <w:tcBorders>
              <w:top w:val="nil"/>
              <w:bottom w:val="single" w:sz="12" w:space="0" w:color="auto"/>
            </w:tcBorders>
            <w:shd w:val="clear" w:color="auto" w:fill="auto"/>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EE0CDD">
              <w:rPr>
                <w:rFonts w:eastAsia="KaiTi_GB2312"/>
                <w:snapToGrid/>
                <w:sz w:val="18"/>
                <w:szCs w:val="18"/>
                <w:lang w:val="en-GB"/>
              </w:rPr>
              <w:t>城市</w:t>
            </w:r>
          </w:p>
        </w:tc>
        <w:tc>
          <w:tcPr>
            <w:tcW w:w="900" w:type="dxa"/>
            <w:tcBorders>
              <w:top w:val="nil"/>
              <w:bottom w:val="single" w:sz="12" w:space="0" w:color="auto"/>
            </w:tcBorders>
            <w:shd w:val="clear" w:color="auto" w:fill="auto"/>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EE0CDD">
              <w:rPr>
                <w:rFonts w:eastAsia="KaiTi_GB2312"/>
                <w:snapToGrid/>
                <w:sz w:val="18"/>
                <w:szCs w:val="18"/>
                <w:lang w:val="en-GB"/>
              </w:rPr>
              <w:t>农村</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Borders>
              <w:top w:val="single" w:sz="12" w:space="0" w:color="auto"/>
            </w:tcBorders>
          </w:tcPr>
          <w:p w:rsidR="00A93F62" w:rsidRPr="00EE0CDD" w:rsidRDefault="00A93F62">
            <w:pPr>
              <w:tabs>
                <w:tab w:val="clear" w:pos="431"/>
              </w:tabs>
              <w:suppressAutoHyphens/>
              <w:overflowPunct/>
              <w:adjustRightInd/>
              <w:snapToGrid/>
              <w:spacing w:before="0" w:after="0" w:line="240" w:lineRule="atLeast"/>
              <w:rPr>
                <w:rFonts w:eastAsia="SimHei"/>
                <w:snapToGrid/>
                <w:sz w:val="18"/>
                <w:szCs w:val="18"/>
                <w:lang w:val="en-GB"/>
              </w:rPr>
            </w:pPr>
            <w:r w:rsidRPr="00EE0CDD">
              <w:rPr>
                <w:rFonts w:eastAsia="SimHei"/>
                <w:snapToGrid/>
                <w:sz w:val="18"/>
                <w:szCs w:val="18"/>
                <w:lang w:val="en-GB"/>
              </w:rPr>
              <w:t>土库曼斯坦</w:t>
            </w:r>
          </w:p>
        </w:tc>
        <w:tc>
          <w:tcPr>
            <w:tcW w:w="900" w:type="dxa"/>
            <w:tcBorders>
              <w:top w:val="single" w:sz="12"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p>
        </w:tc>
        <w:tc>
          <w:tcPr>
            <w:tcW w:w="900" w:type="dxa"/>
            <w:tcBorders>
              <w:top w:val="single" w:sz="12"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p>
        </w:tc>
        <w:tc>
          <w:tcPr>
            <w:tcW w:w="900" w:type="dxa"/>
            <w:tcBorders>
              <w:top w:val="single" w:sz="12"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p>
        </w:tc>
        <w:tc>
          <w:tcPr>
            <w:tcW w:w="967" w:type="dxa"/>
            <w:gridSpan w:val="2"/>
            <w:tcBorders>
              <w:top w:val="single" w:sz="12"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p>
        </w:tc>
        <w:tc>
          <w:tcPr>
            <w:tcW w:w="933" w:type="dxa"/>
            <w:tcBorders>
              <w:top w:val="single" w:sz="12"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p>
        </w:tc>
        <w:tc>
          <w:tcPr>
            <w:tcW w:w="900" w:type="dxa"/>
            <w:tcBorders>
              <w:top w:val="single" w:sz="12"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集中给水管道</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54.2</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80.2</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28.0</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55.8</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82.1</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29.5</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集中排水管道</w:t>
            </w:r>
          </w:p>
        </w:tc>
        <w:tc>
          <w:tcPr>
            <w:tcW w:w="900"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31.8</w:t>
            </w:r>
          </w:p>
        </w:tc>
        <w:tc>
          <w:tcPr>
            <w:tcW w:w="900"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61.2</w:t>
            </w:r>
          </w:p>
        </w:tc>
        <w:tc>
          <w:tcPr>
            <w:tcW w:w="900"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1.7</w:t>
            </w:r>
          </w:p>
        </w:tc>
        <w:tc>
          <w:tcPr>
            <w:tcW w:w="967" w:type="dxa"/>
            <w:gridSpan w:val="2"/>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33.4</w:t>
            </w:r>
          </w:p>
        </w:tc>
        <w:tc>
          <w:tcPr>
            <w:tcW w:w="933"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63.5</w:t>
            </w:r>
          </w:p>
        </w:tc>
        <w:tc>
          <w:tcPr>
            <w:tcW w:w="900"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EE0CDD">
              <w:rPr>
                <w:snapToGrid/>
                <w:sz w:val="18"/>
                <w:szCs w:val="18"/>
                <w:lang w:val="en-GB"/>
              </w:rPr>
              <w:t>2.5</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Borders>
              <w:top w:val="nil"/>
            </w:tcBorders>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天然气</w:t>
            </w:r>
          </w:p>
        </w:tc>
        <w:tc>
          <w:tcPr>
            <w:tcW w:w="900" w:type="dxa"/>
            <w:tcBorders>
              <w:top w:val="nil"/>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rPr>
              <w:t>98</w:t>
            </w:r>
            <w:r w:rsidRPr="00EE0CDD">
              <w:rPr>
                <w:snapToGrid/>
                <w:sz w:val="18"/>
                <w:szCs w:val="18"/>
                <w:lang w:val="en-GB" w:eastAsia="en-US"/>
              </w:rPr>
              <w:t>.6</w:t>
            </w:r>
          </w:p>
        </w:tc>
        <w:tc>
          <w:tcPr>
            <w:tcW w:w="900" w:type="dxa"/>
            <w:tcBorders>
              <w:top w:val="nil"/>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99.1</w:t>
            </w:r>
          </w:p>
        </w:tc>
        <w:tc>
          <w:tcPr>
            <w:tcW w:w="900" w:type="dxa"/>
            <w:tcBorders>
              <w:top w:val="nil"/>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95.0</w:t>
            </w:r>
          </w:p>
        </w:tc>
        <w:tc>
          <w:tcPr>
            <w:tcW w:w="967" w:type="dxa"/>
            <w:gridSpan w:val="2"/>
            <w:tcBorders>
              <w:top w:val="nil"/>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99.8</w:t>
            </w:r>
          </w:p>
        </w:tc>
        <w:tc>
          <w:tcPr>
            <w:tcW w:w="933" w:type="dxa"/>
            <w:tcBorders>
              <w:top w:val="nil"/>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99.9</w:t>
            </w:r>
          </w:p>
        </w:tc>
        <w:tc>
          <w:tcPr>
            <w:tcW w:w="900" w:type="dxa"/>
            <w:tcBorders>
              <w:top w:val="nil"/>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98.0</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Borders>
              <w:top w:val="nil"/>
            </w:tcBorders>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集中供暖</w:t>
            </w:r>
          </w:p>
        </w:tc>
        <w:tc>
          <w:tcPr>
            <w:tcW w:w="900" w:type="dxa"/>
            <w:tcBorders>
              <w:top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30.9</w:t>
            </w:r>
          </w:p>
        </w:tc>
        <w:tc>
          <w:tcPr>
            <w:tcW w:w="900" w:type="dxa"/>
            <w:tcBorders>
              <w:top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58.8</w:t>
            </w:r>
          </w:p>
        </w:tc>
        <w:tc>
          <w:tcPr>
            <w:tcW w:w="900" w:type="dxa"/>
            <w:tcBorders>
              <w:top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1.9</w:t>
            </w:r>
          </w:p>
        </w:tc>
        <w:tc>
          <w:tcPr>
            <w:tcW w:w="967" w:type="dxa"/>
            <w:gridSpan w:val="2"/>
            <w:tcBorders>
              <w:top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32.7</w:t>
            </w:r>
          </w:p>
        </w:tc>
        <w:tc>
          <w:tcPr>
            <w:tcW w:w="933" w:type="dxa"/>
            <w:tcBorders>
              <w:top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60.6</w:t>
            </w:r>
          </w:p>
        </w:tc>
        <w:tc>
          <w:tcPr>
            <w:tcW w:w="900" w:type="dxa"/>
            <w:tcBorders>
              <w:top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2.7</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沐浴</w:t>
            </w:r>
            <w:r w:rsidRPr="00EE0CDD">
              <w:rPr>
                <w:snapToGrid/>
                <w:sz w:val="18"/>
                <w:szCs w:val="18"/>
                <w:lang w:val="en-GB"/>
              </w:rPr>
              <w:t>(</w:t>
            </w:r>
            <w:r w:rsidRPr="00EE0CDD">
              <w:rPr>
                <w:snapToGrid/>
                <w:sz w:val="18"/>
                <w:szCs w:val="18"/>
                <w:lang w:val="en-GB"/>
              </w:rPr>
              <w:t>淋浴</w:t>
            </w:r>
            <w:r w:rsidRPr="00EE0CDD">
              <w:rPr>
                <w:snapToGrid/>
                <w:sz w:val="18"/>
                <w:szCs w:val="18"/>
                <w:lang w:val="en-GB"/>
              </w:rPr>
              <w:t>)</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30.4</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56.0</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0.8</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31.6</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57.6</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1.3</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固定电话</w:t>
            </w:r>
            <w:r w:rsidRPr="00EE0CDD">
              <w:rPr>
                <w:snapToGrid/>
                <w:sz w:val="18"/>
                <w:szCs w:val="18"/>
                <w:lang w:val="en-GB" w:eastAsia="en-US"/>
              </w:rPr>
              <w:t xml:space="preserve"> </w:t>
            </w:r>
            <w:r w:rsidRPr="00EE0CDD">
              <w:rPr>
                <w:snapToGrid/>
                <w:sz w:val="18"/>
                <w:szCs w:val="18"/>
                <w:lang w:val="en-GB"/>
              </w:rPr>
              <w:t>(</w:t>
            </w:r>
            <w:r w:rsidRPr="00EE0CDD">
              <w:rPr>
                <w:snapToGrid/>
                <w:sz w:val="18"/>
                <w:szCs w:val="18"/>
                <w:lang w:val="en-GB"/>
              </w:rPr>
              <w:t>有线</w:t>
            </w:r>
            <w:r w:rsidRPr="00EE0CDD">
              <w:rPr>
                <w:snapToGrid/>
                <w:sz w:val="18"/>
                <w:szCs w:val="18"/>
                <w:lang w:val="en-GB"/>
              </w:rPr>
              <w:t>)</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35.7</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58.0</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10.6</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37.6</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59.9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11.6</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rFonts w:eastAsia="SimHei"/>
                <w:snapToGrid/>
                <w:sz w:val="18"/>
                <w:szCs w:val="18"/>
                <w:lang w:val="en-GB" w:eastAsia="en-US"/>
              </w:rPr>
            </w:pPr>
            <w:r w:rsidRPr="00EE0CDD">
              <w:rPr>
                <w:rFonts w:eastAsia="SimHei"/>
                <w:snapToGrid/>
                <w:sz w:val="18"/>
                <w:szCs w:val="18"/>
                <w:lang w:val="en-GB"/>
              </w:rPr>
              <w:t>阿什哈巴德市</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集中给水管道</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99.4</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99.4</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100.0</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100.0</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集中排水管道</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89.9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89.9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91.9</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91.9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天然气</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99.9</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集中供暖</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89.1</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89.1</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91.8</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91.8</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沐浴</w:t>
            </w:r>
            <w:r w:rsidRPr="00EE0CDD">
              <w:rPr>
                <w:snapToGrid/>
                <w:sz w:val="18"/>
                <w:szCs w:val="18"/>
                <w:lang w:val="en-GB"/>
              </w:rPr>
              <w:t>(</w:t>
            </w:r>
            <w:r w:rsidRPr="00EE0CDD">
              <w:rPr>
                <w:snapToGrid/>
                <w:sz w:val="18"/>
                <w:szCs w:val="18"/>
                <w:lang w:val="en-GB"/>
              </w:rPr>
              <w:t>淋浴</w:t>
            </w:r>
            <w:r w:rsidRPr="00EE0CDD">
              <w:rPr>
                <w:snapToGrid/>
                <w:sz w:val="18"/>
                <w:szCs w:val="18"/>
                <w:lang w:val="en-GB"/>
              </w:rPr>
              <w:t>)</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83.5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83.5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85.5</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85.5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固定电话</w:t>
            </w:r>
            <w:r w:rsidRPr="00EE0CDD">
              <w:rPr>
                <w:snapToGrid/>
                <w:sz w:val="18"/>
                <w:szCs w:val="18"/>
                <w:lang w:val="en-GB"/>
              </w:rPr>
              <w:t>(</w:t>
            </w:r>
            <w:r w:rsidRPr="00EE0CDD">
              <w:rPr>
                <w:snapToGrid/>
                <w:sz w:val="18"/>
                <w:szCs w:val="18"/>
                <w:lang w:val="en-GB"/>
              </w:rPr>
              <w:t>有线</w:t>
            </w:r>
            <w:r w:rsidRPr="00EE0CDD">
              <w:rPr>
                <w:snapToGrid/>
                <w:sz w:val="18"/>
                <w:szCs w:val="18"/>
                <w:lang w:val="en-GB"/>
              </w:rPr>
              <w:t>)</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56.3</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56.3</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85.0</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85.0</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rFonts w:eastAsia="SimHei"/>
                <w:snapToGrid/>
                <w:sz w:val="18"/>
                <w:szCs w:val="18"/>
                <w:lang w:val="en-GB" w:eastAsia="en-US"/>
              </w:rPr>
            </w:pPr>
            <w:r w:rsidRPr="00EE0CDD">
              <w:rPr>
                <w:rFonts w:eastAsia="SimHei"/>
                <w:snapToGrid/>
                <w:sz w:val="18"/>
                <w:szCs w:val="18"/>
                <w:lang w:val="en-GB"/>
              </w:rPr>
              <w:t>阿哈尔省</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集中给水管道</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99.4</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99.4</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100.0</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100.0</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集中排水管道</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89.9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89.9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91.9</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91.9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天然气</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99.9</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集中供暖</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89.1</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89.1</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91.8</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91.8</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沐浴</w:t>
            </w:r>
            <w:r w:rsidRPr="00EE0CDD">
              <w:rPr>
                <w:snapToGrid/>
                <w:sz w:val="18"/>
                <w:szCs w:val="18"/>
                <w:lang w:val="en-GB"/>
              </w:rPr>
              <w:t>(</w:t>
            </w:r>
            <w:r w:rsidRPr="00EE0CDD">
              <w:rPr>
                <w:snapToGrid/>
                <w:sz w:val="18"/>
                <w:szCs w:val="18"/>
                <w:lang w:val="en-GB"/>
              </w:rPr>
              <w:t>淋浴</w:t>
            </w:r>
            <w:r w:rsidRPr="00EE0CDD">
              <w:rPr>
                <w:snapToGrid/>
                <w:sz w:val="18"/>
                <w:szCs w:val="18"/>
                <w:lang w:val="en-GB"/>
              </w:rPr>
              <w:t>)</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83.5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83.5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85.5</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85.5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固定电话</w:t>
            </w:r>
            <w:r w:rsidRPr="00EE0CDD">
              <w:rPr>
                <w:snapToGrid/>
                <w:sz w:val="18"/>
                <w:szCs w:val="18"/>
                <w:lang w:val="en-GB"/>
              </w:rPr>
              <w:t>(</w:t>
            </w:r>
            <w:r w:rsidRPr="00EE0CDD">
              <w:rPr>
                <w:snapToGrid/>
                <w:sz w:val="18"/>
                <w:szCs w:val="18"/>
                <w:lang w:val="en-GB"/>
              </w:rPr>
              <w:t>有线</w:t>
            </w:r>
            <w:r w:rsidRPr="00EE0CDD">
              <w:rPr>
                <w:snapToGrid/>
                <w:sz w:val="18"/>
                <w:szCs w:val="18"/>
                <w:lang w:val="en-GB"/>
              </w:rPr>
              <w:t>)</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56.3</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56.3</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85.0</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85.0</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rFonts w:eastAsia="SimHei"/>
                <w:snapToGrid/>
                <w:sz w:val="18"/>
                <w:szCs w:val="18"/>
                <w:lang w:val="en-GB" w:eastAsia="en-US"/>
              </w:rPr>
            </w:pPr>
            <w:r w:rsidRPr="00EE0CDD">
              <w:rPr>
                <w:rFonts w:eastAsia="SimHei"/>
                <w:snapToGrid/>
                <w:sz w:val="18"/>
                <w:szCs w:val="18"/>
                <w:lang w:val="en-GB"/>
              </w:rPr>
              <w:t>巴尔干省</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集中给水管道</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72.3</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82.3</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27.3</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73.2</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83.5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27.8</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集中排水管道</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58.4</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71.1</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60.4</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76.3</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1.1</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天然气</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99.1</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99.8</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96.0</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99.9</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98.9</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集中供暖</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37.1</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45.1</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1.5</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37.9</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46.0</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1.8</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沐浴</w:t>
            </w:r>
            <w:r w:rsidRPr="00EE0CDD">
              <w:rPr>
                <w:snapToGrid/>
                <w:sz w:val="18"/>
                <w:szCs w:val="18"/>
                <w:lang w:val="en-GB"/>
              </w:rPr>
              <w:t>(</w:t>
            </w:r>
            <w:r w:rsidRPr="00EE0CDD">
              <w:rPr>
                <w:snapToGrid/>
                <w:sz w:val="18"/>
                <w:szCs w:val="18"/>
                <w:lang w:val="en-GB"/>
              </w:rPr>
              <w:t>淋浴</w:t>
            </w:r>
            <w:r w:rsidRPr="00EE0CDD">
              <w:rPr>
                <w:snapToGrid/>
                <w:sz w:val="18"/>
                <w:szCs w:val="18"/>
                <w:lang w:val="en-GB"/>
              </w:rPr>
              <w:t>)</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49.8</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60.6</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50.4</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61.3</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1.2</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固定电话</w:t>
            </w:r>
            <w:r w:rsidRPr="00EE0CDD">
              <w:rPr>
                <w:snapToGrid/>
                <w:sz w:val="18"/>
                <w:szCs w:val="18"/>
                <w:lang w:val="en-GB"/>
              </w:rPr>
              <w:t>(</w:t>
            </w:r>
            <w:r w:rsidRPr="00EE0CDD">
              <w:rPr>
                <w:snapToGrid/>
                <w:sz w:val="18"/>
                <w:szCs w:val="18"/>
                <w:lang w:val="en-GB"/>
              </w:rPr>
              <w:t>有线</w:t>
            </w:r>
            <w:r w:rsidRPr="00EE0CDD">
              <w:rPr>
                <w:snapToGrid/>
                <w:sz w:val="18"/>
                <w:szCs w:val="18"/>
                <w:lang w:val="en-GB"/>
              </w:rPr>
              <w:t>)</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50.5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56.9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21.7</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51.6</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58.2</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22.4</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rFonts w:eastAsia="SimHei"/>
                <w:snapToGrid/>
                <w:sz w:val="18"/>
                <w:szCs w:val="18"/>
                <w:lang w:val="en-GB" w:eastAsia="en-US"/>
              </w:rPr>
            </w:pPr>
            <w:r w:rsidRPr="00EE0CDD">
              <w:rPr>
                <w:rFonts w:eastAsia="SimHei"/>
                <w:snapToGrid/>
                <w:sz w:val="18"/>
                <w:szCs w:val="18"/>
                <w:lang w:val="en-GB"/>
              </w:rPr>
              <w:t>达守古斯省</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集中给水管道</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36.3</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79.5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14.1</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37.2</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80.5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14.8</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集中排水管道</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12.4</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33.6</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1.5</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13.1</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34.4</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1.7</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天然气</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98.5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99.4</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98.1</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99.8</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99.8</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集中供暖</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16.5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47.2</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0.7</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17.2</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48.0</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0.9</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沐浴</w:t>
            </w:r>
            <w:r w:rsidRPr="00EE0CDD">
              <w:rPr>
                <w:snapToGrid/>
                <w:sz w:val="18"/>
                <w:szCs w:val="18"/>
                <w:lang w:val="en-GB"/>
              </w:rPr>
              <w:t>(</w:t>
            </w:r>
            <w:r w:rsidRPr="00EE0CDD">
              <w:rPr>
                <w:snapToGrid/>
                <w:sz w:val="18"/>
                <w:szCs w:val="18"/>
                <w:lang w:val="en-GB"/>
              </w:rPr>
              <w:t>淋浴</w:t>
            </w:r>
            <w:r w:rsidRPr="00EE0CDD">
              <w:rPr>
                <w:snapToGrid/>
                <w:sz w:val="18"/>
                <w:szCs w:val="18"/>
                <w:lang w:val="en-GB"/>
              </w:rPr>
              <w:t>)</w:t>
            </w:r>
          </w:p>
        </w:tc>
        <w:tc>
          <w:tcPr>
            <w:tcW w:w="900"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9.6</w:t>
            </w:r>
          </w:p>
        </w:tc>
        <w:tc>
          <w:tcPr>
            <w:tcW w:w="900"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27.6</w:t>
            </w:r>
          </w:p>
        </w:tc>
        <w:tc>
          <w:tcPr>
            <w:tcW w:w="900"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0.5</w:t>
            </w:r>
          </w:p>
        </w:tc>
        <w:tc>
          <w:tcPr>
            <w:tcW w:w="967" w:type="dxa"/>
            <w:gridSpan w:val="2"/>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10.2</w:t>
            </w:r>
          </w:p>
        </w:tc>
        <w:tc>
          <w:tcPr>
            <w:tcW w:w="933"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28.3</w:t>
            </w:r>
          </w:p>
        </w:tc>
        <w:tc>
          <w:tcPr>
            <w:tcW w:w="900"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0.8</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固定电话</w:t>
            </w:r>
            <w:r w:rsidRPr="00EE0CDD">
              <w:rPr>
                <w:snapToGrid/>
                <w:sz w:val="18"/>
                <w:szCs w:val="18"/>
                <w:lang w:val="en-GB"/>
              </w:rPr>
              <w:t>(</w:t>
            </w:r>
            <w:r w:rsidRPr="00EE0CDD">
              <w:rPr>
                <w:snapToGrid/>
                <w:sz w:val="18"/>
                <w:szCs w:val="18"/>
                <w:lang w:val="en-GB"/>
              </w:rPr>
              <w:t>有线</w:t>
            </w:r>
            <w:r w:rsidRPr="00EE0CDD">
              <w:rPr>
                <w:snapToGrid/>
                <w:sz w:val="18"/>
                <w:szCs w:val="18"/>
                <w:lang w:val="en-GB"/>
              </w:rPr>
              <w:t>)</w:t>
            </w:r>
          </w:p>
        </w:tc>
        <w:tc>
          <w:tcPr>
            <w:tcW w:w="900" w:type="dxa"/>
            <w:tcBorders>
              <w:top w:val="nil"/>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31.3</w:t>
            </w:r>
          </w:p>
        </w:tc>
        <w:tc>
          <w:tcPr>
            <w:tcW w:w="900" w:type="dxa"/>
            <w:tcBorders>
              <w:top w:val="nil"/>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71.1</w:t>
            </w:r>
          </w:p>
        </w:tc>
        <w:tc>
          <w:tcPr>
            <w:tcW w:w="900" w:type="dxa"/>
            <w:tcBorders>
              <w:top w:val="nil"/>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11.1</w:t>
            </w:r>
          </w:p>
        </w:tc>
        <w:tc>
          <w:tcPr>
            <w:tcW w:w="967" w:type="dxa"/>
            <w:gridSpan w:val="2"/>
            <w:tcBorders>
              <w:top w:val="nil"/>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32.1</w:t>
            </w:r>
          </w:p>
        </w:tc>
        <w:tc>
          <w:tcPr>
            <w:tcW w:w="933" w:type="dxa"/>
            <w:tcBorders>
              <w:top w:val="nil"/>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72.1</w:t>
            </w:r>
          </w:p>
        </w:tc>
        <w:tc>
          <w:tcPr>
            <w:tcW w:w="900" w:type="dxa"/>
            <w:tcBorders>
              <w:top w:val="nil"/>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11.7</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rFonts w:eastAsia="SimHei"/>
                <w:snapToGrid/>
                <w:sz w:val="18"/>
                <w:szCs w:val="18"/>
                <w:lang w:val="en-GB" w:eastAsia="en-US"/>
              </w:rPr>
            </w:pPr>
            <w:r w:rsidRPr="00EE0CDD">
              <w:rPr>
                <w:rFonts w:eastAsia="SimHei"/>
                <w:snapToGrid/>
                <w:sz w:val="18"/>
                <w:szCs w:val="18"/>
                <w:lang w:val="en-GB"/>
              </w:rPr>
              <w:t>列巴普省</w:t>
            </w:r>
          </w:p>
        </w:tc>
        <w:tc>
          <w:tcPr>
            <w:tcW w:w="900" w:type="dxa"/>
            <w:tcBorders>
              <w:top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Borders>
              <w:top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Borders>
              <w:top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Borders>
              <w:top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33" w:type="dxa"/>
            <w:tcBorders>
              <w:top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Borders>
              <w:top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集中给水管道</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32.4</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55.1</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13.6</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33.7</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57.0</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14.3</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集中排水管道</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21.6</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42.7</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4.1</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22.4</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43.8</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4.3</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天然气</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91.3</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99.1</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84.6</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98.8</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97.8</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集中供暖</w:t>
            </w:r>
          </w:p>
        </w:tc>
        <w:tc>
          <w:tcPr>
            <w:tcW w:w="900"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20.1</w:t>
            </w:r>
          </w:p>
        </w:tc>
        <w:tc>
          <w:tcPr>
            <w:tcW w:w="900"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43.4</w:t>
            </w:r>
          </w:p>
        </w:tc>
        <w:tc>
          <w:tcPr>
            <w:tcW w:w="900"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0.8</w:t>
            </w:r>
          </w:p>
        </w:tc>
        <w:tc>
          <w:tcPr>
            <w:tcW w:w="967" w:type="dxa"/>
            <w:gridSpan w:val="2"/>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21.3</w:t>
            </w:r>
          </w:p>
        </w:tc>
        <w:tc>
          <w:tcPr>
            <w:tcW w:w="933"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44.7</w:t>
            </w:r>
          </w:p>
        </w:tc>
        <w:tc>
          <w:tcPr>
            <w:tcW w:w="900" w:type="dxa"/>
            <w:tcBorders>
              <w:bottom w:val="nil"/>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1.3</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Borders>
              <w:top w:val="nil"/>
              <w:bottom w:val="single" w:sz="4" w:space="0" w:color="auto"/>
            </w:tcBorders>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沐浴</w:t>
            </w:r>
            <w:r w:rsidRPr="00EE0CDD">
              <w:rPr>
                <w:snapToGrid/>
                <w:sz w:val="18"/>
                <w:szCs w:val="18"/>
                <w:lang w:val="en-GB"/>
              </w:rPr>
              <w:t>(</w:t>
            </w:r>
            <w:r w:rsidRPr="00EE0CDD">
              <w:rPr>
                <w:snapToGrid/>
                <w:sz w:val="18"/>
                <w:szCs w:val="18"/>
                <w:lang w:val="en-GB"/>
              </w:rPr>
              <w:t>淋浴</w:t>
            </w:r>
            <w:r w:rsidRPr="00EE0CDD">
              <w:rPr>
                <w:snapToGrid/>
                <w:sz w:val="18"/>
                <w:szCs w:val="18"/>
                <w:lang w:val="en-GB"/>
              </w:rPr>
              <w:t>)</w:t>
            </w:r>
          </w:p>
        </w:tc>
        <w:tc>
          <w:tcPr>
            <w:tcW w:w="900" w:type="dxa"/>
            <w:tcBorders>
              <w:top w:val="nil"/>
              <w:bottom w:val="single" w:sz="4"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18.3</w:t>
            </w:r>
          </w:p>
        </w:tc>
        <w:tc>
          <w:tcPr>
            <w:tcW w:w="900" w:type="dxa"/>
            <w:tcBorders>
              <w:top w:val="nil"/>
              <w:bottom w:val="single" w:sz="4"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38.3</w:t>
            </w:r>
          </w:p>
        </w:tc>
        <w:tc>
          <w:tcPr>
            <w:tcW w:w="900" w:type="dxa"/>
            <w:tcBorders>
              <w:top w:val="nil"/>
              <w:bottom w:val="single" w:sz="4"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1.8</w:t>
            </w:r>
          </w:p>
        </w:tc>
        <w:tc>
          <w:tcPr>
            <w:tcW w:w="967" w:type="dxa"/>
            <w:gridSpan w:val="2"/>
            <w:tcBorders>
              <w:top w:val="nil"/>
              <w:bottom w:val="single" w:sz="4"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18.9</w:t>
            </w:r>
          </w:p>
        </w:tc>
        <w:tc>
          <w:tcPr>
            <w:tcW w:w="933" w:type="dxa"/>
            <w:tcBorders>
              <w:top w:val="nil"/>
              <w:bottom w:val="single" w:sz="4"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39.4</w:t>
            </w:r>
          </w:p>
        </w:tc>
        <w:tc>
          <w:tcPr>
            <w:tcW w:w="900" w:type="dxa"/>
            <w:tcBorders>
              <w:top w:val="nil"/>
              <w:bottom w:val="single" w:sz="4"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2.1</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Borders>
              <w:top w:val="single" w:sz="4" w:space="0" w:color="auto"/>
            </w:tcBorders>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固定电话</w:t>
            </w:r>
            <w:r w:rsidRPr="00EE0CDD">
              <w:rPr>
                <w:snapToGrid/>
                <w:sz w:val="18"/>
                <w:szCs w:val="18"/>
                <w:lang w:val="en-GB"/>
              </w:rPr>
              <w:t>(</w:t>
            </w:r>
            <w:r w:rsidRPr="00EE0CDD">
              <w:rPr>
                <w:snapToGrid/>
                <w:sz w:val="18"/>
                <w:szCs w:val="18"/>
                <w:lang w:val="en-GB"/>
              </w:rPr>
              <w:t>有线</w:t>
            </w:r>
            <w:r w:rsidRPr="00EE0CDD">
              <w:rPr>
                <w:snapToGrid/>
                <w:sz w:val="18"/>
                <w:szCs w:val="18"/>
                <w:lang w:val="en-GB"/>
              </w:rPr>
              <w:t>)</w:t>
            </w:r>
          </w:p>
        </w:tc>
        <w:tc>
          <w:tcPr>
            <w:tcW w:w="900" w:type="dxa"/>
            <w:tcBorders>
              <w:top w:val="single" w:sz="4"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33.7</w:t>
            </w:r>
          </w:p>
        </w:tc>
        <w:tc>
          <w:tcPr>
            <w:tcW w:w="900" w:type="dxa"/>
            <w:tcBorders>
              <w:top w:val="single" w:sz="4"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62.5</w:t>
            </w:r>
          </w:p>
        </w:tc>
        <w:tc>
          <w:tcPr>
            <w:tcW w:w="900" w:type="dxa"/>
            <w:tcBorders>
              <w:top w:val="single" w:sz="4"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11.6</w:t>
            </w:r>
          </w:p>
        </w:tc>
        <w:tc>
          <w:tcPr>
            <w:tcW w:w="967" w:type="dxa"/>
            <w:gridSpan w:val="2"/>
            <w:tcBorders>
              <w:top w:val="single" w:sz="4"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35.0</w:t>
            </w:r>
          </w:p>
        </w:tc>
        <w:tc>
          <w:tcPr>
            <w:tcW w:w="933" w:type="dxa"/>
            <w:tcBorders>
              <w:top w:val="single" w:sz="4"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63.8</w:t>
            </w:r>
          </w:p>
        </w:tc>
        <w:tc>
          <w:tcPr>
            <w:tcW w:w="900" w:type="dxa"/>
            <w:tcBorders>
              <w:top w:val="single" w:sz="4" w:space="0" w:color="auto"/>
            </w:tcBorders>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12.3</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rFonts w:eastAsia="SimHei"/>
                <w:snapToGrid/>
                <w:sz w:val="18"/>
                <w:szCs w:val="18"/>
                <w:lang w:val="en-GB" w:eastAsia="en-US"/>
              </w:rPr>
            </w:pPr>
            <w:r w:rsidRPr="00EE0CDD">
              <w:rPr>
                <w:rFonts w:eastAsia="SimHei"/>
                <w:snapToGrid/>
                <w:sz w:val="18"/>
                <w:szCs w:val="18"/>
                <w:lang w:val="en-GB"/>
              </w:rPr>
              <w:t>马雷伊省</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集中给水管道</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30.5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64.5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15.4</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31.4</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65.7</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16.2</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集中排水管道</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16.8</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53.5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0.5</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17.6</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54.8</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0.8</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天然气</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97.2</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96.7</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97.4</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99.6</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99.5</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99.6</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集中供暖</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17.8</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56.9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0.4</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18.6</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57.9</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0.7</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沐浴</w:t>
            </w:r>
            <w:r w:rsidRPr="00EE0CDD">
              <w:rPr>
                <w:snapToGrid/>
                <w:sz w:val="18"/>
                <w:szCs w:val="18"/>
                <w:lang w:val="en-GB"/>
              </w:rPr>
              <w:t>(</w:t>
            </w:r>
            <w:r w:rsidRPr="00EE0CDD">
              <w:rPr>
                <w:snapToGrid/>
                <w:sz w:val="18"/>
                <w:szCs w:val="18"/>
                <w:lang w:val="en-GB"/>
              </w:rPr>
              <w:t>淋浴</w:t>
            </w:r>
            <w:r w:rsidRPr="00EE0CDD">
              <w:rPr>
                <w:snapToGrid/>
                <w:sz w:val="18"/>
                <w:szCs w:val="18"/>
                <w:lang w:val="en-GB"/>
              </w:rPr>
              <w:t>)</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15.3</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49.2</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0.3</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16.1</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50.2</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0.6</w:t>
            </w:r>
          </w:p>
        </w:tc>
      </w:tr>
      <w:tr w:rsidR="00A93F62" w:rsidRPr="00EE0CDD">
        <w:tc>
          <w:tcPr>
            <w:cnfStyle w:val="001000000000" w:firstRow="0" w:lastRow="0" w:firstColumn="1" w:lastColumn="0" w:oddVBand="0" w:evenVBand="0" w:oddHBand="0" w:evenHBand="0" w:firstRowFirstColumn="0" w:firstRowLastColumn="0" w:lastRowFirstColumn="0" w:lastRowLastColumn="0"/>
            <w:tcW w:w="1900" w:type="dxa"/>
          </w:tcPr>
          <w:p w:rsidR="00A93F62" w:rsidRPr="00EE0CDD" w:rsidRDefault="00A93F62">
            <w:pPr>
              <w:tabs>
                <w:tab w:val="clear" w:pos="431"/>
              </w:tabs>
              <w:suppressAutoHyphens/>
              <w:overflowPunct/>
              <w:adjustRightInd/>
              <w:snapToGrid/>
              <w:spacing w:before="0" w:after="0" w:line="240" w:lineRule="atLeast"/>
              <w:rPr>
                <w:snapToGrid/>
                <w:sz w:val="18"/>
                <w:szCs w:val="18"/>
                <w:lang w:val="en-GB"/>
              </w:rPr>
            </w:pPr>
            <w:r w:rsidRPr="00EE0CDD">
              <w:rPr>
                <w:snapToGrid/>
                <w:sz w:val="18"/>
                <w:szCs w:val="18"/>
                <w:lang w:val="en-GB"/>
              </w:rPr>
              <w:t>固定电话</w:t>
            </w:r>
            <w:r w:rsidRPr="00EE0CDD">
              <w:rPr>
                <w:snapToGrid/>
                <w:sz w:val="18"/>
                <w:szCs w:val="18"/>
                <w:lang w:val="en-GB"/>
              </w:rPr>
              <w:t>(</w:t>
            </w:r>
            <w:r w:rsidRPr="00EE0CDD">
              <w:rPr>
                <w:snapToGrid/>
                <w:sz w:val="18"/>
                <w:szCs w:val="18"/>
                <w:lang w:val="en-GB"/>
              </w:rPr>
              <w:t>有线</w:t>
            </w:r>
            <w:r w:rsidRPr="00EE0CDD">
              <w:rPr>
                <w:snapToGrid/>
                <w:sz w:val="18"/>
                <w:szCs w:val="18"/>
                <w:lang w:val="en-GB"/>
              </w:rPr>
              <w:t>)</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27.1</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63.2</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11.0</w:t>
            </w:r>
          </w:p>
        </w:tc>
        <w:tc>
          <w:tcPr>
            <w:tcW w:w="967" w:type="dxa"/>
            <w:gridSpan w:val="2"/>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28.5</w:t>
            </w:r>
          </w:p>
        </w:tc>
        <w:tc>
          <w:tcPr>
            <w:tcW w:w="933"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64.6</w:t>
            </w:r>
          </w:p>
        </w:tc>
        <w:tc>
          <w:tcPr>
            <w:tcW w:w="900" w:type="dxa"/>
          </w:tcPr>
          <w:p w:rsidR="00A93F62" w:rsidRPr="00EE0CDD" w:rsidRDefault="00A93F62" w:rsidP="00EE0CD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EE0CDD">
              <w:rPr>
                <w:snapToGrid/>
                <w:sz w:val="18"/>
                <w:szCs w:val="18"/>
                <w:lang w:val="en-GB" w:eastAsia="en-US"/>
              </w:rPr>
              <w:t>11.8</w:t>
            </w:r>
          </w:p>
        </w:tc>
      </w:tr>
    </w:tbl>
    <w:p w:rsidR="00A93F62" w:rsidRDefault="00A93F62">
      <w:pPr>
        <w:tabs>
          <w:tab w:val="clear" w:pos="431"/>
        </w:tabs>
        <w:suppressAutoHyphens/>
        <w:overflowPunct/>
        <w:adjustRightInd/>
        <w:snapToGrid/>
        <w:spacing w:beforeLines="50" w:before="163" w:after="120" w:line="320" w:lineRule="atLeast"/>
        <w:ind w:left="1134" w:right="1134"/>
        <w:rPr>
          <w:snapToGrid/>
          <w:szCs w:val="21"/>
          <w:lang w:val="en-GB"/>
        </w:rPr>
      </w:pPr>
      <w:r>
        <w:rPr>
          <w:snapToGrid/>
          <w:szCs w:val="21"/>
          <w:lang w:val="en-GB"/>
        </w:rPr>
        <w:t>206.</w:t>
      </w:r>
      <w:r>
        <w:rPr>
          <w:rFonts w:hint="eastAsia"/>
          <w:snapToGrid/>
          <w:szCs w:val="21"/>
          <w:lang w:val="en-GB"/>
        </w:rPr>
        <w:t xml:space="preserve">  </w:t>
      </w:r>
      <w:r>
        <w:rPr>
          <w:snapToGrid/>
          <w:szCs w:val="21"/>
          <w:lang w:val="en-GB"/>
        </w:rPr>
        <w:t>《土库曼斯坦宪法》、《土库曼斯坦民法典》、《居住法典》和《土库曼斯坦土地法》、《土库曼斯坦所有权法》和《农民协会法》，以及土库曼斯坦的其它标准性法令负责，协调公民享有舒适住房的权利。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207.</w:t>
      </w:r>
      <w:r>
        <w:rPr>
          <w:rFonts w:hint="eastAsia"/>
          <w:snapToGrid/>
          <w:szCs w:val="21"/>
          <w:lang w:val="en-GB"/>
        </w:rPr>
        <w:t xml:space="preserve">  </w:t>
      </w:r>
      <w:smartTag w:uri="urn:schemas-microsoft-com:office:smarttags" w:element="chsdate">
        <w:smartTagPr>
          <w:attr w:name="IsROCDate" w:val="False"/>
          <w:attr w:name="IsLunarDate" w:val="False"/>
          <w:attr w:name="Day" w:val="25"/>
          <w:attr w:name="Month" w:val="10"/>
          <w:attr w:name="Year" w:val="2004"/>
        </w:smartTagPr>
        <w:r>
          <w:rPr>
            <w:snapToGrid/>
            <w:szCs w:val="21"/>
            <w:lang w:val="en-GB"/>
          </w:rPr>
          <w:t>2004</w:t>
        </w:r>
        <w:r>
          <w:rPr>
            <w:snapToGrid/>
            <w:szCs w:val="21"/>
            <w:lang w:val="en-GB"/>
          </w:rPr>
          <w:t>年</w:t>
        </w:r>
        <w:r>
          <w:rPr>
            <w:snapToGrid/>
            <w:szCs w:val="21"/>
            <w:lang w:val="en-GB"/>
          </w:rPr>
          <w:t>10</w:t>
        </w:r>
        <w:r>
          <w:rPr>
            <w:snapToGrid/>
            <w:szCs w:val="21"/>
            <w:lang w:val="en-GB"/>
          </w:rPr>
          <w:t>月</w:t>
        </w:r>
        <w:r>
          <w:rPr>
            <w:snapToGrid/>
            <w:szCs w:val="21"/>
            <w:lang w:val="en-GB"/>
          </w:rPr>
          <w:t>25</w:t>
        </w:r>
        <w:r>
          <w:rPr>
            <w:snapToGrid/>
            <w:szCs w:val="21"/>
            <w:lang w:val="en-GB"/>
          </w:rPr>
          <w:t>日</w:t>
        </w:r>
      </w:smartTag>
      <w:r>
        <w:rPr>
          <w:snapToGrid/>
          <w:szCs w:val="21"/>
          <w:lang w:val="en-GB"/>
        </w:rPr>
        <w:t>颁布的《土库曼斯坦土地法》，协调土地使用问题。该法规定，向土库曼斯坦公民提供土地：</w:t>
      </w:r>
    </w:p>
    <w:p w:rsidR="00A93F62" w:rsidRDefault="00A93F62">
      <w:pPr>
        <w:pStyle w:val="SingleTxtGC"/>
        <w:rPr>
          <w:snapToGrid/>
          <w:lang w:val="en-GB"/>
        </w:rPr>
      </w:pPr>
      <w:r>
        <w:rPr>
          <w:rFonts w:hint="eastAsia"/>
          <w:snapToGrid/>
          <w:lang w:val="en-GB"/>
        </w:rPr>
        <w:tab/>
        <w:t>(</w:t>
      </w:r>
      <w:r>
        <w:rPr>
          <w:snapToGrid/>
          <w:lang w:val="en-GB"/>
        </w:rPr>
        <w:t>a)</w:t>
      </w:r>
      <w:r>
        <w:rPr>
          <w:rFonts w:hint="eastAsia"/>
          <w:snapToGrid/>
          <w:lang w:val="en-GB"/>
        </w:rPr>
        <w:tab/>
      </w:r>
      <w:r>
        <w:rPr>
          <w:snapToGrid/>
          <w:lang w:val="en-GB"/>
        </w:rPr>
        <w:t>城乡个人住房用地为个人财产；</w:t>
      </w:r>
    </w:p>
    <w:p w:rsidR="00A93F62" w:rsidRDefault="00A93F62">
      <w:pPr>
        <w:pStyle w:val="SingleTxtGC"/>
        <w:rPr>
          <w:snapToGrid/>
          <w:lang w:val="en-GB"/>
        </w:rPr>
      </w:pPr>
      <w:r>
        <w:rPr>
          <w:rFonts w:hint="eastAsia"/>
          <w:snapToGrid/>
          <w:lang w:val="en-GB"/>
        </w:rPr>
        <w:tab/>
        <w:t>(</w:t>
      </w:r>
      <w:r>
        <w:rPr>
          <w:snapToGrid/>
          <w:lang w:val="en-GB"/>
        </w:rPr>
        <w:t>b)</w:t>
      </w:r>
      <w:r>
        <w:rPr>
          <w:rFonts w:hint="eastAsia"/>
          <w:snapToGrid/>
          <w:lang w:val="en-GB"/>
        </w:rPr>
        <w:tab/>
      </w:r>
      <w:r>
        <w:rPr>
          <w:snapToGrid/>
          <w:lang w:val="en-GB"/>
        </w:rPr>
        <w:t>个人副业用地为个人财产</w:t>
      </w:r>
      <w:r>
        <w:rPr>
          <w:rFonts w:hint="eastAsia"/>
          <w:snapToGrid/>
          <w:spacing w:val="-50"/>
          <w:lang w:val="en-GB"/>
        </w:rPr>
        <w:t>―</w:t>
      </w:r>
      <w:r>
        <w:rPr>
          <w:rFonts w:hint="eastAsia"/>
          <w:snapToGrid/>
          <w:lang w:val="en-GB"/>
        </w:rPr>
        <w:t>―</w:t>
      </w:r>
      <w:r>
        <w:rPr>
          <w:snapToGrid/>
          <w:lang w:val="en-GB"/>
        </w:rPr>
        <w:t>农村宅旁的自种园地，公民有权以规定的方式，在那里建造个人住房。</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208.</w:t>
      </w:r>
      <w:r>
        <w:rPr>
          <w:rFonts w:hint="eastAsia"/>
          <w:snapToGrid/>
          <w:szCs w:val="21"/>
          <w:lang w:val="en-GB"/>
        </w:rPr>
        <w:t xml:space="preserve">  </w:t>
      </w:r>
      <w:r>
        <w:rPr>
          <w:snapToGrid/>
          <w:szCs w:val="21"/>
          <w:lang w:val="en-GB"/>
        </w:rPr>
        <w:t>土库曼斯坦部长内阁、建设与建材工业部、土库曼斯坦自然环境保护部、其它相关部委与部门、地方行政机构是协调住房问题的机构。</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209.</w:t>
      </w:r>
      <w:r>
        <w:rPr>
          <w:rFonts w:hint="eastAsia"/>
          <w:snapToGrid/>
          <w:szCs w:val="21"/>
          <w:lang w:val="en-GB"/>
        </w:rPr>
        <w:t xml:space="preserve">  </w:t>
      </w:r>
      <w:r>
        <w:rPr>
          <w:snapToGrid/>
          <w:szCs w:val="21"/>
          <w:lang w:val="en-GB"/>
        </w:rPr>
        <w:t>《土库曼斯坦建筑法》和相关法规，协调住宅建筑问题</w:t>
      </w:r>
      <w:r>
        <w:rPr>
          <w:snapToGrid/>
          <w:szCs w:val="21"/>
          <w:lang w:val="en-GB"/>
        </w:rPr>
        <w:t>(</w:t>
      </w:r>
      <w:r>
        <w:rPr>
          <w:snapToGrid/>
          <w:szCs w:val="21"/>
          <w:lang w:val="en-GB"/>
        </w:rPr>
        <w:t>建筑标准、质量、安全性等</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210.</w:t>
      </w:r>
      <w:r>
        <w:rPr>
          <w:rFonts w:hint="eastAsia"/>
          <w:snapToGrid/>
          <w:szCs w:val="21"/>
          <w:lang w:val="en-GB"/>
        </w:rPr>
        <w:t xml:space="preserve">  </w:t>
      </w:r>
      <w:r>
        <w:rPr>
          <w:snapToGrid/>
          <w:szCs w:val="21"/>
          <w:lang w:val="en-GB"/>
        </w:rPr>
        <w:t>以下是住宅建筑的资金来源：</w:t>
      </w:r>
    </w:p>
    <w:p w:rsidR="00A93F62" w:rsidRDefault="00A93F62">
      <w:pPr>
        <w:pStyle w:val="Bullet1GC"/>
        <w:numPr>
          <w:ilvl w:val="0"/>
          <w:numId w:val="14"/>
        </w:numPr>
        <w:rPr>
          <w:snapToGrid/>
          <w:lang w:val="en-GB"/>
        </w:rPr>
      </w:pPr>
      <w:r>
        <w:rPr>
          <w:snapToGrid/>
          <w:lang w:val="en-GB"/>
        </w:rPr>
        <w:t>国家资金；</w:t>
      </w:r>
    </w:p>
    <w:p w:rsidR="00A93F62" w:rsidRDefault="00A93F62">
      <w:pPr>
        <w:pStyle w:val="Bullet1GC"/>
        <w:numPr>
          <w:ilvl w:val="0"/>
          <w:numId w:val="14"/>
        </w:numPr>
        <w:rPr>
          <w:snapToGrid/>
          <w:lang w:val="en-GB"/>
        </w:rPr>
      </w:pPr>
      <w:r>
        <w:rPr>
          <w:snapToGrid/>
          <w:lang w:val="en-GB"/>
        </w:rPr>
        <w:t>居民资金；</w:t>
      </w:r>
    </w:p>
    <w:p w:rsidR="00A93F62" w:rsidRDefault="00A93F62">
      <w:pPr>
        <w:pStyle w:val="Bullet1GC"/>
        <w:numPr>
          <w:ilvl w:val="0"/>
          <w:numId w:val="14"/>
        </w:numPr>
        <w:rPr>
          <w:snapToGrid/>
          <w:lang w:val="en-GB"/>
        </w:rPr>
      </w:pPr>
      <w:r>
        <w:rPr>
          <w:snapToGrid/>
          <w:lang w:val="en-GB"/>
        </w:rPr>
        <w:t>借入资金</w:t>
      </w:r>
      <w:r>
        <w:rPr>
          <w:snapToGrid/>
          <w:lang w:val="en-GB"/>
        </w:rPr>
        <w:t>(</w:t>
      </w:r>
      <w:r>
        <w:rPr>
          <w:snapToGrid/>
          <w:lang w:val="en-GB"/>
        </w:rPr>
        <w:t>银行贷款</w:t>
      </w:r>
      <w:r>
        <w:rPr>
          <w:snapToGrid/>
          <w:lang w:val="en-GB"/>
        </w:rPr>
        <w:t>)</w:t>
      </w:r>
      <w:r>
        <w:rPr>
          <w:snapToGrid/>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211.</w:t>
      </w:r>
      <w:r>
        <w:rPr>
          <w:rFonts w:hint="eastAsia"/>
          <w:snapToGrid/>
          <w:szCs w:val="21"/>
          <w:lang w:val="en-GB"/>
        </w:rPr>
        <w:t xml:space="preserve">  </w:t>
      </w:r>
      <w:r>
        <w:rPr>
          <w:snapToGrid/>
          <w:szCs w:val="21"/>
          <w:lang w:val="en-GB"/>
        </w:rPr>
        <w:t>各地区、城市的行政当局，统计机构行使职权，统计住房基金，保障公民住房，并提出相应建议。</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212.</w:t>
      </w:r>
      <w:r>
        <w:rPr>
          <w:rFonts w:hint="eastAsia"/>
          <w:snapToGrid/>
          <w:szCs w:val="21"/>
          <w:lang w:val="en-GB"/>
        </w:rPr>
        <w:t xml:space="preserve">  </w:t>
      </w:r>
      <w:r>
        <w:rPr>
          <w:snapToGrid/>
          <w:szCs w:val="21"/>
          <w:lang w:val="en-GB"/>
        </w:rPr>
        <w:t>土库曼斯坦政府非常重视公民的住房保障问题，完善土库曼斯坦标准法令，致力于加快居民的现代住宅保障，向自建房屋者提供长期贷款，以规定的方式向其提供当地建材等。</w:t>
      </w:r>
      <w:r>
        <w:rPr>
          <w:snapToGrid/>
          <w:szCs w:val="21"/>
          <w:lang w:val="en-GB"/>
        </w:rPr>
        <w:t>1990</w:t>
      </w:r>
      <w:r>
        <w:rPr>
          <w:snapToGrid/>
          <w:szCs w:val="21"/>
          <w:lang w:val="en-GB"/>
        </w:rPr>
        <w:t>年起，房主的市政服务费始终保持不变。卫国战争老战士、国际主义战士和残疾人免交市政服务费。住房大修，宅旁用地整修，以及工程网络与线路的维修建造，由土库曼斯坦国家预算内资金出资完成。</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213.</w:t>
      </w:r>
      <w:r>
        <w:rPr>
          <w:rFonts w:hint="eastAsia"/>
          <w:snapToGrid/>
          <w:szCs w:val="21"/>
          <w:lang w:val="en-GB"/>
        </w:rPr>
        <w:t xml:space="preserve">  </w:t>
      </w:r>
      <w:r>
        <w:rPr>
          <w:snapToGrid/>
          <w:szCs w:val="21"/>
          <w:lang w:val="en-GB"/>
        </w:rPr>
        <w:t>土库曼斯坦政府采取了一系列措施，以鼓励居民购买自有住房，加大住房建设规模。根据</w:t>
      </w:r>
      <w:smartTag w:uri="urn:schemas-microsoft-com:office:smarttags" w:element="chsdate">
        <w:smartTagPr>
          <w:attr w:name="IsROCDate" w:val="False"/>
          <w:attr w:name="IsLunarDate" w:val="False"/>
          <w:attr w:name="Day" w:val="11"/>
          <w:attr w:name="Month" w:val="1"/>
          <w:attr w:name="Year" w:val="2008"/>
        </w:smartTagPr>
        <w:r>
          <w:rPr>
            <w:snapToGrid/>
            <w:szCs w:val="21"/>
            <w:lang w:val="en-GB"/>
          </w:rPr>
          <w:t>2008</w:t>
        </w:r>
        <w:r>
          <w:rPr>
            <w:snapToGrid/>
            <w:szCs w:val="21"/>
            <w:lang w:val="en-GB"/>
          </w:rPr>
          <w:t>年</w:t>
        </w:r>
        <w:r>
          <w:rPr>
            <w:snapToGrid/>
            <w:szCs w:val="21"/>
            <w:lang w:val="en-GB"/>
          </w:rPr>
          <w:t>1</w:t>
        </w:r>
        <w:r>
          <w:rPr>
            <w:snapToGrid/>
            <w:szCs w:val="21"/>
            <w:lang w:val="en-GB"/>
          </w:rPr>
          <w:t>月</w:t>
        </w:r>
        <w:r>
          <w:rPr>
            <w:snapToGrid/>
            <w:szCs w:val="21"/>
            <w:lang w:val="en-GB"/>
          </w:rPr>
          <w:t>11</w:t>
        </w:r>
        <w:r>
          <w:rPr>
            <w:snapToGrid/>
            <w:szCs w:val="21"/>
            <w:lang w:val="en-GB"/>
          </w:rPr>
          <w:t>日</w:t>
        </w:r>
      </w:smartTag>
      <w:r>
        <w:rPr>
          <w:snapToGrid/>
          <w:szCs w:val="21"/>
          <w:lang w:val="en-GB"/>
        </w:rPr>
        <w:t>颁布的第</w:t>
      </w:r>
      <w:r>
        <w:rPr>
          <w:snapToGrid/>
          <w:szCs w:val="21"/>
          <w:lang w:val="en-GB"/>
        </w:rPr>
        <w:t>9361</w:t>
      </w:r>
      <w:r>
        <w:rPr>
          <w:snapToGrid/>
          <w:szCs w:val="21"/>
          <w:lang w:val="en-GB"/>
        </w:rPr>
        <w:t>号土库曼斯坦总统令，每个公民都可以与国家建筑单位签署双边承包合同，如果他希望在城市、乡镇和农村居民点的原有或重新划拨的土地上建造二层楼。承包人依靠自有资金或银行无息贷款盖房。完工后，发包人接收工程。房主可以得到为期</w:t>
      </w:r>
      <w:r>
        <w:rPr>
          <w:snapToGrid/>
          <w:szCs w:val="21"/>
          <w:lang w:val="en-GB"/>
        </w:rPr>
        <w:t>30</w:t>
      </w:r>
      <w:r>
        <w:rPr>
          <w:snapToGrid/>
          <w:szCs w:val="21"/>
          <w:lang w:val="en-GB"/>
        </w:rPr>
        <w:t>年、利率为</w:t>
      </w:r>
      <w:r>
        <w:rPr>
          <w:snapToGrid/>
          <w:szCs w:val="21"/>
          <w:lang w:val="en-GB"/>
        </w:rPr>
        <w:t>1%</w:t>
      </w:r>
      <w:r>
        <w:rPr>
          <w:snapToGrid/>
          <w:szCs w:val="21"/>
          <w:lang w:val="en-GB"/>
        </w:rPr>
        <w:t>、偿还期限优惠</w:t>
      </w:r>
      <w:r>
        <w:rPr>
          <w:snapToGrid/>
          <w:szCs w:val="21"/>
          <w:lang w:val="en-GB"/>
        </w:rPr>
        <w:t>(</w:t>
      </w:r>
      <w:r>
        <w:rPr>
          <w:snapToGrid/>
          <w:szCs w:val="21"/>
          <w:lang w:val="en-GB"/>
        </w:rPr>
        <w:t>头五年不偿还主要债务</w:t>
      </w:r>
      <w:r>
        <w:rPr>
          <w:snapToGrid/>
          <w:szCs w:val="21"/>
          <w:lang w:val="en-GB"/>
        </w:rPr>
        <w:t>)</w:t>
      </w:r>
      <w:r>
        <w:rPr>
          <w:snapToGrid/>
          <w:szCs w:val="21"/>
          <w:lang w:val="en-GB"/>
        </w:rPr>
        <w:t>的抵押贷款。私人企业主也可以作为总承包人，按照上述方式参加住房建设。阿什哈巴德的各部委、部门还兴建了舒适的精美住房，劳动者只支付房价的</w:t>
      </w:r>
      <w:r>
        <w:rPr>
          <w:snapToGrid/>
          <w:szCs w:val="21"/>
          <w:lang w:val="en-GB"/>
        </w:rPr>
        <w:t>50%</w:t>
      </w:r>
      <w:r>
        <w:rPr>
          <w:snapToGrid/>
          <w:szCs w:val="21"/>
          <w:lang w:val="en-GB"/>
        </w:rPr>
        <w:t>，余下的</w:t>
      </w:r>
      <w:r>
        <w:rPr>
          <w:snapToGrid/>
          <w:szCs w:val="21"/>
          <w:lang w:val="en-GB"/>
        </w:rPr>
        <w:t>50%</w:t>
      </w:r>
      <w:r>
        <w:rPr>
          <w:snapToGrid/>
          <w:szCs w:val="21"/>
          <w:lang w:val="en-GB"/>
        </w:rPr>
        <w:t>由国家补偿。获得住房后，房主首先支付房价的</w:t>
      </w:r>
      <w:r>
        <w:rPr>
          <w:snapToGrid/>
          <w:szCs w:val="21"/>
          <w:lang w:val="en-GB"/>
        </w:rPr>
        <w:t>10%</w:t>
      </w:r>
      <w:r>
        <w:rPr>
          <w:snapToGrid/>
          <w:szCs w:val="21"/>
          <w:lang w:val="en-GB"/>
        </w:rPr>
        <w:t>，余下的金额，房主有权以房屋作抵押，得到为期</w:t>
      </w:r>
      <w:r>
        <w:rPr>
          <w:snapToGrid/>
          <w:szCs w:val="21"/>
          <w:lang w:val="en-GB"/>
        </w:rPr>
        <w:t>30</w:t>
      </w:r>
      <w:r>
        <w:rPr>
          <w:snapToGrid/>
          <w:szCs w:val="21"/>
          <w:lang w:val="en-GB"/>
        </w:rPr>
        <w:t>年、利率为</w:t>
      </w:r>
      <w:r>
        <w:rPr>
          <w:snapToGrid/>
          <w:szCs w:val="21"/>
          <w:lang w:val="en-GB"/>
        </w:rPr>
        <w:t>1%</w:t>
      </w:r>
      <w:r>
        <w:rPr>
          <w:snapToGrid/>
          <w:szCs w:val="21"/>
          <w:lang w:val="en-GB"/>
        </w:rPr>
        <w:t>、有五年优惠偿还期限的抵押贷款。依靠预算内资金兴建的楼房住宅，根据《土库曼斯坦住房法》，分配给需要的各类居民。</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214.</w:t>
      </w:r>
      <w:r>
        <w:rPr>
          <w:rFonts w:hint="eastAsia"/>
          <w:snapToGrid/>
          <w:szCs w:val="21"/>
          <w:lang w:val="en-GB"/>
        </w:rPr>
        <w:t xml:space="preserve">  </w:t>
      </w:r>
      <w:r>
        <w:rPr>
          <w:snapToGrid/>
          <w:szCs w:val="21"/>
          <w:lang w:val="en-GB"/>
        </w:rPr>
        <w:t>土库曼斯坦居民享有免费的天然气、水、电力和排水管线。</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215.</w:t>
      </w:r>
      <w:r>
        <w:rPr>
          <w:rFonts w:hint="eastAsia"/>
          <w:snapToGrid/>
          <w:szCs w:val="21"/>
          <w:lang w:val="en-GB"/>
        </w:rPr>
        <w:t xml:space="preserve">  </w:t>
      </w:r>
      <w:r>
        <w:rPr>
          <w:snapToGrid/>
          <w:szCs w:val="21"/>
          <w:lang w:val="en-GB"/>
        </w:rPr>
        <w:t>为保障土库曼斯坦居民合格的食品，</w:t>
      </w:r>
      <w:r>
        <w:rPr>
          <w:snapToGrid/>
          <w:szCs w:val="21"/>
          <w:lang w:val="en-GB"/>
        </w:rPr>
        <w:t>2003</w:t>
      </w:r>
      <w:r>
        <w:rPr>
          <w:snapToGrid/>
          <w:szCs w:val="21"/>
          <w:lang w:val="en-GB"/>
        </w:rPr>
        <w:t>年通过了《土库曼斯坦食品质量与安全法》。法律规定了有利于维护居民健康、保障食品质量与安全的国家政策的主要实施方向。并协调与食品，以及用于食品生产、包装、保存、运送、销售、使用的材料与产品的生产、储备、购买、供货、加工、存放、运输和销售</w:t>
      </w:r>
      <w:r>
        <w:rPr>
          <w:snapToGrid/>
          <w:szCs w:val="21"/>
          <w:lang w:val="en-GB"/>
        </w:rPr>
        <w:t>(</w:t>
      </w:r>
      <w:r>
        <w:rPr>
          <w:snapToGrid/>
          <w:szCs w:val="21"/>
          <w:lang w:val="en-GB"/>
        </w:rPr>
        <w:t>包括进出口</w:t>
      </w:r>
      <w:r>
        <w:rPr>
          <w:snapToGrid/>
          <w:szCs w:val="21"/>
          <w:lang w:val="en-GB"/>
        </w:rPr>
        <w:t>)</w:t>
      </w:r>
      <w:r>
        <w:rPr>
          <w:snapToGrid/>
          <w:szCs w:val="21"/>
          <w:lang w:val="en-GB"/>
        </w:rPr>
        <w:t>有关的活动。土库曼斯坦内阁根据国际法食品保障方面的现行规范，规定食品生产需要标准的执行方式。</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216.</w:t>
      </w:r>
      <w:r>
        <w:rPr>
          <w:rFonts w:hint="eastAsia"/>
          <w:snapToGrid/>
          <w:szCs w:val="21"/>
          <w:lang w:val="en-GB"/>
        </w:rPr>
        <w:t xml:space="preserve">  </w:t>
      </w:r>
      <w:r>
        <w:rPr>
          <w:snapToGrid/>
          <w:szCs w:val="21"/>
          <w:lang w:val="en-GB"/>
        </w:rPr>
        <w:t>根据社会经济发展领域的国家计划，土库曼斯坦以国家法令、公认的国际法规范，通过以下方式，来保障公民健康营养的食品权：</w:t>
      </w:r>
    </w:p>
    <w:p w:rsidR="00A93F62" w:rsidRDefault="00A93F62">
      <w:pPr>
        <w:pStyle w:val="Bullet1GC"/>
        <w:numPr>
          <w:ilvl w:val="0"/>
          <w:numId w:val="14"/>
        </w:numPr>
        <w:rPr>
          <w:snapToGrid/>
          <w:lang w:val="en-GB"/>
        </w:rPr>
      </w:pPr>
      <w:r>
        <w:rPr>
          <w:snapToGrid/>
          <w:lang w:val="en-GB"/>
        </w:rPr>
        <w:t>制订并实施法律、经济、组织、技术与其它措施，着力生产需要的食品与食品原料；</w:t>
      </w:r>
    </w:p>
    <w:p w:rsidR="00A93F62" w:rsidRDefault="00A93F62">
      <w:pPr>
        <w:pStyle w:val="Bullet1GC"/>
        <w:numPr>
          <w:ilvl w:val="0"/>
          <w:numId w:val="14"/>
        </w:numPr>
        <w:rPr>
          <w:snapToGrid/>
          <w:lang w:val="en-GB"/>
        </w:rPr>
      </w:pPr>
      <w:r>
        <w:rPr>
          <w:snapToGrid/>
          <w:lang w:val="en-GB"/>
        </w:rPr>
        <w:t>保障食品不断、充足地到达消费地；</w:t>
      </w:r>
    </w:p>
    <w:p w:rsidR="00A93F62" w:rsidRDefault="00A93F62">
      <w:pPr>
        <w:pStyle w:val="Bullet1GC"/>
        <w:numPr>
          <w:ilvl w:val="0"/>
          <w:numId w:val="14"/>
        </w:numPr>
        <w:rPr>
          <w:snapToGrid/>
          <w:lang w:val="en-GB"/>
        </w:rPr>
      </w:pPr>
      <w:r>
        <w:rPr>
          <w:snapToGrid/>
          <w:lang w:val="en-GB"/>
        </w:rPr>
        <w:t>在现有消费结构、价格体系和收入水平情况下，保障居民可以优惠购买食品；</w:t>
      </w:r>
    </w:p>
    <w:p w:rsidR="00A93F62" w:rsidRDefault="00A93F62">
      <w:pPr>
        <w:pStyle w:val="Bullet1GC"/>
        <w:numPr>
          <w:ilvl w:val="0"/>
          <w:numId w:val="14"/>
        </w:numPr>
        <w:rPr>
          <w:snapToGrid/>
          <w:spacing w:val="-2"/>
          <w:lang w:val="en-GB"/>
        </w:rPr>
      </w:pPr>
      <w:r>
        <w:rPr>
          <w:snapToGrid/>
          <w:spacing w:val="-2"/>
          <w:lang w:val="en-GB"/>
        </w:rPr>
        <w:t>建立、更新和补充国家粮食储备，这由稳定的食品作业储备量来保证。</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szCs w:val="21"/>
          <w:lang w:val="en-GB"/>
        </w:rPr>
        <w:t>2002</w:t>
      </w:r>
      <w:r>
        <w:rPr>
          <w:snapToGrid/>
          <w:szCs w:val="21"/>
          <w:lang w:val="en-GB"/>
        </w:rPr>
        <w:t>年，土库曼斯坦达到了世界卫生组织蛋白质、脂肪、碳水化合物，以及一日食品定额的热值安全使用水平标准。</w:t>
      </w:r>
      <w:r>
        <w:rPr>
          <w:snapToGrid/>
          <w:szCs w:val="21"/>
          <w:lang w:val="en-GB"/>
        </w:rPr>
        <w:t>2002</w:t>
      </w:r>
      <w:r>
        <w:rPr>
          <w:snapToGrid/>
          <w:szCs w:val="21"/>
          <w:lang w:val="en-GB"/>
        </w:rPr>
        <w:t>年，一日食品定额的热值，比世界卫生组织建议的食品热值高了</w:t>
      </w:r>
      <w:r>
        <w:rPr>
          <w:snapToGrid/>
          <w:szCs w:val="21"/>
          <w:lang w:val="en-GB"/>
        </w:rPr>
        <w:t>1.5%</w:t>
      </w:r>
      <w:r>
        <w:rPr>
          <w:snapToGrid/>
          <w:szCs w:val="21"/>
          <w:lang w:val="en-GB"/>
        </w:rPr>
        <w:t>，</w:t>
      </w:r>
      <w:r>
        <w:rPr>
          <w:snapToGrid/>
          <w:szCs w:val="21"/>
          <w:lang w:val="en-GB"/>
        </w:rPr>
        <w:t>2007</w:t>
      </w:r>
      <w:r>
        <w:rPr>
          <w:snapToGrid/>
          <w:szCs w:val="21"/>
          <w:lang w:val="en-GB"/>
        </w:rPr>
        <w:t>年</w:t>
      </w:r>
      <w:r>
        <w:rPr>
          <w:rFonts w:hint="eastAsia"/>
          <w:snapToGrid/>
          <w:spacing w:val="-50"/>
          <w:lang w:val="en-GB"/>
        </w:rPr>
        <w:t>―</w:t>
      </w:r>
      <w:r>
        <w:rPr>
          <w:rFonts w:hint="eastAsia"/>
          <w:snapToGrid/>
          <w:lang w:val="en-GB"/>
        </w:rPr>
        <w:t>―</w:t>
      </w:r>
      <w:r>
        <w:rPr>
          <w:snapToGrid/>
          <w:szCs w:val="21"/>
          <w:lang w:val="en-GB"/>
        </w:rPr>
        <w:t>16.4%</w:t>
      </w:r>
      <w:r>
        <w:rPr>
          <w:snapToGrid/>
          <w:szCs w:val="21"/>
          <w:lang w:val="en-GB"/>
        </w:rPr>
        <w:t>。根据《土库曼斯坦</w:t>
      </w:r>
      <w:r>
        <w:rPr>
          <w:snapToGrid/>
          <w:szCs w:val="21"/>
          <w:lang w:val="en-GB"/>
        </w:rPr>
        <w:t>2020</w:t>
      </w:r>
      <w:r>
        <w:rPr>
          <w:snapToGrid/>
          <w:szCs w:val="21"/>
          <w:lang w:val="en-GB"/>
        </w:rPr>
        <w:t>年经济、政治和文化发展战略》国家计划，</w:t>
      </w:r>
      <w:r>
        <w:rPr>
          <w:snapToGrid/>
          <w:szCs w:val="21"/>
          <w:lang w:val="en-GB"/>
        </w:rPr>
        <w:t>2020</w:t>
      </w:r>
      <w:r>
        <w:rPr>
          <w:snapToGrid/>
          <w:szCs w:val="21"/>
          <w:lang w:val="en-GB"/>
        </w:rPr>
        <w:t>年前主要食品的消费将达到欧共体国家水平，每人一日食品定额的热值为</w:t>
      </w:r>
      <w:r>
        <w:rPr>
          <w:snapToGrid/>
          <w:szCs w:val="21"/>
          <w:lang w:val="en-GB"/>
        </w:rPr>
        <w:t>3 253</w:t>
      </w:r>
      <w:r>
        <w:rPr>
          <w:snapToGrid/>
          <w:szCs w:val="21"/>
          <w:lang w:val="en-GB"/>
        </w:rPr>
        <w:t>千卡。</w:t>
      </w:r>
    </w:p>
    <w:p w:rsidR="00A93F62" w:rsidRDefault="00A93F62">
      <w:pPr>
        <w:tabs>
          <w:tab w:val="clear" w:pos="431"/>
        </w:tabs>
        <w:suppressAutoHyphens/>
        <w:overflowPunct/>
        <w:adjustRightInd/>
        <w:snapToGrid/>
        <w:spacing w:after="120" w:line="240" w:lineRule="atLeast"/>
        <w:ind w:left="1134" w:right="1134"/>
        <w:rPr>
          <w:rFonts w:eastAsia="SimHei"/>
          <w:snapToGrid/>
          <w:szCs w:val="21"/>
          <w:lang w:val="en-GB"/>
        </w:rPr>
      </w:pPr>
      <w:r>
        <w:rPr>
          <w:rFonts w:eastAsia="SimHei"/>
          <w:snapToGrid/>
          <w:szCs w:val="21"/>
          <w:lang w:val="en-GB"/>
        </w:rPr>
        <w:t>土库曼斯坦居民主要食品的年消费每人平均为</w:t>
      </w:r>
    </w:p>
    <w:tbl>
      <w:tblPr>
        <w:tblStyle w:val="TabNum"/>
        <w:tblW w:w="7300" w:type="dxa"/>
        <w:tblInd w:w="1228" w:type="dxa"/>
        <w:tblLayout w:type="fixed"/>
        <w:tblLook w:val="01E0" w:firstRow="1" w:lastRow="1" w:firstColumn="1" w:lastColumn="1" w:noHBand="0" w:noVBand="0"/>
      </w:tblPr>
      <w:tblGrid>
        <w:gridCol w:w="2592"/>
        <w:gridCol w:w="1608"/>
        <w:gridCol w:w="1620"/>
        <w:gridCol w:w="1480"/>
      </w:tblGrid>
      <w:tr w:rsidR="00A93F62" w:rsidRPr="00623459">
        <w:trPr>
          <w:tblHeader/>
        </w:trPr>
        <w:tc>
          <w:tcPr>
            <w:cnfStyle w:val="001000000000" w:firstRow="0" w:lastRow="0" w:firstColumn="1" w:lastColumn="0" w:oddVBand="0" w:evenVBand="0" w:oddHBand="0" w:evenHBand="0" w:firstRowFirstColumn="0" w:firstRowLastColumn="0" w:lastRowFirstColumn="0" w:lastRowLastColumn="0"/>
            <w:tcW w:w="2592" w:type="dxa"/>
            <w:tcBorders>
              <w:bottom w:val="single" w:sz="12" w:space="0" w:color="auto"/>
            </w:tcBorders>
            <w:shd w:val="clear" w:color="auto" w:fill="auto"/>
          </w:tcPr>
          <w:p w:rsidR="00A93F62" w:rsidRPr="00623459" w:rsidRDefault="00A93F62">
            <w:pPr>
              <w:tabs>
                <w:tab w:val="clear" w:pos="431"/>
              </w:tabs>
              <w:suppressAutoHyphens/>
              <w:overflowPunct/>
              <w:adjustRightInd/>
              <w:snapToGrid/>
              <w:spacing w:before="0" w:after="0" w:line="240" w:lineRule="atLeast"/>
              <w:rPr>
                <w:i/>
                <w:snapToGrid/>
                <w:sz w:val="18"/>
                <w:szCs w:val="18"/>
                <w:lang w:val="en-GB"/>
              </w:rPr>
            </w:pPr>
          </w:p>
        </w:tc>
        <w:tc>
          <w:tcPr>
            <w:tcW w:w="1608" w:type="dxa"/>
            <w:tcBorders>
              <w:top w:val="single" w:sz="4" w:space="0" w:color="auto"/>
              <w:bottom w:val="single" w:sz="12" w:space="0" w:color="auto"/>
            </w:tcBorders>
            <w:shd w:val="clear" w:color="auto" w:fill="auto"/>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623459">
              <w:rPr>
                <w:rFonts w:eastAsia="KaiTi_GB2312"/>
                <w:snapToGrid/>
                <w:sz w:val="18"/>
                <w:szCs w:val="18"/>
                <w:lang w:val="en-GB"/>
              </w:rPr>
              <w:t>计量单位</w:t>
            </w:r>
          </w:p>
        </w:tc>
        <w:tc>
          <w:tcPr>
            <w:tcW w:w="1620" w:type="dxa"/>
            <w:tcBorders>
              <w:top w:val="single" w:sz="4" w:space="0" w:color="auto"/>
              <w:bottom w:val="single" w:sz="12" w:space="0" w:color="auto"/>
            </w:tcBorders>
            <w:shd w:val="clear" w:color="auto" w:fill="auto"/>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623459">
              <w:rPr>
                <w:rFonts w:eastAsia="KaiTi_GB2312"/>
                <w:snapToGrid/>
                <w:sz w:val="18"/>
                <w:szCs w:val="18"/>
                <w:lang w:val="en-GB" w:eastAsia="en-US"/>
              </w:rPr>
              <w:t>2000</w:t>
            </w:r>
            <w:r w:rsidRPr="00623459">
              <w:rPr>
                <w:rFonts w:eastAsia="KaiTi_GB2312"/>
                <w:snapToGrid/>
                <w:sz w:val="18"/>
                <w:szCs w:val="18"/>
                <w:lang w:val="en-GB"/>
              </w:rPr>
              <w:t>年</w:t>
            </w:r>
          </w:p>
        </w:tc>
        <w:tc>
          <w:tcPr>
            <w:tcW w:w="1480" w:type="dxa"/>
            <w:tcBorders>
              <w:top w:val="single" w:sz="4" w:space="0" w:color="auto"/>
              <w:bottom w:val="single" w:sz="12" w:space="0" w:color="auto"/>
            </w:tcBorders>
            <w:shd w:val="clear" w:color="auto" w:fill="auto"/>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623459">
              <w:rPr>
                <w:rFonts w:eastAsia="KaiTi_GB2312"/>
                <w:snapToGrid/>
                <w:sz w:val="18"/>
                <w:szCs w:val="18"/>
                <w:lang w:val="en-GB" w:eastAsia="en-US"/>
              </w:rPr>
              <w:t>2007</w:t>
            </w:r>
            <w:r w:rsidRPr="00623459">
              <w:rPr>
                <w:rFonts w:eastAsia="KaiTi_GB2312"/>
                <w:snapToGrid/>
                <w:sz w:val="18"/>
                <w:szCs w:val="18"/>
                <w:lang w:val="en-GB"/>
              </w:rPr>
              <w:t>年</w:t>
            </w:r>
          </w:p>
        </w:tc>
      </w:tr>
      <w:tr w:rsidR="00A93F62" w:rsidRPr="00623459">
        <w:tc>
          <w:tcPr>
            <w:cnfStyle w:val="001000000000" w:firstRow="0" w:lastRow="0" w:firstColumn="1" w:lastColumn="0" w:oddVBand="0" w:evenVBand="0" w:oddHBand="0" w:evenHBand="0" w:firstRowFirstColumn="0" w:firstRowLastColumn="0" w:lastRowFirstColumn="0" w:lastRowLastColumn="0"/>
            <w:tcW w:w="2592" w:type="dxa"/>
            <w:tcBorders>
              <w:top w:val="single" w:sz="12" w:space="0" w:color="auto"/>
            </w:tcBorders>
          </w:tcPr>
          <w:p w:rsidR="00A93F62" w:rsidRPr="00623459" w:rsidRDefault="00A93F62">
            <w:pPr>
              <w:tabs>
                <w:tab w:val="clear" w:pos="431"/>
              </w:tabs>
              <w:suppressAutoHyphens/>
              <w:overflowPunct/>
              <w:adjustRightInd/>
              <w:snapToGrid/>
              <w:spacing w:before="0" w:after="0" w:line="240" w:lineRule="atLeast"/>
              <w:rPr>
                <w:snapToGrid/>
                <w:sz w:val="18"/>
                <w:szCs w:val="18"/>
                <w:lang w:val="en-GB" w:eastAsia="en-US"/>
              </w:rPr>
            </w:pPr>
            <w:r w:rsidRPr="00623459">
              <w:rPr>
                <w:snapToGrid/>
                <w:sz w:val="18"/>
                <w:szCs w:val="18"/>
                <w:lang w:val="en-GB"/>
              </w:rPr>
              <w:t>粮食</w:t>
            </w:r>
            <w:r w:rsidRPr="00623459">
              <w:rPr>
                <w:snapToGrid/>
                <w:sz w:val="18"/>
                <w:szCs w:val="18"/>
                <w:lang w:val="en-GB" w:eastAsia="en-US"/>
              </w:rPr>
              <w:t>*</w:t>
            </w:r>
          </w:p>
        </w:tc>
        <w:tc>
          <w:tcPr>
            <w:tcW w:w="1608" w:type="dxa"/>
            <w:tcBorders>
              <w:top w:val="single" w:sz="12" w:space="0" w:color="auto"/>
            </w:tcBorders>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千克</w:t>
            </w:r>
          </w:p>
        </w:tc>
        <w:tc>
          <w:tcPr>
            <w:tcW w:w="1620" w:type="dxa"/>
            <w:tcBorders>
              <w:top w:val="single" w:sz="12" w:space="0" w:color="auto"/>
            </w:tcBorders>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118.5</w:t>
            </w:r>
          </w:p>
        </w:tc>
        <w:tc>
          <w:tcPr>
            <w:tcW w:w="1480" w:type="dxa"/>
            <w:tcBorders>
              <w:top w:val="single" w:sz="12" w:space="0" w:color="auto"/>
            </w:tcBorders>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115.1</w:t>
            </w:r>
          </w:p>
        </w:tc>
      </w:tr>
      <w:tr w:rsidR="00A93F62" w:rsidRPr="00623459">
        <w:tc>
          <w:tcPr>
            <w:cnfStyle w:val="001000000000" w:firstRow="0" w:lastRow="0" w:firstColumn="1" w:lastColumn="0" w:oddVBand="0" w:evenVBand="0" w:oddHBand="0" w:evenHBand="0" w:firstRowFirstColumn="0" w:firstRowLastColumn="0" w:lastRowFirstColumn="0" w:lastRowLastColumn="0"/>
            <w:tcW w:w="2592" w:type="dxa"/>
          </w:tcPr>
          <w:p w:rsidR="00A93F62" w:rsidRPr="00623459" w:rsidRDefault="00A93F62">
            <w:pPr>
              <w:tabs>
                <w:tab w:val="clear" w:pos="431"/>
              </w:tabs>
              <w:suppressAutoHyphens/>
              <w:overflowPunct/>
              <w:adjustRightInd/>
              <w:snapToGrid/>
              <w:spacing w:before="0" w:after="0" w:line="240" w:lineRule="atLeast"/>
              <w:rPr>
                <w:snapToGrid/>
                <w:sz w:val="18"/>
                <w:szCs w:val="18"/>
                <w:lang w:val="en-GB"/>
              </w:rPr>
            </w:pPr>
            <w:r w:rsidRPr="00623459">
              <w:rPr>
                <w:snapToGrid/>
                <w:sz w:val="18"/>
                <w:szCs w:val="18"/>
                <w:lang w:val="en-GB"/>
              </w:rPr>
              <w:t>土豆</w:t>
            </w:r>
          </w:p>
        </w:tc>
        <w:tc>
          <w:tcPr>
            <w:tcW w:w="1608"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千克</w:t>
            </w:r>
          </w:p>
        </w:tc>
        <w:tc>
          <w:tcPr>
            <w:tcW w:w="162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18.4</w:t>
            </w:r>
          </w:p>
        </w:tc>
        <w:tc>
          <w:tcPr>
            <w:tcW w:w="148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50.1</w:t>
            </w:r>
          </w:p>
        </w:tc>
      </w:tr>
      <w:tr w:rsidR="00A93F62" w:rsidRPr="00623459">
        <w:tc>
          <w:tcPr>
            <w:cnfStyle w:val="001000000000" w:firstRow="0" w:lastRow="0" w:firstColumn="1" w:lastColumn="0" w:oddVBand="0" w:evenVBand="0" w:oddHBand="0" w:evenHBand="0" w:firstRowFirstColumn="0" w:firstRowLastColumn="0" w:lastRowFirstColumn="0" w:lastRowLastColumn="0"/>
            <w:tcW w:w="2592" w:type="dxa"/>
          </w:tcPr>
          <w:p w:rsidR="00A93F62" w:rsidRPr="00623459" w:rsidRDefault="00A93F62">
            <w:pPr>
              <w:tabs>
                <w:tab w:val="clear" w:pos="431"/>
              </w:tabs>
              <w:suppressAutoHyphens/>
              <w:overflowPunct/>
              <w:adjustRightInd/>
              <w:snapToGrid/>
              <w:spacing w:before="0" w:after="0" w:line="240" w:lineRule="atLeast"/>
              <w:rPr>
                <w:snapToGrid/>
                <w:sz w:val="18"/>
                <w:szCs w:val="18"/>
                <w:lang w:val="en-GB"/>
              </w:rPr>
            </w:pPr>
            <w:r w:rsidRPr="00623459">
              <w:rPr>
                <w:snapToGrid/>
                <w:sz w:val="18"/>
                <w:szCs w:val="18"/>
                <w:lang w:val="en-GB"/>
              </w:rPr>
              <w:t>蔬菜与瓜类</w:t>
            </w:r>
          </w:p>
        </w:tc>
        <w:tc>
          <w:tcPr>
            <w:tcW w:w="1608"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千克</w:t>
            </w:r>
          </w:p>
        </w:tc>
        <w:tc>
          <w:tcPr>
            <w:tcW w:w="162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98.0</w:t>
            </w:r>
          </w:p>
        </w:tc>
        <w:tc>
          <w:tcPr>
            <w:tcW w:w="148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164.3</w:t>
            </w:r>
          </w:p>
        </w:tc>
      </w:tr>
      <w:tr w:rsidR="00A93F62" w:rsidRPr="00623459">
        <w:tc>
          <w:tcPr>
            <w:cnfStyle w:val="001000000000" w:firstRow="0" w:lastRow="0" w:firstColumn="1" w:lastColumn="0" w:oddVBand="0" w:evenVBand="0" w:oddHBand="0" w:evenHBand="0" w:firstRowFirstColumn="0" w:firstRowLastColumn="0" w:lastRowFirstColumn="0" w:lastRowLastColumn="0"/>
            <w:tcW w:w="2592" w:type="dxa"/>
          </w:tcPr>
          <w:p w:rsidR="00A93F62" w:rsidRPr="00623459" w:rsidRDefault="00A93F62">
            <w:pPr>
              <w:tabs>
                <w:tab w:val="clear" w:pos="431"/>
              </w:tabs>
              <w:suppressAutoHyphens/>
              <w:overflowPunct/>
              <w:adjustRightInd/>
              <w:snapToGrid/>
              <w:spacing w:before="0" w:after="0" w:line="240" w:lineRule="atLeast"/>
              <w:rPr>
                <w:snapToGrid/>
                <w:sz w:val="18"/>
                <w:szCs w:val="18"/>
                <w:lang w:val="en-GB"/>
              </w:rPr>
            </w:pPr>
            <w:r w:rsidRPr="00623459">
              <w:rPr>
                <w:snapToGrid/>
                <w:sz w:val="18"/>
                <w:szCs w:val="18"/>
                <w:lang w:val="en-GB"/>
              </w:rPr>
              <w:t>水果与浆果</w:t>
            </w:r>
          </w:p>
        </w:tc>
        <w:tc>
          <w:tcPr>
            <w:tcW w:w="1608"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千克</w:t>
            </w:r>
          </w:p>
        </w:tc>
        <w:tc>
          <w:tcPr>
            <w:tcW w:w="162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58.5</w:t>
            </w:r>
          </w:p>
        </w:tc>
        <w:tc>
          <w:tcPr>
            <w:tcW w:w="148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94.7</w:t>
            </w:r>
          </w:p>
        </w:tc>
      </w:tr>
      <w:tr w:rsidR="00A93F62" w:rsidRPr="00623459">
        <w:tc>
          <w:tcPr>
            <w:cnfStyle w:val="001000000000" w:firstRow="0" w:lastRow="0" w:firstColumn="1" w:lastColumn="0" w:oddVBand="0" w:evenVBand="0" w:oddHBand="0" w:evenHBand="0" w:firstRowFirstColumn="0" w:firstRowLastColumn="0" w:lastRowFirstColumn="0" w:lastRowLastColumn="0"/>
            <w:tcW w:w="2592" w:type="dxa"/>
          </w:tcPr>
          <w:p w:rsidR="00A93F62" w:rsidRPr="00623459" w:rsidRDefault="00A93F62">
            <w:pPr>
              <w:tabs>
                <w:tab w:val="clear" w:pos="431"/>
              </w:tabs>
              <w:suppressAutoHyphens/>
              <w:overflowPunct/>
              <w:adjustRightInd/>
              <w:snapToGrid/>
              <w:spacing w:before="0" w:after="0" w:line="240" w:lineRule="atLeast"/>
              <w:rPr>
                <w:snapToGrid/>
                <w:sz w:val="18"/>
                <w:szCs w:val="18"/>
                <w:lang w:val="en-GB"/>
              </w:rPr>
            </w:pPr>
            <w:r w:rsidRPr="00623459">
              <w:rPr>
                <w:snapToGrid/>
                <w:sz w:val="18"/>
                <w:szCs w:val="18"/>
                <w:lang w:val="en-GB"/>
              </w:rPr>
              <w:t>肉</w:t>
            </w:r>
          </w:p>
        </w:tc>
        <w:tc>
          <w:tcPr>
            <w:tcW w:w="1608"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千克</w:t>
            </w:r>
          </w:p>
        </w:tc>
        <w:tc>
          <w:tcPr>
            <w:tcW w:w="162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34.5</w:t>
            </w:r>
          </w:p>
        </w:tc>
        <w:tc>
          <w:tcPr>
            <w:tcW w:w="148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55.8</w:t>
            </w:r>
          </w:p>
        </w:tc>
      </w:tr>
      <w:tr w:rsidR="00A93F62" w:rsidRPr="00623459">
        <w:tc>
          <w:tcPr>
            <w:cnfStyle w:val="001000000000" w:firstRow="0" w:lastRow="0" w:firstColumn="1" w:lastColumn="0" w:oddVBand="0" w:evenVBand="0" w:oddHBand="0" w:evenHBand="0" w:firstRowFirstColumn="0" w:firstRowLastColumn="0" w:lastRowFirstColumn="0" w:lastRowLastColumn="0"/>
            <w:tcW w:w="2592" w:type="dxa"/>
          </w:tcPr>
          <w:p w:rsidR="00A93F62" w:rsidRPr="00623459" w:rsidRDefault="00A93F62">
            <w:pPr>
              <w:tabs>
                <w:tab w:val="clear" w:pos="431"/>
              </w:tabs>
              <w:suppressAutoHyphens/>
              <w:overflowPunct/>
              <w:adjustRightInd/>
              <w:snapToGrid/>
              <w:spacing w:before="0" w:after="0" w:line="240" w:lineRule="atLeast"/>
              <w:rPr>
                <w:snapToGrid/>
                <w:sz w:val="18"/>
                <w:szCs w:val="18"/>
                <w:lang w:val="en-GB"/>
              </w:rPr>
            </w:pPr>
            <w:r w:rsidRPr="00623459">
              <w:rPr>
                <w:snapToGrid/>
                <w:sz w:val="18"/>
                <w:szCs w:val="18"/>
                <w:lang w:val="en-GB"/>
              </w:rPr>
              <w:t>奶</w:t>
            </w:r>
          </w:p>
        </w:tc>
        <w:tc>
          <w:tcPr>
            <w:tcW w:w="1608"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千克</w:t>
            </w:r>
          </w:p>
        </w:tc>
        <w:tc>
          <w:tcPr>
            <w:tcW w:w="162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204.7</w:t>
            </w:r>
          </w:p>
        </w:tc>
        <w:tc>
          <w:tcPr>
            <w:tcW w:w="148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381.1</w:t>
            </w:r>
          </w:p>
        </w:tc>
      </w:tr>
      <w:tr w:rsidR="00A93F62" w:rsidRPr="00623459">
        <w:trPr>
          <w:trHeight w:val="317"/>
        </w:trPr>
        <w:tc>
          <w:tcPr>
            <w:cnfStyle w:val="001000000000" w:firstRow="0" w:lastRow="0" w:firstColumn="1" w:lastColumn="0" w:oddVBand="0" w:evenVBand="0" w:oddHBand="0" w:evenHBand="0" w:firstRowFirstColumn="0" w:firstRowLastColumn="0" w:lastRowFirstColumn="0" w:lastRowLastColumn="0"/>
            <w:tcW w:w="2592" w:type="dxa"/>
          </w:tcPr>
          <w:p w:rsidR="00A93F62" w:rsidRPr="00623459" w:rsidRDefault="00A93F62">
            <w:pPr>
              <w:tabs>
                <w:tab w:val="clear" w:pos="431"/>
              </w:tabs>
              <w:suppressAutoHyphens/>
              <w:overflowPunct/>
              <w:adjustRightInd/>
              <w:snapToGrid/>
              <w:spacing w:before="0" w:after="0" w:line="240" w:lineRule="atLeast"/>
              <w:rPr>
                <w:snapToGrid/>
                <w:sz w:val="18"/>
                <w:szCs w:val="18"/>
                <w:lang w:val="en-GB"/>
              </w:rPr>
            </w:pPr>
            <w:r w:rsidRPr="00623459">
              <w:rPr>
                <w:snapToGrid/>
                <w:sz w:val="18"/>
                <w:szCs w:val="18"/>
                <w:lang w:val="en-GB"/>
              </w:rPr>
              <w:t>蛋</w:t>
            </w:r>
          </w:p>
        </w:tc>
        <w:tc>
          <w:tcPr>
            <w:tcW w:w="1608"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rFonts w:hint="eastAsia"/>
                <w:snapToGrid/>
                <w:sz w:val="18"/>
                <w:szCs w:val="18"/>
                <w:lang w:val="en-GB"/>
              </w:rPr>
            </w:pPr>
            <w:r w:rsidRPr="00623459">
              <w:rPr>
                <w:rFonts w:hint="eastAsia"/>
                <w:snapToGrid/>
                <w:sz w:val="18"/>
                <w:szCs w:val="18"/>
                <w:lang w:val="en-GB"/>
              </w:rPr>
              <w:t>个</w:t>
            </w:r>
          </w:p>
        </w:tc>
        <w:tc>
          <w:tcPr>
            <w:tcW w:w="162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85.3</w:t>
            </w:r>
          </w:p>
        </w:tc>
        <w:tc>
          <w:tcPr>
            <w:tcW w:w="148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158.3</w:t>
            </w:r>
          </w:p>
        </w:tc>
      </w:tr>
      <w:tr w:rsidR="00A93F62" w:rsidRPr="00623459">
        <w:tc>
          <w:tcPr>
            <w:cnfStyle w:val="001000000000" w:firstRow="0" w:lastRow="0" w:firstColumn="1" w:lastColumn="0" w:oddVBand="0" w:evenVBand="0" w:oddHBand="0" w:evenHBand="0" w:firstRowFirstColumn="0" w:firstRowLastColumn="0" w:lastRowFirstColumn="0" w:lastRowLastColumn="0"/>
            <w:tcW w:w="2592" w:type="dxa"/>
          </w:tcPr>
          <w:p w:rsidR="00A93F62" w:rsidRPr="00623459" w:rsidRDefault="00A93F62">
            <w:pPr>
              <w:tabs>
                <w:tab w:val="clear" w:pos="431"/>
              </w:tabs>
              <w:suppressAutoHyphens/>
              <w:overflowPunct/>
              <w:adjustRightInd/>
              <w:snapToGrid/>
              <w:spacing w:before="0" w:after="0" w:line="240" w:lineRule="atLeast"/>
              <w:rPr>
                <w:snapToGrid/>
                <w:sz w:val="18"/>
                <w:szCs w:val="18"/>
                <w:lang w:val="en-GB"/>
              </w:rPr>
            </w:pPr>
            <w:r w:rsidRPr="00623459">
              <w:rPr>
                <w:snapToGrid/>
                <w:sz w:val="18"/>
                <w:szCs w:val="18"/>
                <w:lang w:val="en-GB"/>
              </w:rPr>
              <w:t>鱼和鱼产品</w:t>
            </w:r>
          </w:p>
        </w:tc>
        <w:tc>
          <w:tcPr>
            <w:tcW w:w="1608"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千克</w:t>
            </w:r>
          </w:p>
        </w:tc>
        <w:tc>
          <w:tcPr>
            <w:tcW w:w="162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1.3</w:t>
            </w:r>
          </w:p>
        </w:tc>
        <w:tc>
          <w:tcPr>
            <w:tcW w:w="148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0.5</w:t>
            </w:r>
          </w:p>
        </w:tc>
      </w:tr>
      <w:tr w:rsidR="00A93F62" w:rsidRPr="00623459">
        <w:tc>
          <w:tcPr>
            <w:cnfStyle w:val="001000000000" w:firstRow="0" w:lastRow="0" w:firstColumn="1" w:lastColumn="0" w:oddVBand="0" w:evenVBand="0" w:oddHBand="0" w:evenHBand="0" w:firstRowFirstColumn="0" w:firstRowLastColumn="0" w:lastRowFirstColumn="0" w:lastRowLastColumn="0"/>
            <w:tcW w:w="2592" w:type="dxa"/>
          </w:tcPr>
          <w:p w:rsidR="00A93F62" w:rsidRPr="00623459" w:rsidRDefault="00A93F62">
            <w:pPr>
              <w:tabs>
                <w:tab w:val="clear" w:pos="431"/>
              </w:tabs>
              <w:suppressAutoHyphens/>
              <w:overflowPunct/>
              <w:adjustRightInd/>
              <w:snapToGrid/>
              <w:spacing w:before="0" w:after="0" w:line="240" w:lineRule="atLeast"/>
              <w:rPr>
                <w:snapToGrid/>
                <w:sz w:val="18"/>
                <w:szCs w:val="18"/>
                <w:lang w:val="en-GB" w:eastAsia="en-US"/>
              </w:rPr>
            </w:pPr>
            <w:r w:rsidRPr="00623459">
              <w:rPr>
                <w:snapToGrid/>
                <w:sz w:val="18"/>
                <w:szCs w:val="18"/>
                <w:lang w:val="en-GB"/>
              </w:rPr>
              <w:t>糖和糖果</w:t>
            </w:r>
            <w:r w:rsidRPr="00623459">
              <w:rPr>
                <w:snapToGrid/>
                <w:sz w:val="18"/>
                <w:szCs w:val="18"/>
                <w:lang w:val="en-GB" w:eastAsia="en-US"/>
              </w:rPr>
              <w:t xml:space="preserve"> </w:t>
            </w:r>
          </w:p>
        </w:tc>
        <w:tc>
          <w:tcPr>
            <w:tcW w:w="1608"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千克</w:t>
            </w:r>
          </w:p>
        </w:tc>
        <w:tc>
          <w:tcPr>
            <w:tcW w:w="162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17.6</w:t>
            </w:r>
          </w:p>
        </w:tc>
        <w:tc>
          <w:tcPr>
            <w:tcW w:w="148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21.1</w:t>
            </w:r>
          </w:p>
        </w:tc>
      </w:tr>
      <w:tr w:rsidR="00A93F62" w:rsidRPr="00623459">
        <w:tc>
          <w:tcPr>
            <w:cnfStyle w:val="001000000000" w:firstRow="0" w:lastRow="0" w:firstColumn="1" w:lastColumn="0" w:oddVBand="0" w:evenVBand="0" w:oddHBand="0" w:evenHBand="0" w:firstRowFirstColumn="0" w:firstRowLastColumn="0" w:lastRowFirstColumn="0" w:lastRowLastColumn="0"/>
            <w:tcW w:w="2592" w:type="dxa"/>
          </w:tcPr>
          <w:p w:rsidR="00A93F62" w:rsidRPr="00623459" w:rsidRDefault="00A93F62">
            <w:pPr>
              <w:tabs>
                <w:tab w:val="clear" w:pos="431"/>
              </w:tabs>
              <w:suppressAutoHyphens/>
              <w:overflowPunct/>
              <w:adjustRightInd/>
              <w:snapToGrid/>
              <w:spacing w:before="0" w:after="0" w:line="240" w:lineRule="atLeast"/>
              <w:rPr>
                <w:snapToGrid/>
                <w:sz w:val="18"/>
                <w:szCs w:val="18"/>
                <w:lang w:val="en-GB"/>
              </w:rPr>
            </w:pPr>
            <w:r w:rsidRPr="00623459">
              <w:rPr>
                <w:snapToGrid/>
                <w:sz w:val="18"/>
                <w:szCs w:val="18"/>
                <w:lang w:val="en-GB"/>
              </w:rPr>
              <w:t>植物油</w:t>
            </w:r>
          </w:p>
        </w:tc>
        <w:tc>
          <w:tcPr>
            <w:tcW w:w="1608"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千克</w:t>
            </w:r>
          </w:p>
        </w:tc>
        <w:tc>
          <w:tcPr>
            <w:tcW w:w="162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9.9</w:t>
            </w:r>
          </w:p>
        </w:tc>
        <w:tc>
          <w:tcPr>
            <w:tcW w:w="148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14.9</w:t>
            </w:r>
          </w:p>
        </w:tc>
      </w:tr>
      <w:tr w:rsidR="00A93F62" w:rsidRPr="00623459">
        <w:tc>
          <w:tcPr>
            <w:cnfStyle w:val="001000000000" w:firstRow="0" w:lastRow="0" w:firstColumn="1" w:lastColumn="0" w:oddVBand="0" w:evenVBand="0" w:oddHBand="0" w:evenHBand="0" w:firstRowFirstColumn="0" w:firstRowLastColumn="0" w:lastRowFirstColumn="0" w:lastRowLastColumn="0"/>
            <w:tcW w:w="2592" w:type="dxa"/>
          </w:tcPr>
          <w:p w:rsidR="00A93F62" w:rsidRPr="00623459" w:rsidRDefault="00A93F62">
            <w:pPr>
              <w:tabs>
                <w:tab w:val="clear" w:pos="431"/>
              </w:tabs>
              <w:suppressAutoHyphens/>
              <w:overflowPunct/>
              <w:adjustRightInd/>
              <w:snapToGrid/>
              <w:spacing w:before="0" w:after="0" w:line="240" w:lineRule="atLeast"/>
              <w:rPr>
                <w:snapToGrid/>
                <w:sz w:val="18"/>
                <w:szCs w:val="18"/>
                <w:lang w:val="en-GB"/>
              </w:rPr>
            </w:pPr>
            <w:r w:rsidRPr="00623459">
              <w:rPr>
                <w:snapToGrid/>
                <w:sz w:val="18"/>
                <w:szCs w:val="18"/>
                <w:lang w:val="en-GB"/>
              </w:rPr>
              <w:t>每日热量</w:t>
            </w:r>
          </w:p>
        </w:tc>
        <w:tc>
          <w:tcPr>
            <w:tcW w:w="1608"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623459">
              <w:rPr>
                <w:snapToGrid/>
                <w:sz w:val="18"/>
                <w:szCs w:val="18"/>
                <w:lang w:val="en-GB"/>
              </w:rPr>
              <w:t>千卡</w:t>
            </w:r>
          </w:p>
        </w:tc>
        <w:tc>
          <w:tcPr>
            <w:tcW w:w="162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2</w:t>
            </w:r>
            <w:r w:rsidRPr="00623459">
              <w:rPr>
                <w:rFonts w:hint="eastAsia"/>
                <w:snapToGrid/>
                <w:sz w:val="18"/>
                <w:szCs w:val="18"/>
                <w:lang w:val="en-GB"/>
              </w:rPr>
              <w:t xml:space="preserve"> </w:t>
            </w:r>
            <w:r w:rsidRPr="00623459">
              <w:rPr>
                <w:snapToGrid/>
                <w:sz w:val="18"/>
                <w:szCs w:val="18"/>
                <w:lang w:val="en-GB" w:eastAsia="en-US"/>
              </w:rPr>
              <w:t>128.7</w:t>
            </w:r>
          </w:p>
        </w:tc>
        <w:tc>
          <w:tcPr>
            <w:tcW w:w="1480" w:type="dxa"/>
          </w:tcPr>
          <w:p w:rsidR="00A93F62" w:rsidRPr="00623459" w:rsidRDefault="00A93F62" w:rsidP="00623459">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623459">
              <w:rPr>
                <w:snapToGrid/>
                <w:sz w:val="18"/>
                <w:szCs w:val="18"/>
                <w:lang w:val="en-GB" w:eastAsia="en-US"/>
              </w:rPr>
              <w:t>2</w:t>
            </w:r>
            <w:r w:rsidRPr="00623459">
              <w:rPr>
                <w:rFonts w:hint="eastAsia"/>
                <w:snapToGrid/>
                <w:sz w:val="18"/>
                <w:szCs w:val="18"/>
                <w:lang w:val="en-GB"/>
              </w:rPr>
              <w:t xml:space="preserve"> </w:t>
            </w:r>
            <w:r w:rsidRPr="00623459">
              <w:rPr>
                <w:snapToGrid/>
                <w:sz w:val="18"/>
                <w:szCs w:val="18"/>
                <w:lang w:val="en-GB" w:eastAsia="en-US"/>
              </w:rPr>
              <w:t>755.6</w:t>
            </w:r>
          </w:p>
        </w:tc>
      </w:tr>
    </w:tbl>
    <w:p w:rsidR="00A93F62" w:rsidRDefault="00A93F62">
      <w:pPr>
        <w:tabs>
          <w:tab w:val="clear" w:pos="431"/>
        </w:tabs>
        <w:suppressAutoHyphens/>
        <w:overflowPunct/>
        <w:adjustRightInd/>
        <w:snapToGrid/>
        <w:spacing w:line="240" w:lineRule="atLeast"/>
        <w:ind w:left="1134" w:right="1134"/>
        <w:rPr>
          <w:snapToGrid/>
          <w:szCs w:val="21"/>
          <w:lang w:val="en-GB"/>
        </w:rPr>
      </w:pPr>
      <w:r>
        <w:rPr>
          <w:rFonts w:eastAsia="SimHei"/>
          <w:snapToGrid/>
          <w:szCs w:val="21"/>
          <w:lang w:val="en-GB"/>
        </w:rPr>
        <w:t xml:space="preserve">   </w:t>
      </w:r>
      <w:r>
        <w:rPr>
          <w:rFonts w:eastAsia="KaiTi_GB2312"/>
          <w:snapToGrid/>
          <w:sz w:val="18"/>
          <w:szCs w:val="18"/>
          <w:lang w:val="en-GB"/>
        </w:rPr>
        <w:t>资料来源</w:t>
      </w:r>
      <w:r>
        <w:rPr>
          <w:snapToGrid/>
          <w:sz w:val="18"/>
          <w:szCs w:val="18"/>
          <w:lang w:val="en-GB"/>
        </w:rPr>
        <w:t>：家庭预算调查与食品消费平衡表</w:t>
      </w:r>
      <w:r>
        <w:rPr>
          <w:snapToGrid/>
          <w:szCs w:val="21"/>
          <w:lang w:val="en-GB"/>
        </w:rPr>
        <w:t>。</w:t>
      </w:r>
    </w:p>
    <w:p w:rsidR="00A93F62" w:rsidRDefault="00A93F62">
      <w:pPr>
        <w:tabs>
          <w:tab w:val="clear" w:pos="431"/>
        </w:tabs>
        <w:suppressAutoHyphens/>
        <w:overflowPunct/>
        <w:adjustRightInd/>
        <w:snapToGrid/>
        <w:spacing w:after="120" w:line="240" w:lineRule="atLeast"/>
        <w:ind w:left="1134" w:right="1134"/>
        <w:rPr>
          <w:iCs/>
          <w:snapToGrid/>
          <w:szCs w:val="21"/>
          <w:lang w:val="en-GB"/>
        </w:rPr>
      </w:pPr>
      <w:r>
        <w:rPr>
          <w:snapToGrid/>
          <w:szCs w:val="21"/>
          <w:lang w:val="en-GB"/>
        </w:rPr>
        <w:t xml:space="preserve">   </w:t>
      </w:r>
      <w:r>
        <w:rPr>
          <w:rFonts w:eastAsia="KaiTi_GB2312"/>
          <w:iCs/>
          <w:snapToGrid/>
          <w:szCs w:val="21"/>
          <w:lang w:val="en-GB"/>
        </w:rPr>
        <w:t xml:space="preserve">* </w:t>
      </w:r>
      <w:r>
        <w:rPr>
          <w:iCs/>
          <w:snapToGrid/>
          <w:sz w:val="18"/>
          <w:szCs w:val="18"/>
          <w:lang w:val="en-GB"/>
        </w:rPr>
        <w:t>包括：面粉、通心粉制品、豆类、大米、</w:t>
      </w:r>
      <w:r>
        <w:rPr>
          <w:iCs/>
          <w:snapToGrid/>
          <w:sz w:val="18"/>
          <w:szCs w:val="18"/>
          <w:lang w:val="en-GB"/>
        </w:rPr>
        <w:t>(</w:t>
      </w:r>
      <w:r>
        <w:rPr>
          <w:iCs/>
          <w:snapToGrid/>
          <w:sz w:val="18"/>
          <w:szCs w:val="18"/>
          <w:lang w:val="en-GB"/>
        </w:rPr>
        <w:t>谷类的</w:t>
      </w:r>
      <w:r>
        <w:rPr>
          <w:iCs/>
          <w:snapToGrid/>
          <w:sz w:val="18"/>
          <w:szCs w:val="18"/>
          <w:lang w:val="en-GB"/>
        </w:rPr>
        <w:t>)</w:t>
      </w:r>
      <w:r>
        <w:rPr>
          <w:iCs/>
          <w:snapToGrid/>
          <w:sz w:val="18"/>
          <w:szCs w:val="18"/>
          <w:lang w:val="en-GB"/>
        </w:rPr>
        <w:t>米粒</w:t>
      </w:r>
      <w:r>
        <w:rPr>
          <w:iCs/>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217.</w:t>
      </w:r>
      <w:r>
        <w:rPr>
          <w:rFonts w:hint="eastAsia"/>
          <w:snapToGrid/>
          <w:szCs w:val="21"/>
          <w:lang w:val="en-GB"/>
        </w:rPr>
        <w:t xml:space="preserve">  </w:t>
      </w:r>
      <w:smartTag w:uri="urn:schemas-microsoft-com:office:smarttags" w:element="chsdate">
        <w:smartTagPr>
          <w:attr w:name="IsROCDate" w:val="False"/>
          <w:attr w:name="IsLunarDate" w:val="False"/>
          <w:attr w:name="Day" w:val="30"/>
          <w:attr w:name="Month" w:val="11"/>
          <w:attr w:name="Year" w:val="2003"/>
        </w:smartTagPr>
        <w:r>
          <w:rPr>
            <w:snapToGrid/>
            <w:szCs w:val="21"/>
            <w:lang w:val="en-GB"/>
          </w:rPr>
          <w:t>2003</w:t>
        </w:r>
        <w:r>
          <w:rPr>
            <w:snapToGrid/>
            <w:szCs w:val="21"/>
            <w:lang w:val="en-GB"/>
          </w:rPr>
          <w:t>年</w:t>
        </w:r>
        <w:r>
          <w:rPr>
            <w:snapToGrid/>
            <w:szCs w:val="21"/>
            <w:lang w:val="en-GB"/>
          </w:rPr>
          <w:t>11</w:t>
        </w:r>
        <w:r>
          <w:rPr>
            <w:snapToGrid/>
            <w:szCs w:val="21"/>
            <w:lang w:val="en-GB"/>
          </w:rPr>
          <w:t>月</w:t>
        </w:r>
        <w:r>
          <w:rPr>
            <w:snapToGrid/>
            <w:szCs w:val="21"/>
            <w:lang w:val="en-GB"/>
          </w:rPr>
          <w:t>30</w:t>
        </w:r>
        <w:r>
          <w:rPr>
            <w:snapToGrid/>
            <w:szCs w:val="21"/>
            <w:lang w:val="en-GB"/>
          </w:rPr>
          <w:t>日</w:t>
        </w:r>
      </w:smartTag>
      <w:r>
        <w:rPr>
          <w:snapToGrid/>
          <w:szCs w:val="21"/>
          <w:lang w:val="en-GB"/>
        </w:rPr>
        <w:t>颁布的《土库曼斯坦食品质量与安全法》，确定了有利于维护居民健康、保障食品质量与安全的国家政策的主要实施方向。并协调食品流通领域的相互关系。以下是保障食品质量与安全的国家政策的主要方向：</w:t>
      </w:r>
    </w:p>
    <w:p w:rsidR="00A93F62" w:rsidRDefault="00A93F62">
      <w:pPr>
        <w:pStyle w:val="Bullet1GC"/>
        <w:numPr>
          <w:ilvl w:val="0"/>
          <w:numId w:val="14"/>
        </w:numPr>
        <w:rPr>
          <w:snapToGrid/>
          <w:lang w:val="en-GB"/>
        </w:rPr>
      </w:pPr>
      <w:r>
        <w:rPr>
          <w:snapToGrid/>
          <w:lang w:val="en-GB"/>
        </w:rPr>
        <w:t>实行统一的国家政策，保障公民合格安全的食品，防止生产和进口不合格的危险食品；</w:t>
      </w:r>
    </w:p>
    <w:p w:rsidR="00A93F62" w:rsidRDefault="00A93F62">
      <w:pPr>
        <w:pStyle w:val="Bullet1GC"/>
        <w:numPr>
          <w:ilvl w:val="0"/>
          <w:numId w:val="14"/>
        </w:numPr>
        <w:rPr>
          <w:snapToGrid/>
          <w:lang w:val="en-GB"/>
        </w:rPr>
      </w:pPr>
      <w:r>
        <w:rPr>
          <w:snapToGrid/>
          <w:lang w:val="en-GB"/>
        </w:rPr>
        <w:t>切实落实公民使用合格安全食品的权利；</w:t>
      </w:r>
    </w:p>
    <w:p w:rsidR="00A93F62" w:rsidRDefault="00A93F62">
      <w:pPr>
        <w:pStyle w:val="Bullet1GC"/>
        <w:numPr>
          <w:ilvl w:val="0"/>
          <w:numId w:val="14"/>
        </w:numPr>
        <w:rPr>
          <w:snapToGrid/>
          <w:lang w:val="en-GB"/>
        </w:rPr>
      </w:pPr>
      <w:r>
        <w:rPr>
          <w:snapToGrid/>
          <w:lang w:val="en-GB"/>
        </w:rPr>
        <w:t>法律协调相互关系，保障食品、材料与制品的质量和安全；</w:t>
      </w:r>
    </w:p>
    <w:p w:rsidR="00A93F62" w:rsidRDefault="00A93F62">
      <w:pPr>
        <w:pStyle w:val="Bullet1GC"/>
        <w:numPr>
          <w:ilvl w:val="0"/>
          <w:numId w:val="14"/>
        </w:numPr>
        <w:rPr>
          <w:snapToGrid/>
          <w:lang w:val="en-GB"/>
        </w:rPr>
      </w:pPr>
      <w:r>
        <w:rPr>
          <w:snapToGrid/>
          <w:lang w:val="en-GB"/>
        </w:rPr>
        <w:t>制订和实施国家专项计划、科技规划，保障食品、材料与制品的质量和安全，并推广先进工艺；</w:t>
      </w:r>
    </w:p>
    <w:p w:rsidR="00A93F62" w:rsidRDefault="00A93F62">
      <w:pPr>
        <w:pStyle w:val="Bullet1GC"/>
        <w:numPr>
          <w:ilvl w:val="0"/>
          <w:numId w:val="14"/>
        </w:numPr>
        <w:rPr>
          <w:snapToGrid/>
          <w:lang w:val="en-GB"/>
        </w:rPr>
      </w:pPr>
      <w:r>
        <w:rPr>
          <w:snapToGrid/>
          <w:lang w:val="en-GB"/>
        </w:rPr>
        <w:t>在食品、材料与制品的质量和安全保障领域，实行国家标准化；</w:t>
      </w:r>
      <w:r>
        <w:rPr>
          <w:snapToGrid/>
          <w:lang w:val="en-GB"/>
        </w:rPr>
        <w:t xml:space="preserve"> </w:t>
      </w:r>
    </w:p>
    <w:p w:rsidR="00A93F62" w:rsidRDefault="00A93F62">
      <w:pPr>
        <w:pStyle w:val="Bullet1GC"/>
        <w:numPr>
          <w:ilvl w:val="0"/>
          <w:numId w:val="14"/>
        </w:numPr>
        <w:rPr>
          <w:snapToGrid/>
          <w:lang w:val="en-GB"/>
        </w:rPr>
      </w:pPr>
      <w:r>
        <w:rPr>
          <w:snapToGrid/>
          <w:lang w:val="en-GB"/>
        </w:rPr>
        <w:t>完善与组织统一的国家监管体系工作，保障材料与制品的质量和安全；</w:t>
      </w:r>
    </w:p>
    <w:p w:rsidR="00A93F62" w:rsidRDefault="00A93F62">
      <w:pPr>
        <w:pStyle w:val="Bullet1GC"/>
        <w:numPr>
          <w:ilvl w:val="0"/>
          <w:numId w:val="14"/>
        </w:numPr>
        <w:rPr>
          <w:snapToGrid/>
          <w:lang w:val="en-GB"/>
        </w:rPr>
      </w:pPr>
      <w:r>
        <w:rPr>
          <w:snapToGrid/>
          <w:lang w:val="en-GB"/>
        </w:rPr>
        <w:t>组织实施食品的国家登记工作；</w:t>
      </w:r>
    </w:p>
    <w:p w:rsidR="00A93F62" w:rsidRDefault="00A93F62">
      <w:pPr>
        <w:pStyle w:val="Bullet1GC"/>
        <w:numPr>
          <w:ilvl w:val="0"/>
          <w:numId w:val="14"/>
        </w:numPr>
        <w:rPr>
          <w:snapToGrid/>
          <w:lang w:val="en-GB"/>
        </w:rPr>
      </w:pPr>
      <w:r>
        <w:rPr>
          <w:snapToGrid/>
          <w:lang w:val="en-GB"/>
        </w:rPr>
        <w:t>食品生产与流通，贸易与餐饮业服务，以及材料制品的生产活动，实行许可证制度；</w:t>
      </w:r>
    </w:p>
    <w:p w:rsidR="00A93F62" w:rsidRDefault="00A93F62">
      <w:pPr>
        <w:pStyle w:val="Bullet1GC"/>
        <w:numPr>
          <w:ilvl w:val="0"/>
          <w:numId w:val="14"/>
        </w:numPr>
        <w:rPr>
          <w:snapToGrid/>
          <w:lang w:val="en-GB"/>
        </w:rPr>
      </w:pPr>
      <w:r>
        <w:rPr>
          <w:snapToGrid/>
          <w:lang w:val="en-GB"/>
        </w:rPr>
        <w:t>安排和实行食品、材料、制品，贸易与餐饮业服务，以及材料和制品的证明制度；</w:t>
      </w:r>
    </w:p>
    <w:p w:rsidR="00A93F62" w:rsidRDefault="00A93F62">
      <w:pPr>
        <w:pStyle w:val="Bullet1GC"/>
        <w:numPr>
          <w:ilvl w:val="0"/>
          <w:numId w:val="14"/>
        </w:numPr>
        <w:rPr>
          <w:snapToGrid/>
          <w:lang w:val="en-GB"/>
        </w:rPr>
      </w:pPr>
      <w:r>
        <w:rPr>
          <w:snapToGrid/>
          <w:lang w:val="en-GB"/>
        </w:rPr>
        <w:t>从事食品流通、贸易和餐饮业，材料与制品生产的任何所有制形式的法人，自然人，提供有利的法律、经济、社会和其它条件；</w:t>
      </w:r>
    </w:p>
    <w:p w:rsidR="00A93F62" w:rsidRDefault="00A93F62">
      <w:pPr>
        <w:pStyle w:val="Bullet1GC"/>
        <w:numPr>
          <w:ilvl w:val="0"/>
          <w:numId w:val="14"/>
        </w:numPr>
        <w:rPr>
          <w:snapToGrid/>
          <w:lang w:val="en-GB"/>
        </w:rPr>
      </w:pPr>
      <w:r>
        <w:rPr>
          <w:snapToGrid/>
          <w:lang w:val="en-GB"/>
        </w:rPr>
        <w:t>建立和完善专家的培训和进修体系，他们从事与食品、材料和制品流通有关的业务；</w:t>
      </w:r>
      <w:r>
        <w:rPr>
          <w:snapToGrid/>
          <w:lang w:val="en-GB"/>
        </w:rPr>
        <w:t xml:space="preserve"> </w:t>
      </w:r>
    </w:p>
    <w:p w:rsidR="00A93F62" w:rsidRDefault="00A93F62">
      <w:pPr>
        <w:pStyle w:val="Bullet1GC"/>
        <w:numPr>
          <w:ilvl w:val="0"/>
          <w:numId w:val="14"/>
        </w:numPr>
        <w:rPr>
          <w:snapToGrid/>
          <w:lang w:val="en-GB"/>
        </w:rPr>
      </w:pPr>
      <w:r>
        <w:rPr>
          <w:snapToGrid/>
          <w:lang w:val="en-GB"/>
        </w:rPr>
        <w:t>就食品质量和安全问题，对居民进行宣传和培训；</w:t>
      </w:r>
    </w:p>
    <w:p w:rsidR="00A93F62" w:rsidRDefault="00A93F62">
      <w:pPr>
        <w:pStyle w:val="Bullet1GC"/>
        <w:numPr>
          <w:ilvl w:val="0"/>
          <w:numId w:val="14"/>
        </w:numPr>
        <w:rPr>
          <w:snapToGrid/>
          <w:lang w:val="en-GB"/>
        </w:rPr>
      </w:pPr>
      <w:r>
        <w:rPr>
          <w:snapToGrid/>
          <w:lang w:val="en-GB"/>
        </w:rPr>
        <w:t>在食品流通、质量和安全保障领域，进行国际合作。</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218.</w:t>
      </w:r>
      <w:r>
        <w:rPr>
          <w:rFonts w:hint="eastAsia"/>
          <w:snapToGrid/>
          <w:szCs w:val="21"/>
          <w:lang w:val="en-GB"/>
        </w:rPr>
        <w:t xml:space="preserve">  </w:t>
      </w:r>
      <w:r>
        <w:rPr>
          <w:snapToGrid/>
          <w:szCs w:val="21"/>
          <w:lang w:val="en-GB"/>
        </w:rPr>
        <w:t>土库曼斯坦食品质量和安全保障领域的国家标准，规定了对食品、粮食原料、食品和生物活性添加剂、材料和制品、包装与标记的质量和安全保障要求，还明确了食品符合土库曼斯坦标准法令的评价和证明方式，食品的试验和鉴定方法，食品生产、保存、运输和销售的技术和工艺条件，对食品、材料与制品的质量和安全进行生产监督的要求。</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219.</w:t>
      </w:r>
      <w:r>
        <w:rPr>
          <w:rFonts w:hint="eastAsia"/>
          <w:snapToGrid/>
          <w:szCs w:val="21"/>
          <w:lang w:val="en-GB"/>
        </w:rPr>
        <w:t xml:space="preserve">  </w:t>
      </w:r>
      <w:r>
        <w:rPr>
          <w:snapToGrid/>
          <w:szCs w:val="21"/>
          <w:lang w:val="en-GB"/>
        </w:rPr>
        <w:t>保存和运输食品、材料与制品的法人与自然人应：</w:t>
      </w:r>
    </w:p>
    <w:p w:rsidR="00A93F62" w:rsidRDefault="00A93F62">
      <w:pPr>
        <w:pStyle w:val="SingleTxtGC"/>
        <w:rPr>
          <w:snapToGrid/>
          <w:lang w:val="en-GB"/>
        </w:rPr>
      </w:pPr>
      <w:r>
        <w:rPr>
          <w:rFonts w:hint="eastAsia"/>
          <w:snapToGrid/>
          <w:lang w:val="en-GB"/>
        </w:rPr>
        <w:tab/>
        <w:t>(</w:t>
      </w:r>
      <w:r>
        <w:rPr>
          <w:snapToGrid/>
          <w:lang w:val="en-GB"/>
        </w:rPr>
        <w:t>a)</w:t>
      </w:r>
      <w:r>
        <w:rPr>
          <w:rFonts w:hint="eastAsia"/>
          <w:snapToGrid/>
          <w:lang w:val="en-GB"/>
        </w:rPr>
        <w:tab/>
      </w:r>
      <w:r>
        <w:rPr>
          <w:snapToGrid/>
          <w:lang w:val="en-GB"/>
        </w:rPr>
        <w:t>保障其安全、质量和完好无损；</w:t>
      </w:r>
    </w:p>
    <w:p w:rsidR="00A93F62" w:rsidRDefault="00A93F62">
      <w:pPr>
        <w:pStyle w:val="SingleTxtGC"/>
        <w:rPr>
          <w:snapToGrid/>
          <w:lang w:val="en-GB"/>
        </w:rPr>
      </w:pPr>
      <w:r>
        <w:rPr>
          <w:rFonts w:hint="eastAsia"/>
          <w:snapToGrid/>
          <w:lang w:val="en-GB"/>
        </w:rPr>
        <w:tab/>
        <w:t>(</w:t>
      </w:r>
      <w:r>
        <w:rPr>
          <w:snapToGrid/>
          <w:lang w:val="en-GB"/>
        </w:rPr>
        <w:t>b)</w:t>
      </w:r>
      <w:r>
        <w:rPr>
          <w:rFonts w:hint="eastAsia"/>
          <w:snapToGrid/>
          <w:lang w:val="en-GB"/>
        </w:rPr>
        <w:tab/>
      </w:r>
      <w:r>
        <w:rPr>
          <w:snapToGrid/>
          <w:lang w:val="en-GB"/>
        </w:rPr>
        <w:t>遵守规范文件对其存放和运输条件的要求，以跟单文件的相关记录来确认已遵守要求</w:t>
      </w:r>
      <w:r>
        <w:rPr>
          <w:rFonts w:hint="eastAsia"/>
          <w:snapToGrid/>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220.</w:t>
      </w:r>
      <w:r>
        <w:rPr>
          <w:rFonts w:hint="eastAsia"/>
          <w:snapToGrid/>
          <w:szCs w:val="21"/>
          <w:lang w:val="en-GB"/>
        </w:rPr>
        <w:t xml:space="preserve">  </w:t>
      </w:r>
      <w:r>
        <w:rPr>
          <w:snapToGrid/>
          <w:szCs w:val="21"/>
          <w:lang w:val="en-GB"/>
        </w:rPr>
        <w:t>在符合建筑、卫生和兽医的规范、条例要求的房屋内，存放食品、材料和制品。应使用根据现行规范与条例装备的、专用运输工具进行运送。</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221.</w:t>
      </w:r>
      <w:r>
        <w:rPr>
          <w:rFonts w:hint="eastAsia"/>
          <w:snapToGrid/>
          <w:szCs w:val="21"/>
          <w:lang w:val="en-GB"/>
        </w:rPr>
        <w:t xml:space="preserve">  </w:t>
      </w:r>
      <w:r>
        <w:rPr>
          <w:snapToGrid/>
          <w:szCs w:val="21"/>
          <w:lang w:val="en-GB"/>
        </w:rPr>
        <w:t>销售食品、材料与制品的法人和自然人，应有生产者提供的合格证，质量与安全证明。销售土库曼斯坦生产，和</w:t>
      </w:r>
      <w:r>
        <w:rPr>
          <w:snapToGrid/>
          <w:szCs w:val="21"/>
          <w:lang w:val="en-GB"/>
        </w:rPr>
        <w:t>(</w:t>
      </w:r>
      <w:r>
        <w:rPr>
          <w:snapToGrid/>
          <w:szCs w:val="21"/>
          <w:lang w:val="en-GB"/>
        </w:rPr>
        <w:t>或</w:t>
      </w:r>
      <w:r>
        <w:rPr>
          <w:snapToGrid/>
          <w:szCs w:val="21"/>
          <w:lang w:val="en-GB"/>
        </w:rPr>
        <w:t>)</w:t>
      </w:r>
      <w:r>
        <w:rPr>
          <w:snapToGrid/>
          <w:szCs w:val="21"/>
          <w:lang w:val="en-GB"/>
        </w:rPr>
        <w:t>进口的新品种食品，还应有国家登记证明书。只有售方持有兽医或其它相关部门的鉴定，证明这些食品符合规定要求时，才允许在食品市场上销售非工业生产食品。不允许销售以下食品：</w:t>
      </w:r>
    </w:p>
    <w:p w:rsidR="00A93F62" w:rsidRDefault="00A93F62">
      <w:pPr>
        <w:pStyle w:val="Bullet1GC"/>
        <w:numPr>
          <w:ilvl w:val="0"/>
          <w:numId w:val="14"/>
        </w:numPr>
        <w:rPr>
          <w:snapToGrid/>
          <w:lang w:val="en-GB"/>
        </w:rPr>
      </w:pPr>
      <w:r>
        <w:rPr>
          <w:snapToGrid/>
          <w:lang w:val="en-GB"/>
        </w:rPr>
        <w:t>没有国家证明机构颁发的合格证；</w:t>
      </w:r>
    </w:p>
    <w:p w:rsidR="00A93F62" w:rsidRDefault="00A93F62">
      <w:pPr>
        <w:pStyle w:val="Bullet1GC"/>
        <w:numPr>
          <w:ilvl w:val="0"/>
          <w:numId w:val="14"/>
        </w:numPr>
        <w:rPr>
          <w:snapToGrid/>
          <w:lang w:val="en-GB"/>
        </w:rPr>
      </w:pPr>
      <w:r>
        <w:rPr>
          <w:snapToGrid/>
          <w:lang w:val="en-GB"/>
        </w:rPr>
        <w:t>没有兽医、卫生和植物卫生部门的鉴定，证明这些食品与土库曼斯坦法律规定的要求相符；</w:t>
      </w:r>
    </w:p>
    <w:p w:rsidR="00A93F62" w:rsidRDefault="00A93F62">
      <w:pPr>
        <w:pStyle w:val="Bullet1GC"/>
        <w:numPr>
          <w:ilvl w:val="0"/>
          <w:numId w:val="14"/>
        </w:numPr>
        <w:rPr>
          <w:snapToGrid/>
          <w:lang w:val="en-GB"/>
        </w:rPr>
      </w:pPr>
      <w:r>
        <w:rPr>
          <w:snapToGrid/>
          <w:lang w:val="en-GB"/>
        </w:rPr>
        <w:t>根据法律规定，认定是不合格及危及人的生命和健康的食品；</w:t>
      </w:r>
    </w:p>
    <w:p w:rsidR="00A93F62" w:rsidRDefault="00A93F62">
      <w:pPr>
        <w:pStyle w:val="Bullet1GC"/>
        <w:numPr>
          <w:ilvl w:val="0"/>
          <w:numId w:val="14"/>
        </w:numPr>
        <w:rPr>
          <w:snapToGrid/>
          <w:lang w:val="en-GB"/>
        </w:rPr>
      </w:pPr>
      <w:r>
        <w:rPr>
          <w:snapToGrid/>
          <w:lang w:val="en-GB"/>
        </w:rPr>
        <w:t>没有应有条件，可以保存和销售食品。</w:t>
      </w:r>
    </w:p>
    <w:p w:rsidR="00A93F62" w:rsidRDefault="00A93F62">
      <w:pPr>
        <w:tabs>
          <w:tab w:val="clear" w:pos="431"/>
        </w:tabs>
        <w:suppressAutoHyphens/>
        <w:overflowPunct/>
        <w:adjustRightInd/>
        <w:snapToGrid/>
        <w:spacing w:after="120" w:line="240" w:lineRule="atLeast"/>
        <w:ind w:left="1100" w:right="1134"/>
        <w:rPr>
          <w:snapToGrid/>
          <w:szCs w:val="21"/>
          <w:lang w:val="en-GB"/>
        </w:rPr>
      </w:pPr>
      <w:r>
        <w:rPr>
          <w:snapToGrid/>
          <w:szCs w:val="21"/>
          <w:lang w:val="en-GB"/>
        </w:rPr>
        <w:t>根据土库曼斯坦内阁授权机构批准的条例，销售食品、材料与制品，它们应符合规范文件的要求。</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222.</w:t>
      </w:r>
      <w:r>
        <w:rPr>
          <w:rFonts w:hint="eastAsia"/>
          <w:snapToGrid/>
          <w:szCs w:val="21"/>
          <w:lang w:val="en-GB"/>
        </w:rPr>
        <w:t xml:space="preserve">  </w:t>
      </w:r>
      <w:r>
        <w:rPr>
          <w:snapToGrid/>
          <w:szCs w:val="21"/>
          <w:lang w:val="en-GB"/>
        </w:rPr>
        <w:t>土库曼斯坦工商会完成以下主要任务：</w:t>
      </w:r>
    </w:p>
    <w:p w:rsidR="00A93F62" w:rsidRDefault="00A93F62">
      <w:pPr>
        <w:pStyle w:val="SingleTxtGC"/>
        <w:rPr>
          <w:snapToGrid/>
          <w:lang w:val="en-GB"/>
        </w:rPr>
      </w:pPr>
      <w:r>
        <w:rPr>
          <w:rFonts w:hint="eastAsia"/>
          <w:snapToGrid/>
          <w:lang w:val="en-GB"/>
        </w:rPr>
        <w:tab/>
        <w:t>(</w:t>
      </w:r>
      <w:r>
        <w:rPr>
          <w:snapToGrid/>
          <w:lang w:val="en-GB"/>
        </w:rPr>
        <w:t>a)</w:t>
      </w:r>
      <w:r>
        <w:rPr>
          <w:rFonts w:hint="eastAsia"/>
          <w:snapToGrid/>
          <w:lang w:val="en-GB"/>
        </w:rPr>
        <w:tab/>
      </w:r>
      <w:r>
        <w:rPr>
          <w:snapToGrid/>
          <w:lang w:val="en-GB"/>
        </w:rPr>
        <w:t>根据某些行业、地区和企业的经济利益，协助开展企业活动；</w:t>
      </w:r>
    </w:p>
    <w:p w:rsidR="00A93F62" w:rsidRDefault="00A93F62">
      <w:pPr>
        <w:pStyle w:val="SingleTxtGC"/>
        <w:rPr>
          <w:snapToGrid/>
          <w:lang w:val="en-GB"/>
        </w:rPr>
      </w:pPr>
      <w:r>
        <w:rPr>
          <w:rFonts w:hint="eastAsia"/>
          <w:snapToGrid/>
          <w:lang w:val="en-GB"/>
        </w:rPr>
        <w:tab/>
        <w:t>(</w:t>
      </w:r>
      <w:r>
        <w:rPr>
          <w:snapToGrid/>
          <w:lang w:val="en-GB"/>
        </w:rPr>
        <w:t>b)</w:t>
      </w:r>
      <w:r>
        <w:rPr>
          <w:rFonts w:hint="eastAsia"/>
          <w:snapToGrid/>
          <w:lang w:val="en-GB"/>
        </w:rPr>
        <w:tab/>
      </w:r>
      <w:r>
        <w:rPr>
          <w:snapToGrid/>
          <w:lang w:val="en-GB"/>
        </w:rPr>
        <w:t>协助开展商品与服务的出口</w:t>
      </w:r>
      <w:r>
        <w:rPr>
          <w:snapToGrid/>
          <w:lang w:val="en-GB"/>
        </w:rPr>
        <w:t>(</w:t>
      </w:r>
      <w:smartTag w:uri="urn:schemas-microsoft-com:office:smarttags" w:element="chsdate">
        <w:smartTagPr>
          <w:attr w:name="Year" w:val="1993"/>
          <w:attr w:name="Month" w:val="12"/>
          <w:attr w:name="Day" w:val="8"/>
          <w:attr w:name="IsLunarDate" w:val="False"/>
          <w:attr w:name="IsROCDate" w:val="False"/>
        </w:smartTagPr>
        <w:r>
          <w:rPr>
            <w:snapToGrid/>
            <w:lang w:val="en-GB"/>
          </w:rPr>
          <w:t>1993</w:t>
        </w:r>
        <w:r>
          <w:rPr>
            <w:snapToGrid/>
            <w:lang w:val="en-GB"/>
          </w:rPr>
          <w:t>年</w:t>
        </w:r>
        <w:r>
          <w:rPr>
            <w:snapToGrid/>
            <w:lang w:val="en-GB"/>
          </w:rPr>
          <w:t>12</w:t>
        </w:r>
        <w:r>
          <w:rPr>
            <w:snapToGrid/>
            <w:lang w:val="en-GB"/>
          </w:rPr>
          <w:t>月</w:t>
        </w:r>
        <w:r>
          <w:rPr>
            <w:snapToGrid/>
            <w:lang w:val="en-GB"/>
          </w:rPr>
          <w:t>8</w:t>
        </w:r>
        <w:r>
          <w:rPr>
            <w:snapToGrid/>
            <w:lang w:val="en-GB"/>
          </w:rPr>
          <w:t>日</w:t>
        </w:r>
      </w:smartTag>
      <w:r>
        <w:rPr>
          <w:snapToGrid/>
          <w:lang w:val="en-GB"/>
        </w:rPr>
        <w:t>颁布的《土库曼斯坦工商会法》</w:t>
      </w:r>
      <w:r>
        <w:rPr>
          <w:snapToGrid/>
          <w:lang w:val="en-GB"/>
        </w:rPr>
        <w:t>)</w:t>
      </w:r>
      <w:r>
        <w:rPr>
          <w:snapToGrid/>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223.</w:t>
      </w:r>
      <w:r>
        <w:rPr>
          <w:rFonts w:hint="eastAsia"/>
          <w:snapToGrid/>
          <w:szCs w:val="21"/>
          <w:lang w:val="en-GB"/>
        </w:rPr>
        <w:t xml:space="preserve">  </w:t>
      </w:r>
      <w:smartTag w:uri="urn:schemas-microsoft-com:office:smarttags" w:element="chsdate">
        <w:smartTagPr>
          <w:attr w:name="Year" w:val="2002"/>
          <w:attr w:name="Month" w:val="7"/>
          <w:attr w:name="Day" w:val="5"/>
          <w:attr w:name="IsLunarDate" w:val="False"/>
          <w:attr w:name="IsROCDate" w:val="False"/>
        </w:smartTagPr>
        <w:r>
          <w:rPr>
            <w:snapToGrid/>
            <w:szCs w:val="21"/>
            <w:lang w:val="en-GB"/>
          </w:rPr>
          <w:t>2002</w:t>
        </w:r>
        <w:r>
          <w:rPr>
            <w:snapToGrid/>
            <w:szCs w:val="21"/>
            <w:lang w:val="en-GB"/>
          </w:rPr>
          <w:t>年</w:t>
        </w:r>
        <w:r>
          <w:rPr>
            <w:snapToGrid/>
            <w:szCs w:val="21"/>
            <w:lang w:val="en-GB"/>
          </w:rPr>
          <w:t>7</w:t>
        </w:r>
        <w:r>
          <w:rPr>
            <w:snapToGrid/>
            <w:szCs w:val="21"/>
            <w:lang w:val="en-GB"/>
          </w:rPr>
          <w:t>月</w:t>
        </w:r>
        <w:r>
          <w:rPr>
            <w:snapToGrid/>
            <w:szCs w:val="21"/>
            <w:lang w:val="en-GB"/>
          </w:rPr>
          <w:t>5</w:t>
        </w:r>
        <w:r>
          <w:rPr>
            <w:snapToGrid/>
            <w:szCs w:val="21"/>
            <w:lang w:val="en-GB"/>
          </w:rPr>
          <w:t>日</w:t>
        </w:r>
      </w:smartTag>
      <w:r>
        <w:rPr>
          <w:snapToGrid/>
          <w:szCs w:val="21"/>
          <w:lang w:val="en-GB"/>
        </w:rPr>
        <w:t>颁布的《土库曼斯坦贸易法》，用来协调贸易领域的相互关系，以更好地满足对商品和服务的需求。贸易领域的国家政策致力于：</w:t>
      </w:r>
    </w:p>
    <w:p w:rsidR="00A93F62" w:rsidRDefault="00A93F62">
      <w:pPr>
        <w:pStyle w:val="Bullet1GC"/>
        <w:numPr>
          <w:ilvl w:val="0"/>
          <w:numId w:val="14"/>
        </w:numPr>
        <w:rPr>
          <w:snapToGrid/>
          <w:lang w:val="en-GB"/>
        </w:rPr>
      </w:pPr>
      <w:r>
        <w:rPr>
          <w:snapToGrid/>
          <w:lang w:val="en-GB"/>
        </w:rPr>
        <w:t>保证贸易政策的一致；</w:t>
      </w:r>
    </w:p>
    <w:p w:rsidR="00A93F62" w:rsidRDefault="00A93F62">
      <w:pPr>
        <w:pStyle w:val="Bullet1GC"/>
        <w:numPr>
          <w:ilvl w:val="0"/>
          <w:numId w:val="14"/>
        </w:numPr>
        <w:rPr>
          <w:snapToGrid/>
          <w:lang w:val="en-GB"/>
        </w:rPr>
      </w:pPr>
      <w:r>
        <w:rPr>
          <w:snapToGrid/>
          <w:lang w:val="en-GB"/>
        </w:rPr>
        <w:t>建立有利的条件，发展各种贸易，保障商品的稳定流通，防止日用品领域垄断；</w:t>
      </w:r>
    </w:p>
    <w:p w:rsidR="00A93F62" w:rsidRDefault="00A93F62">
      <w:pPr>
        <w:pStyle w:val="Bullet1GC"/>
        <w:numPr>
          <w:ilvl w:val="0"/>
          <w:numId w:val="14"/>
        </w:numPr>
        <w:rPr>
          <w:snapToGrid/>
          <w:lang w:val="en-GB"/>
        </w:rPr>
      </w:pPr>
      <w:r>
        <w:rPr>
          <w:snapToGrid/>
          <w:lang w:val="en-GB"/>
        </w:rPr>
        <w:t>发展各种各样的贸易基础设施；</w:t>
      </w:r>
    </w:p>
    <w:p w:rsidR="00A93F62" w:rsidRDefault="00A93F62">
      <w:pPr>
        <w:pStyle w:val="Bullet1GC"/>
        <w:numPr>
          <w:ilvl w:val="0"/>
          <w:numId w:val="14"/>
        </w:numPr>
        <w:rPr>
          <w:snapToGrid/>
          <w:lang w:val="en-GB"/>
        </w:rPr>
      </w:pPr>
      <w:r>
        <w:rPr>
          <w:snapToGrid/>
          <w:lang w:val="en-GB"/>
        </w:rPr>
        <w:t>健全法律，以保护国内商品生产者；</w:t>
      </w:r>
    </w:p>
    <w:p w:rsidR="00A93F62" w:rsidRDefault="00A93F62">
      <w:pPr>
        <w:pStyle w:val="Bullet1GC"/>
        <w:numPr>
          <w:ilvl w:val="0"/>
          <w:numId w:val="14"/>
        </w:numPr>
        <w:rPr>
          <w:snapToGrid/>
          <w:lang w:val="en-GB"/>
        </w:rPr>
      </w:pPr>
      <w:r>
        <w:rPr>
          <w:snapToGrid/>
          <w:lang w:val="en-GB"/>
        </w:rPr>
        <w:t>进行商品进出口结构方面的市场销售调查；</w:t>
      </w:r>
    </w:p>
    <w:p w:rsidR="00A93F62" w:rsidRDefault="00A93F62">
      <w:pPr>
        <w:pStyle w:val="Bullet1GC"/>
        <w:numPr>
          <w:ilvl w:val="0"/>
          <w:numId w:val="14"/>
        </w:numPr>
        <w:rPr>
          <w:snapToGrid/>
          <w:lang w:val="en-GB"/>
        </w:rPr>
      </w:pPr>
      <w:r>
        <w:rPr>
          <w:snapToGrid/>
          <w:lang w:val="en-GB"/>
        </w:rPr>
        <w:t>建立国家贸易监督机构。</w:t>
      </w:r>
    </w:p>
    <w:p w:rsidR="00A93F62" w:rsidRDefault="00A93F62">
      <w:pPr>
        <w:pStyle w:val="H1GC"/>
        <w:rPr>
          <w:snapToGrid/>
          <w:lang w:val="en-GB"/>
        </w:rPr>
      </w:pPr>
      <w:r>
        <w:rPr>
          <w:rFonts w:hint="eastAsia"/>
          <w:snapToGrid/>
          <w:lang w:val="en-GB"/>
        </w:rPr>
        <w:tab/>
      </w:r>
      <w:r>
        <w:rPr>
          <w:rFonts w:hint="eastAsia"/>
          <w:snapToGrid/>
          <w:lang w:val="en-GB"/>
        </w:rPr>
        <w:tab/>
      </w:r>
      <w:r>
        <w:rPr>
          <w:snapToGrid/>
          <w:lang w:val="en-GB"/>
        </w:rPr>
        <w:t>第十二条</w:t>
      </w:r>
      <w:r>
        <w:rPr>
          <w:snapToGrid/>
          <w:lang w:val="en-GB"/>
        </w:rPr>
        <w:t xml:space="preserve"> </w:t>
      </w:r>
      <w:r>
        <w:rPr>
          <w:rFonts w:hint="eastAsia"/>
          <w:snapToGrid/>
          <w:lang w:val="en-GB"/>
        </w:rPr>
        <w:br/>
      </w:r>
      <w:r>
        <w:rPr>
          <w:snapToGrid/>
          <w:lang w:val="en-GB"/>
        </w:rPr>
        <w:t>享受医疗服务权</w:t>
      </w:r>
    </w:p>
    <w:p w:rsidR="00A93F62" w:rsidRDefault="00A93F62">
      <w:pPr>
        <w:tabs>
          <w:tab w:val="clear" w:pos="431"/>
        </w:tabs>
        <w:suppressAutoHyphens/>
        <w:overflowPunct/>
        <w:adjustRightInd/>
        <w:snapToGrid/>
        <w:spacing w:after="120" w:line="320" w:lineRule="atLeast"/>
        <w:ind w:left="1134" w:right="1134"/>
        <w:rPr>
          <w:rFonts w:eastAsia="SimHei" w:hint="eastAsia"/>
          <w:snapToGrid/>
          <w:szCs w:val="21"/>
          <w:lang w:val="en-GB"/>
        </w:rPr>
      </w:pPr>
      <w:r>
        <w:rPr>
          <w:snapToGrid/>
          <w:szCs w:val="21"/>
          <w:lang w:val="en-GB"/>
        </w:rPr>
        <w:t>224.</w:t>
      </w:r>
      <w:r>
        <w:rPr>
          <w:rFonts w:hint="eastAsia"/>
          <w:snapToGrid/>
          <w:szCs w:val="21"/>
          <w:lang w:val="en-GB"/>
        </w:rPr>
        <w:t xml:space="preserve">  </w:t>
      </w:r>
      <w:r>
        <w:rPr>
          <w:snapToGrid/>
          <w:szCs w:val="21"/>
          <w:lang w:val="en-GB"/>
        </w:rPr>
        <w:t>目前，国家同时在四个省份</w:t>
      </w:r>
      <w:r>
        <w:rPr>
          <w:rFonts w:hint="eastAsia"/>
          <w:snapToGrid/>
          <w:spacing w:val="-50"/>
          <w:szCs w:val="21"/>
          <w:lang w:val="en-GB"/>
        </w:rPr>
        <w:t>―</w:t>
      </w:r>
      <w:r>
        <w:rPr>
          <w:rFonts w:hint="eastAsia"/>
          <w:snapToGrid/>
          <w:szCs w:val="21"/>
          <w:lang w:val="en-GB"/>
        </w:rPr>
        <w:t>―</w:t>
      </w:r>
      <w:r>
        <w:rPr>
          <w:snapToGrid/>
          <w:szCs w:val="21"/>
          <w:lang w:val="en-GB"/>
        </w:rPr>
        <w:t>巴尔干、达守古、列巴普和马雷伊，实施几个重大建设项目。建立了</w:t>
      </w:r>
      <w:r>
        <w:rPr>
          <w:snapToGrid/>
          <w:szCs w:val="21"/>
          <w:lang w:val="en-GB"/>
        </w:rPr>
        <w:t>50</w:t>
      </w:r>
      <w:r>
        <w:rPr>
          <w:snapToGrid/>
          <w:szCs w:val="21"/>
          <w:lang w:val="en-GB"/>
        </w:rPr>
        <w:t>个床位的妇儿保护中心，并在农村建立了诊所、保健所。制订并实施了《</w:t>
      </w:r>
      <w:r>
        <w:rPr>
          <w:snapToGrid/>
          <w:szCs w:val="21"/>
          <w:lang w:val="en-GB"/>
        </w:rPr>
        <w:t>2007-2011</w:t>
      </w:r>
      <w:r>
        <w:rPr>
          <w:snapToGrid/>
          <w:szCs w:val="21"/>
          <w:lang w:val="en-GB"/>
        </w:rPr>
        <w:t>年保护妇女妊娠、分娩和哺乳时期安全的国家纲要》。根据联合国儿童基金会、世界卫生组织和国际碘缺乏病控制理事会的国际证明书，土库曼斯坦成为按照国际标准，独联体第一个，世界第四个保障全民食盐加碘的国家。</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225.</w:t>
      </w:r>
      <w:r>
        <w:rPr>
          <w:rFonts w:hint="eastAsia"/>
          <w:snapToGrid/>
          <w:szCs w:val="21"/>
          <w:lang w:val="en-GB"/>
        </w:rPr>
        <w:t xml:space="preserve">  </w:t>
      </w:r>
      <w:r>
        <w:rPr>
          <w:snapToGrid/>
          <w:szCs w:val="21"/>
          <w:lang w:val="en-GB"/>
        </w:rPr>
        <w:t>目前，土库曼斯坦成为地区唯一</w:t>
      </w:r>
      <w:r>
        <w:rPr>
          <w:snapToGrid/>
          <w:szCs w:val="21"/>
          <w:lang w:val="en-GB"/>
        </w:rPr>
        <w:t>100%</w:t>
      </w:r>
      <w:r>
        <w:rPr>
          <w:snapToGrid/>
          <w:szCs w:val="21"/>
          <w:lang w:val="en-GB"/>
        </w:rPr>
        <w:t>采购世界卫生组织认证疫苗的国家。并全面实行居民的义务免费免疫。根据世界卫生组织的要求，</w:t>
      </w:r>
      <w:r>
        <w:rPr>
          <w:snapToGrid/>
          <w:szCs w:val="21"/>
          <w:lang w:val="en-GB"/>
        </w:rPr>
        <w:t>95%</w:t>
      </w:r>
      <w:r>
        <w:rPr>
          <w:snapToGrid/>
          <w:szCs w:val="21"/>
          <w:lang w:val="en-GB"/>
        </w:rPr>
        <w:t>的接种几乎覆盖国家居民的</w:t>
      </w:r>
      <w:r>
        <w:rPr>
          <w:snapToGrid/>
          <w:szCs w:val="21"/>
          <w:lang w:val="en-GB"/>
        </w:rPr>
        <w:t>99%</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226.</w:t>
      </w:r>
      <w:r>
        <w:rPr>
          <w:rFonts w:hint="eastAsia"/>
          <w:snapToGrid/>
          <w:szCs w:val="21"/>
          <w:lang w:val="en-GB"/>
        </w:rPr>
        <w:t xml:space="preserve">  </w:t>
      </w:r>
      <w:r>
        <w:rPr>
          <w:snapToGrid/>
          <w:szCs w:val="21"/>
          <w:lang w:val="en-GB"/>
        </w:rPr>
        <w:t>国家非常重视与麻醉剂瘾作斗争。与麻醉剂非法流通作斗争及帮助依赖毒品和精神药物人群的国家计划，开始了与可怕社会邪恶作斗争的新阶段。</w:t>
      </w:r>
      <w:r>
        <w:rPr>
          <w:snapToGrid/>
          <w:szCs w:val="21"/>
          <w:lang w:val="en-GB"/>
        </w:rPr>
        <w:t>2006-2010</w:t>
      </w:r>
      <w:r>
        <w:rPr>
          <w:snapToGrid/>
          <w:szCs w:val="21"/>
          <w:lang w:val="en-GB"/>
        </w:rPr>
        <w:t>年期间，出台了一系列措施，致力于解决这个世界关注的问题，该计划成为新起点。该计划还成为一项有力措施，与麻醉剂的非法流通作斗争，预防麻醉剂瘾，改善毒品和精神药物依赖人群的治疗工作。</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227.</w:t>
      </w:r>
      <w:r>
        <w:rPr>
          <w:rFonts w:hint="eastAsia"/>
          <w:snapToGrid/>
          <w:szCs w:val="21"/>
          <w:lang w:val="en-GB"/>
        </w:rPr>
        <w:t xml:space="preserve">  </w:t>
      </w:r>
      <w:r>
        <w:rPr>
          <w:snapToGrid/>
          <w:szCs w:val="21"/>
          <w:lang w:val="en-GB"/>
        </w:rPr>
        <w:t>实行《土库曼斯坦税法》后，保健机构与企业免除了财产，镶嵌假牙，销售药物、药剂、消毒剂、医疗产品、医疗设备、假肢和矫形产品及残疾人专用车辆的税金。</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228.</w:t>
      </w:r>
      <w:r>
        <w:rPr>
          <w:rFonts w:hint="eastAsia"/>
          <w:snapToGrid/>
          <w:szCs w:val="21"/>
          <w:lang w:val="en-GB"/>
        </w:rPr>
        <w:t xml:space="preserve">  </w:t>
      </w:r>
      <w:r>
        <w:rPr>
          <w:snapToGrid/>
          <w:szCs w:val="21"/>
          <w:lang w:val="en-GB"/>
        </w:rPr>
        <w:t>根据《土库曼斯坦宪法》第</w:t>
      </w:r>
      <w:r>
        <w:rPr>
          <w:snapToGrid/>
          <w:szCs w:val="21"/>
          <w:lang w:val="en-GB"/>
        </w:rPr>
        <w:t>35</w:t>
      </w:r>
      <w:r>
        <w:rPr>
          <w:snapToGrid/>
          <w:szCs w:val="21"/>
          <w:lang w:val="en-GB"/>
        </w:rPr>
        <w:t>条，公民有健康保护权，包括免费使用国家的保健机构网点。依照法律，并以相应方式，得到有偿与非传统的医疗服务。</w:t>
      </w:r>
    </w:p>
    <w:p w:rsidR="00A93F62" w:rsidRDefault="00A93F62" w:rsidP="00583483">
      <w:pPr>
        <w:tabs>
          <w:tab w:val="clear" w:pos="431"/>
        </w:tabs>
        <w:suppressAutoHyphens/>
        <w:overflowPunct/>
        <w:adjustRightInd/>
        <w:snapToGrid/>
        <w:spacing w:line="240" w:lineRule="atLeast"/>
        <w:ind w:left="1134" w:right="1134"/>
        <w:rPr>
          <w:rFonts w:eastAsia="SimHei"/>
          <w:snapToGrid/>
          <w:szCs w:val="21"/>
          <w:lang w:val="en-GB"/>
        </w:rPr>
      </w:pPr>
      <w:r>
        <w:rPr>
          <w:rFonts w:eastAsia="SimHei"/>
          <w:snapToGrid/>
          <w:szCs w:val="21"/>
          <w:lang w:val="en-GB"/>
        </w:rPr>
        <w:t>土库曼斯坦出生时的预期寿命，岁</w:t>
      </w:r>
    </w:p>
    <w:tbl>
      <w:tblPr>
        <w:tblStyle w:val="TabNum"/>
        <w:tblpPr w:leftFromText="180" w:rightFromText="180" w:vertAnchor="text" w:horzAnchor="margin" w:tblpX="1228" w:tblpY="158"/>
        <w:tblW w:w="7228" w:type="dxa"/>
        <w:tblLayout w:type="fixed"/>
        <w:tblLook w:val="01E0" w:firstRow="1" w:lastRow="1" w:firstColumn="1" w:lastColumn="1" w:noHBand="0" w:noVBand="0"/>
      </w:tblPr>
      <w:tblGrid>
        <w:gridCol w:w="926"/>
        <w:gridCol w:w="699"/>
        <w:gridCol w:w="699"/>
        <w:gridCol w:w="700"/>
        <w:gridCol w:w="238"/>
        <w:gridCol w:w="462"/>
        <w:gridCol w:w="700"/>
        <w:gridCol w:w="630"/>
        <w:gridCol w:w="70"/>
        <w:gridCol w:w="168"/>
        <w:gridCol w:w="532"/>
        <w:gridCol w:w="700"/>
        <w:gridCol w:w="704"/>
      </w:tblGrid>
      <w:tr w:rsidR="00A93F62" w:rsidRPr="00253C38">
        <w:trPr>
          <w:tblHeader/>
        </w:trPr>
        <w:tc>
          <w:tcPr>
            <w:cnfStyle w:val="001000000000" w:firstRow="0" w:lastRow="0" w:firstColumn="1" w:lastColumn="0" w:oddVBand="0" w:evenVBand="0" w:oddHBand="0" w:evenHBand="0" w:firstRowFirstColumn="0" w:firstRowLastColumn="0" w:lastRowFirstColumn="0" w:lastRowLastColumn="0"/>
            <w:tcW w:w="926" w:type="dxa"/>
            <w:vMerge w:val="restart"/>
            <w:shd w:val="clear" w:color="auto" w:fill="auto"/>
          </w:tcPr>
          <w:p w:rsidR="00A93F62" w:rsidRPr="00253C38" w:rsidRDefault="00A93F62">
            <w:pPr>
              <w:tabs>
                <w:tab w:val="clear" w:pos="431"/>
              </w:tabs>
              <w:suppressAutoHyphens/>
              <w:overflowPunct/>
              <w:adjustRightInd/>
              <w:snapToGrid/>
              <w:spacing w:before="0" w:after="0" w:line="240" w:lineRule="atLeast"/>
              <w:rPr>
                <w:i/>
                <w:snapToGrid/>
                <w:sz w:val="18"/>
                <w:szCs w:val="18"/>
                <w:lang w:val="en-GB"/>
              </w:rPr>
            </w:pPr>
            <w:r w:rsidRPr="00253C38">
              <w:rPr>
                <w:rFonts w:eastAsia="KaiTi_GB2312"/>
                <w:snapToGrid/>
                <w:sz w:val="18"/>
                <w:szCs w:val="18"/>
                <w:lang w:val="en-GB"/>
              </w:rPr>
              <w:t>年</w:t>
            </w:r>
          </w:p>
        </w:tc>
        <w:tc>
          <w:tcPr>
            <w:tcW w:w="2098" w:type="dxa"/>
            <w:gridSpan w:val="3"/>
            <w:tcBorders>
              <w:top w:val="single" w:sz="4" w:space="0" w:color="auto"/>
              <w:bottom w:val="single" w:sz="2" w:space="0" w:color="auto"/>
            </w:tcBorders>
            <w:shd w:val="clear" w:color="auto" w:fill="auto"/>
          </w:tcPr>
          <w:p w:rsidR="00A93F62" w:rsidRPr="00253C38" w:rsidRDefault="00A93F62">
            <w:pPr>
              <w:tabs>
                <w:tab w:val="clear" w:pos="431"/>
              </w:tabs>
              <w:suppressAutoHyphens/>
              <w:overflowPunct/>
              <w:adjustRightInd/>
              <w:snapToGrid/>
              <w:spacing w:before="0" w:after="0" w:line="240" w:lineRule="atLeast"/>
              <w:jc w:val="center"/>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253C38">
              <w:rPr>
                <w:rFonts w:eastAsia="KaiTi_GB2312"/>
                <w:snapToGrid/>
                <w:sz w:val="18"/>
                <w:szCs w:val="18"/>
                <w:lang w:val="en-GB"/>
              </w:rPr>
              <w:t>所有居民</w:t>
            </w:r>
          </w:p>
        </w:tc>
        <w:tc>
          <w:tcPr>
            <w:tcW w:w="238" w:type="dxa"/>
            <w:tcBorders>
              <w:top w:val="single" w:sz="4" w:space="0" w:color="auto"/>
              <w:bottom w:val="nil"/>
            </w:tcBorders>
            <w:shd w:val="clear" w:color="auto" w:fill="auto"/>
          </w:tcPr>
          <w:p w:rsidR="00A93F62" w:rsidRPr="00253C38" w:rsidRDefault="00A93F62">
            <w:pPr>
              <w:tabs>
                <w:tab w:val="clear" w:pos="431"/>
              </w:tabs>
              <w:suppressAutoHyphens/>
              <w:overflowPunct/>
              <w:adjustRightInd/>
              <w:snapToGrid/>
              <w:spacing w:before="0" w:after="0" w:line="240" w:lineRule="atLeast"/>
              <w:jc w:val="center"/>
              <w:cnfStyle w:val="000000000000" w:firstRow="0" w:lastRow="0" w:firstColumn="0" w:lastColumn="0" w:oddVBand="0" w:evenVBand="0" w:oddHBand="0" w:evenHBand="0" w:firstRowFirstColumn="0" w:firstRowLastColumn="0" w:lastRowFirstColumn="0" w:lastRowLastColumn="0"/>
              <w:rPr>
                <w:i/>
                <w:snapToGrid/>
                <w:sz w:val="18"/>
                <w:szCs w:val="18"/>
                <w:lang w:val="en-GB"/>
              </w:rPr>
            </w:pPr>
          </w:p>
        </w:tc>
        <w:tc>
          <w:tcPr>
            <w:tcW w:w="1792" w:type="dxa"/>
            <w:gridSpan w:val="3"/>
            <w:tcBorders>
              <w:top w:val="single" w:sz="4" w:space="0" w:color="auto"/>
              <w:bottom w:val="single" w:sz="2" w:space="0" w:color="auto"/>
            </w:tcBorders>
            <w:shd w:val="clear" w:color="auto" w:fill="auto"/>
          </w:tcPr>
          <w:p w:rsidR="00A93F62" w:rsidRPr="00253C38" w:rsidRDefault="00A93F62">
            <w:pPr>
              <w:tabs>
                <w:tab w:val="clear" w:pos="431"/>
              </w:tabs>
              <w:suppressAutoHyphens/>
              <w:overflowPunct/>
              <w:adjustRightInd/>
              <w:snapToGrid/>
              <w:spacing w:line="240" w:lineRule="atLeast"/>
              <w:jc w:val="center"/>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253C38">
              <w:rPr>
                <w:rFonts w:eastAsia="KaiTi_GB2312"/>
                <w:snapToGrid/>
                <w:sz w:val="18"/>
                <w:szCs w:val="18"/>
                <w:lang w:val="en-GB"/>
              </w:rPr>
              <w:t>城市居民</w:t>
            </w:r>
          </w:p>
        </w:tc>
        <w:tc>
          <w:tcPr>
            <w:tcW w:w="238" w:type="dxa"/>
            <w:gridSpan w:val="2"/>
            <w:tcBorders>
              <w:top w:val="single" w:sz="4" w:space="0" w:color="auto"/>
              <w:bottom w:val="nil"/>
            </w:tcBorders>
            <w:shd w:val="clear" w:color="auto" w:fill="auto"/>
          </w:tcPr>
          <w:p w:rsidR="00A93F62" w:rsidRPr="00253C38" w:rsidRDefault="00A93F62">
            <w:pPr>
              <w:tabs>
                <w:tab w:val="clear" w:pos="431"/>
              </w:tabs>
              <w:suppressAutoHyphens/>
              <w:overflowPunct/>
              <w:adjustRightInd/>
              <w:snapToGrid/>
              <w:spacing w:before="0" w:after="0" w:line="240" w:lineRule="atLeast"/>
              <w:jc w:val="center"/>
              <w:cnfStyle w:val="000000000000" w:firstRow="0" w:lastRow="0" w:firstColumn="0" w:lastColumn="0" w:oddVBand="0" w:evenVBand="0" w:oddHBand="0" w:evenHBand="0" w:firstRowFirstColumn="0" w:firstRowLastColumn="0" w:lastRowFirstColumn="0" w:lastRowLastColumn="0"/>
              <w:rPr>
                <w:i/>
                <w:snapToGrid/>
                <w:sz w:val="18"/>
                <w:szCs w:val="18"/>
                <w:lang w:val="en-GB"/>
              </w:rPr>
            </w:pPr>
          </w:p>
        </w:tc>
        <w:tc>
          <w:tcPr>
            <w:tcW w:w="1936" w:type="dxa"/>
            <w:gridSpan w:val="3"/>
            <w:tcBorders>
              <w:top w:val="single" w:sz="4" w:space="0" w:color="auto"/>
              <w:bottom w:val="single" w:sz="2" w:space="0" w:color="auto"/>
            </w:tcBorders>
            <w:shd w:val="clear" w:color="auto" w:fill="auto"/>
          </w:tcPr>
          <w:p w:rsidR="00A93F62" w:rsidRPr="00253C38" w:rsidRDefault="00A93F62">
            <w:pPr>
              <w:tabs>
                <w:tab w:val="clear" w:pos="431"/>
              </w:tabs>
              <w:suppressAutoHyphens/>
              <w:overflowPunct/>
              <w:adjustRightInd/>
              <w:snapToGrid/>
              <w:spacing w:line="240" w:lineRule="atLeast"/>
              <w:jc w:val="center"/>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253C38">
              <w:rPr>
                <w:rFonts w:eastAsia="KaiTi_GB2312"/>
                <w:snapToGrid/>
                <w:sz w:val="18"/>
                <w:szCs w:val="18"/>
                <w:lang w:val="en-GB"/>
              </w:rPr>
              <w:t>农村居民</w:t>
            </w:r>
          </w:p>
        </w:tc>
      </w:tr>
      <w:tr w:rsidR="00A93F62" w:rsidRPr="00253C38">
        <w:trPr>
          <w:tblHeader/>
        </w:trPr>
        <w:tc>
          <w:tcPr>
            <w:cnfStyle w:val="001000000000" w:firstRow="0" w:lastRow="0" w:firstColumn="1" w:lastColumn="0" w:oddVBand="0" w:evenVBand="0" w:oddHBand="0" w:evenHBand="0" w:firstRowFirstColumn="0" w:firstRowLastColumn="0" w:lastRowFirstColumn="0" w:lastRowLastColumn="0"/>
            <w:tcW w:w="926" w:type="dxa"/>
            <w:vMerge/>
            <w:tcBorders>
              <w:top w:val="nil"/>
              <w:bottom w:val="single" w:sz="12" w:space="0" w:color="auto"/>
            </w:tcBorders>
            <w:shd w:val="clear" w:color="auto" w:fill="auto"/>
          </w:tcPr>
          <w:p w:rsidR="00A93F62" w:rsidRPr="00253C38" w:rsidRDefault="00A93F62">
            <w:pPr>
              <w:tabs>
                <w:tab w:val="clear" w:pos="431"/>
              </w:tabs>
              <w:suppressAutoHyphens/>
              <w:overflowPunct/>
              <w:adjustRightInd/>
              <w:snapToGrid/>
              <w:spacing w:before="0" w:after="0" w:line="240" w:lineRule="atLeast"/>
              <w:rPr>
                <w:i/>
                <w:snapToGrid/>
                <w:sz w:val="18"/>
                <w:szCs w:val="18"/>
                <w:lang w:val="en-GB" w:eastAsia="en-US"/>
              </w:rPr>
            </w:pPr>
          </w:p>
        </w:tc>
        <w:tc>
          <w:tcPr>
            <w:tcW w:w="699" w:type="dxa"/>
            <w:tcBorders>
              <w:top w:val="single" w:sz="2" w:space="0" w:color="auto"/>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253C38">
              <w:rPr>
                <w:rFonts w:eastAsia="KaiTi_GB2312"/>
                <w:snapToGrid/>
                <w:sz w:val="18"/>
                <w:szCs w:val="18"/>
                <w:lang w:val="en-GB"/>
              </w:rPr>
              <w:t>两性</w:t>
            </w:r>
          </w:p>
        </w:tc>
        <w:tc>
          <w:tcPr>
            <w:tcW w:w="699" w:type="dxa"/>
            <w:tcBorders>
              <w:top w:val="single" w:sz="2" w:space="0" w:color="auto"/>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253C38">
              <w:rPr>
                <w:rFonts w:eastAsia="KaiTi_GB2312"/>
                <w:snapToGrid/>
                <w:sz w:val="18"/>
                <w:szCs w:val="18"/>
                <w:lang w:val="en-GB"/>
              </w:rPr>
              <w:t>妇女</w:t>
            </w:r>
          </w:p>
        </w:tc>
        <w:tc>
          <w:tcPr>
            <w:tcW w:w="700" w:type="dxa"/>
            <w:tcBorders>
              <w:top w:val="single" w:sz="2" w:space="0" w:color="auto"/>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253C38">
              <w:rPr>
                <w:rFonts w:eastAsia="KaiTi_GB2312"/>
                <w:snapToGrid/>
                <w:sz w:val="18"/>
                <w:szCs w:val="18"/>
                <w:lang w:val="en-GB"/>
              </w:rPr>
              <w:t>男子</w:t>
            </w:r>
          </w:p>
        </w:tc>
        <w:tc>
          <w:tcPr>
            <w:tcW w:w="700" w:type="dxa"/>
            <w:gridSpan w:val="2"/>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253C38">
              <w:rPr>
                <w:rFonts w:eastAsia="KaiTi_GB2312"/>
                <w:snapToGrid/>
                <w:sz w:val="18"/>
                <w:szCs w:val="18"/>
                <w:lang w:val="en-GB"/>
              </w:rPr>
              <w:t>两性</w:t>
            </w:r>
          </w:p>
        </w:tc>
        <w:tc>
          <w:tcPr>
            <w:tcW w:w="700" w:type="dxa"/>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253C38">
              <w:rPr>
                <w:rFonts w:eastAsia="KaiTi_GB2312"/>
                <w:snapToGrid/>
                <w:sz w:val="18"/>
                <w:szCs w:val="18"/>
                <w:lang w:val="en-GB"/>
              </w:rPr>
              <w:t>妇女</w:t>
            </w:r>
          </w:p>
        </w:tc>
        <w:tc>
          <w:tcPr>
            <w:tcW w:w="700" w:type="dxa"/>
            <w:gridSpan w:val="2"/>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253C38">
              <w:rPr>
                <w:rFonts w:eastAsia="KaiTi_GB2312"/>
                <w:snapToGrid/>
                <w:sz w:val="18"/>
                <w:szCs w:val="18"/>
                <w:lang w:val="en-GB"/>
              </w:rPr>
              <w:t>男子</w:t>
            </w:r>
          </w:p>
        </w:tc>
        <w:tc>
          <w:tcPr>
            <w:tcW w:w="700" w:type="dxa"/>
            <w:gridSpan w:val="2"/>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253C38">
              <w:rPr>
                <w:rFonts w:eastAsia="KaiTi_GB2312"/>
                <w:snapToGrid/>
                <w:sz w:val="18"/>
                <w:szCs w:val="18"/>
                <w:lang w:val="en-GB"/>
              </w:rPr>
              <w:t>两性</w:t>
            </w:r>
          </w:p>
        </w:tc>
        <w:tc>
          <w:tcPr>
            <w:tcW w:w="700" w:type="dxa"/>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253C38">
              <w:rPr>
                <w:rFonts w:eastAsia="KaiTi_GB2312"/>
                <w:snapToGrid/>
                <w:sz w:val="18"/>
                <w:szCs w:val="18"/>
                <w:lang w:val="en-GB"/>
              </w:rPr>
              <w:t>妇女</w:t>
            </w:r>
          </w:p>
        </w:tc>
        <w:tc>
          <w:tcPr>
            <w:tcW w:w="704" w:type="dxa"/>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253C38">
              <w:rPr>
                <w:rFonts w:eastAsia="KaiTi_GB2312"/>
                <w:snapToGrid/>
                <w:sz w:val="18"/>
                <w:szCs w:val="18"/>
                <w:lang w:val="en-GB"/>
              </w:rPr>
              <w:t>男子</w:t>
            </w:r>
          </w:p>
        </w:tc>
      </w:tr>
      <w:tr w:rsidR="00A93F62" w:rsidRPr="00253C38">
        <w:tc>
          <w:tcPr>
            <w:cnfStyle w:val="001000000000" w:firstRow="0" w:lastRow="0" w:firstColumn="1" w:lastColumn="0" w:oddVBand="0" w:evenVBand="0" w:oddHBand="0" w:evenHBand="0" w:firstRowFirstColumn="0" w:firstRowLastColumn="0" w:lastRowFirstColumn="0" w:lastRowLastColumn="0"/>
            <w:tcW w:w="926" w:type="dxa"/>
            <w:tcBorders>
              <w:top w:val="single" w:sz="12" w:space="0" w:color="auto"/>
            </w:tcBorders>
          </w:tcPr>
          <w:p w:rsidR="00A93F62" w:rsidRPr="00253C38" w:rsidRDefault="00A93F62">
            <w:pPr>
              <w:tabs>
                <w:tab w:val="clear" w:pos="431"/>
              </w:tabs>
              <w:suppressAutoHyphens/>
              <w:overflowPunct/>
              <w:adjustRightInd/>
              <w:snapToGrid/>
              <w:spacing w:before="0" w:after="0" w:line="240" w:lineRule="atLeast"/>
              <w:rPr>
                <w:snapToGrid/>
                <w:sz w:val="18"/>
                <w:szCs w:val="18"/>
                <w:lang w:val="en-GB" w:eastAsia="en-US"/>
              </w:rPr>
            </w:pPr>
            <w:r w:rsidRPr="00253C38">
              <w:rPr>
                <w:snapToGrid/>
                <w:sz w:val="18"/>
                <w:szCs w:val="18"/>
                <w:lang w:val="en-GB" w:eastAsia="en-US"/>
              </w:rPr>
              <w:t>2000</w:t>
            </w:r>
          </w:p>
        </w:tc>
        <w:tc>
          <w:tcPr>
            <w:tcW w:w="699" w:type="dxa"/>
            <w:tcBorders>
              <w:top w:val="single" w:sz="12" w:space="0" w:color="auto"/>
            </w:tcBorders>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68.3</w:t>
            </w:r>
          </w:p>
        </w:tc>
        <w:tc>
          <w:tcPr>
            <w:tcW w:w="699" w:type="dxa"/>
            <w:tcBorders>
              <w:top w:val="single" w:sz="12" w:space="0" w:color="auto"/>
            </w:tcBorders>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71.8</w:t>
            </w:r>
          </w:p>
        </w:tc>
        <w:tc>
          <w:tcPr>
            <w:tcW w:w="700" w:type="dxa"/>
            <w:tcBorders>
              <w:top w:val="single" w:sz="12" w:space="0" w:color="auto"/>
            </w:tcBorders>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69.4</w:t>
            </w:r>
          </w:p>
        </w:tc>
        <w:tc>
          <w:tcPr>
            <w:tcW w:w="700" w:type="dxa"/>
            <w:gridSpan w:val="2"/>
            <w:tcBorders>
              <w:top w:val="single" w:sz="12" w:space="0" w:color="auto"/>
            </w:tcBorders>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68.3</w:t>
            </w:r>
          </w:p>
        </w:tc>
        <w:tc>
          <w:tcPr>
            <w:tcW w:w="700" w:type="dxa"/>
            <w:tcBorders>
              <w:top w:val="single" w:sz="12" w:space="0" w:color="auto"/>
            </w:tcBorders>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73.2</w:t>
            </w:r>
          </w:p>
        </w:tc>
        <w:tc>
          <w:tcPr>
            <w:tcW w:w="700" w:type="dxa"/>
            <w:gridSpan w:val="2"/>
            <w:tcBorders>
              <w:top w:val="single" w:sz="12" w:space="0" w:color="auto"/>
            </w:tcBorders>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63.6</w:t>
            </w:r>
          </w:p>
        </w:tc>
        <w:tc>
          <w:tcPr>
            <w:tcW w:w="700" w:type="dxa"/>
            <w:gridSpan w:val="2"/>
            <w:tcBorders>
              <w:top w:val="single" w:sz="12" w:space="0" w:color="auto"/>
            </w:tcBorders>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68.3</w:t>
            </w:r>
          </w:p>
        </w:tc>
        <w:tc>
          <w:tcPr>
            <w:tcW w:w="700" w:type="dxa"/>
            <w:tcBorders>
              <w:top w:val="single" w:sz="12" w:space="0" w:color="auto"/>
            </w:tcBorders>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70.4</w:t>
            </w:r>
          </w:p>
        </w:tc>
        <w:tc>
          <w:tcPr>
            <w:tcW w:w="704" w:type="dxa"/>
            <w:tcBorders>
              <w:top w:val="single" w:sz="12" w:space="0" w:color="auto"/>
            </w:tcBorders>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66.1</w:t>
            </w:r>
          </w:p>
        </w:tc>
      </w:tr>
      <w:tr w:rsidR="00A93F62" w:rsidRPr="00253C38">
        <w:tc>
          <w:tcPr>
            <w:cnfStyle w:val="001000000000" w:firstRow="0" w:lastRow="0" w:firstColumn="1" w:lastColumn="0" w:oddVBand="0" w:evenVBand="0" w:oddHBand="0" w:evenHBand="0" w:firstRowFirstColumn="0" w:firstRowLastColumn="0" w:lastRowFirstColumn="0" w:lastRowLastColumn="0"/>
            <w:tcW w:w="926" w:type="dxa"/>
          </w:tcPr>
          <w:p w:rsidR="00A93F62" w:rsidRPr="00253C38" w:rsidRDefault="00A93F62">
            <w:pPr>
              <w:tabs>
                <w:tab w:val="clear" w:pos="431"/>
              </w:tabs>
              <w:suppressAutoHyphens/>
              <w:overflowPunct/>
              <w:adjustRightInd/>
              <w:snapToGrid/>
              <w:spacing w:before="0" w:after="0" w:line="240" w:lineRule="atLeast"/>
              <w:rPr>
                <w:snapToGrid/>
                <w:sz w:val="18"/>
                <w:szCs w:val="18"/>
                <w:lang w:val="en-GB" w:eastAsia="en-US"/>
              </w:rPr>
            </w:pPr>
            <w:r w:rsidRPr="00253C38">
              <w:rPr>
                <w:snapToGrid/>
                <w:sz w:val="18"/>
                <w:szCs w:val="18"/>
                <w:lang w:val="en-GB" w:eastAsia="en-US"/>
              </w:rPr>
              <w:t>2007</w:t>
            </w:r>
          </w:p>
        </w:tc>
        <w:tc>
          <w:tcPr>
            <w:tcW w:w="699" w:type="dxa"/>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69.6</w:t>
            </w:r>
          </w:p>
        </w:tc>
        <w:tc>
          <w:tcPr>
            <w:tcW w:w="699" w:type="dxa"/>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73.1</w:t>
            </w:r>
          </w:p>
        </w:tc>
        <w:tc>
          <w:tcPr>
            <w:tcW w:w="700" w:type="dxa"/>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66.7</w:t>
            </w:r>
          </w:p>
        </w:tc>
        <w:tc>
          <w:tcPr>
            <w:tcW w:w="700" w:type="dxa"/>
            <w:gridSpan w:val="2"/>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69.5</w:t>
            </w:r>
          </w:p>
        </w:tc>
        <w:tc>
          <w:tcPr>
            <w:tcW w:w="700" w:type="dxa"/>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73.9</w:t>
            </w:r>
          </w:p>
        </w:tc>
        <w:tc>
          <w:tcPr>
            <w:tcW w:w="700" w:type="dxa"/>
            <w:gridSpan w:val="2"/>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65.1</w:t>
            </w:r>
          </w:p>
        </w:tc>
        <w:tc>
          <w:tcPr>
            <w:tcW w:w="700" w:type="dxa"/>
            <w:gridSpan w:val="2"/>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70.1</w:t>
            </w:r>
          </w:p>
        </w:tc>
        <w:tc>
          <w:tcPr>
            <w:tcW w:w="700" w:type="dxa"/>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72.2</w:t>
            </w:r>
          </w:p>
        </w:tc>
        <w:tc>
          <w:tcPr>
            <w:tcW w:w="704" w:type="dxa"/>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67.9</w:t>
            </w:r>
          </w:p>
        </w:tc>
      </w:tr>
    </w:tbl>
    <w:p w:rsidR="00A93F62" w:rsidRDefault="00A93F62">
      <w:pPr>
        <w:tabs>
          <w:tab w:val="clear" w:pos="431"/>
        </w:tabs>
        <w:suppressAutoHyphens/>
        <w:overflowPunct/>
        <w:adjustRightInd/>
        <w:snapToGrid/>
        <w:spacing w:after="120" w:line="240" w:lineRule="atLeast"/>
        <w:ind w:left="1134" w:right="1134"/>
        <w:rPr>
          <w:rFonts w:eastAsia="SimHei"/>
          <w:snapToGrid/>
          <w:szCs w:val="21"/>
          <w:lang w:val="en-GB"/>
        </w:rPr>
      </w:pPr>
    </w:p>
    <w:p w:rsidR="00A93F62" w:rsidRDefault="00A93F62">
      <w:pPr>
        <w:tabs>
          <w:tab w:val="clear" w:pos="431"/>
        </w:tabs>
        <w:suppressAutoHyphens/>
        <w:overflowPunct/>
        <w:adjustRightInd/>
        <w:snapToGrid/>
        <w:spacing w:beforeLines="50" w:before="163" w:after="120" w:line="320" w:lineRule="atLeast"/>
        <w:ind w:left="1134" w:right="1134"/>
        <w:rPr>
          <w:snapToGrid/>
          <w:szCs w:val="21"/>
          <w:lang w:val="en-GB"/>
        </w:rPr>
      </w:pPr>
      <w:r>
        <w:rPr>
          <w:snapToGrid/>
          <w:szCs w:val="21"/>
          <w:lang w:val="en-GB"/>
        </w:rPr>
        <w:t>229.</w:t>
      </w:r>
      <w:r>
        <w:rPr>
          <w:rFonts w:hint="eastAsia"/>
          <w:snapToGrid/>
          <w:szCs w:val="21"/>
          <w:lang w:val="en-GB"/>
        </w:rPr>
        <w:t xml:space="preserve">  </w:t>
      </w:r>
      <w:r>
        <w:rPr>
          <w:snapToGrid/>
          <w:szCs w:val="21"/>
          <w:lang w:val="en-GB"/>
        </w:rPr>
        <w:t>根据《土库曼斯坦宪法》，不论任何民族、种族、性别、出身、财产状况与职务状况、居住地、语言、宗教信仰、政治信仰、隶属党派或无党派，所有土库曼斯坦公民都享有健康保护权。根据土库曼斯坦加入的国际公约，土库曼斯坦境外公民也享有健康保护权。保障公民享有国家自愿医疗保险的权利。国家自愿医疗保险合同签约公民的优惠，由土库曼斯坦内阁批准</w:t>
      </w:r>
      <w:r>
        <w:rPr>
          <w:snapToGrid/>
          <w:szCs w:val="21"/>
          <w:lang w:val="en-GB"/>
        </w:rPr>
        <w:t>(</w:t>
      </w:r>
      <w:smartTag w:uri="urn:schemas-microsoft-com:office:smarttags" w:element="chsdate">
        <w:smartTagPr>
          <w:attr w:name="IsROCDate" w:val="False"/>
          <w:attr w:name="IsLunarDate" w:val="False"/>
          <w:attr w:name="Day" w:val="14"/>
          <w:attr w:name="Month" w:val="12"/>
          <w:attr w:name="Year" w:val="2002"/>
        </w:smartTagPr>
        <w:r>
          <w:rPr>
            <w:snapToGrid/>
            <w:szCs w:val="21"/>
            <w:lang w:val="en-GB"/>
          </w:rPr>
          <w:t>2002</w:t>
        </w:r>
        <w:r>
          <w:rPr>
            <w:snapToGrid/>
            <w:szCs w:val="21"/>
            <w:lang w:val="en-GB"/>
          </w:rPr>
          <w:t>年</w:t>
        </w:r>
        <w:r>
          <w:rPr>
            <w:snapToGrid/>
            <w:szCs w:val="21"/>
            <w:lang w:val="en-GB"/>
          </w:rPr>
          <w:t>12</w:t>
        </w:r>
        <w:r>
          <w:rPr>
            <w:snapToGrid/>
            <w:szCs w:val="21"/>
            <w:lang w:val="en-GB"/>
          </w:rPr>
          <w:t>月</w:t>
        </w:r>
        <w:r>
          <w:rPr>
            <w:snapToGrid/>
            <w:szCs w:val="21"/>
            <w:lang w:val="en-GB"/>
          </w:rPr>
          <w:t>14</w:t>
        </w:r>
        <w:r>
          <w:rPr>
            <w:snapToGrid/>
            <w:szCs w:val="21"/>
            <w:lang w:val="en-GB"/>
          </w:rPr>
          <w:t>日</w:t>
        </w:r>
      </w:smartTag>
      <w:r>
        <w:rPr>
          <w:snapToGrid/>
          <w:szCs w:val="21"/>
          <w:lang w:val="en-GB"/>
        </w:rPr>
        <w:t>颁布的</w:t>
      </w:r>
      <w:r>
        <w:rPr>
          <w:snapToGrid/>
          <w:szCs w:val="21"/>
          <w:lang w:val="en-GB"/>
        </w:rPr>
        <w:t xml:space="preserve"> </w:t>
      </w:r>
      <w:r>
        <w:rPr>
          <w:snapToGrid/>
          <w:szCs w:val="21"/>
          <w:lang w:val="en-GB"/>
        </w:rPr>
        <w:t>《土库曼斯坦公民健康保护法》第</w:t>
      </w:r>
      <w:r>
        <w:rPr>
          <w:snapToGrid/>
          <w:szCs w:val="21"/>
          <w:lang w:val="en-GB"/>
        </w:rPr>
        <w:t>14</w:t>
      </w:r>
      <w:r>
        <w:rPr>
          <w:snapToGrid/>
          <w:szCs w:val="21"/>
          <w:lang w:val="en-GB"/>
        </w:rPr>
        <w:t>条</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230.</w:t>
      </w:r>
      <w:r>
        <w:rPr>
          <w:rFonts w:hint="eastAsia"/>
          <w:snapToGrid/>
          <w:szCs w:val="21"/>
          <w:lang w:val="en-GB"/>
        </w:rPr>
        <w:t xml:space="preserve">  </w:t>
      </w:r>
      <w:r>
        <w:rPr>
          <w:snapToGrid/>
          <w:szCs w:val="21"/>
          <w:lang w:val="en-GB"/>
        </w:rPr>
        <w:t>根据土库曼斯坦加入的国际公约，土库曼斯坦的外国公民，也享有健康保护权。如果土库曼斯坦加入的国际公约未作其它规定，临时或长期在土库曼斯坦逗留的外国公民和无国籍人士，以及难民，都享有与土库曼斯坦公民一样的健康保护权。向外国公民和无国籍人士，以及难民提供医疗服务的方式，由土库曼斯坦部长内阁规定</w:t>
      </w:r>
      <w:r>
        <w:rPr>
          <w:snapToGrid/>
          <w:szCs w:val="21"/>
          <w:lang w:val="en-GB"/>
        </w:rPr>
        <w:t>(</w:t>
      </w:r>
      <w:r>
        <w:rPr>
          <w:snapToGrid/>
          <w:szCs w:val="21"/>
          <w:lang w:val="en-GB"/>
        </w:rPr>
        <w:t>《土库曼斯坦公民健康保护法》第</w:t>
      </w:r>
      <w:r>
        <w:rPr>
          <w:snapToGrid/>
          <w:szCs w:val="21"/>
          <w:lang w:val="en-GB"/>
        </w:rPr>
        <w:t>15</w:t>
      </w:r>
      <w:r>
        <w:rPr>
          <w:snapToGrid/>
          <w:szCs w:val="21"/>
          <w:lang w:val="en-GB"/>
        </w:rPr>
        <w:t>条</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pacing w:val="-6"/>
          <w:szCs w:val="21"/>
          <w:lang w:val="en-GB"/>
        </w:rPr>
      </w:pPr>
      <w:r>
        <w:rPr>
          <w:snapToGrid/>
          <w:szCs w:val="21"/>
          <w:lang w:val="en-GB"/>
        </w:rPr>
        <w:t>231.</w:t>
      </w:r>
      <w:r>
        <w:rPr>
          <w:rFonts w:hint="eastAsia"/>
          <w:snapToGrid/>
          <w:szCs w:val="21"/>
          <w:lang w:val="en-GB"/>
        </w:rPr>
        <w:t xml:space="preserve"> </w:t>
      </w:r>
      <w:r>
        <w:rPr>
          <w:rFonts w:hint="eastAsia"/>
          <w:snapToGrid/>
          <w:spacing w:val="-6"/>
          <w:szCs w:val="21"/>
          <w:lang w:val="en-GB"/>
        </w:rPr>
        <w:t xml:space="preserve"> </w:t>
      </w:r>
      <w:r>
        <w:rPr>
          <w:snapToGrid/>
          <w:spacing w:val="-6"/>
          <w:szCs w:val="21"/>
          <w:lang w:val="en-GB"/>
        </w:rPr>
        <w:t>根据《土库曼斯坦公民健康保护法》，公民健康保护方面的国家政策致力于：</w:t>
      </w:r>
    </w:p>
    <w:p w:rsidR="00A93F62" w:rsidRDefault="00A93F62">
      <w:pPr>
        <w:pStyle w:val="Bullet1GC"/>
        <w:numPr>
          <w:ilvl w:val="0"/>
          <w:numId w:val="14"/>
        </w:numPr>
        <w:rPr>
          <w:snapToGrid/>
          <w:lang w:val="en-GB"/>
        </w:rPr>
      </w:pPr>
      <w:r>
        <w:rPr>
          <w:snapToGrid/>
          <w:lang w:val="en-GB"/>
        </w:rPr>
        <w:t>保障公民健康保护方面国家政策的一致；</w:t>
      </w:r>
    </w:p>
    <w:p w:rsidR="00A93F62" w:rsidRDefault="00A93F62">
      <w:pPr>
        <w:pStyle w:val="Bullet1GC"/>
        <w:numPr>
          <w:ilvl w:val="0"/>
          <w:numId w:val="14"/>
        </w:numPr>
        <w:rPr>
          <w:snapToGrid/>
          <w:lang w:val="en-GB"/>
        </w:rPr>
      </w:pPr>
      <w:r>
        <w:rPr>
          <w:snapToGrid/>
          <w:lang w:val="en-GB"/>
        </w:rPr>
        <w:t>落实公民健康保护权；</w:t>
      </w:r>
    </w:p>
    <w:p w:rsidR="00A93F62" w:rsidRDefault="00A93F62">
      <w:pPr>
        <w:pStyle w:val="Bullet1GC"/>
        <w:numPr>
          <w:ilvl w:val="0"/>
          <w:numId w:val="14"/>
        </w:numPr>
        <w:rPr>
          <w:snapToGrid/>
          <w:lang w:val="en-GB"/>
        </w:rPr>
      </w:pPr>
      <w:r>
        <w:rPr>
          <w:snapToGrid/>
          <w:lang w:val="en-GB"/>
        </w:rPr>
        <w:t>保障土库曼斯坦</w:t>
      </w:r>
      <w:r>
        <w:rPr>
          <w:snapToGrid/>
          <w:lang w:val="en-GB"/>
        </w:rPr>
        <w:t>“</w:t>
      </w:r>
      <w:r>
        <w:rPr>
          <w:snapToGrid/>
          <w:lang w:val="en-GB"/>
        </w:rPr>
        <w:t>健康</w:t>
      </w:r>
      <w:r>
        <w:rPr>
          <w:snapToGrid/>
          <w:lang w:val="en-GB"/>
        </w:rPr>
        <w:t>”</w:t>
      </w:r>
      <w:r>
        <w:rPr>
          <w:snapToGrid/>
          <w:lang w:val="en-GB"/>
        </w:rPr>
        <w:t>国家规划的实施；</w:t>
      </w:r>
    </w:p>
    <w:p w:rsidR="00A93F62" w:rsidRDefault="00A93F62">
      <w:pPr>
        <w:pStyle w:val="Bullet1GC"/>
        <w:numPr>
          <w:ilvl w:val="0"/>
          <w:numId w:val="14"/>
        </w:numPr>
        <w:rPr>
          <w:snapToGrid/>
          <w:lang w:val="en-GB"/>
        </w:rPr>
      </w:pPr>
      <w:r>
        <w:rPr>
          <w:snapToGrid/>
          <w:lang w:val="en-GB"/>
        </w:rPr>
        <w:t>根据居民需要，制订和落实国家规划，发展和完善保健体系；</w:t>
      </w:r>
    </w:p>
    <w:p w:rsidR="00A93F62" w:rsidRDefault="00A93F62">
      <w:pPr>
        <w:pStyle w:val="Bullet1GC"/>
        <w:numPr>
          <w:ilvl w:val="0"/>
          <w:numId w:val="14"/>
        </w:numPr>
        <w:rPr>
          <w:snapToGrid/>
          <w:lang w:val="en-GB"/>
        </w:rPr>
      </w:pPr>
      <w:r>
        <w:rPr>
          <w:snapToGrid/>
          <w:lang w:val="en-GB"/>
        </w:rPr>
        <w:t>宣传和确立健康的生活方式；</w:t>
      </w:r>
    </w:p>
    <w:p w:rsidR="00A93F62" w:rsidRDefault="00A93F62">
      <w:pPr>
        <w:pStyle w:val="Bullet1GC"/>
        <w:numPr>
          <w:ilvl w:val="0"/>
          <w:numId w:val="14"/>
        </w:numPr>
        <w:rPr>
          <w:snapToGrid/>
          <w:lang w:val="en-GB"/>
        </w:rPr>
      </w:pPr>
      <w:r>
        <w:rPr>
          <w:snapToGrid/>
          <w:lang w:val="en-GB"/>
        </w:rPr>
        <w:t>完善保健体系的结构、组织基础。改善居民医疗服务质量，建立国家监控体系；</w:t>
      </w:r>
    </w:p>
    <w:p w:rsidR="00A93F62" w:rsidRDefault="00A93F62">
      <w:pPr>
        <w:pStyle w:val="Bullet1GC"/>
        <w:numPr>
          <w:ilvl w:val="0"/>
          <w:numId w:val="14"/>
        </w:numPr>
        <w:rPr>
          <w:snapToGrid/>
          <w:lang w:val="en-GB"/>
        </w:rPr>
      </w:pPr>
      <w:r>
        <w:rPr>
          <w:snapToGrid/>
          <w:lang w:val="en-GB"/>
        </w:rPr>
        <w:t>应保障国家医疗服务的免费实施；</w:t>
      </w:r>
    </w:p>
    <w:p w:rsidR="00A93F62" w:rsidRDefault="00A93F62">
      <w:pPr>
        <w:pStyle w:val="Bullet1GC"/>
        <w:numPr>
          <w:ilvl w:val="0"/>
          <w:numId w:val="14"/>
        </w:numPr>
        <w:rPr>
          <w:snapToGrid/>
          <w:lang w:val="en-GB"/>
        </w:rPr>
      </w:pPr>
      <w:r>
        <w:rPr>
          <w:snapToGrid/>
          <w:lang w:val="en-GB"/>
        </w:rPr>
        <w:t>应保障居民有效、连续和优质的医疗服务；</w:t>
      </w:r>
    </w:p>
    <w:p w:rsidR="00A93F62" w:rsidRDefault="00A93F62">
      <w:pPr>
        <w:pStyle w:val="Bullet1GC"/>
        <w:numPr>
          <w:ilvl w:val="0"/>
          <w:numId w:val="14"/>
        </w:numPr>
        <w:rPr>
          <w:snapToGrid/>
          <w:lang w:val="en-GB"/>
        </w:rPr>
      </w:pPr>
      <w:r>
        <w:rPr>
          <w:snapToGrid/>
          <w:lang w:val="en-GB"/>
        </w:rPr>
        <w:t>公民的社会保障；</w:t>
      </w:r>
    </w:p>
    <w:p w:rsidR="00A93F62" w:rsidRDefault="00A93F62">
      <w:pPr>
        <w:pStyle w:val="Bullet1GC"/>
        <w:numPr>
          <w:ilvl w:val="0"/>
          <w:numId w:val="14"/>
        </w:numPr>
        <w:rPr>
          <w:snapToGrid/>
          <w:lang w:val="en-GB"/>
        </w:rPr>
      </w:pPr>
      <w:r>
        <w:rPr>
          <w:snapToGrid/>
          <w:lang w:val="en-GB"/>
        </w:rPr>
        <w:t>免费保障居民预防传染病的特效药；</w:t>
      </w:r>
    </w:p>
    <w:p w:rsidR="00A93F62" w:rsidRDefault="00A93F62">
      <w:pPr>
        <w:pStyle w:val="Bullet1GC"/>
        <w:numPr>
          <w:ilvl w:val="0"/>
          <w:numId w:val="14"/>
        </w:numPr>
        <w:rPr>
          <w:snapToGrid/>
          <w:lang w:val="en-GB"/>
        </w:rPr>
      </w:pPr>
      <w:r>
        <w:rPr>
          <w:snapToGrid/>
          <w:lang w:val="en-GB"/>
        </w:rPr>
        <w:t>发展居民的国家自愿医疗保险，完善医疗保险系统；</w:t>
      </w:r>
    </w:p>
    <w:p w:rsidR="00A93F62" w:rsidRDefault="00A93F62">
      <w:pPr>
        <w:pStyle w:val="Bullet1GC"/>
        <w:numPr>
          <w:ilvl w:val="0"/>
          <w:numId w:val="14"/>
        </w:numPr>
        <w:rPr>
          <w:snapToGrid/>
          <w:lang w:val="en-GB"/>
        </w:rPr>
      </w:pPr>
      <w:r>
        <w:rPr>
          <w:snapToGrid/>
          <w:lang w:val="en-GB"/>
        </w:rPr>
        <w:t>保障医学科学与实践的统一；</w:t>
      </w:r>
    </w:p>
    <w:p w:rsidR="00A93F62" w:rsidRDefault="00A93F62">
      <w:pPr>
        <w:pStyle w:val="Bullet1GC"/>
        <w:numPr>
          <w:ilvl w:val="0"/>
          <w:numId w:val="14"/>
        </w:numPr>
        <w:rPr>
          <w:snapToGrid/>
          <w:lang w:val="en-GB"/>
        </w:rPr>
      </w:pPr>
      <w:r>
        <w:rPr>
          <w:snapToGrid/>
          <w:lang w:val="en-GB"/>
        </w:rPr>
        <w:t>巩固居民健康，预防疾病；</w:t>
      </w:r>
    </w:p>
    <w:p w:rsidR="00A93F62" w:rsidRDefault="00A93F62">
      <w:pPr>
        <w:pStyle w:val="Bullet1GC"/>
        <w:numPr>
          <w:ilvl w:val="0"/>
          <w:numId w:val="14"/>
        </w:numPr>
        <w:rPr>
          <w:snapToGrid/>
          <w:spacing w:val="-2"/>
          <w:lang w:val="en-GB"/>
        </w:rPr>
      </w:pPr>
      <w:r>
        <w:rPr>
          <w:snapToGrid/>
          <w:spacing w:val="-2"/>
          <w:lang w:val="en-GB"/>
        </w:rPr>
        <w:t>完善保健的经济基础，建立医疗服务市场，推动个体保健服务的发展；</w:t>
      </w:r>
    </w:p>
    <w:p w:rsidR="00A93F62" w:rsidRDefault="00A93F62">
      <w:pPr>
        <w:pStyle w:val="Bullet1GC"/>
        <w:numPr>
          <w:ilvl w:val="0"/>
          <w:numId w:val="14"/>
        </w:numPr>
        <w:rPr>
          <w:snapToGrid/>
          <w:lang w:val="en-GB"/>
        </w:rPr>
      </w:pPr>
      <w:r>
        <w:rPr>
          <w:snapToGrid/>
          <w:lang w:val="en-GB"/>
        </w:rPr>
        <w:t>提高保健筹资的有效性；</w:t>
      </w:r>
    </w:p>
    <w:p w:rsidR="00A93F62" w:rsidRDefault="00A93F62">
      <w:pPr>
        <w:pStyle w:val="Bullet1GC"/>
        <w:numPr>
          <w:ilvl w:val="0"/>
          <w:numId w:val="14"/>
        </w:numPr>
        <w:rPr>
          <w:snapToGrid/>
          <w:lang w:val="en-GB"/>
        </w:rPr>
      </w:pPr>
      <w:r>
        <w:rPr>
          <w:snapToGrid/>
          <w:lang w:val="en-GB"/>
        </w:rPr>
        <w:t>巩固保健的物质技术基础，发展医疗产业；</w:t>
      </w:r>
    </w:p>
    <w:p w:rsidR="00A93F62" w:rsidRDefault="00A93F62">
      <w:pPr>
        <w:pStyle w:val="Bullet1GC"/>
        <w:numPr>
          <w:ilvl w:val="0"/>
          <w:numId w:val="14"/>
        </w:numPr>
        <w:rPr>
          <w:snapToGrid/>
          <w:lang w:val="en-GB"/>
        </w:rPr>
      </w:pPr>
      <w:r>
        <w:rPr>
          <w:snapToGrid/>
          <w:lang w:val="en-GB"/>
        </w:rPr>
        <w:t>为各种所有制形式的保健机构的活动，提供有利条件；</w:t>
      </w:r>
    </w:p>
    <w:p w:rsidR="00A93F62" w:rsidRDefault="00A93F62">
      <w:pPr>
        <w:pStyle w:val="Bullet1GC"/>
        <w:numPr>
          <w:ilvl w:val="0"/>
          <w:numId w:val="14"/>
        </w:numPr>
        <w:rPr>
          <w:snapToGrid/>
          <w:lang w:val="en-GB"/>
        </w:rPr>
      </w:pPr>
      <w:r>
        <w:rPr>
          <w:snapToGrid/>
          <w:lang w:val="en-GB"/>
        </w:rPr>
        <w:t>完善保健工作者和科研人员的医学教育、培训与进修体系；</w:t>
      </w:r>
    </w:p>
    <w:p w:rsidR="00A93F62" w:rsidRDefault="00A93F62">
      <w:pPr>
        <w:pStyle w:val="Bullet1GC"/>
        <w:numPr>
          <w:ilvl w:val="0"/>
          <w:numId w:val="14"/>
        </w:numPr>
        <w:rPr>
          <w:snapToGrid/>
          <w:lang w:val="en-GB"/>
        </w:rPr>
      </w:pPr>
      <w:r>
        <w:rPr>
          <w:snapToGrid/>
          <w:lang w:val="en-GB"/>
        </w:rPr>
        <w:t>完善法律基础；</w:t>
      </w:r>
    </w:p>
    <w:p w:rsidR="00A93F62" w:rsidRDefault="00A93F62">
      <w:pPr>
        <w:pStyle w:val="Bullet1GC"/>
        <w:numPr>
          <w:ilvl w:val="0"/>
          <w:numId w:val="14"/>
        </w:numPr>
        <w:rPr>
          <w:snapToGrid/>
          <w:lang w:val="en-GB"/>
        </w:rPr>
      </w:pPr>
      <w:r>
        <w:rPr>
          <w:snapToGrid/>
          <w:lang w:val="en-GB"/>
        </w:rPr>
        <w:t>发展信息基础；</w:t>
      </w:r>
    </w:p>
    <w:p w:rsidR="00A93F62" w:rsidRDefault="00A93F62">
      <w:pPr>
        <w:pStyle w:val="Bullet1GC"/>
        <w:numPr>
          <w:ilvl w:val="0"/>
          <w:numId w:val="14"/>
        </w:numPr>
        <w:rPr>
          <w:snapToGrid/>
          <w:lang w:val="en-GB"/>
        </w:rPr>
      </w:pPr>
      <w:r>
        <w:rPr>
          <w:snapToGrid/>
          <w:lang w:val="en-GB"/>
        </w:rPr>
        <w:t>提高公民责任意识，保护并促进自身与周围人的健康。</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232.</w:t>
      </w:r>
      <w:r>
        <w:rPr>
          <w:rFonts w:hint="eastAsia"/>
          <w:snapToGrid/>
          <w:szCs w:val="21"/>
          <w:lang w:val="en-GB"/>
        </w:rPr>
        <w:t xml:space="preserve">  </w:t>
      </w:r>
      <w:r>
        <w:rPr>
          <w:snapToGrid/>
          <w:szCs w:val="21"/>
          <w:lang w:val="en-GB"/>
        </w:rPr>
        <w:t>土库曼斯坦健康保护部办公室的工作包括：布置工作，保障国家的卫生流行病安全，对土库曼斯坦地区的卫生保护、自然资源合理利用、自然环境保护、生态安全等问题进行管理与协调</w:t>
      </w:r>
      <w:r>
        <w:rPr>
          <w:snapToGrid/>
          <w:szCs w:val="21"/>
          <w:lang w:val="en-GB"/>
        </w:rPr>
        <w:t>(</w:t>
      </w:r>
      <w:smartTag w:uri="urn:schemas-microsoft-com:office:smarttags" w:element="chsdate">
        <w:smartTagPr>
          <w:attr w:name="IsROCDate" w:val="False"/>
          <w:attr w:name="IsLunarDate" w:val="False"/>
          <w:attr w:name="Day" w:val="14"/>
          <w:attr w:name="Month" w:val="12"/>
          <w:attr w:name="Year" w:val="2002"/>
        </w:smartTagPr>
        <w:r>
          <w:rPr>
            <w:snapToGrid/>
            <w:szCs w:val="21"/>
            <w:lang w:val="en-GB"/>
          </w:rPr>
          <w:t>2002</w:t>
        </w:r>
        <w:r>
          <w:rPr>
            <w:snapToGrid/>
            <w:szCs w:val="21"/>
            <w:lang w:val="en-GB"/>
          </w:rPr>
          <w:t>年</w:t>
        </w:r>
        <w:r>
          <w:rPr>
            <w:snapToGrid/>
            <w:szCs w:val="21"/>
            <w:lang w:val="en-GB"/>
          </w:rPr>
          <w:t>12</w:t>
        </w:r>
        <w:r>
          <w:rPr>
            <w:snapToGrid/>
            <w:szCs w:val="21"/>
            <w:lang w:val="en-GB"/>
          </w:rPr>
          <w:t>月</w:t>
        </w:r>
        <w:r>
          <w:rPr>
            <w:snapToGrid/>
            <w:szCs w:val="21"/>
            <w:lang w:val="en-GB"/>
          </w:rPr>
          <w:t>14</w:t>
        </w:r>
        <w:r>
          <w:rPr>
            <w:snapToGrid/>
            <w:szCs w:val="21"/>
            <w:lang w:val="en-GB"/>
          </w:rPr>
          <w:t>日</w:t>
        </w:r>
      </w:smartTag>
      <w:r>
        <w:rPr>
          <w:snapToGrid/>
          <w:szCs w:val="21"/>
          <w:lang w:val="en-GB"/>
        </w:rPr>
        <w:t>颁布的《土库曼斯坦公民健康保护法》第</w:t>
      </w:r>
      <w:r>
        <w:rPr>
          <w:snapToGrid/>
          <w:szCs w:val="21"/>
          <w:lang w:val="en-GB"/>
        </w:rPr>
        <w:t>7</w:t>
      </w:r>
      <w:r>
        <w:rPr>
          <w:snapToGrid/>
          <w:szCs w:val="21"/>
          <w:lang w:val="en-GB"/>
        </w:rPr>
        <w:t>条</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233.</w:t>
      </w:r>
      <w:r>
        <w:rPr>
          <w:rFonts w:hint="eastAsia"/>
          <w:snapToGrid/>
          <w:szCs w:val="21"/>
          <w:lang w:val="en-GB"/>
        </w:rPr>
        <w:t xml:space="preserve">  </w:t>
      </w:r>
      <w:r>
        <w:rPr>
          <w:snapToGrid/>
          <w:szCs w:val="21"/>
          <w:lang w:val="en-GB"/>
        </w:rPr>
        <w:t>土库曼斯坦保健与医疗产业部负责保护公民健康：保障公民获得国家免费医疗权；落实措施，发展与巩固初级保健，完善疾病预防系统；所属保健机关、科研和临床机构、卫生防疫机构、医疗产业的高等院校与企业，进行组织和方法指导</w:t>
      </w:r>
      <w:r>
        <w:rPr>
          <w:snapToGrid/>
          <w:szCs w:val="21"/>
          <w:lang w:val="en-GB"/>
        </w:rPr>
        <w:t>(</w:t>
      </w:r>
      <w:smartTag w:uri="urn:schemas-microsoft-com:office:smarttags" w:element="chsdate">
        <w:smartTagPr>
          <w:attr w:name="IsROCDate" w:val="False"/>
          <w:attr w:name="IsLunarDate" w:val="False"/>
          <w:attr w:name="Day" w:val="14"/>
          <w:attr w:name="Month" w:val="12"/>
          <w:attr w:name="Year" w:val="2002"/>
        </w:smartTagPr>
        <w:r>
          <w:rPr>
            <w:snapToGrid/>
            <w:szCs w:val="21"/>
            <w:lang w:val="en-GB"/>
          </w:rPr>
          <w:t>2002</w:t>
        </w:r>
        <w:r>
          <w:rPr>
            <w:snapToGrid/>
            <w:szCs w:val="21"/>
            <w:lang w:val="en-GB"/>
          </w:rPr>
          <w:t>年</w:t>
        </w:r>
        <w:r>
          <w:rPr>
            <w:snapToGrid/>
            <w:szCs w:val="21"/>
            <w:lang w:val="en-GB"/>
          </w:rPr>
          <w:t>12</w:t>
        </w:r>
        <w:r>
          <w:rPr>
            <w:snapToGrid/>
            <w:szCs w:val="21"/>
            <w:lang w:val="en-GB"/>
          </w:rPr>
          <w:t>月</w:t>
        </w:r>
        <w:r>
          <w:rPr>
            <w:snapToGrid/>
            <w:szCs w:val="21"/>
            <w:lang w:val="en-GB"/>
          </w:rPr>
          <w:t>14</w:t>
        </w:r>
        <w:r>
          <w:rPr>
            <w:snapToGrid/>
            <w:szCs w:val="21"/>
            <w:lang w:val="en-GB"/>
          </w:rPr>
          <w:t>日</w:t>
        </w:r>
      </w:smartTag>
      <w:r>
        <w:rPr>
          <w:snapToGrid/>
          <w:szCs w:val="21"/>
          <w:lang w:val="en-GB"/>
        </w:rPr>
        <w:t>颁布的《土库曼斯坦公民健康保护法》第</w:t>
      </w:r>
      <w:r>
        <w:rPr>
          <w:snapToGrid/>
          <w:szCs w:val="21"/>
          <w:lang w:val="en-GB"/>
        </w:rPr>
        <w:t>8</w:t>
      </w:r>
      <w:r>
        <w:rPr>
          <w:snapToGrid/>
          <w:szCs w:val="21"/>
          <w:lang w:val="en-GB"/>
        </w:rPr>
        <w:t>条</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234.</w:t>
      </w:r>
      <w:r>
        <w:rPr>
          <w:rFonts w:hint="eastAsia"/>
          <w:snapToGrid/>
          <w:szCs w:val="21"/>
          <w:lang w:val="en-GB"/>
        </w:rPr>
        <w:t xml:space="preserve">  </w:t>
      </w:r>
      <w:r>
        <w:rPr>
          <w:snapToGrid/>
          <w:szCs w:val="21"/>
          <w:lang w:val="en-GB"/>
        </w:rPr>
        <w:t>根据《土库曼斯坦公民健康保护法》第</w:t>
      </w:r>
      <w:r>
        <w:rPr>
          <w:snapToGrid/>
          <w:szCs w:val="21"/>
          <w:lang w:val="en-GB"/>
        </w:rPr>
        <w:t>38</w:t>
      </w:r>
      <w:r>
        <w:rPr>
          <w:snapToGrid/>
          <w:szCs w:val="21"/>
          <w:lang w:val="en-GB"/>
        </w:rPr>
        <w:t>条，在生病、失去劳动能力和其它情况下，向公民提供医疗社会援助，包括预防、医疗诊断、康复、修复整形服务。采取社会措施，以发放临时失去劳动能力津贴和伤残津贴的形式，照顾病人、失去劳动能力的人和残疾人。国家和个体保健机关，向医务工作者和其他劳动者提供医疗社会援助。根据《土库曼斯坦公民健康保护法》第</w:t>
      </w:r>
      <w:r>
        <w:rPr>
          <w:snapToGrid/>
          <w:szCs w:val="21"/>
          <w:lang w:val="en-GB"/>
        </w:rPr>
        <w:t>47-51</w:t>
      </w:r>
      <w:r>
        <w:rPr>
          <w:snapToGrid/>
          <w:szCs w:val="21"/>
          <w:lang w:val="en-GB"/>
        </w:rPr>
        <w:t>条，公民有权利申请，在专业医疗机构进行可以是独立的医疗鉴定。从事体育运动的未成年人、大学生、残疾人和退休人员，有权进行免费体检。根据土库曼斯坦法律，卫国战争参加者、同样贡献的人士享受医疗社会援助时，可以得到优惠。优先保障药物、医疗产品和其它医疗社会援助的疾病种类与公民范畴，以及相应保障方式，由土库曼斯坦部长内阁批准。</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235.</w:t>
      </w:r>
      <w:r>
        <w:rPr>
          <w:rFonts w:hint="eastAsia"/>
          <w:snapToGrid/>
          <w:szCs w:val="21"/>
          <w:lang w:val="en-GB"/>
        </w:rPr>
        <w:t xml:space="preserve">  </w:t>
      </w:r>
      <w:r>
        <w:rPr>
          <w:snapToGrid/>
          <w:szCs w:val="21"/>
          <w:lang w:val="en-GB"/>
        </w:rPr>
        <w:t>根据</w:t>
      </w:r>
      <w:smartTag w:uri="urn:schemas-microsoft-com:office:smarttags" w:element="chsdate">
        <w:smartTagPr>
          <w:attr w:name="IsROCDate" w:val="False"/>
          <w:attr w:name="IsLunarDate" w:val="False"/>
          <w:attr w:name="Day" w:val="1"/>
          <w:attr w:name="Month" w:val="10"/>
          <w:attr w:name="Year" w:val="1993"/>
        </w:smartTagPr>
        <w:r>
          <w:rPr>
            <w:snapToGrid/>
            <w:szCs w:val="21"/>
            <w:lang w:val="en-GB"/>
          </w:rPr>
          <w:t>1993</w:t>
        </w:r>
        <w:r>
          <w:rPr>
            <w:snapToGrid/>
            <w:szCs w:val="21"/>
            <w:lang w:val="en-GB"/>
          </w:rPr>
          <w:t>年</w:t>
        </w:r>
        <w:r>
          <w:rPr>
            <w:snapToGrid/>
            <w:szCs w:val="21"/>
            <w:lang w:val="en-GB"/>
          </w:rPr>
          <w:t>10</w:t>
        </w:r>
        <w:r>
          <w:rPr>
            <w:snapToGrid/>
            <w:szCs w:val="21"/>
            <w:lang w:val="en-GB"/>
          </w:rPr>
          <w:t>月</w:t>
        </w:r>
        <w:r>
          <w:rPr>
            <w:snapToGrid/>
            <w:szCs w:val="21"/>
            <w:lang w:val="en-GB"/>
          </w:rPr>
          <w:t>1</w:t>
        </w:r>
        <w:r>
          <w:rPr>
            <w:snapToGrid/>
            <w:szCs w:val="21"/>
            <w:lang w:val="en-GB"/>
          </w:rPr>
          <w:t>日</w:t>
        </w:r>
      </w:smartTag>
      <w:r>
        <w:rPr>
          <w:snapToGrid/>
          <w:szCs w:val="21"/>
          <w:lang w:val="en-GB"/>
        </w:rPr>
        <w:t>颁布的《土库曼斯坦精神病治疗法》第</w:t>
      </w:r>
      <w:r>
        <w:rPr>
          <w:snapToGrid/>
          <w:szCs w:val="21"/>
          <w:lang w:val="en-GB"/>
        </w:rPr>
        <w:t>1</w:t>
      </w:r>
      <w:r>
        <w:rPr>
          <w:snapToGrid/>
          <w:szCs w:val="21"/>
          <w:lang w:val="en-GB"/>
        </w:rPr>
        <w:t>条规定，国家保障向精神失常患者提供精神病治疗，并在法律、人道和维护人权的原则基础上实施救治。</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236.</w:t>
      </w:r>
      <w:r>
        <w:rPr>
          <w:rFonts w:hint="eastAsia"/>
          <w:snapToGrid/>
          <w:szCs w:val="21"/>
          <w:lang w:val="en-GB"/>
        </w:rPr>
        <w:t xml:space="preserve">  </w:t>
      </w:r>
      <w:r>
        <w:rPr>
          <w:snapToGrid/>
          <w:szCs w:val="21"/>
          <w:lang w:val="en-GB"/>
        </w:rPr>
        <w:t>根据法律，国家建立了严谨的国家医疗体系，向各类居民提供医疗服务。并且十分关注怀孕、分娩、孩子未满</w:t>
      </w:r>
      <w:r>
        <w:rPr>
          <w:snapToGrid/>
          <w:szCs w:val="21"/>
          <w:lang w:val="en-GB"/>
        </w:rPr>
        <w:t>14</w:t>
      </w:r>
      <w:r>
        <w:rPr>
          <w:snapToGrid/>
          <w:szCs w:val="21"/>
          <w:lang w:val="en-GB"/>
        </w:rPr>
        <w:t>岁妇女，其他妇女，以及最弱小群体</w:t>
      </w:r>
      <w:r>
        <w:rPr>
          <w:rFonts w:hint="eastAsia"/>
          <w:snapToGrid/>
          <w:spacing w:val="-50"/>
          <w:szCs w:val="21"/>
          <w:lang w:val="en-GB"/>
        </w:rPr>
        <w:t>―</w:t>
      </w:r>
      <w:r>
        <w:rPr>
          <w:rFonts w:hint="eastAsia"/>
          <w:snapToGrid/>
          <w:szCs w:val="21"/>
          <w:lang w:val="en-GB"/>
        </w:rPr>
        <w:t>―</w:t>
      </w:r>
      <w:r>
        <w:rPr>
          <w:snapToGrid/>
          <w:szCs w:val="21"/>
          <w:lang w:val="en-GB"/>
        </w:rPr>
        <w:t>上年纪的人与残疾人。</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237.</w:t>
      </w:r>
      <w:r>
        <w:rPr>
          <w:rFonts w:hint="eastAsia"/>
          <w:snapToGrid/>
          <w:szCs w:val="21"/>
          <w:lang w:val="en-GB"/>
        </w:rPr>
        <w:t xml:space="preserve">  </w:t>
      </w:r>
      <w:r>
        <w:rPr>
          <w:snapToGrid/>
          <w:szCs w:val="21"/>
          <w:lang w:val="en-GB"/>
        </w:rPr>
        <w:t>雇主应向劳动者提供健康安全的劳动条件，采用新设施与工艺，遵守卫生保健的标准与劳动保护的要求。土库曼斯坦法律</w:t>
      </w:r>
      <w:r>
        <w:rPr>
          <w:snapToGrid/>
          <w:szCs w:val="21"/>
          <w:lang w:val="en-GB"/>
        </w:rPr>
        <w:t>(</w:t>
      </w:r>
      <w:r>
        <w:rPr>
          <w:snapToGrid/>
          <w:szCs w:val="21"/>
          <w:lang w:val="en-GB"/>
        </w:rPr>
        <w:t>《土库曼斯坦劳动法典》第</w:t>
      </w:r>
      <w:r>
        <w:rPr>
          <w:snapToGrid/>
          <w:szCs w:val="21"/>
          <w:lang w:val="en-GB"/>
        </w:rPr>
        <w:t>144</w:t>
      </w:r>
      <w:r>
        <w:rPr>
          <w:snapToGrid/>
          <w:szCs w:val="21"/>
          <w:lang w:val="en-GB"/>
        </w:rPr>
        <w:t>条</w:t>
      </w:r>
      <w:r>
        <w:rPr>
          <w:snapToGrid/>
          <w:szCs w:val="21"/>
          <w:lang w:val="en-GB"/>
        </w:rPr>
        <w:t>)</w:t>
      </w:r>
      <w:r>
        <w:rPr>
          <w:snapToGrid/>
          <w:szCs w:val="21"/>
          <w:lang w:val="en-GB"/>
        </w:rPr>
        <w:t>负责协调劳动保护问题。</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238.</w:t>
      </w:r>
      <w:r>
        <w:rPr>
          <w:rFonts w:hint="eastAsia"/>
          <w:snapToGrid/>
          <w:szCs w:val="21"/>
          <w:lang w:val="en-GB"/>
        </w:rPr>
        <w:t xml:space="preserve">  </w:t>
      </w:r>
      <w:r>
        <w:rPr>
          <w:snapToGrid/>
          <w:szCs w:val="21"/>
          <w:lang w:val="en-GB"/>
        </w:rPr>
        <w:t>根据</w:t>
      </w:r>
      <w:smartTag w:uri="urn:schemas-microsoft-com:office:smarttags" w:element="chsdate">
        <w:smartTagPr>
          <w:attr w:name="IsROCDate" w:val="False"/>
          <w:attr w:name="IsLunarDate" w:val="False"/>
          <w:attr w:name="Day" w:val="1"/>
          <w:attr w:name="Month" w:val="10"/>
          <w:attr w:name="Year" w:val="1993"/>
        </w:smartTagPr>
        <w:r>
          <w:rPr>
            <w:snapToGrid/>
            <w:szCs w:val="21"/>
            <w:lang w:val="en-GB"/>
          </w:rPr>
          <w:t>1993</w:t>
        </w:r>
        <w:r>
          <w:rPr>
            <w:snapToGrid/>
            <w:szCs w:val="21"/>
            <w:lang w:val="en-GB"/>
          </w:rPr>
          <w:t>年</w:t>
        </w:r>
        <w:r>
          <w:rPr>
            <w:snapToGrid/>
            <w:szCs w:val="21"/>
            <w:lang w:val="en-GB"/>
          </w:rPr>
          <w:t>10</w:t>
        </w:r>
        <w:r>
          <w:rPr>
            <w:snapToGrid/>
            <w:szCs w:val="21"/>
            <w:lang w:val="en-GB"/>
          </w:rPr>
          <w:t>月</w:t>
        </w:r>
        <w:r>
          <w:rPr>
            <w:snapToGrid/>
            <w:szCs w:val="21"/>
            <w:lang w:val="en-GB"/>
          </w:rPr>
          <w:t>1</w:t>
        </w:r>
        <w:r>
          <w:rPr>
            <w:snapToGrid/>
            <w:szCs w:val="21"/>
            <w:lang w:val="en-GB"/>
          </w:rPr>
          <w:t>日</w:t>
        </w:r>
      </w:smartTag>
      <w:r>
        <w:rPr>
          <w:snapToGrid/>
          <w:szCs w:val="21"/>
          <w:lang w:val="en-GB"/>
        </w:rPr>
        <w:t>颁布的《土库曼斯坦劳动保护法》第</w:t>
      </w:r>
      <w:r>
        <w:rPr>
          <w:snapToGrid/>
          <w:szCs w:val="21"/>
          <w:lang w:val="en-GB"/>
        </w:rPr>
        <w:t>16</w:t>
      </w:r>
      <w:r>
        <w:rPr>
          <w:snapToGrid/>
          <w:szCs w:val="21"/>
          <w:lang w:val="en-GB"/>
        </w:rPr>
        <w:t>条规定，劳动者有以下权利：</w:t>
      </w:r>
    </w:p>
    <w:p w:rsidR="00A93F62" w:rsidRDefault="00A93F62">
      <w:pPr>
        <w:pStyle w:val="Bullet1GC"/>
        <w:numPr>
          <w:ilvl w:val="0"/>
          <w:numId w:val="14"/>
        </w:numPr>
        <w:rPr>
          <w:snapToGrid/>
          <w:lang w:val="en-GB"/>
        </w:rPr>
      </w:pPr>
      <w:r>
        <w:rPr>
          <w:snapToGrid/>
          <w:lang w:val="en-GB"/>
        </w:rPr>
        <w:t>劳动岗位权，该岗位在定额允许范围内，使劳动者免受有害或危险生产因素的侵害，避免工伤、职业病和劳动能力降低；</w:t>
      </w:r>
    </w:p>
    <w:p w:rsidR="00A93F62" w:rsidRDefault="00A93F62">
      <w:pPr>
        <w:pStyle w:val="Bullet1GC"/>
        <w:numPr>
          <w:ilvl w:val="0"/>
          <w:numId w:val="14"/>
        </w:numPr>
        <w:rPr>
          <w:snapToGrid/>
          <w:lang w:val="en-GB"/>
        </w:rPr>
      </w:pPr>
      <w:r>
        <w:rPr>
          <w:snapToGrid/>
          <w:lang w:val="en-GB"/>
        </w:rPr>
        <w:t>由管理者</w:t>
      </w:r>
      <w:r>
        <w:rPr>
          <w:snapToGrid/>
          <w:lang w:val="en-GB"/>
        </w:rPr>
        <w:t>(</w:t>
      </w:r>
      <w:r>
        <w:rPr>
          <w:snapToGrid/>
          <w:lang w:val="en-GB"/>
        </w:rPr>
        <w:t>雇主</w:t>
      </w:r>
      <w:r>
        <w:rPr>
          <w:snapToGrid/>
          <w:lang w:val="en-GB"/>
        </w:rPr>
        <w:t>)</w:t>
      </w:r>
      <w:r>
        <w:rPr>
          <w:snapToGrid/>
          <w:lang w:val="en-GB"/>
        </w:rPr>
        <w:t>提供的劳动保护设施保障权；</w:t>
      </w:r>
    </w:p>
    <w:p w:rsidR="00A93F62" w:rsidRDefault="00A93F62">
      <w:pPr>
        <w:pStyle w:val="Bullet1GC"/>
        <w:numPr>
          <w:ilvl w:val="0"/>
          <w:numId w:val="14"/>
        </w:numPr>
        <w:rPr>
          <w:snapToGrid/>
          <w:lang w:val="en-GB"/>
        </w:rPr>
      </w:pPr>
      <w:r>
        <w:rPr>
          <w:snapToGrid/>
          <w:lang w:val="en-GB"/>
        </w:rPr>
        <w:t>在危及劳动者生命与健康情况下，拒绝完成工作的权利。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239.</w:t>
      </w:r>
      <w:r>
        <w:rPr>
          <w:rFonts w:hint="eastAsia"/>
          <w:snapToGrid/>
          <w:szCs w:val="21"/>
          <w:lang w:val="en-GB"/>
        </w:rPr>
        <w:t xml:space="preserve">  </w:t>
      </w:r>
      <w:r>
        <w:rPr>
          <w:snapToGrid/>
          <w:szCs w:val="21"/>
          <w:lang w:val="en-GB"/>
        </w:rPr>
        <w:t>根据《土库曼斯坦公民健康保护法》第</w:t>
      </w:r>
      <w:r>
        <w:rPr>
          <w:snapToGrid/>
          <w:szCs w:val="21"/>
          <w:lang w:val="en-GB"/>
        </w:rPr>
        <w:t>24</w:t>
      </w:r>
      <w:r>
        <w:rPr>
          <w:snapToGrid/>
          <w:szCs w:val="21"/>
          <w:lang w:val="en-GB"/>
        </w:rPr>
        <w:t>条规定，遇到紧急情况的居民，有权得到免费帮助和恢复治疗，接受卫生和防疫措施保护，以抑制紧急情况后果，并降低其生命和健康风险。根据土库曼斯坦标准法令，居住在生态条件较差地区的公民，都享有土库曼斯坦内阁规定的权利与优惠。国家对尽职抢救他人、国家与社会财产，以及在紧急情况下提供医疗救助时受伤的公民，提供免费治疗，包括土库曼斯坦法律规定的各种医疗康复。</w:t>
      </w:r>
      <w:r>
        <w:rPr>
          <w:snapToGrid/>
          <w:szCs w:val="21"/>
          <w:lang w:val="en-GB"/>
        </w:rPr>
        <w:t xml:space="preserve"> </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240.</w:t>
      </w:r>
      <w:r>
        <w:rPr>
          <w:rFonts w:hint="eastAsia"/>
          <w:snapToGrid/>
          <w:szCs w:val="21"/>
          <w:lang w:val="en-GB"/>
        </w:rPr>
        <w:t xml:space="preserve">  </w:t>
      </w:r>
      <w:r>
        <w:rPr>
          <w:snapToGrid/>
          <w:szCs w:val="21"/>
          <w:lang w:val="en-GB"/>
        </w:rPr>
        <w:t>让所有人都健康的主要因素是由从前以在医院治疗为主转变为提供最初的医疗帮助为主。提供最初的医疗帮助的主要一个方面是实施居民家庭服务的原则。从</w:t>
      </w:r>
      <w:r>
        <w:rPr>
          <w:snapToGrid/>
          <w:szCs w:val="21"/>
          <w:lang w:val="en-GB"/>
        </w:rPr>
        <w:t>1996</w:t>
      </w:r>
      <w:r>
        <w:rPr>
          <w:snapToGrid/>
          <w:szCs w:val="21"/>
          <w:lang w:val="en-GB"/>
        </w:rPr>
        <w:t>年接受国际卫生组织的观念起就开始实施居民家庭服务的原则。关于居民家庭服务的原则还制定并落实法律条文。</w:t>
      </w:r>
    </w:p>
    <w:p w:rsidR="00A93F62" w:rsidRDefault="00A93F62">
      <w:pPr>
        <w:tabs>
          <w:tab w:val="clear" w:pos="431"/>
        </w:tabs>
        <w:suppressAutoHyphens/>
        <w:overflowPunct/>
        <w:adjustRightInd/>
        <w:snapToGrid/>
        <w:spacing w:after="120" w:line="320" w:lineRule="atLeast"/>
        <w:ind w:left="1134" w:right="1134"/>
        <w:rPr>
          <w:snapToGrid/>
          <w:spacing w:val="-4"/>
          <w:szCs w:val="21"/>
          <w:lang w:val="en-GB"/>
        </w:rPr>
      </w:pPr>
      <w:r>
        <w:rPr>
          <w:snapToGrid/>
          <w:szCs w:val="21"/>
          <w:lang w:val="en-GB"/>
        </w:rPr>
        <w:t>241.</w:t>
      </w:r>
      <w:r>
        <w:rPr>
          <w:rFonts w:hint="eastAsia"/>
          <w:snapToGrid/>
          <w:szCs w:val="21"/>
          <w:lang w:val="en-GB"/>
        </w:rPr>
        <w:t xml:space="preserve">  </w:t>
      </w:r>
      <w:r>
        <w:rPr>
          <w:snapToGrid/>
          <w:spacing w:val="-4"/>
          <w:szCs w:val="21"/>
          <w:lang w:val="en-GB"/>
        </w:rPr>
        <w:t>初级医疗服务包括：就重要保健问题及其预防方法进行宣传；协助供应食品，合理饮食，供水合格，采取基本的卫生措施，保护妇女儿童健康，包括计划生育、主要传染病的免疫接种、防治地方病、治疗常见病与损伤、保障主要药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242.</w:t>
      </w:r>
      <w:r>
        <w:rPr>
          <w:rFonts w:hint="eastAsia"/>
          <w:snapToGrid/>
          <w:szCs w:val="21"/>
          <w:lang w:val="en-GB"/>
        </w:rPr>
        <w:t xml:space="preserve">  </w:t>
      </w:r>
      <w:r>
        <w:rPr>
          <w:snapToGrid/>
          <w:szCs w:val="21"/>
          <w:lang w:val="en-GB"/>
        </w:rPr>
        <w:t>家庭医生的主要职能是</w:t>
      </w:r>
      <w:r>
        <w:rPr>
          <w:rFonts w:hint="eastAsia"/>
          <w:snapToGrid/>
          <w:spacing w:val="-50"/>
          <w:szCs w:val="21"/>
          <w:lang w:val="en-GB"/>
        </w:rPr>
        <w:t>―</w:t>
      </w:r>
      <w:r>
        <w:rPr>
          <w:rFonts w:hint="eastAsia"/>
          <w:snapToGrid/>
          <w:szCs w:val="21"/>
          <w:lang w:val="en-GB"/>
        </w:rPr>
        <w:t>―</w:t>
      </w:r>
      <w:r>
        <w:rPr>
          <w:snapToGrid/>
          <w:szCs w:val="21"/>
          <w:lang w:val="en-GB"/>
        </w:rPr>
        <w:t>保护健康，预防疾病，向指定地区居民提供合格的初级医疗服务。在土库曼斯坦国立医学院有一家庭医学教研室。在医疗专业和卫生机构医生职务的名称表上都有家庭医生这一岗位。</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243. </w:t>
      </w:r>
      <w:r>
        <w:rPr>
          <w:rFonts w:hint="eastAsia"/>
          <w:snapToGrid/>
          <w:szCs w:val="21"/>
          <w:lang w:val="en-GB"/>
        </w:rPr>
        <w:t xml:space="preserve"> </w:t>
      </w:r>
      <w:r>
        <w:rPr>
          <w:snapToGrid/>
          <w:szCs w:val="21"/>
          <w:lang w:val="en-GB"/>
        </w:rPr>
        <w:t>2006</w:t>
      </w:r>
      <w:r>
        <w:rPr>
          <w:snapToGrid/>
          <w:szCs w:val="21"/>
          <w:lang w:val="en-GB"/>
        </w:rPr>
        <w:t>年国内的总死亡率为每</w:t>
      </w:r>
      <w:r>
        <w:rPr>
          <w:snapToGrid/>
          <w:szCs w:val="21"/>
          <w:lang w:val="en-GB"/>
        </w:rPr>
        <w:t>1 000</w:t>
      </w:r>
      <w:r>
        <w:rPr>
          <w:snapToGrid/>
          <w:szCs w:val="21"/>
          <w:lang w:val="en-GB"/>
        </w:rPr>
        <w:t>人占</w:t>
      </w:r>
      <w:r>
        <w:rPr>
          <w:snapToGrid/>
          <w:szCs w:val="21"/>
          <w:lang w:val="en-GB"/>
        </w:rPr>
        <w:t>5.5%</w:t>
      </w:r>
      <w:r>
        <w:rPr>
          <w:snapToGrid/>
          <w:szCs w:val="21"/>
          <w:lang w:val="en-GB"/>
        </w:rPr>
        <w:t>，而这个数据在</w:t>
      </w:r>
      <w:r>
        <w:rPr>
          <w:snapToGrid/>
          <w:szCs w:val="21"/>
          <w:lang w:val="en-GB"/>
        </w:rPr>
        <w:t>1995</w:t>
      </w:r>
      <w:r>
        <w:rPr>
          <w:snapToGrid/>
          <w:szCs w:val="21"/>
          <w:lang w:val="en-GB"/>
        </w:rPr>
        <w:t>年时为</w:t>
      </w:r>
      <w:r>
        <w:rPr>
          <w:snapToGrid/>
          <w:szCs w:val="21"/>
          <w:lang w:val="en-GB"/>
        </w:rPr>
        <w:t>7.0%</w:t>
      </w:r>
      <w:r>
        <w:rPr>
          <w:snapToGrid/>
          <w:szCs w:val="21"/>
          <w:lang w:val="en-GB"/>
        </w:rPr>
        <w:t>。根据土库曼斯坦卫生与医疗工业部的统计数据，自</w:t>
      </w:r>
      <w:r>
        <w:rPr>
          <w:snapToGrid/>
          <w:szCs w:val="21"/>
          <w:lang w:val="en-GB"/>
        </w:rPr>
        <w:t>1995</w:t>
      </w:r>
      <w:r>
        <w:rPr>
          <w:snapToGrid/>
          <w:szCs w:val="21"/>
          <w:lang w:val="en-GB"/>
        </w:rPr>
        <w:t>至</w:t>
      </w:r>
      <w:r>
        <w:rPr>
          <w:snapToGrid/>
          <w:szCs w:val="21"/>
          <w:lang w:val="en-GB"/>
        </w:rPr>
        <w:t>2005</w:t>
      </w:r>
      <w:r>
        <w:rPr>
          <w:snapToGrid/>
          <w:szCs w:val="21"/>
          <w:lang w:val="en-GB"/>
        </w:rPr>
        <w:t>年间母亲的死亡率下降了</w:t>
      </w:r>
      <w:r>
        <w:rPr>
          <w:snapToGrid/>
          <w:szCs w:val="21"/>
          <w:lang w:val="en-GB"/>
        </w:rPr>
        <w:t>60%</w:t>
      </w:r>
      <w:r>
        <w:rPr>
          <w:snapToGrid/>
          <w:szCs w:val="21"/>
          <w:lang w:val="en-GB"/>
        </w:rPr>
        <w:t>。男性居民和女性居民平均寿命呈增长趋势。</w:t>
      </w:r>
      <w:r>
        <w:rPr>
          <w:snapToGrid/>
          <w:szCs w:val="21"/>
          <w:lang w:val="en-GB"/>
        </w:rPr>
        <w:t>2006</w:t>
      </w:r>
      <w:r>
        <w:rPr>
          <w:snapToGrid/>
          <w:szCs w:val="21"/>
          <w:lang w:val="en-GB"/>
        </w:rPr>
        <w:t>年，女性平均寿命为</w:t>
      </w:r>
      <w:r>
        <w:rPr>
          <w:snapToGrid/>
          <w:szCs w:val="21"/>
          <w:lang w:val="en-GB"/>
        </w:rPr>
        <w:t>72.9</w:t>
      </w:r>
      <w:r>
        <w:rPr>
          <w:snapToGrid/>
          <w:szCs w:val="21"/>
          <w:lang w:val="en-GB"/>
        </w:rPr>
        <w:t>岁，男性为</w:t>
      </w:r>
      <w:r>
        <w:rPr>
          <w:snapToGrid/>
          <w:szCs w:val="21"/>
          <w:lang w:val="en-GB"/>
        </w:rPr>
        <w:t>66.2</w:t>
      </w:r>
      <w:r>
        <w:rPr>
          <w:snapToGrid/>
          <w:szCs w:val="21"/>
          <w:lang w:val="en-GB"/>
        </w:rPr>
        <w:t>岁。</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244. </w:t>
      </w:r>
      <w:r>
        <w:rPr>
          <w:rFonts w:hint="eastAsia"/>
          <w:snapToGrid/>
          <w:szCs w:val="21"/>
          <w:lang w:val="en-GB"/>
        </w:rPr>
        <w:t xml:space="preserve"> </w:t>
      </w:r>
      <w:r>
        <w:rPr>
          <w:snapToGrid/>
          <w:szCs w:val="21"/>
          <w:lang w:val="en-GB"/>
        </w:rPr>
        <w:t>为了改善育龄妇女和她们子女的健康，采取现代化方法对孕妇、产妇、新生儿进行监护，土库曼斯坦卫生部还根据世界卫生组织的建议制定了《</w:t>
      </w:r>
      <w:r>
        <w:rPr>
          <w:snapToGrid/>
          <w:szCs w:val="21"/>
          <w:lang w:val="en-GB"/>
        </w:rPr>
        <w:t>2007-2011</w:t>
      </w:r>
      <w:r>
        <w:rPr>
          <w:snapToGrid/>
          <w:szCs w:val="21"/>
          <w:lang w:val="en-GB"/>
        </w:rPr>
        <w:t>年保护妇女妊娠、分娩和哺乳时期安全的国家纲要》。</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245.</w:t>
      </w:r>
      <w:r>
        <w:rPr>
          <w:rFonts w:hint="eastAsia"/>
          <w:snapToGrid/>
          <w:szCs w:val="21"/>
          <w:lang w:val="en-GB"/>
        </w:rPr>
        <w:t xml:space="preserve">  </w:t>
      </w:r>
      <w:r>
        <w:rPr>
          <w:snapToGrid/>
          <w:szCs w:val="21"/>
          <w:lang w:val="en-GB"/>
        </w:rPr>
        <w:t>儿童事业的进步是整个民族发展的关键。儿童的护理、培育和保护，是人类社会未来发展的必需条件。</w:t>
      </w:r>
      <w:smartTag w:uri="urn:schemas-microsoft-com:office:smarttags" w:element="chsdate">
        <w:smartTagPr>
          <w:attr w:name="IsROCDate" w:val="False"/>
          <w:attr w:name="IsLunarDate" w:val="False"/>
          <w:attr w:name="Day" w:val="28"/>
          <w:attr w:name="Month" w:val="12"/>
          <w:attr w:name="Year" w:val="1993"/>
        </w:smartTagPr>
        <w:r>
          <w:rPr>
            <w:snapToGrid/>
            <w:szCs w:val="21"/>
            <w:lang w:val="en-GB"/>
          </w:rPr>
          <w:t>1993</w:t>
        </w:r>
        <w:r>
          <w:rPr>
            <w:snapToGrid/>
            <w:szCs w:val="21"/>
            <w:lang w:val="en-GB"/>
          </w:rPr>
          <w:t>年</w:t>
        </w:r>
        <w:r>
          <w:rPr>
            <w:snapToGrid/>
            <w:szCs w:val="21"/>
            <w:lang w:val="en-GB"/>
          </w:rPr>
          <w:t>12</w:t>
        </w:r>
        <w:r>
          <w:rPr>
            <w:snapToGrid/>
            <w:szCs w:val="21"/>
            <w:lang w:val="en-GB"/>
          </w:rPr>
          <w:t>月</w:t>
        </w:r>
        <w:r>
          <w:rPr>
            <w:snapToGrid/>
            <w:szCs w:val="21"/>
            <w:lang w:val="en-GB"/>
          </w:rPr>
          <w:t>28</w:t>
        </w:r>
        <w:r>
          <w:rPr>
            <w:snapToGrid/>
            <w:szCs w:val="21"/>
            <w:lang w:val="en-GB"/>
          </w:rPr>
          <w:t>日</w:t>
        </w:r>
      </w:smartTag>
      <w:r>
        <w:rPr>
          <w:snapToGrid/>
          <w:szCs w:val="21"/>
          <w:lang w:val="en-GB"/>
        </w:rPr>
        <w:t>，土库曼斯坦加入《儿童生存、保护和发展世界宣言》，并于</w:t>
      </w:r>
      <w:smartTag w:uri="urn:schemas-microsoft-com:office:smarttags" w:element="chsdate">
        <w:smartTagPr>
          <w:attr w:name="IsROCDate" w:val="False"/>
          <w:attr w:name="IsLunarDate" w:val="False"/>
          <w:attr w:name="Day" w:val="23"/>
          <w:attr w:name="Month" w:val="9"/>
          <w:attr w:name="Year" w:val="1994"/>
        </w:smartTagPr>
        <w:r>
          <w:rPr>
            <w:snapToGrid/>
            <w:szCs w:val="21"/>
            <w:lang w:val="en-GB"/>
          </w:rPr>
          <w:t>1994</w:t>
        </w:r>
        <w:r>
          <w:rPr>
            <w:snapToGrid/>
            <w:szCs w:val="21"/>
            <w:lang w:val="en-GB"/>
          </w:rPr>
          <w:t>年</w:t>
        </w:r>
        <w:r>
          <w:rPr>
            <w:snapToGrid/>
            <w:szCs w:val="21"/>
            <w:lang w:val="en-GB"/>
          </w:rPr>
          <w:t>9</w:t>
        </w:r>
        <w:r>
          <w:rPr>
            <w:snapToGrid/>
            <w:szCs w:val="21"/>
            <w:lang w:val="en-GB"/>
          </w:rPr>
          <w:t>月</w:t>
        </w:r>
        <w:r>
          <w:rPr>
            <w:snapToGrid/>
            <w:szCs w:val="21"/>
            <w:lang w:val="en-GB"/>
          </w:rPr>
          <w:t>23</w:t>
        </w:r>
        <w:r>
          <w:rPr>
            <w:snapToGrid/>
            <w:szCs w:val="21"/>
            <w:lang w:val="en-GB"/>
          </w:rPr>
          <w:t>日</w:t>
        </w:r>
      </w:smartTag>
      <w:r>
        <w:rPr>
          <w:snapToGrid/>
          <w:szCs w:val="21"/>
          <w:lang w:val="en-GB"/>
        </w:rPr>
        <w:t>加入《儿童权利公约》。</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246. </w:t>
      </w:r>
      <w:r>
        <w:rPr>
          <w:rFonts w:hint="eastAsia"/>
          <w:snapToGrid/>
          <w:szCs w:val="21"/>
          <w:lang w:val="en-GB"/>
        </w:rPr>
        <w:t xml:space="preserve"> </w:t>
      </w:r>
      <w:r>
        <w:rPr>
          <w:snapToGrid/>
          <w:szCs w:val="21"/>
          <w:lang w:val="en-GB"/>
        </w:rPr>
        <w:t>卫生改革和实施一系列纲要的结果是母婴的致病率和死亡率大大下降，对病人的照顾质量有所改善，提供的医疗服务大幅增加，国民整体患病率几乎下降了一半。</w:t>
      </w:r>
    </w:p>
    <w:p w:rsidR="00A93F62" w:rsidRDefault="00A93F62">
      <w:pPr>
        <w:tabs>
          <w:tab w:val="clear" w:pos="431"/>
        </w:tabs>
        <w:suppressAutoHyphens/>
        <w:overflowPunct/>
        <w:adjustRightInd/>
        <w:snapToGrid/>
        <w:spacing w:line="320" w:lineRule="atLeast"/>
        <w:ind w:left="1134" w:right="1134"/>
        <w:rPr>
          <w:rFonts w:hint="eastAsia"/>
          <w:snapToGrid/>
          <w:szCs w:val="21"/>
          <w:lang w:val="en-GB"/>
        </w:rPr>
      </w:pPr>
      <w:r>
        <w:rPr>
          <w:snapToGrid/>
          <w:szCs w:val="21"/>
          <w:lang w:val="en-GB"/>
        </w:rPr>
        <w:t>247.</w:t>
      </w:r>
      <w:r>
        <w:rPr>
          <w:rFonts w:hint="eastAsia"/>
          <w:snapToGrid/>
          <w:szCs w:val="21"/>
          <w:lang w:val="en-GB"/>
        </w:rPr>
        <w:t xml:space="preserve">  </w:t>
      </w:r>
      <w:r>
        <w:rPr>
          <w:snapToGrid/>
          <w:szCs w:val="21"/>
          <w:lang w:val="en-GB"/>
        </w:rPr>
        <w:t>0-14</w:t>
      </w:r>
      <w:r>
        <w:rPr>
          <w:snapToGrid/>
          <w:szCs w:val="21"/>
          <w:lang w:val="en-GB"/>
        </w:rPr>
        <w:t>岁儿童的发病率指标：</w:t>
      </w:r>
    </w:p>
    <w:p w:rsidR="00A93F62" w:rsidRDefault="00A93F62">
      <w:pPr>
        <w:tabs>
          <w:tab w:val="clear" w:pos="431"/>
        </w:tabs>
        <w:suppressAutoHyphens/>
        <w:overflowPunct/>
        <w:adjustRightInd/>
        <w:snapToGrid/>
        <w:spacing w:line="320" w:lineRule="atLeast"/>
        <w:ind w:left="1763" w:right="1134"/>
        <w:rPr>
          <w:snapToGrid/>
          <w:szCs w:val="21"/>
          <w:lang w:val="en-GB"/>
        </w:rPr>
      </w:pPr>
      <w:r>
        <w:rPr>
          <w:snapToGrid/>
          <w:szCs w:val="21"/>
          <w:lang w:val="en-GB"/>
        </w:rPr>
        <w:t>(</w:t>
      </w:r>
      <w:r>
        <w:rPr>
          <w:rFonts w:hAnsi="SimSun"/>
          <w:snapToGrid/>
          <w:szCs w:val="21"/>
          <w:lang w:val="en-GB"/>
        </w:rPr>
        <w:t>每</w:t>
      </w:r>
      <w:r>
        <w:rPr>
          <w:snapToGrid/>
          <w:szCs w:val="21"/>
          <w:lang w:val="en-GB"/>
        </w:rPr>
        <w:t>1 000</w:t>
      </w:r>
      <w:r>
        <w:rPr>
          <w:rFonts w:hAnsi="SimSun"/>
          <w:snapToGrid/>
          <w:szCs w:val="21"/>
          <w:lang w:val="en-GB"/>
        </w:rPr>
        <w:t>名</w:t>
      </w:r>
      <w:r>
        <w:rPr>
          <w:snapToGrid/>
          <w:szCs w:val="21"/>
          <w:lang w:val="en-GB"/>
        </w:rPr>
        <w:t>)</w:t>
      </w:r>
    </w:p>
    <w:tbl>
      <w:tblPr>
        <w:tblStyle w:val="TabNum"/>
        <w:tblW w:w="7350" w:type="dxa"/>
        <w:tblInd w:w="1128" w:type="dxa"/>
        <w:tblLayout w:type="fixed"/>
        <w:tblLook w:val="01E0" w:firstRow="1" w:lastRow="1" w:firstColumn="1" w:lastColumn="1" w:noHBand="0" w:noVBand="0"/>
      </w:tblPr>
      <w:tblGrid>
        <w:gridCol w:w="2200"/>
        <w:gridCol w:w="940"/>
        <w:gridCol w:w="842"/>
        <w:gridCol w:w="842"/>
        <w:gridCol w:w="842"/>
        <w:gridCol w:w="842"/>
        <w:gridCol w:w="842"/>
      </w:tblGrid>
      <w:tr w:rsidR="00A93F62" w:rsidRPr="00253C38">
        <w:trPr>
          <w:tblHeader/>
        </w:trPr>
        <w:tc>
          <w:tcPr>
            <w:cnfStyle w:val="001000000000" w:firstRow="0" w:lastRow="0" w:firstColumn="1" w:lastColumn="0" w:oddVBand="0" w:evenVBand="0" w:oddHBand="0" w:evenHBand="0" w:firstRowFirstColumn="0" w:firstRowLastColumn="0" w:lastRowFirstColumn="0" w:lastRowLastColumn="0"/>
            <w:tcW w:w="2200" w:type="dxa"/>
            <w:vMerge w:val="restart"/>
            <w:shd w:val="clear" w:color="auto" w:fill="auto"/>
          </w:tcPr>
          <w:p w:rsidR="00A93F62" w:rsidRPr="00253C38" w:rsidRDefault="00A93F62">
            <w:pPr>
              <w:tabs>
                <w:tab w:val="clear" w:pos="431"/>
              </w:tabs>
              <w:suppressAutoHyphens/>
              <w:overflowPunct/>
              <w:adjustRightInd/>
              <w:snapToGrid/>
              <w:spacing w:before="0" w:after="0" w:line="240" w:lineRule="atLeast"/>
              <w:rPr>
                <w:i/>
                <w:snapToGrid/>
                <w:sz w:val="18"/>
                <w:szCs w:val="18"/>
                <w:lang w:val="en-GB"/>
              </w:rPr>
            </w:pPr>
            <w:r w:rsidRPr="00253C38">
              <w:rPr>
                <w:rFonts w:eastAsia="KaiTi_GB2312"/>
                <w:snapToGrid/>
                <w:sz w:val="18"/>
                <w:szCs w:val="18"/>
                <w:lang w:val="en-GB"/>
              </w:rPr>
              <w:t>指标名称</w:t>
            </w:r>
          </w:p>
        </w:tc>
        <w:tc>
          <w:tcPr>
            <w:tcW w:w="5150" w:type="dxa"/>
            <w:gridSpan w:val="6"/>
            <w:tcBorders>
              <w:top w:val="single" w:sz="4" w:space="0" w:color="auto"/>
              <w:bottom w:val="nil"/>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253C38">
              <w:rPr>
                <w:rFonts w:eastAsia="KaiTi_GB2312"/>
                <w:snapToGrid/>
                <w:sz w:val="18"/>
                <w:szCs w:val="18"/>
                <w:lang w:val="en-GB"/>
              </w:rPr>
              <w:t>年</w:t>
            </w:r>
          </w:p>
        </w:tc>
      </w:tr>
      <w:tr w:rsidR="00A93F62" w:rsidRPr="00253C38">
        <w:trPr>
          <w:tblHeader/>
        </w:trPr>
        <w:tc>
          <w:tcPr>
            <w:cnfStyle w:val="001000000000" w:firstRow="0" w:lastRow="0" w:firstColumn="1" w:lastColumn="0" w:oddVBand="0" w:evenVBand="0" w:oddHBand="0" w:evenHBand="0" w:firstRowFirstColumn="0" w:firstRowLastColumn="0" w:lastRowFirstColumn="0" w:lastRowLastColumn="0"/>
            <w:tcW w:w="2200" w:type="dxa"/>
            <w:vMerge/>
            <w:tcBorders>
              <w:top w:val="nil"/>
              <w:bottom w:val="single" w:sz="12" w:space="0" w:color="auto"/>
            </w:tcBorders>
            <w:shd w:val="clear" w:color="auto" w:fill="auto"/>
          </w:tcPr>
          <w:p w:rsidR="00A93F62" w:rsidRPr="00253C38" w:rsidRDefault="00A93F62">
            <w:pPr>
              <w:tabs>
                <w:tab w:val="clear" w:pos="431"/>
              </w:tabs>
              <w:suppressAutoHyphens/>
              <w:overflowPunct/>
              <w:adjustRightInd/>
              <w:snapToGrid/>
              <w:spacing w:before="0" w:after="0" w:line="240" w:lineRule="atLeast"/>
              <w:rPr>
                <w:i/>
                <w:snapToGrid/>
                <w:sz w:val="18"/>
                <w:szCs w:val="18"/>
                <w:lang w:val="en-GB" w:eastAsia="en-US"/>
              </w:rPr>
            </w:pPr>
          </w:p>
        </w:tc>
        <w:tc>
          <w:tcPr>
            <w:tcW w:w="940" w:type="dxa"/>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i/>
                <w:snapToGrid/>
                <w:sz w:val="18"/>
                <w:szCs w:val="18"/>
                <w:lang w:val="en-GB" w:eastAsia="en-US"/>
              </w:rPr>
              <w:t>2002</w:t>
            </w:r>
          </w:p>
        </w:tc>
        <w:tc>
          <w:tcPr>
            <w:tcW w:w="842" w:type="dxa"/>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i/>
                <w:snapToGrid/>
                <w:sz w:val="18"/>
                <w:szCs w:val="18"/>
                <w:lang w:val="en-GB" w:eastAsia="en-US"/>
              </w:rPr>
              <w:t>2003</w:t>
            </w:r>
          </w:p>
        </w:tc>
        <w:tc>
          <w:tcPr>
            <w:tcW w:w="842" w:type="dxa"/>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i/>
                <w:snapToGrid/>
                <w:sz w:val="18"/>
                <w:szCs w:val="18"/>
                <w:lang w:val="en-GB" w:eastAsia="en-US"/>
              </w:rPr>
              <w:t>2004</w:t>
            </w:r>
          </w:p>
        </w:tc>
        <w:tc>
          <w:tcPr>
            <w:tcW w:w="842" w:type="dxa"/>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i/>
                <w:snapToGrid/>
                <w:sz w:val="18"/>
                <w:szCs w:val="18"/>
                <w:lang w:val="en-GB" w:eastAsia="en-US"/>
              </w:rPr>
              <w:t>2005</w:t>
            </w:r>
          </w:p>
        </w:tc>
        <w:tc>
          <w:tcPr>
            <w:tcW w:w="842" w:type="dxa"/>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i/>
                <w:snapToGrid/>
                <w:sz w:val="18"/>
                <w:szCs w:val="18"/>
                <w:lang w:val="en-GB" w:eastAsia="en-US"/>
              </w:rPr>
              <w:t>2006</w:t>
            </w:r>
          </w:p>
        </w:tc>
        <w:tc>
          <w:tcPr>
            <w:tcW w:w="842" w:type="dxa"/>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i/>
                <w:snapToGrid/>
                <w:sz w:val="18"/>
                <w:szCs w:val="18"/>
                <w:lang w:val="en-GB" w:eastAsia="en-US"/>
              </w:rPr>
              <w:t>2007</w:t>
            </w:r>
          </w:p>
        </w:tc>
      </w:tr>
      <w:tr w:rsidR="00A93F62" w:rsidRPr="00253C38">
        <w:tc>
          <w:tcPr>
            <w:cnfStyle w:val="001000000000" w:firstRow="0" w:lastRow="0" w:firstColumn="1" w:lastColumn="0" w:oddVBand="0" w:evenVBand="0" w:oddHBand="0" w:evenHBand="0" w:firstRowFirstColumn="0" w:firstRowLastColumn="0" w:lastRowFirstColumn="0" w:lastRowLastColumn="0"/>
            <w:tcW w:w="2200" w:type="dxa"/>
            <w:tcBorders>
              <w:top w:val="single" w:sz="12" w:space="0" w:color="auto"/>
            </w:tcBorders>
          </w:tcPr>
          <w:p w:rsidR="00A93F62" w:rsidRPr="00253C38" w:rsidRDefault="00A93F62">
            <w:pPr>
              <w:tabs>
                <w:tab w:val="clear" w:pos="431"/>
              </w:tabs>
              <w:suppressAutoHyphens/>
              <w:overflowPunct/>
              <w:adjustRightInd/>
              <w:spacing w:before="0" w:after="0" w:line="240" w:lineRule="atLeast"/>
              <w:rPr>
                <w:snapToGrid/>
                <w:sz w:val="18"/>
                <w:szCs w:val="18"/>
                <w:lang w:val="en-GB"/>
              </w:rPr>
            </w:pPr>
            <w:r w:rsidRPr="00253C38">
              <w:rPr>
                <w:snapToGrid/>
                <w:sz w:val="18"/>
                <w:szCs w:val="18"/>
                <w:lang w:val="en-GB"/>
              </w:rPr>
              <w:t>0-14</w:t>
            </w:r>
            <w:r w:rsidRPr="00253C38">
              <w:rPr>
                <w:snapToGrid/>
                <w:sz w:val="18"/>
                <w:szCs w:val="18"/>
                <w:lang w:val="en-GB"/>
              </w:rPr>
              <w:t>岁儿童</w:t>
            </w:r>
            <w:r w:rsidRPr="00253C38">
              <w:rPr>
                <w:snapToGrid/>
                <w:sz w:val="18"/>
                <w:szCs w:val="18"/>
                <w:lang w:val="en-GB"/>
              </w:rPr>
              <w:t>(</w:t>
            </w:r>
            <w:r w:rsidRPr="00253C38">
              <w:rPr>
                <w:rFonts w:hAnsi="SimSun"/>
                <w:snapToGrid/>
                <w:sz w:val="18"/>
                <w:szCs w:val="18"/>
                <w:lang w:val="en-GB"/>
              </w:rPr>
              <w:t>每</w:t>
            </w:r>
            <w:r w:rsidRPr="00253C38">
              <w:rPr>
                <w:snapToGrid/>
                <w:sz w:val="18"/>
                <w:szCs w:val="18"/>
                <w:lang w:val="en-GB"/>
              </w:rPr>
              <w:t>1000</w:t>
            </w:r>
            <w:r w:rsidRPr="00253C38">
              <w:rPr>
                <w:rFonts w:hAnsi="SimSun"/>
                <w:snapToGrid/>
                <w:sz w:val="18"/>
                <w:szCs w:val="18"/>
                <w:lang w:val="en-GB"/>
              </w:rPr>
              <w:t>名</w:t>
            </w:r>
            <w:r w:rsidRPr="00253C38">
              <w:rPr>
                <w:snapToGrid/>
                <w:sz w:val="18"/>
                <w:szCs w:val="18"/>
                <w:lang w:val="en-GB"/>
              </w:rPr>
              <w:t>)</w:t>
            </w:r>
            <w:r w:rsidRPr="00253C38">
              <w:rPr>
                <w:snapToGrid/>
                <w:sz w:val="18"/>
                <w:szCs w:val="18"/>
                <w:lang w:val="en-GB"/>
              </w:rPr>
              <w:t>的发病率指标</w:t>
            </w:r>
          </w:p>
        </w:tc>
        <w:tc>
          <w:tcPr>
            <w:tcW w:w="940" w:type="dxa"/>
            <w:tcBorders>
              <w:top w:val="single" w:sz="12" w:space="0" w:color="auto"/>
            </w:tcBorders>
            <w:vAlign w:val="top"/>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289.9</w:t>
            </w:r>
          </w:p>
        </w:tc>
        <w:tc>
          <w:tcPr>
            <w:tcW w:w="842" w:type="dxa"/>
            <w:tcBorders>
              <w:top w:val="single" w:sz="12" w:space="0" w:color="auto"/>
            </w:tcBorders>
            <w:vAlign w:val="top"/>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282.4</w:t>
            </w:r>
          </w:p>
        </w:tc>
        <w:tc>
          <w:tcPr>
            <w:tcW w:w="842" w:type="dxa"/>
            <w:tcBorders>
              <w:top w:val="single" w:sz="12" w:space="0" w:color="auto"/>
            </w:tcBorders>
            <w:vAlign w:val="top"/>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272.5</w:t>
            </w:r>
          </w:p>
        </w:tc>
        <w:tc>
          <w:tcPr>
            <w:tcW w:w="842" w:type="dxa"/>
            <w:tcBorders>
              <w:top w:val="single" w:sz="12" w:space="0" w:color="auto"/>
            </w:tcBorders>
            <w:vAlign w:val="top"/>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268.5</w:t>
            </w:r>
          </w:p>
        </w:tc>
        <w:tc>
          <w:tcPr>
            <w:tcW w:w="842" w:type="dxa"/>
            <w:tcBorders>
              <w:top w:val="single" w:sz="12" w:space="0" w:color="auto"/>
            </w:tcBorders>
            <w:vAlign w:val="top"/>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265.2</w:t>
            </w:r>
          </w:p>
        </w:tc>
        <w:tc>
          <w:tcPr>
            <w:tcW w:w="842" w:type="dxa"/>
            <w:tcBorders>
              <w:top w:val="single" w:sz="12" w:space="0" w:color="auto"/>
            </w:tcBorders>
            <w:vAlign w:val="top"/>
          </w:tcPr>
          <w:p w:rsidR="00A93F62" w:rsidRPr="00253C38"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257.5</w:t>
            </w:r>
          </w:p>
        </w:tc>
      </w:tr>
    </w:tbl>
    <w:p w:rsidR="00A93F62" w:rsidRDefault="00A93F62" w:rsidP="00583483">
      <w:pPr>
        <w:tabs>
          <w:tab w:val="clear" w:pos="431"/>
        </w:tabs>
        <w:suppressAutoHyphens/>
        <w:overflowPunct/>
        <w:adjustRightInd/>
        <w:snapToGrid/>
        <w:spacing w:beforeLines="50" w:before="163" w:after="120" w:line="320" w:lineRule="atLeast"/>
        <w:ind w:left="1134" w:right="1134"/>
        <w:rPr>
          <w:snapToGrid/>
          <w:szCs w:val="21"/>
          <w:lang w:val="en-GB"/>
        </w:rPr>
      </w:pPr>
      <w:r>
        <w:rPr>
          <w:snapToGrid/>
          <w:szCs w:val="21"/>
          <w:lang w:val="en-GB"/>
        </w:rPr>
        <w:br w:type="page"/>
        <w:t>248.</w:t>
      </w:r>
      <w:r>
        <w:rPr>
          <w:rFonts w:hint="eastAsia"/>
          <w:snapToGrid/>
          <w:szCs w:val="21"/>
          <w:lang w:val="en-GB"/>
        </w:rPr>
        <w:t xml:space="preserve">  </w:t>
      </w:r>
      <w:r>
        <w:rPr>
          <w:snapToGrid/>
          <w:szCs w:val="21"/>
          <w:lang w:val="en-GB"/>
        </w:rPr>
        <w:t>孕妇和</w:t>
      </w:r>
      <w:r>
        <w:rPr>
          <w:snapToGrid/>
          <w:szCs w:val="21"/>
          <w:lang w:val="en-GB"/>
        </w:rPr>
        <w:t>5</w:t>
      </w:r>
      <w:r>
        <w:rPr>
          <w:snapToGrid/>
          <w:szCs w:val="21"/>
          <w:lang w:val="en-GB"/>
        </w:rPr>
        <w:t>岁以内儿童医疗服务的覆盖指标：</w:t>
      </w:r>
    </w:p>
    <w:tbl>
      <w:tblPr>
        <w:tblStyle w:val="TabNum"/>
        <w:tblW w:w="7350" w:type="dxa"/>
        <w:tblInd w:w="1128" w:type="dxa"/>
        <w:tblLayout w:type="fixed"/>
        <w:tblLook w:val="01E0" w:firstRow="1" w:lastRow="1" w:firstColumn="1" w:lastColumn="1" w:noHBand="0" w:noVBand="0"/>
      </w:tblPr>
      <w:tblGrid>
        <w:gridCol w:w="2200"/>
        <w:gridCol w:w="940"/>
        <w:gridCol w:w="842"/>
        <w:gridCol w:w="842"/>
        <w:gridCol w:w="842"/>
        <w:gridCol w:w="842"/>
        <w:gridCol w:w="842"/>
      </w:tblGrid>
      <w:tr w:rsidR="00A93F62" w:rsidRPr="00253C38">
        <w:trPr>
          <w:tblHeader/>
        </w:trPr>
        <w:tc>
          <w:tcPr>
            <w:cnfStyle w:val="001000000000" w:firstRow="0" w:lastRow="0" w:firstColumn="1" w:lastColumn="0" w:oddVBand="0" w:evenVBand="0" w:oddHBand="0" w:evenHBand="0" w:firstRowFirstColumn="0" w:firstRowLastColumn="0" w:lastRowFirstColumn="0" w:lastRowLastColumn="0"/>
            <w:tcW w:w="2200" w:type="dxa"/>
            <w:vMerge w:val="restart"/>
            <w:shd w:val="clear" w:color="auto" w:fill="auto"/>
          </w:tcPr>
          <w:p w:rsidR="00A93F62" w:rsidRPr="00253C38" w:rsidRDefault="00A93F62">
            <w:pPr>
              <w:tabs>
                <w:tab w:val="clear" w:pos="431"/>
              </w:tabs>
              <w:suppressAutoHyphens/>
              <w:overflowPunct/>
              <w:adjustRightInd/>
              <w:snapToGrid/>
              <w:spacing w:before="0" w:after="0" w:line="200" w:lineRule="atLeast"/>
              <w:rPr>
                <w:i/>
                <w:snapToGrid/>
                <w:sz w:val="18"/>
                <w:szCs w:val="18"/>
                <w:lang w:val="en-GB"/>
              </w:rPr>
            </w:pPr>
            <w:r w:rsidRPr="00253C38">
              <w:rPr>
                <w:rFonts w:eastAsia="KaiTi_GB2312"/>
                <w:snapToGrid/>
                <w:sz w:val="18"/>
                <w:szCs w:val="18"/>
                <w:lang w:val="en-GB"/>
              </w:rPr>
              <w:t>指标名称</w:t>
            </w:r>
          </w:p>
        </w:tc>
        <w:tc>
          <w:tcPr>
            <w:tcW w:w="5150" w:type="dxa"/>
            <w:gridSpan w:val="6"/>
            <w:tcBorders>
              <w:top w:val="single" w:sz="4" w:space="0" w:color="auto"/>
              <w:bottom w:val="nil"/>
            </w:tcBorders>
            <w:shd w:val="clear" w:color="auto" w:fill="auto"/>
          </w:tcPr>
          <w:p w:rsidR="00A93F62" w:rsidRPr="00253C38" w:rsidRDefault="00A93F62" w:rsidP="00253C38">
            <w:pPr>
              <w:tabs>
                <w:tab w:val="clear" w:pos="431"/>
              </w:tabs>
              <w:suppressAutoHyphens/>
              <w:overflowPunct/>
              <w:adjustRightInd/>
              <w:snapToGrid/>
              <w:spacing w:before="0" w:after="0" w:line="20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253C38">
              <w:rPr>
                <w:rFonts w:eastAsia="KaiTi_GB2312"/>
                <w:snapToGrid/>
                <w:sz w:val="18"/>
                <w:szCs w:val="18"/>
                <w:lang w:val="en-GB"/>
              </w:rPr>
              <w:t>年</w:t>
            </w:r>
          </w:p>
        </w:tc>
      </w:tr>
      <w:tr w:rsidR="00A93F62" w:rsidRPr="00253C38">
        <w:trPr>
          <w:tblHeader/>
        </w:trPr>
        <w:tc>
          <w:tcPr>
            <w:cnfStyle w:val="001000000000" w:firstRow="0" w:lastRow="0" w:firstColumn="1" w:lastColumn="0" w:oddVBand="0" w:evenVBand="0" w:oddHBand="0" w:evenHBand="0" w:firstRowFirstColumn="0" w:firstRowLastColumn="0" w:lastRowFirstColumn="0" w:lastRowLastColumn="0"/>
            <w:tcW w:w="2200" w:type="dxa"/>
            <w:vMerge/>
            <w:tcBorders>
              <w:top w:val="nil"/>
              <w:bottom w:val="single" w:sz="12" w:space="0" w:color="auto"/>
            </w:tcBorders>
            <w:shd w:val="clear" w:color="auto" w:fill="auto"/>
          </w:tcPr>
          <w:p w:rsidR="00A93F62" w:rsidRPr="00253C38" w:rsidRDefault="00A93F62">
            <w:pPr>
              <w:tabs>
                <w:tab w:val="clear" w:pos="431"/>
              </w:tabs>
              <w:suppressAutoHyphens/>
              <w:overflowPunct/>
              <w:adjustRightInd/>
              <w:snapToGrid/>
              <w:spacing w:before="0" w:after="0" w:line="200" w:lineRule="atLeast"/>
              <w:rPr>
                <w:i/>
                <w:snapToGrid/>
                <w:sz w:val="18"/>
                <w:szCs w:val="18"/>
                <w:lang w:val="en-GB" w:eastAsia="en-US"/>
              </w:rPr>
            </w:pPr>
          </w:p>
        </w:tc>
        <w:tc>
          <w:tcPr>
            <w:tcW w:w="940" w:type="dxa"/>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0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i/>
                <w:snapToGrid/>
                <w:sz w:val="18"/>
                <w:szCs w:val="18"/>
                <w:lang w:val="en-GB" w:eastAsia="en-US"/>
              </w:rPr>
              <w:t>2002</w:t>
            </w:r>
          </w:p>
        </w:tc>
        <w:tc>
          <w:tcPr>
            <w:tcW w:w="842" w:type="dxa"/>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0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i/>
                <w:snapToGrid/>
                <w:sz w:val="18"/>
                <w:szCs w:val="18"/>
                <w:lang w:val="en-GB" w:eastAsia="en-US"/>
              </w:rPr>
              <w:t>2003</w:t>
            </w:r>
          </w:p>
        </w:tc>
        <w:tc>
          <w:tcPr>
            <w:tcW w:w="842" w:type="dxa"/>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0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i/>
                <w:snapToGrid/>
                <w:sz w:val="18"/>
                <w:szCs w:val="18"/>
                <w:lang w:val="en-GB" w:eastAsia="en-US"/>
              </w:rPr>
              <w:t>2004</w:t>
            </w:r>
          </w:p>
        </w:tc>
        <w:tc>
          <w:tcPr>
            <w:tcW w:w="842" w:type="dxa"/>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0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i/>
                <w:snapToGrid/>
                <w:sz w:val="18"/>
                <w:szCs w:val="18"/>
                <w:lang w:val="en-GB" w:eastAsia="en-US"/>
              </w:rPr>
              <w:t>2005</w:t>
            </w:r>
          </w:p>
        </w:tc>
        <w:tc>
          <w:tcPr>
            <w:tcW w:w="842" w:type="dxa"/>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0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i/>
                <w:snapToGrid/>
                <w:sz w:val="18"/>
                <w:szCs w:val="18"/>
                <w:lang w:val="en-GB" w:eastAsia="en-US"/>
              </w:rPr>
              <w:t>2006</w:t>
            </w:r>
          </w:p>
        </w:tc>
        <w:tc>
          <w:tcPr>
            <w:tcW w:w="842" w:type="dxa"/>
            <w:tcBorders>
              <w:top w:val="nil"/>
              <w:bottom w:val="single" w:sz="12" w:space="0" w:color="auto"/>
            </w:tcBorders>
            <w:shd w:val="clear" w:color="auto" w:fill="auto"/>
          </w:tcPr>
          <w:p w:rsidR="00A93F62" w:rsidRPr="00253C38" w:rsidRDefault="00A93F62" w:rsidP="00253C38">
            <w:pPr>
              <w:tabs>
                <w:tab w:val="clear" w:pos="431"/>
              </w:tabs>
              <w:suppressAutoHyphens/>
              <w:overflowPunct/>
              <w:adjustRightInd/>
              <w:snapToGrid/>
              <w:spacing w:before="0" w:after="0" w:line="20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i/>
                <w:snapToGrid/>
                <w:sz w:val="18"/>
                <w:szCs w:val="18"/>
                <w:lang w:val="en-GB" w:eastAsia="en-US"/>
              </w:rPr>
              <w:t>2007</w:t>
            </w:r>
          </w:p>
        </w:tc>
      </w:tr>
      <w:tr w:rsidR="00A93F62" w:rsidRPr="00253C38">
        <w:tc>
          <w:tcPr>
            <w:cnfStyle w:val="001000000000" w:firstRow="0" w:lastRow="0" w:firstColumn="1" w:lastColumn="0" w:oddVBand="0" w:evenVBand="0" w:oddHBand="0" w:evenHBand="0" w:firstRowFirstColumn="0" w:firstRowLastColumn="0" w:lastRowFirstColumn="0" w:lastRowLastColumn="0"/>
            <w:tcW w:w="2200" w:type="dxa"/>
            <w:tcBorders>
              <w:top w:val="single" w:sz="12" w:space="0" w:color="auto"/>
            </w:tcBorders>
          </w:tcPr>
          <w:p w:rsidR="00A93F62" w:rsidRPr="00253C38" w:rsidRDefault="00A93F62">
            <w:pPr>
              <w:tabs>
                <w:tab w:val="clear" w:pos="431"/>
              </w:tabs>
              <w:suppressAutoHyphens/>
              <w:overflowPunct/>
              <w:adjustRightInd/>
              <w:snapToGrid/>
              <w:spacing w:before="0" w:after="0" w:line="200" w:lineRule="atLeast"/>
              <w:rPr>
                <w:snapToGrid/>
                <w:sz w:val="18"/>
                <w:szCs w:val="18"/>
                <w:lang w:val="en-GB"/>
              </w:rPr>
            </w:pPr>
            <w:r w:rsidRPr="00253C38">
              <w:rPr>
                <w:snapToGrid/>
                <w:sz w:val="18"/>
                <w:szCs w:val="18"/>
                <w:lang w:val="en-GB"/>
              </w:rPr>
              <w:t>孕妇医疗服务覆盖指标</w:t>
            </w:r>
          </w:p>
        </w:tc>
        <w:tc>
          <w:tcPr>
            <w:tcW w:w="940" w:type="dxa"/>
            <w:tcBorders>
              <w:top w:val="single" w:sz="12" w:space="0" w:color="auto"/>
            </w:tcBorders>
          </w:tcPr>
          <w:p w:rsidR="00A93F62" w:rsidRPr="00253C38" w:rsidRDefault="00A93F62" w:rsidP="00253C38">
            <w:pPr>
              <w:tabs>
                <w:tab w:val="clear" w:pos="431"/>
              </w:tabs>
              <w:suppressAutoHyphens/>
              <w:overflowPunct/>
              <w:adjustRightInd/>
              <w:snapToGrid/>
              <w:spacing w:before="0" w:after="0" w:line="20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253C38">
              <w:rPr>
                <w:snapToGrid/>
                <w:sz w:val="18"/>
                <w:szCs w:val="18"/>
                <w:lang w:val="en-GB" w:eastAsia="en-US"/>
              </w:rPr>
              <w:t>95.4</w:t>
            </w:r>
          </w:p>
        </w:tc>
        <w:tc>
          <w:tcPr>
            <w:tcW w:w="842" w:type="dxa"/>
            <w:tcBorders>
              <w:top w:val="single" w:sz="12" w:space="0" w:color="auto"/>
            </w:tcBorders>
          </w:tcPr>
          <w:p w:rsidR="00A93F62" w:rsidRPr="00253C38" w:rsidRDefault="00A93F62" w:rsidP="00253C38">
            <w:pPr>
              <w:tabs>
                <w:tab w:val="clear" w:pos="431"/>
              </w:tabs>
              <w:suppressAutoHyphens/>
              <w:overflowPunct/>
              <w:adjustRightInd/>
              <w:snapToGrid/>
              <w:spacing w:before="0" w:after="0" w:line="20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94.1</w:t>
            </w:r>
          </w:p>
        </w:tc>
        <w:tc>
          <w:tcPr>
            <w:tcW w:w="842" w:type="dxa"/>
            <w:tcBorders>
              <w:top w:val="single" w:sz="12" w:space="0" w:color="auto"/>
            </w:tcBorders>
          </w:tcPr>
          <w:p w:rsidR="00A93F62" w:rsidRPr="00253C38" w:rsidRDefault="00A93F62" w:rsidP="00253C38">
            <w:pPr>
              <w:tabs>
                <w:tab w:val="clear" w:pos="431"/>
              </w:tabs>
              <w:suppressAutoHyphens/>
              <w:overflowPunct/>
              <w:adjustRightInd/>
              <w:snapToGrid/>
              <w:spacing w:before="0" w:after="0" w:line="20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95.0</w:t>
            </w:r>
          </w:p>
        </w:tc>
        <w:tc>
          <w:tcPr>
            <w:tcW w:w="842" w:type="dxa"/>
            <w:tcBorders>
              <w:top w:val="single" w:sz="12" w:space="0" w:color="auto"/>
            </w:tcBorders>
          </w:tcPr>
          <w:p w:rsidR="00A93F62" w:rsidRPr="00253C38" w:rsidRDefault="00A93F62" w:rsidP="00253C38">
            <w:pPr>
              <w:tabs>
                <w:tab w:val="clear" w:pos="431"/>
              </w:tabs>
              <w:suppressAutoHyphens/>
              <w:overflowPunct/>
              <w:adjustRightInd/>
              <w:snapToGrid/>
              <w:spacing w:before="0" w:after="0" w:line="20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94.0</w:t>
            </w:r>
          </w:p>
        </w:tc>
        <w:tc>
          <w:tcPr>
            <w:tcW w:w="842" w:type="dxa"/>
            <w:tcBorders>
              <w:top w:val="single" w:sz="12" w:space="0" w:color="auto"/>
            </w:tcBorders>
          </w:tcPr>
          <w:p w:rsidR="00A93F62" w:rsidRPr="00253C38" w:rsidRDefault="00A93F62" w:rsidP="00253C38">
            <w:pPr>
              <w:tabs>
                <w:tab w:val="clear" w:pos="431"/>
              </w:tabs>
              <w:suppressAutoHyphens/>
              <w:overflowPunct/>
              <w:adjustRightInd/>
              <w:snapToGrid/>
              <w:spacing w:before="0" w:after="0" w:line="20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94.0</w:t>
            </w:r>
          </w:p>
        </w:tc>
        <w:tc>
          <w:tcPr>
            <w:tcW w:w="842" w:type="dxa"/>
            <w:tcBorders>
              <w:top w:val="single" w:sz="12" w:space="0" w:color="auto"/>
            </w:tcBorders>
          </w:tcPr>
          <w:p w:rsidR="00A93F62" w:rsidRPr="00253C38" w:rsidRDefault="00A93F62" w:rsidP="00253C38">
            <w:pPr>
              <w:tabs>
                <w:tab w:val="clear" w:pos="431"/>
              </w:tabs>
              <w:suppressAutoHyphens/>
              <w:overflowPunct/>
              <w:adjustRightInd/>
              <w:snapToGrid/>
              <w:spacing w:before="0" w:after="0" w:line="20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94.2</w:t>
            </w:r>
          </w:p>
        </w:tc>
      </w:tr>
    </w:tbl>
    <w:p w:rsidR="00A93F62" w:rsidRDefault="00A93F62">
      <w:pPr>
        <w:tabs>
          <w:tab w:val="clear" w:pos="431"/>
        </w:tabs>
        <w:suppressAutoHyphens/>
        <w:overflowPunct/>
        <w:adjustRightInd/>
        <w:snapToGrid/>
        <w:spacing w:beforeLines="50" w:before="163" w:after="80" w:line="320" w:lineRule="atLeast"/>
        <w:ind w:left="1134" w:right="1134"/>
        <w:rPr>
          <w:snapToGrid/>
          <w:szCs w:val="21"/>
          <w:lang w:val="en-GB"/>
        </w:rPr>
      </w:pPr>
      <w:r>
        <w:rPr>
          <w:snapToGrid/>
          <w:szCs w:val="21"/>
          <w:lang w:val="en-GB"/>
        </w:rPr>
        <w:t>249.</w:t>
      </w:r>
      <w:r>
        <w:rPr>
          <w:rFonts w:hint="eastAsia"/>
          <w:snapToGrid/>
          <w:szCs w:val="21"/>
          <w:lang w:val="en-GB"/>
        </w:rPr>
        <w:t xml:space="preserve">  </w:t>
      </w:r>
      <w:r>
        <w:rPr>
          <w:snapToGrid/>
          <w:szCs w:val="21"/>
          <w:lang w:val="en-GB"/>
        </w:rPr>
        <w:t>为降低出生死亡率，采取以下措施：</w:t>
      </w:r>
    </w:p>
    <w:p w:rsidR="00A93F62" w:rsidRDefault="00A93F62">
      <w:pPr>
        <w:pStyle w:val="Bullet1GC"/>
        <w:numPr>
          <w:ilvl w:val="0"/>
          <w:numId w:val="14"/>
        </w:numPr>
        <w:spacing w:after="80"/>
        <w:rPr>
          <w:snapToGrid/>
          <w:lang w:val="en-GB"/>
        </w:rPr>
      </w:pPr>
      <w:r>
        <w:rPr>
          <w:snapToGrid/>
          <w:spacing w:val="-2"/>
          <w:lang w:val="en-GB"/>
        </w:rPr>
        <w:t>向《保护妇女妊娠安全国家纲要》所规定措施的实施提供帮助与支持</w:t>
      </w:r>
      <w:r>
        <w:rPr>
          <w:snapToGrid/>
          <w:lang w:val="en-GB"/>
        </w:rPr>
        <w:t>；</w:t>
      </w:r>
    </w:p>
    <w:p w:rsidR="00A93F62" w:rsidRDefault="00A93F62">
      <w:pPr>
        <w:pStyle w:val="Bullet1GC"/>
        <w:numPr>
          <w:ilvl w:val="0"/>
          <w:numId w:val="14"/>
        </w:numPr>
        <w:spacing w:after="80"/>
        <w:rPr>
          <w:snapToGrid/>
          <w:lang w:val="en-GB"/>
        </w:rPr>
      </w:pPr>
      <w:r>
        <w:rPr>
          <w:snapToGrid/>
          <w:lang w:val="en-GB"/>
        </w:rPr>
        <w:t>提高胎儿发育异常的产前诊断质量；</w:t>
      </w:r>
    </w:p>
    <w:p w:rsidR="00A93F62" w:rsidRDefault="00A93F62">
      <w:pPr>
        <w:pStyle w:val="Bullet1GC"/>
        <w:numPr>
          <w:ilvl w:val="0"/>
          <w:numId w:val="14"/>
        </w:numPr>
        <w:spacing w:after="80"/>
        <w:rPr>
          <w:snapToGrid/>
          <w:lang w:val="en-GB"/>
        </w:rPr>
      </w:pPr>
      <w:r>
        <w:rPr>
          <w:snapToGrid/>
          <w:lang w:val="en-GB"/>
        </w:rPr>
        <w:t>产前护理助产室对孕妇进行门诊诊察；</w:t>
      </w:r>
    </w:p>
    <w:p w:rsidR="00A93F62" w:rsidRDefault="00A93F62">
      <w:pPr>
        <w:pStyle w:val="Bullet1GC"/>
        <w:numPr>
          <w:ilvl w:val="0"/>
          <w:numId w:val="14"/>
        </w:numPr>
        <w:spacing w:after="80"/>
        <w:rPr>
          <w:snapToGrid/>
          <w:lang w:val="en-GB"/>
        </w:rPr>
      </w:pPr>
      <w:r>
        <w:rPr>
          <w:snapToGrid/>
          <w:lang w:val="en-GB"/>
        </w:rPr>
        <w:t>孕妇饮食均衡，治疗微量营养素缺乏症；</w:t>
      </w:r>
    </w:p>
    <w:p w:rsidR="00A93F62" w:rsidRDefault="00A93F62">
      <w:pPr>
        <w:pStyle w:val="Bullet1GC"/>
        <w:numPr>
          <w:ilvl w:val="0"/>
          <w:numId w:val="14"/>
        </w:numPr>
        <w:spacing w:after="80"/>
        <w:rPr>
          <w:snapToGrid/>
          <w:lang w:val="en-GB"/>
        </w:rPr>
      </w:pPr>
      <w:r>
        <w:rPr>
          <w:snapToGrid/>
          <w:lang w:val="en-GB"/>
        </w:rPr>
        <w:t>使医务工作者掌握孕妇合理饮食的方法；</w:t>
      </w:r>
    </w:p>
    <w:p w:rsidR="00A93F62" w:rsidRDefault="00A93F62">
      <w:pPr>
        <w:pStyle w:val="Bullet1GC"/>
        <w:numPr>
          <w:ilvl w:val="0"/>
          <w:numId w:val="14"/>
        </w:numPr>
        <w:spacing w:after="80"/>
        <w:rPr>
          <w:snapToGrid/>
          <w:lang w:val="en-GB"/>
        </w:rPr>
      </w:pPr>
      <w:r>
        <w:rPr>
          <w:snapToGrid/>
          <w:lang w:val="en-GB"/>
        </w:rPr>
        <w:t>妇女产前培训，分娩时给予心理和情感支持；</w:t>
      </w:r>
    </w:p>
    <w:p w:rsidR="00A93F62" w:rsidRDefault="00A93F62">
      <w:pPr>
        <w:pStyle w:val="Bullet1GC"/>
        <w:numPr>
          <w:ilvl w:val="0"/>
          <w:numId w:val="14"/>
        </w:numPr>
        <w:spacing w:after="80"/>
        <w:rPr>
          <w:snapToGrid/>
          <w:lang w:val="en-GB"/>
        </w:rPr>
      </w:pPr>
      <w:r>
        <w:rPr>
          <w:snapToGrid/>
          <w:lang w:val="en-GB"/>
        </w:rPr>
        <w:t>对高危孕妇提供医学和遗传咨询；</w:t>
      </w:r>
    </w:p>
    <w:p w:rsidR="00A93F62" w:rsidRDefault="00A93F62">
      <w:pPr>
        <w:pStyle w:val="Bullet1GC"/>
        <w:numPr>
          <w:ilvl w:val="0"/>
          <w:numId w:val="14"/>
        </w:numPr>
        <w:spacing w:after="80"/>
        <w:rPr>
          <w:snapToGrid/>
          <w:lang w:val="en-GB"/>
        </w:rPr>
      </w:pPr>
      <w:r>
        <w:rPr>
          <w:snapToGrid/>
          <w:lang w:val="en-GB"/>
        </w:rPr>
        <w:t>预防艾滋病毒</w:t>
      </w:r>
      <w:r>
        <w:rPr>
          <w:snapToGrid/>
          <w:lang w:val="en-GB"/>
        </w:rPr>
        <w:t>/</w:t>
      </w:r>
      <w:r>
        <w:rPr>
          <w:snapToGrid/>
          <w:lang w:val="en-GB"/>
        </w:rPr>
        <w:t>艾滋病的母婴传播、宫内感染、风疹、病毒性肝炎；</w:t>
      </w:r>
    </w:p>
    <w:p w:rsidR="00A93F62" w:rsidRDefault="00A93F62">
      <w:pPr>
        <w:pStyle w:val="Bullet1GC"/>
        <w:numPr>
          <w:ilvl w:val="0"/>
          <w:numId w:val="14"/>
        </w:numPr>
        <w:spacing w:after="80"/>
        <w:rPr>
          <w:snapToGrid/>
          <w:lang w:val="en-GB"/>
        </w:rPr>
      </w:pPr>
      <w:r>
        <w:rPr>
          <w:snapToGrid/>
          <w:lang w:val="en-GB"/>
        </w:rPr>
        <w:t>改善母婴健康保护方面的医疗水平；</w:t>
      </w:r>
    </w:p>
    <w:p w:rsidR="00A93F62" w:rsidRDefault="00A93F62">
      <w:pPr>
        <w:pStyle w:val="Bullet1GC"/>
        <w:numPr>
          <w:ilvl w:val="0"/>
          <w:numId w:val="14"/>
        </w:numPr>
        <w:spacing w:after="80"/>
        <w:rPr>
          <w:rFonts w:hint="eastAsia"/>
          <w:snapToGrid/>
          <w:lang w:val="en-GB"/>
        </w:rPr>
      </w:pPr>
      <w:r>
        <w:rPr>
          <w:snapToGrid/>
          <w:lang w:val="en-GB"/>
        </w:rPr>
        <w:t>宣传家庭生殖健康和安全母亲的重要性。</w:t>
      </w:r>
    </w:p>
    <w:p w:rsidR="00A93F62" w:rsidRDefault="00A93F62">
      <w:pPr>
        <w:numPr>
          <w:ilvl w:val="0"/>
          <w:numId w:val="42"/>
        </w:numPr>
        <w:tabs>
          <w:tab w:val="clear" w:pos="431"/>
        </w:tabs>
        <w:suppressAutoHyphens/>
        <w:overflowPunct/>
        <w:adjustRightInd/>
        <w:snapToGrid/>
        <w:spacing w:line="320" w:lineRule="atLeast"/>
        <w:ind w:left="1735" w:right="1134" w:hanging="601"/>
        <w:rPr>
          <w:rFonts w:hint="eastAsia"/>
          <w:snapToGrid/>
          <w:szCs w:val="21"/>
          <w:lang w:val="en-GB"/>
        </w:rPr>
      </w:pPr>
      <w:r>
        <w:rPr>
          <w:snapToGrid/>
          <w:szCs w:val="21"/>
          <w:lang w:val="en-GB"/>
        </w:rPr>
        <w:t>土库曼斯坦母亲死亡率</w:t>
      </w:r>
    </w:p>
    <w:p w:rsidR="00A93F62" w:rsidRDefault="00A93F62" w:rsidP="000D657E">
      <w:pPr>
        <w:tabs>
          <w:tab w:val="clear" w:pos="431"/>
        </w:tabs>
        <w:suppressAutoHyphens/>
        <w:overflowPunct/>
        <w:adjustRightInd/>
        <w:snapToGrid/>
        <w:spacing w:line="320" w:lineRule="atLeast"/>
        <w:ind w:leftChars="676" w:left="31680" w:right="1134" w:firstLineChars="150" w:firstLine="31680"/>
        <w:rPr>
          <w:rFonts w:eastAsia="SimHei" w:hint="eastAsia"/>
          <w:snapToGrid/>
          <w:szCs w:val="21"/>
          <w:lang w:val="en-GB"/>
        </w:rPr>
      </w:pPr>
      <w:r>
        <w:rPr>
          <w:snapToGrid/>
          <w:szCs w:val="21"/>
          <w:lang w:val="en-GB"/>
        </w:rPr>
        <w:t>(</w:t>
      </w:r>
      <w:r>
        <w:rPr>
          <w:rFonts w:hAnsi="SimSun"/>
          <w:snapToGrid/>
          <w:szCs w:val="21"/>
          <w:lang w:val="en-GB"/>
        </w:rPr>
        <w:t>每</w:t>
      </w:r>
      <w:r>
        <w:rPr>
          <w:snapToGrid/>
          <w:szCs w:val="21"/>
          <w:lang w:val="en-GB"/>
        </w:rPr>
        <w:t>100 000</w:t>
      </w:r>
      <w:r>
        <w:rPr>
          <w:rFonts w:hAnsi="SimSun"/>
          <w:snapToGrid/>
          <w:szCs w:val="21"/>
          <w:lang w:val="en-GB"/>
        </w:rPr>
        <w:t>名胎儿</w:t>
      </w:r>
      <w:r>
        <w:rPr>
          <w:rFonts w:eastAsia="SimHei"/>
          <w:snapToGrid/>
          <w:szCs w:val="21"/>
          <w:lang w:val="en-GB"/>
        </w:rPr>
        <w:t>)</w:t>
      </w:r>
    </w:p>
    <w:tbl>
      <w:tblPr>
        <w:tblStyle w:val="TabNum"/>
        <w:tblW w:w="8419" w:type="dxa"/>
        <w:tblInd w:w="1128" w:type="dxa"/>
        <w:tblLayout w:type="fixed"/>
        <w:tblLook w:val="01E0" w:firstRow="1" w:lastRow="1" w:firstColumn="1" w:lastColumn="1" w:noHBand="0" w:noVBand="0"/>
      </w:tblPr>
      <w:tblGrid>
        <w:gridCol w:w="734"/>
        <w:gridCol w:w="700"/>
        <w:gridCol w:w="700"/>
        <w:gridCol w:w="658"/>
        <w:gridCol w:w="644"/>
        <w:gridCol w:w="672"/>
        <w:gridCol w:w="685"/>
        <w:gridCol w:w="714"/>
        <w:gridCol w:w="672"/>
        <w:gridCol w:w="728"/>
        <w:gridCol w:w="798"/>
        <w:gridCol w:w="714"/>
      </w:tblGrid>
      <w:tr w:rsidR="00A93F62">
        <w:trPr>
          <w:trHeight w:val="729"/>
          <w:tblHeader/>
        </w:trPr>
        <w:tc>
          <w:tcPr>
            <w:cnfStyle w:val="001000000000" w:firstRow="0" w:lastRow="0" w:firstColumn="1" w:lastColumn="0" w:oddVBand="0" w:evenVBand="0" w:oddHBand="0" w:evenHBand="0" w:firstRowFirstColumn="0" w:firstRowLastColumn="0" w:lastRowFirstColumn="0" w:lastRowLastColumn="0"/>
            <w:tcW w:w="734" w:type="dxa"/>
            <w:tcBorders>
              <w:bottom w:val="single" w:sz="12" w:space="0" w:color="auto"/>
            </w:tcBorders>
            <w:shd w:val="clear" w:color="auto" w:fill="auto"/>
          </w:tcPr>
          <w:p w:rsidR="00A93F62" w:rsidRPr="007E57AE" w:rsidRDefault="00A93F62">
            <w:pPr>
              <w:tabs>
                <w:tab w:val="clear" w:pos="431"/>
              </w:tabs>
              <w:suppressAutoHyphens/>
              <w:overflowPunct/>
              <w:adjustRightInd/>
              <w:snapToGrid/>
              <w:spacing w:before="0" w:after="0" w:line="240" w:lineRule="atLeast"/>
              <w:rPr>
                <w:i/>
                <w:snapToGrid/>
                <w:spacing w:val="-6"/>
                <w:sz w:val="18"/>
                <w:szCs w:val="18"/>
                <w:lang w:val="en-GB"/>
              </w:rPr>
            </w:pPr>
            <w:r w:rsidRPr="007E57AE">
              <w:rPr>
                <w:rFonts w:eastAsia="KaiTi_GB2312"/>
                <w:snapToGrid/>
                <w:spacing w:val="-6"/>
                <w:sz w:val="18"/>
                <w:szCs w:val="18"/>
                <w:lang w:val="en-GB" w:eastAsia="en-US"/>
              </w:rPr>
              <w:t>1995</w:t>
            </w:r>
            <w:r w:rsidRPr="007E57AE">
              <w:rPr>
                <w:rFonts w:eastAsia="KaiTi_GB2312"/>
                <w:snapToGrid/>
                <w:spacing w:val="-6"/>
                <w:sz w:val="18"/>
                <w:szCs w:val="18"/>
                <w:lang w:val="en-GB"/>
              </w:rPr>
              <w:t>年</w:t>
            </w:r>
          </w:p>
        </w:tc>
        <w:tc>
          <w:tcPr>
            <w:tcW w:w="700"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eastAsia="en-US"/>
              </w:rPr>
              <w:t>1996</w:t>
            </w:r>
            <w:r w:rsidRPr="007E57AE">
              <w:rPr>
                <w:rFonts w:eastAsia="KaiTi_GB2312"/>
                <w:snapToGrid/>
                <w:spacing w:val="-6"/>
                <w:sz w:val="18"/>
                <w:szCs w:val="18"/>
                <w:lang w:val="en-GB"/>
              </w:rPr>
              <w:t>年</w:t>
            </w:r>
          </w:p>
        </w:tc>
        <w:tc>
          <w:tcPr>
            <w:tcW w:w="700"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eastAsia="en-US"/>
              </w:rPr>
              <w:t>1997</w:t>
            </w:r>
            <w:r w:rsidRPr="007E57AE">
              <w:rPr>
                <w:rFonts w:eastAsia="KaiTi_GB2312"/>
                <w:snapToGrid/>
                <w:spacing w:val="-6"/>
                <w:sz w:val="18"/>
                <w:szCs w:val="18"/>
                <w:lang w:val="en-GB"/>
              </w:rPr>
              <w:t>年</w:t>
            </w:r>
          </w:p>
        </w:tc>
        <w:tc>
          <w:tcPr>
            <w:tcW w:w="658"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eastAsia="en-US"/>
              </w:rPr>
              <w:t>1998</w:t>
            </w:r>
            <w:r w:rsidRPr="007E57AE">
              <w:rPr>
                <w:rFonts w:eastAsia="KaiTi_GB2312"/>
                <w:snapToGrid/>
                <w:spacing w:val="-6"/>
                <w:sz w:val="18"/>
                <w:szCs w:val="18"/>
                <w:lang w:val="en-GB"/>
              </w:rPr>
              <w:t>年</w:t>
            </w:r>
          </w:p>
        </w:tc>
        <w:tc>
          <w:tcPr>
            <w:tcW w:w="644"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eastAsia="en-US"/>
              </w:rPr>
              <w:t>1999</w:t>
            </w:r>
            <w:r w:rsidRPr="007E57AE">
              <w:rPr>
                <w:rFonts w:eastAsia="KaiTi_GB2312"/>
                <w:snapToGrid/>
                <w:spacing w:val="-6"/>
                <w:sz w:val="18"/>
                <w:szCs w:val="18"/>
                <w:lang w:val="en-GB"/>
              </w:rPr>
              <w:t>年</w:t>
            </w:r>
          </w:p>
        </w:tc>
        <w:tc>
          <w:tcPr>
            <w:tcW w:w="672"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eastAsia="en-US"/>
              </w:rPr>
              <w:t>2000</w:t>
            </w:r>
            <w:r w:rsidRPr="007E57AE">
              <w:rPr>
                <w:rFonts w:eastAsia="KaiTi_GB2312"/>
                <w:snapToGrid/>
                <w:spacing w:val="-6"/>
                <w:sz w:val="18"/>
                <w:szCs w:val="18"/>
                <w:lang w:val="en-GB"/>
              </w:rPr>
              <w:t>年</w:t>
            </w:r>
          </w:p>
        </w:tc>
        <w:tc>
          <w:tcPr>
            <w:tcW w:w="685"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eastAsia="en-US"/>
              </w:rPr>
              <w:t>2001</w:t>
            </w:r>
            <w:r w:rsidRPr="007E57AE">
              <w:rPr>
                <w:rFonts w:eastAsia="KaiTi_GB2312"/>
                <w:snapToGrid/>
                <w:spacing w:val="-6"/>
                <w:sz w:val="18"/>
                <w:szCs w:val="18"/>
                <w:lang w:val="en-GB"/>
              </w:rPr>
              <w:t>年</w:t>
            </w:r>
          </w:p>
        </w:tc>
        <w:tc>
          <w:tcPr>
            <w:tcW w:w="714"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eastAsia="en-US"/>
              </w:rPr>
            </w:pPr>
            <w:r w:rsidRPr="007E57AE">
              <w:rPr>
                <w:rFonts w:eastAsia="KaiTi_GB2312"/>
                <w:snapToGrid/>
                <w:spacing w:val="-6"/>
                <w:sz w:val="18"/>
                <w:szCs w:val="18"/>
                <w:lang w:val="en-GB" w:eastAsia="en-US"/>
              </w:rPr>
              <w:t>2002</w:t>
            </w:r>
            <w:r w:rsidRPr="007E57AE">
              <w:rPr>
                <w:rFonts w:eastAsia="KaiTi_GB2312"/>
                <w:snapToGrid/>
                <w:spacing w:val="-6"/>
                <w:sz w:val="18"/>
                <w:szCs w:val="18"/>
                <w:lang w:val="en-GB"/>
              </w:rPr>
              <w:t>年</w:t>
            </w:r>
          </w:p>
        </w:tc>
        <w:tc>
          <w:tcPr>
            <w:tcW w:w="672"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eastAsia="en-US"/>
              </w:rPr>
            </w:pPr>
            <w:r w:rsidRPr="007E57AE">
              <w:rPr>
                <w:rFonts w:eastAsia="KaiTi_GB2312"/>
                <w:snapToGrid/>
                <w:spacing w:val="-6"/>
                <w:sz w:val="18"/>
                <w:szCs w:val="18"/>
                <w:lang w:val="en-GB" w:eastAsia="en-US"/>
              </w:rPr>
              <w:t>2003</w:t>
            </w:r>
            <w:r w:rsidRPr="007E57AE">
              <w:rPr>
                <w:rFonts w:eastAsia="KaiTi_GB2312"/>
                <w:snapToGrid/>
                <w:spacing w:val="-6"/>
                <w:sz w:val="18"/>
                <w:szCs w:val="18"/>
                <w:lang w:val="en-GB"/>
              </w:rPr>
              <w:t>年</w:t>
            </w:r>
          </w:p>
        </w:tc>
        <w:tc>
          <w:tcPr>
            <w:tcW w:w="728"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eastAsia="en-US"/>
              </w:rPr>
            </w:pPr>
            <w:r w:rsidRPr="007E57AE">
              <w:rPr>
                <w:rFonts w:eastAsia="KaiTi_GB2312"/>
                <w:snapToGrid/>
                <w:spacing w:val="-6"/>
                <w:sz w:val="18"/>
                <w:szCs w:val="18"/>
                <w:lang w:val="en-GB" w:eastAsia="en-US"/>
              </w:rPr>
              <w:t>2004</w:t>
            </w:r>
            <w:r w:rsidRPr="007E57AE">
              <w:rPr>
                <w:rFonts w:eastAsia="KaiTi_GB2312"/>
                <w:snapToGrid/>
                <w:spacing w:val="-6"/>
                <w:sz w:val="18"/>
                <w:szCs w:val="18"/>
                <w:lang w:val="en-GB"/>
              </w:rPr>
              <w:t>年</w:t>
            </w:r>
          </w:p>
        </w:tc>
        <w:tc>
          <w:tcPr>
            <w:tcW w:w="798"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eastAsia="en-US"/>
              </w:rPr>
            </w:pPr>
            <w:r w:rsidRPr="007E57AE">
              <w:rPr>
                <w:rFonts w:eastAsia="KaiTi_GB2312"/>
                <w:snapToGrid/>
                <w:spacing w:val="-6"/>
                <w:sz w:val="18"/>
                <w:szCs w:val="18"/>
                <w:lang w:val="en-GB" w:eastAsia="en-US"/>
              </w:rPr>
              <w:t>2005</w:t>
            </w:r>
            <w:r w:rsidRPr="007E57AE">
              <w:rPr>
                <w:rFonts w:eastAsia="KaiTi_GB2312"/>
                <w:snapToGrid/>
                <w:spacing w:val="-6"/>
                <w:sz w:val="18"/>
                <w:szCs w:val="18"/>
                <w:lang w:val="en-GB"/>
              </w:rPr>
              <w:t>年</w:t>
            </w:r>
          </w:p>
        </w:tc>
        <w:tc>
          <w:tcPr>
            <w:tcW w:w="714"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eastAsia="en-US"/>
              </w:rPr>
            </w:pPr>
            <w:r w:rsidRPr="007E57AE">
              <w:rPr>
                <w:rFonts w:eastAsia="KaiTi_GB2312"/>
                <w:snapToGrid/>
                <w:spacing w:val="-6"/>
                <w:sz w:val="18"/>
                <w:szCs w:val="18"/>
                <w:lang w:val="en-GB" w:eastAsia="en-US"/>
              </w:rPr>
              <w:t>2006</w:t>
            </w:r>
            <w:r w:rsidRPr="007E57AE">
              <w:rPr>
                <w:rFonts w:eastAsia="KaiTi_GB2312"/>
                <w:snapToGrid/>
                <w:spacing w:val="-6"/>
                <w:sz w:val="18"/>
                <w:szCs w:val="18"/>
                <w:lang w:val="en-GB"/>
              </w:rPr>
              <w:t>年</w:t>
            </w:r>
          </w:p>
        </w:tc>
      </w:tr>
      <w:tr w:rsidR="00A93F62">
        <w:trPr>
          <w:trHeight w:val="394"/>
        </w:trPr>
        <w:tc>
          <w:tcPr>
            <w:cnfStyle w:val="001000000000" w:firstRow="0" w:lastRow="0" w:firstColumn="1" w:lastColumn="0" w:oddVBand="0" w:evenVBand="0" w:oddHBand="0" w:evenHBand="0" w:firstRowFirstColumn="0" w:firstRowLastColumn="0" w:lastRowFirstColumn="0" w:lastRowLastColumn="0"/>
            <w:tcW w:w="734" w:type="dxa"/>
            <w:tcBorders>
              <w:top w:val="single" w:sz="12" w:space="0" w:color="auto"/>
            </w:tcBorders>
          </w:tcPr>
          <w:p w:rsidR="00A93F62" w:rsidRPr="007E57AE" w:rsidRDefault="00A93F62">
            <w:pPr>
              <w:tabs>
                <w:tab w:val="clear" w:pos="431"/>
              </w:tabs>
              <w:suppressAutoHyphens/>
              <w:overflowPunct/>
              <w:adjustRightInd/>
              <w:snapToGrid/>
              <w:spacing w:before="0" w:after="0" w:line="240" w:lineRule="atLeast"/>
              <w:jc w:val="left"/>
              <w:rPr>
                <w:snapToGrid/>
                <w:sz w:val="18"/>
                <w:szCs w:val="18"/>
                <w:lang w:val="en-GB" w:eastAsia="en-US"/>
              </w:rPr>
            </w:pPr>
            <w:r w:rsidRPr="007E57AE">
              <w:rPr>
                <w:snapToGrid/>
                <w:sz w:val="18"/>
                <w:szCs w:val="18"/>
                <w:lang w:val="en-GB" w:eastAsia="en-US"/>
              </w:rPr>
              <w:t>99.5</w:t>
            </w:r>
          </w:p>
        </w:tc>
        <w:tc>
          <w:tcPr>
            <w:tcW w:w="700"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105.0</w:t>
            </w:r>
          </w:p>
        </w:tc>
        <w:tc>
          <w:tcPr>
            <w:tcW w:w="700"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71.6</w:t>
            </w:r>
          </w:p>
        </w:tc>
        <w:tc>
          <w:tcPr>
            <w:tcW w:w="658"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64.5</w:t>
            </w:r>
          </w:p>
        </w:tc>
        <w:tc>
          <w:tcPr>
            <w:tcW w:w="644"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41.2</w:t>
            </w:r>
          </w:p>
        </w:tc>
        <w:tc>
          <w:tcPr>
            <w:tcW w:w="672"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52.0</w:t>
            </w:r>
          </w:p>
        </w:tc>
        <w:tc>
          <w:tcPr>
            <w:tcW w:w="685"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48.2</w:t>
            </w:r>
          </w:p>
        </w:tc>
        <w:tc>
          <w:tcPr>
            <w:tcW w:w="714"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35.9</w:t>
            </w:r>
          </w:p>
        </w:tc>
        <w:tc>
          <w:tcPr>
            <w:tcW w:w="672"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16.4</w:t>
            </w:r>
          </w:p>
        </w:tc>
        <w:tc>
          <w:tcPr>
            <w:tcW w:w="728"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16.8</w:t>
            </w:r>
          </w:p>
        </w:tc>
        <w:tc>
          <w:tcPr>
            <w:tcW w:w="798"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15.5</w:t>
            </w:r>
          </w:p>
        </w:tc>
        <w:tc>
          <w:tcPr>
            <w:tcW w:w="714"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15.6</w:t>
            </w:r>
          </w:p>
        </w:tc>
      </w:tr>
    </w:tbl>
    <w:p w:rsidR="00A93F62" w:rsidRDefault="00A93F62">
      <w:pPr>
        <w:numPr>
          <w:ilvl w:val="0"/>
          <w:numId w:val="42"/>
        </w:numPr>
        <w:tabs>
          <w:tab w:val="clear" w:pos="431"/>
        </w:tabs>
        <w:suppressAutoHyphens/>
        <w:overflowPunct/>
        <w:adjustRightInd/>
        <w:snapToGrid/>
        <w:spacing w:beforeLines="50" w:before="163" w:line="320" w:lineRule="atLeast"/>
        <w:ind w:left="1735" w:right="1134" w:hanging="601"/>
        <w:rPr>
          <w:rFonts w:hint="eastAsia"/>
          <w:snapToGrid/>
          <w:szCs w:val="21"/>
          <w:lang w:val="en-GB"/>
        </w:rPr>
      </w:pPr>
      <w:r>
        <w:rPr>
          <w:snapToGrid/>
          <w:szCs w:val="21"/>
          <w:lang w:val="en-GB"/>
        </w:rPr>
        <w:t>土库曼斯坦婴儿死亡率</w:t>
      </w:r>
    </w:p>
    <w:p w:rsidR="00A93F62" w:rsidRDefault="00A93F62">
      <w:pPr>
        <w:tabs>
          <w:tab w:val="clear" w:pos="431"/>
        </w:tabs>
        <w:suppressAutoHyphens/>
        <w:overflowPunct/>
        <w:adjustRightInd/>
        <w:snapToGrid/>
        <w:spacing w:after="60" w:line="320" w:lineRule="atLeast"/>
        <w:ind w:left="1418" w:right="1134" w:firstLine="318"/>
        <w:rPr>
          <w:rFonts w:hint="eastAsia"/>
          <w:snapToGrid/>
          <w:szCs w:val="21"/>
          <w:lang w:val="en-GB"/>
        </w:rPr>
      </w:pPr>
      <w:r>
        <w:rPr>
          <w:rFonts w:eastAsia="SimHei"/>
          <w:snapToGrid/>
          <w:szCs w:val="21"/>
          <w:lang w:val="en-GB"/>
        </w:rPr>
        <w:t>(</w:t>
      </w:r>
      <w:r>
        <w:rPr>
          <w:rFonts w:hAnsi="SimSun"/>
          <w:snapToGrid/>
          <w:szCs w:val="21"/>
          <w:lang w:val="en-GB"/>
        </w:rPr>
        <w:t>每</w:t>
      </w:r>
      <w:r>
        <w:rPr>
          <w:snapToGrid/>
          <w:szCs w:val="21"/>
          <w:lang w:val="en-GB"/>
        </w:rPr>
        <w:t>1 000</w:t>
      </w:r>
      <w:r>
        <w:rPr>
          <w:rFonts w:hAnsi="SimSun"/>
          <w:snapToGrid/>
          <w:szCs w:val="21"/>
          <w:lang w:val="en-GB"/>
        </w:rPr>
        <w:t>名胎儿</w:t>
      </w:r>
      <w:r>
        <w:rPr>
          <w:rFonts w:eastAsia="SimHei"/>
          <w:snapToGrid/>
          <w:szCs w:val="21"/>
          <w:lang w:val="en-GB"/>
        </w:rPr>
        <w:t>)</w:t>
      </w:r>
    </w:p>
    <w:tbl>
      <w:tblPr>
        <w:tblStyle w:val="TabNum"/>
        <w:tblW w:w="8419" w:type="dxa"/>
        <w:tblInd w:w="1128" w:type="dxa"/>
        <w:tblLayout w:type="fixed"/>
        <w:tblLook w:val="01E0" w:firstRow="1" w:lastRow="1" w:firstColumn="1" w:lastColumn="1" w:noHBand="0" w:noVBand="0"/>
      </w:tblPr>
      <w:tblGrid>
        <w:gridCol w:w="734"/>
        <w:gridCol w:w="700"/>
        <w:gridCol w:w="700"/>
        <w:gridCol w:w="658"/>
        <w:gridCol w:w="644"/>
        <w:gridCol w:w="672"/>
        <w:gridCol w:w="685"/>
        <w:gridCol w:w="714"/>
        <w:gridCol w:w="672"/>
        <w:gridCol w:w="728"/>
        <w:gridCol w:w="798"/>
        <w:gridCol w:w="714"/>
      </w:tblGrid>
      <w:tr w:rsidR="00A93F62">
        <w:trPr>
          <w:trHeight w:val="729"/>
          <w:tblHeader/>
        </w:trPr>
        <w:tc>
          <w:tcPr>
            <w:cnfStyle w:val="001000000000" w:firstRow="0" w:lastRow="0" w:firstColumn="1" w:lastColumn="0" w:oddVBand="0" w:evenVBand="0" w:oddHBand="0" w:evenHBand="0" w:firstRowFirstColumn="0" w:firstRowLastColumn="0" w:lastRowFirstColumn="0" w:lastRowLastColumn="0"/>
            <w:tcW w:w="734" w:type="dxa"/>
            <w:tcBorders>
              <w:bottom w:val="single" w:sz="12" w:space="0" w:color="auto"/>
            </w:tcBorders>
            <w:shd w:val="clear" w:color="auto" w:fill="auto"/>
          </w:tcPr>
          <w:p w:rsidR="00A93F62" w:rsidRPr="007E57AE" w:rsidRDefault="00A93F62">
            <w:pPr>
              <w:tabs>
                <w:tab w:val="clear" w:pos="431"/>
              </w:tabs>
              <w:suppressAutoHyphens/>
              <w:overflowPunct/>
              <w:adjustRightInd/>
              <w:snapToGrid/>
              <w:spacing w:before="0" w:after="0" w:line="80" w:lineRule="atLeast"/>
              <w:rPr>
                <w:i/>
                <w:snapToGrid/>
                <w:sz w:val="18"/>
                <w:szCs w:val="18"/>
                <w:lang w:val="en-GB"/>
              </w:rPr>
            </w:pPr>
            <w:r w:rsidRPr="007E57AE">
              <w:rPr>
                <w:rFonts w:eastAsia="KaiTi_GB2312"/>
                <w:snapToGrid/>
                <w:sz w:val="18"/>
                <w:szCs w:val="18"/>
                <w:lang w:val="en-GB" w:eastAsia="en-US"/>
              </w:rPr>
              <w:t>1995</w:t>
            </w:r>
            <w:r w:rsidRPr="007E57AE">
              <w:rPr>
                <w:rFonts w:eastAsia="KaiTi_GB2312"/>
                <w:snapToGrid/>
                <w:sz w:val="18"/>
                <w:szCs w:val="18"/>
                <w:lang w:val="en-GB"/>
              </w:rPr>
              <w:t>年</w:t>
            </w:r>
          </w:p>
        </w:tc>
        <w:tc>
          <w:tcPr>
            <w:tcW w:w="700"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eastAsia="en-US"/>
              </w:rPr>
              <w:t>1996</w:t>
            </w:r>
            <w:r w:rsidRPr="007E57AE">
              <w:rPr>
                <w:rFonts w:eastAsia="KaiTi_GB2312"/>
                <w:snapToGrid/>
                <w:spacing w:val="-6"/>
                <w:sz w:val="18"/>
                <w:szCs w:val="18"/>
                <w:lang w:val="en-GB"/>
              </w:rPr>
              <w:t>年</w:t>
            </w:r>
          </w:p>
        </w:tc>
        <w:tc>
          <w:tcPr>
            <w:tcW w:w="700"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eastAsia="en-US"/>
              </w:rPr>
              <w:t>1997</w:t>
            </w:r>
            <w:r w:rsidRPr="007E57AE">
              <w:rPr>
                <w:rFonts w:eastAsia="KaiTi_GB2312"/>
                <w:snapToGrid/>
                <w:spacing w:val="-6"/>
                <w:sz w:val="18"/>
                <w:szCs w:val="18"/>
                <w:lang w:val="en-GB"/>
              </w:rPr>
              <w:t>年</w:t>
            </w:r>
          </w:p>
        </w:tc>
        <w:tc>
          <w:tcPr>
            <w:tcW w:w="658"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eastAsia="en-US"/>
              </w:rPr>
              <w:t>1998</w:t>
            </w:r>
            <w:r w:rsidRPr="007E57AE">
              <w:rPr>
                <w:rFonts w:eastAsia="KaiTi_GB2312"/>
                <w:snapToGrid/>
                <w:spacing w:val="-6"/>
                <w:sz w:val="18"/>
                <w:szCs w:val="18"/>
                <w:lang w:val="en-GB"/>
              </w:rPr>
              <w:t>年</w:t>
            </w:r>
          </w:p>
        </w:tc>
        <w:tc>
          <w:tcPr>
            <w:tcW w:w="644"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eastAsia="en-US"/>
              </w:rPr>
              <w:t>1999</w:t>
            </w:r>
            <w:r w:rsidRPr="007E57AE">
              <w:rPr>
                <w:rFonts w:eastAsia="KaiTi_GB2312"/>
                <w:snapToGrid/>
                <w:spacing w:val="-6"/>
                <w:sz w:val="18"/>
                <w:szCs w:val="18"/>
                <w:lang w:val="en-GB"/>
              </w:rPr>
              <w:t>年</w:t>
            </w:r>
          </w:p>
        </w:tc>
        <w:tc>
          <w:tcPr>
            <w:tcW w:w="672"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eastAsia="en-US"/>
              </w:rPr>
              <w:t>2000</w:t>
            </w:r>
            <w:r w:rsidRPr="007E57AE">
              <w:rPr>
                <w:rFonts w:eastAsia="KaiTi_GB2312"/>
                <w:snapToGrid/>
                <w:spacing w:val="-6"/>
                <w:sz w:val="18"/>
                <w:szCs w:val="18"/>
                <w:lang w:val="en-GB"/>
              </w:rPr>
              <w:t>年</w:t>
            </w:r>
          </w:p>
        </w:tc>
        <w:tc>
          <w:tcPr>
            <w:tcW w:w="685"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eastAsia="en-US"/>
              </w:rPr>
              <w:t>2001</w:t>
            </w:r>
            <w:r w:rsidRPr="007E57AE">
              <w:rPr>
                <w:rFonts w:eastAsia="KaiTi_GB2312"/>
                <w:snapToGrid/>
                <w:spacing w:val="-6"/>
                <w:sz w:val="18"/>
                <w:szCs w:val="18"/>
                <w:lang w:val="en-GB"/>
              </w:rPr>
              <w:t>年</w:t>
            </w:r>
          </w:p>
        </w:tc>
        <w:tc>
          <w:tcPr>
            <w:tcW w:w="714"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eastAsia="en-US"/>
              </w:rPr>
            </w:pPr>
            <w:r w:rsidRPr="007E57AE">
              <w:rPr>
                <w:rFonts w:eastAsia="KaiTi_GB2312"/>
                <w:snapToGrid/>
                <w:spacing w:val="-6"/>
                <w:sz w:val="18"/>
                <w:szCs w:val="18"/>
                <w:lang w:val="en-GB" w:eastAsia="en-US"/>
              </w:rPr>
              <w:t>2002</w:t>
            </w:r>
            <w:r w:rsidRPr="007E57AE">
              <w:rPr>
                <w:rFonts w:eastAsia="KaiTi_GB2312"/>
                <w:snapToGrid/>
                <w:spacing w:val="-6"/>
                <w:sz w:val="18"/>
                <w:szCs w:val="18"/>
                <w:lang w:val="en-GB"/>
              </w:rPr>
              <w:t>年</w:t>
            </w:r>
          </w:p>
        </w:tc>
        <w:tc>
          <w:tcPr>
            <w:tcW w:w="672"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eastAsia="en-US"/>
              </w:rPr>
            </w:pPr>
            <w:r w:rsidRPr="007E57AE">
              <w:rPr>
                <w:rFonts w:eastAsia="KaiTi_GB2312"/>
                <w:snapToGrid/>
                <w:spacing w:val="-6"/>
                <w:sz w:val="18"/>
                <w:szCs w:val="18"/>
                <w:lang w:val="en-GB" w:eastAsia="en-US"/>
              </w:rPr>
              <w:t>2003</w:t>
            </w:r>
            <w:r w:rsidRPr="007E57AE">
              <w:rPr>
                <w:rFonts w:eastAsia="KaiTi_GB2312"/>
                <w:snapToGrid/>
                <w:spacing w:val="-6"/>
                <w:sz w:val="18"/>
                <w:szCs w:val="18"/>
                <w:lang w:val="en-GB"/>
              </w:rPr>
              <w:t>年</w:t>
            </w:r>
          </w:p>
        </w:tc>
        <w:tc>
          <w:tcPr>
            <w:tcW w:w="728"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eastAsia="en-US"/>
              </w:rPr>
            </w:pPr>
            <w:r w:rsidRPr="007E57AE">
              <w:rPr>
                <w:rFonts w:eastAsia="KaiTi_GB2312"/>
                <w:snapToGrid/>
                <w:spacing w:val="-6"/>
                <w:sz w:val="18"/>
                <w:szCs w:val="18"/>
                <w:lang w:val="en-GB" w:eastAsia="en-US"/>
              </w:rPr>
              <w:t>2004</w:t>
            </w:r>
            <w:r w:rsidRPr="007E57AE">
              <w:rPr>
                <w:rFonts w:eastAsia="KaiTi_GB2312"/>
                <w:snapToGrid/>
                <w:spacing w:val="-6"/>
                <w:sz w:val="18"/>
                <w:szCs w:val="18"/>
                <w:lang w:val="en-GB"/>
              </w:rPr>
              <w:t>年</w:t>
            </w:r>
          </w:p>
        </w:tc>
        <w:tc>
          <w:tcPr>
            <w:tcW w:w="798"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eastAsia="en-US"/>
              </w:rPr>
            </w:pPr>
            <w:r w:rsidRPr="007E57AE">
              <w:rPr>
                <w:rFonts w:eastAsia="KaiTi_GB2312"/>
                <w:snapToGrid/>
                <w:spacing w:val="-6"/>
                <w:sz w:val="18"/>
                <w:szCs w:val="18"/>
                <w:lang w:val="en-GB" w:eastAsia="en-US"/>
              </w:rPr>
              <w:t>2005</w:t>
            </w:r>
            <w:r w:rsidRPr="007E57AE">
              <w:rPr>
                <w:rFonts w:eastAsia="KaiTi_GB2312"/>
                <w:snapToGrid/>
                <w:spacing w:val="-6"/>
                <w:sz w:val="18"/>
                <w:szCs w:val="18"/>
                <w:lang w:val="en-GB"/>
              </w:rPr>
              <w:t>年</w:t>
            </w:r>
          </w:p>
        </w:tc>
        <w:tc>
          <w:tcPr>
            <w:tcW w:w="714"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eastAsia="en-US"/>
              </w:rPr>
            </w:pPr>
            <w:r w:rsidRPr="007E57AE">
              <w:rPr>
                <w:rFonts w:eastAsia="KaiTi_GB2312"/>
                <w:snapToGrid/>
                <w:spacing w:val="-6"/>
                <w:sz w:val="18"/>
                <w:szCs w:val="18"/>
                <w:lang w:val="en-GB" w:eastAsia="en-US"/>
              </w:rPr>
              <w:t>2006</w:t>
            </w:r>
            <w:r w:rsidRPr="007E57AE">
              <w:rPr>
                <w:rFonts w:eastAsia="KaiTi_GB2312"/>
                <w:snapToGrid/>
                <w:spacing w:val="-6"/>
                <w:sz w:val="18"/>
                <w:szCs w:val="18"/>
                <w:lang w:val="en-GB"/>
              </w:rPr>
              <w:t>年</w:t>
            </w:r>
          </w:p>
        </w:tc>
      </w:tr>
      <w:tr w:rsidR="00A93F62">
        <w:trPr>
          <w:trHeight w:val="505"/>
        </w:trPr>
        <w:tc>
          <w:tcPr>
            <w:cnfStyle w:val="001000000000" w:firstRow="0" w:lastRow="0" w:firstColumn="1" w:lastColumn="0" w:oddVBand="0" w:evenVBand="0" w:oddHBand="0" w:evenHBand="0" w:firstRowFirstColumn="0" w:firstRowLastColumn="0" w:lastRowFirstColumn="0" w:lastRowLastColumn="0"/>
            <w:tcW w:w="734" w:type="dxa"/>
            <w:tcBorders>
              <w:top w:val="single" w:sz="12" w:space="0" w:color="auto"/>
            </w:tcBorders>
          </w:tcPr>
          <w:p w:rsidR="00A93F62" w:rsidRPr="007E57AE" w:rsidRDefault="00A93F62">
            <w:pPr>
              <w:tabs>
                <w:tab w:val="clear" w:pos="431"/>
              </w:tabs>
              <w:suppressAutoHyphens/>
              <w:overflowPunct/>
              <w:adjustRightInd/>
              <w:snapToGrid/>
              <w:spacing w:before="0" w:after="0" w:line="80" w:lineRule="atLeast"/>
              <w:rPr>
                <w:snapToGrid/>
                <w:sz w:val="18"/>
                <w:szCs w:val="18"/>
                <w:lang w:val="en-GB" w:eastAsia="en-US"/>
              </w:rPr>
            </w:pPr>
            <w:r w:rsidRPr="007E57AE">
              <w:rPr>
                <w:snapToGrid/>
                <w:sz w:val="18"/>
                <w:szCs w:val="18"/>
                <w:lang w:val="en-GB" w:eastAsia="en-US"/>
              </w:rPr>
              <w:t>42.2</w:t>
            </w:r>
          </w:p>
        </w:tc>
        <w:tc>
          <w:tcPr>
            <w:tcW w:w="700"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39.6</w:t>
            </w:r>
          </w:p>
        </w:tc>
        <w:tc>
          <w:tcPr>
            <w:tcW w:w="700"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37.5</w:t>
            </w:r>
          </w:p>
        </w:tc>
        <w:tc>
          <w:tcPr>
            <w:tcW w:w="658"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32.9</w:t>
            </w:r>
          </w:p>
        </w:tc>
        <w:tc>
          <w:tcPr>
            <w:tcW w:w="644"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26.4</w:t>
            </w:r>
          </w:p>
        </w:tc>
        <w:tc>
          <w:tcPr>
            <w:tcW w:w="672"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21.3</w:t>
            </w:r>
          </w:p>
        </w:tc>
        <w:tc>
          <w:tcPr>
            <w:tcW w:w="685"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20.1</w:t>
            </w:r>
          </w:p>
        </w:tc>
        <w:tc>
          <w:tcPr>
            <w:tcW w:w="714"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17.7</w:t>
            </w:r>
          </w:p>
        </w:tc>
        <w:tc>
          <w:tcPr>
            <w:tcW w:w="672"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16.4</w:t>
            </w:r>
          </w:p>
        </w:tc>
        <w:tc>
          <w:tcPr>
            <w:tcW w:w="728"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14.0</w:t>
            </w:r>
          </w:p>
        </w:tc>
        <w:tc>
          <w:tcPr>
            <w:tcW w:w="798"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12.1</w:t>
            </w:r>
          </w:p>
        </w:tc>
        <w:tc>
          <w:tcPr>
            <w:tcW w:w="714"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80" w:lineRule="atLeast"/>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12.1</w:t>
            </w:r>
          </w:p>
        </w:tc>
      </w:tr>
    </w:tbl>
    <w:p w:rsidR="00A93F62" w:rsidRDefault="00A93F62">
      <w:pPr>
        <w:tabs>
          <w:tab w:val="clear" w:pos="431"/>
        </w:tabs>
        <w:suppressAutoHyphens/>
        <w:overflowPunct/>
        <w:adjustRightInd/>
        <w:snapToGrid/>
        <w:spacing w:beforeLines="50" w:before="163" w:after="120" w:line="320" w:lineRule="atLeast"/>
        <w:ind w:left="1134" w:right="1134"/>
        <w:rPr>
          <w:snapToGrid/>
          <w:szCs w:val="21"/>
          <w:lang w:val="en-GB"/>
        </w:rPr>
      </w:pPr>
      <w:r>
        <w:rPr>
          <w:snapToGrid/>
          <w:szCs w:val="21"/>
          <w:lang w:val="en-GB"/>
        </w:rPr>
        <w:t>252.</w:t>
      </w:r>
      <w:r>
        <w:rPr>
          <w:rFonts w:hint="eastAsia"/>
          <w:snapToGrid/>
          <w:szCs w:val="21"/>
          <w:lang w:val="en-GB"/>
        </w:rPr>
        <w:t xml:space="preserve">  </w:t>
      </w:r>
      <w:r>
        <w:rPr>
          <w:snapToGrid/>
          <w:szCs w:val="21"/>
          <w:lang w:val="en-GB"/>
        </w:rPr>
        <w:t>居民发病率</w:t>
      </w:r>
      <w:r>
        <w:rPr>
          <w:snapToGrid/>
          <w:szCs w:val="21"/>
          <w:lang w:val="en-GB"/>
        </w:rPr>
        <w:t>(</w:t>
      </w:r>
      <w:r>
        <w:rPr>
          <w:snapToGrid/>
          <w:szCs w:val="21"/>
          <w:lang w:val="en-GB"/>
        </w:rPr>
        <w:t>每</w:t>
      </w:r>
      <w:r>
        <w:rPr>
          <w:snapToGrid/>
          <w:szCs w:val="21"/>
          <w:lang w:val="en-GB"/>
        </w:rPr>
        <w:t>100 000</w:t>
      </w:r>
      <w:r>
        <w:rPr>
          <w:snapToGrid/>
          <w:szCs w:val="21"/>
          <w:lang w:val="en-GB"/>
        </w:rPr>
        <w:t>人</w:t>
      </w:r>
      <w:r>
        <w:rPr>
          <w:snapToGrid/>
          <w:szCs w:val="21"/>
          <w:lang w:val="en-GB"/>
        </w:rPr>
        <w:t>)</w:t>
      </w:r>
    </w:p>
    <w:tbl>
      <w:tblPr>
        <w:tblStyle w:val="TabNum"/>
        <w:tblW w:w="9505" w:type="dxa"/>
        <w:tblInd w:w="14" w:type="dxa"/>
        <w:tblLayout w:type="fixed"/>
        <w:tblCellMar>
          <w:left w:w="0" w:type="dxa"/>
          <w:right w:w="0" w:type="dxa"/>
        </w:tblCellMar>
        <w:tblLook w:val="01E0" w:firstRow="1" w:lastRow="1" w:firstColumn="1" w:lastColumn="1" w:noHBand="0" w:noVBand="0"/>
      </w:tblPr>
      <w:tblGrid>
        <w:gridCol w:w="1764"/>
        <w:gridCol w:w="1638"/>
        <w:gridCol w:w="762"/>
        <w:gridCol w:w="763"/>
        <w:gridCol w:w="763"/>
        <w:gridCol w:w="763"/>
        <w:gridCol w:w="763"/>
        <w:gridCol w:w="763"/>
        <w:gridCol w:w="763"/>
        <w:gridCol w:w="763"/>
      </w:tblGrid>
      <w:tr w:rsidR="00A93F62">
        <w:trPr>
          <w:tblHeader/>
        </w:trPr>
        <w:tc>
          <w:tcPr>
            <w:cnfStyle w:val="001000000000" w:firstRow="0" w:lastRow="0" w:firstColumn="1" w:lastColumn="0" w:oddVBand="0" w:evenVBand="0" w:oddHBand="0" w:evenHBand="0" w:firstRowFirstColumn="0" w:firstRowLastColumn="0" w:lastRowFirstColumn="0" w:lastRowLastColumn="0"/>
            <w:tcW w:w="1764" w:type="dxa"/>
            <w:tcBorders>
              <w:bottom w:val="single" w:sz="12" w:space="0" w:color="auto"/>
            </w:tcBorders>
            <w:shd w:val="clear" w:color="auto" w:fill="auto"/>
          </w:tcPr>
          <w:p w:rsidR="00A93F62" w:rsidRPr="007E57AE" w:rsidRDefault="00A93F62">
            <w:pPr>
              <w:tabs>
                <w:tab w:val="clear" w:pos="431"/>
              </w:tabs>
              <w:suppressAutoHyphens/>
              <w:overflowPunct/>
              <w:adjustRightInd/>
              <w:snapToGrid/>
              <w:spacing w:before="0" w:after="0" w:line="240" w:lineRule="auto"/>
              <w:rPr>
                <w:i/>
                <w:snapToGrid/>
                <w:sz w:val="18"/>
                <w:szCs w:val="18"/>
                <w:lang w:val="en-GB"/>
              </w:rPr>
            </w:pPr>
            <w:r w:rsidRPr="007E57AE">
              <w:rPr>
                <w:rFonts w:eastAsia="KaiTi_GB2312"/>
                <w:snapToGrid/>
                <w:sz w:val="18"/>
                <w:szCs w:val="18"/>
                <w:lang w:val="en-GB"/>
              </w:rPr>
              <w:t>名称</w:t>
            </w:r>
          </w:p>
        </w:tc>
        <w:tc>
          <w:tcPr>
            <w:tcW w:w="1638" w:type="dxa"/>
            <w:tcBorders>
              <w:top w:val="single" w:sz="4" w:space="0" w:color="auto"/>
              <w:bottom w:val="single" w:sz="12" w:space="0" w:color="auto"/>
            </w:tcBorders>
            <w:shd w:val="clear" w:color="auto" w:fill="auto"/>
          </w:tcPr>
          <w:p w:rsidR="00A93F62" w:rsidRPr="007E57AE" w:rsidRDefault="00A93F62">
            <w:pPr>
              <w:tabs>
                <w:tab w:val="clear" w:pos="431"/>
              </w:tabs>
              <w:suppressAutoHyphens/>
              <w:overflowPunct/>
              <w:adjustRightInd/>
              <w:spacing w:after="0" w:line="240" w:lineRule="auto"/>
              <w:cnfStyle w:val="000000000000" w:firstRow="0" w:lastRow="0" w:firstColumn="0" w:lastColumn="0" w:oddVBand="0" w:evenVBand="0" w:oddHBand="0" w:evenHBand="0" w:firstRowFirstColumn="0" w:firstRowLastColumn="0" w:lastRowFirstColumn="0" w:lastRowLastColumn="0"/>
              <w:rPr>
                <w:rFonts w:eastAsia="KaiTi_GB2312"/>
                <w:snapToGrid/>
                <w:spacing w:val="-7"/>
                <w:sz w:val="18"/>
                <w:szCs w:val="18"/>
                <w:lang w:val="en-GB"/>
              </w:rPr>
            </w:pPr>
            <w:r w:rsidRPr="007E57AE">
              <w:rPr>
                <w:rFonts w:eastAsia="KaiTi_GB2312"/>
                <w:snapToGrid/>
                <w:spacing w:val="-7"/>
                <w:sz w:val="18"/>
                <w:szCs w:val="18"/>
                <w:lang w:val="en-GB"/>
              </w:rPr>
              <w:t>国际疾病分类法</w:t>
            </w:r>
            <w:r w:rsidRPr="007E57AE">
              <w:rPr>
                <w:rFonts w:eastAsia="KaiTi_GB2312"/>
                <w:snapToGrid/>
                <w:spacing w:val="-7"/>
                <w:sz w:val="18"/>
                <w:szCs w:val="18"/>
                <w:lang w:val="en-GB"/>
              </w:rPr>
              <w:t>-</w:t>
            </w:r>
            <w:r w:rsidRPr="007E57AE">
              <w:rPr>
                <w:rFonts w:eastAsia="KaiTi_GB2312"/>
                <w:snapToGrid/>
                <w:spacing w:val="-7"/>
                <w:sz w:val="18"/>
                <w:szCs w:val="18"/>
                <w:lang w:val="en-GB"/>
              </w:rPr>
              <w:br/>
              <w:t>Х</w:t>
            </w:r>
            <w:r w:rsidRPr="007E57AE">
              <w:rPr>
                <w:rFonts w:eastAsia="KaiTi_GB2312"/>
                <w:snapToGrid/>
                <w:spacing w:val="-7"/>
                <w:sz w:val="18"/>
                <w:szCs w:val="18"/>
                <w:lang w:val="en-GB"/>
              </w:rPr>
              <w:t>的代码</w:t>
            </w:r>
          </w:p>
        </w:tc>
        <w:tc>
          <w:tcPr>
            <w:tcW w:w="762"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hint="eastAsia"/>
                <w:snapToGrid/>
                <w:sz w:val="18"/>
                <w:szCs w:val="18"/>
                <w:lang w:val="en-GB"/>
              </w:rPr>
              <w:t>20</w:t>
            </w:r>
            <w:r w:rsidRPr="007E57AE">
              <w:rPr>
                <w:rFonts w:eastAsia="KaiTi_GB2312"/>
                <w:snapToGrid/>
                <w:sz w:val="18"/>
                <w:szCs w:val="18"/>
                <w:lang w:val="en-GB"/>
              </w:rPr>
              <w:t>00</w:t>
            </w:r>
            <w:r w:rsidRPr="007E57AE">
              <w:rPr>
                <w:rFonts w:eastAsia="KaiTi_GB2312"/>
                <w:snapToGrid/>
                <w:sz w:val="18"/>
                <w:szCs w:val="18"/>
                <w:lang w:val="en-GB"/>
              </w:rPr>
              <w:t>年</w:t>
            </w:r>
          </w:p>
        </w:tc>
        <w:tc>
          <w:tcPr>
            <w:tcW w:w="763"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2001</w:t>
            </w:r>
            <w:r w:rsidRPr="007E57AE">
              <w:rPr>
                <w:rFonts w:eastAsia="KaiTi_GB2312"/>
                <w:snapToGrid/>
                <w:sz w:val="18"/>
                <w:szCs w:val="18"/>
                <w:lang w:val="en-GB"/>
              </w:rPr>
              <w:t>年</w:t>
            </w:r>
          </w:p>
        </w:tc>
        <w:tc>
          <w:tcPr>
            <w:tcW w:w="763"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2002</w:t>
            </w:r>
            <w:r w:rsidRPr="007E57AE">
              <w:rPr>
                <w:rFonts w:eastAsia="KaiTi_GB2312"/>
                <w:snapToGrid/>
                <w:sz w:val="18"/>
                <w:szCs w:val="18"/>
                <w:lang w:val="en-GB"/>
              </w:rPr>
              <w:t>年</w:t>
            </w:r>
          </w:p>
        </w:tc>
        <w:tc>
          <w:tcPr>
            <w:tcW w:w="763"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2003</w:t>
            </w:r>
            <w:r w:rsidRPr="007E57AE">
              <w:rPr>
                <w:rFonts w:eastAsia="KaiTi_GB2312"/>
                <w:snapToGrid/>
                <w:sz w:val="18"/>
                <w:szCs w:val="18"/>
                <w:lang w:val="en-GB"/>
              </w:rPr>
              <w:t>年</w:t>
            </w:r>
          </w:p>
        </w:tc>
        <w:tc>
          <w:tcPr>
            <w:tcW w:w="763"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2004</w:t>
            </w:r>
            <w:r w:rsidRPr="007E57AE">
              <w:rPr>
                <w:rFonts w:eastAsia="KaiTi_GB2312"/>
                <w:snapToGrid/>
                <w:sz w:val="18"/>
                <w:szCs w:val="18"/>
                <w:lang w:val="en-GB"/>
              </w:rPr>
              <w:t>年</w:t>
            </w:r>
          </w:p>
        </w:tc>
        <w:tc>
          <w:tcPr>
            <w:tcW w:w="763"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2005</w:t>
            </w:r>
            <w:r w:rsidRPr="007E57AE">
              <w:rPr>
                <w:rFonts w:eastAsia="KaiTi_GB2312"/>
                <w:snapToGrid/>
                <w:sz w:val="18"/>
                <w:szCs w:val="18"/>
                <w:lang w:val="en-GB"/>
              </w:rPr>
              <w:t>年</w:t>
            </w:r>
          </w:p>
        </w:tc>
        <w:tc>
          <w:tcPr>
            <w:tcW w:w="763"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2006</w:t>
            </w:r>
            <w:r w:rsidRPr="007E57AE">
              <w:rPr>
                <w:rFonts w:eastAsia="KaiTi_GB2312"/>
                <w:snapToGrid/>
                <w:sz w:val="18"/>
                <w:szCs w:val="18"/>
                <w:lang w:val="en-GB"/>
              </w:rPr>
              <w:t>年</w:t>
            </w:r>
          </w:p>
        </w:tc>
        <w:tc>
          <w:tcPr>
            <w:tcW w:w="763"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2007</w:t>
            </w:r>
            <w:r w:rsidRPr="007E57AE">
              <w:rPr>
                <w:rFonts w:eastAsia="KaiTi_GB2312"/>
                <w:snapToGrid/>
                <w:sz w:val="18"/>
                <w:szCs w:val="18"/>
                <w:lang w:val="en-GB"/>
              </w:rPr>
              <w:t>年</w:t>
            </w:r>
          </w:p>
        </w:tc>
      </w:tr>
      <w:tr w:rsidR="00A93F62">
        <w:tc>
          <w:tcPr>
            <w:cnfStyle w:val="001000000000" w:firstRow="0" w:lastRow="0" w:firstColumn="1" w:lastColumn="0" w:oddVBand="0" w:evenVBand="0" w:oddHBand="0" w:evenHBand="0" w:firstRowFirstColumn="0" w:firstRowLastColumn="0" w:lastRowFirstColumn="0" w:lastRowLastColumn="0"/>
            <w:tcW w:w="1764" w:type="dxa"/>
            <w:tcBorders>
              <w:top w:val="single" w:sz="12" w:space="0" w:color="auto"/>
            </w:tcBorders>
          </w:tcPr>
          <w:p w:rsidR="00A93F62" w:rsidRPr="007E57AE" w:rsidRDefault="00A93F62">
            <w:pPr>
              <w:tabs>
                <w:tab w:val="clear" w:pos="431"/>
              </w:tabs>
              <w:suppressAutoHyphens/>
              <w:overflowPunct/>
              <w:adjustRightInd/>
              <w:spacing w:before="0" w:after="0" w:line="240" w:lineRule="auto"/>
              <w:rPr>
                <w:snapToGrid/>
                <w:sz w:val="18"/>
                <w:szCs w:val="18"/>
                <w:lang w:val="en-GB"/>
              </w:rPr>
            </w:pPr>
            <w:r w:rsidRPr="007E57AE">
              <w:rPr>
                <w:snapToGrid/>
                <w:sz w:val="18"/>
                <w:szCs w:val="18"/>
                <w:lang w:val="en-GB"/>
              </w:rPr>
              <w:t>某些传染病和</w:t>
            </w:r>
            <w:r w:rsidRPr="007E57AE">
              <w:rPr>
                <w:snapToGrid/>
                <w:sz w:val="18"/>
                <w:szCs w:val="18"/>
                <w:lang w:val="en-GB"/>
              </w:rPr>
              <w:br/>
            </w:r>
            <w:r w:rsidRPr="007E57AE">
              <w:rPr>
                <w:snapToGrid/>
                <w:sz w:val="18"/>
                <w:szCs w:val="18"/>
                <w:lang w:val="en-GB"/>
              </w:rPr>
              <w:t>寄生虫病</w:t>
            </w:r>
          </w:p>
        </w:tc>
        <w:tc>
          <w:tcPr>
            <w:tcW w:w="1638" w:type="dxa"/>
            <w:tcBorders>
              <w:top w:val="single" w:sz="12" w:space="0" w:color="auto"/>
            </w:tcBorders>
          </w:tcPr>
          <w:p w:rsidR="00A93F62" w:rsidRPr="007E57AE" w:rsidRDefault="00A93F62">
            <w:pPr>
              <w:tabs>
                <w:tab w:val="clear" w:pos="431"/>
              </w:tabs>
              <w:suppressAutoHyphens/>
              <w:overflowPunct/>
              <w:adjustRightInd/>
              <w:snapToGrid/>
              <w:spacing w:before="0" w:after="0" w:line="240" w:lineRule="auto"/>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А00-В99</w:t>
            </w:r>
          </w:p>
        </w:tc>
        <w:tc>
          <w:tcPr>
            <w:tcW w:w="762"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rPr>
            </w:pPr>
            <w:r w:rsidRPr="007E57AE">
              <w:rPr>
                <w:snapToGrid/>
                <w:spacing w:val="-5"/>
                <w:sz w:val="18"/>
                <w:szCs w:val="18"/>
                <w:lang w:val="en-GB"/>
              </w:rPr>
              <w:t>1 693.4</w:t>
            </w:r>
          </w:p>
        </w:tc>
        <w:tc>
          <w:tcPr>
            <w:tcW w:w="763"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rPr>
            </w:pPr>
            <w:r w:rsidRPr="007E57AE">
              <w:rPr>
                <w:snapToGrid/>
                <w:spacing w:val="-5"/>
                <w:sz w:val="18"/>
                <w:szCs w:val="18"/>
                <w:lang w:val="en-GB"/>
              </w:rPr>
              <w:t>1 349.9</w:t>
            </w:r>
          </w:p>
        </w:tc>
        <w:tc>
          <w:tcPr>
            <w:tcW w:w="763"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rPr>
            </w:pPr>
            <w:r w:rsidRPr="007E57AE">
              <w:rPr>
                <w:snapToGrid/>
                <w:spacing w:val="-5"/>
                <w:sz w:val="18"/>
                <w:szCs w:val="18"/>
                <w:lang w:val="en-GB"/>
              </w:rPr>
              <w:t>1 208.1</w:t>
            </w:r>
          </w:p>
        </w:tc>
        <w:tc>
          <w:tcPr>
            <w:tcW w:w="763"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rPr>
            </w:pPr>
            <w:r w:rsidRPr="007E57AE">
              <w:rPr>
                <w:snapToGrid/>
                <w:spacing w:val="-5"/>
                <w:sz w:val="18"/>
                <w:szCs w:val="18"/>
                <w:lang w:val="en-GB"/>
              </w:rPr>
              <w:t>1 173.8</w:t>
            </w:r>
          </w:p>
        </w:tc>
        <w:tc>
          <w:tcPr>
            <w:tcW w:w="763"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rPr>
            </w:pPr>
            <w:r w:rsidRPr="007E57AE">
              <w:rPr>
                <w:snapToGrid/>
                <w:spacing w:val="-5"/>
                <w:sz w:val="18"/>
                <w:szCs w:val="18"/>
                <w:lang w:val="en-GB"/>
              </w:rPr>
              <w:t>1 069.4</w:t>
            </w:r>
          </w:p>
        </w:tc>
        <w:tc>
          <w:tcPr>
            <w:tcW w:w="763"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rPr>
            </w:pPr>
            <w:r w:rsidRPr="007E57AE">
              <w:rPr>
                <w:snapToGrid/>
                <w:spacing w:val="-5"/>
                <w:sz w:val="18"/>
                <w:szCs w:val="18"/>
                <w:lang w:val="en-GB"/>
              </w:rPr>
              <w:t>963.4</w:t>
            </w:r>
          </w:p>
        </w:tc>
        <w:tc>
          <w:tcPr>
            <w:tcW w:w="763"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rPr>
            </w:pPr>
            <w:r w:rsidRPr="007E57AE">
              <w:rPr>
                <w:snapToGrid/>
                <w:spacing w:val="-5"/>
                <w:sz w:val="18"/>
                <w:szCs w:val="18"/>
                <w:lang w:val="en-GB"/>
              </w:rPr>
              <w:t>806.8</w:t>
            </w:r>
          </w:p>
        </w:tc>
        <w:tc>
          <w:tcPr>
            <w:tcW w:w="763"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rPr>
            </w:pPr>
            <w:r w:rsidRPr="007E57AE">
              <w:rPr>
                <w:snapToGrid/>
                <w:spacing w:val="-5"/>
                <w:sz w:val="18"/>
                <w:szCs w:val="18"/>
                <w:lang w:val="en-GB"/>
              </w:rPr>
              <w:t>702.8</w:t>
            </w:r>
          </w:p>
        </w:tc>
      </w:tr>
      <w:tr w:rsidR="00A93F62">
        <w:trPr>
          <w:trHeight w:val="382"/>
        </w:trPr>
        <w:tc>
          <w:tcPr>
            <w:cnfStyle w:val="001000000000" w:firstRow="0" w:lastRow="0" w:firstColumn="1" w:lastColumn="0" w:oddVBand="0" w:evenVBand="0" w:oddHBand="0" w:evenHBand="0" w:firstRowFirstColumn="0" w:firstRowLastColumn="0" w:lastRowFirstColumn="0" w:lastRowLastColumn="0"/>
            <w:tcW w:w="1764"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r w:rsidRPr="007E57AE">
              <w:rPr>
                <w:snapToGrid/>
                <w:sz w:val="18"/>
                <w:szCs w:val="18"/>
                <w:lang w:val="en-GB"/>
              </w:rPr>
              <w:t>某些非传染性疾病</w:t>
            </w:r>
          </w:p>
        </w:tc>
        <w:tc>
          <w:tcPr>
            <w:tcW w:w="1638" w:type="dxa"/>
          </w:tcPr>
          <w:p w:rsidR="00A93F62" w:rsidRPr="007E57AE" w:rsidRDefault="00A93F62">
            <w:pPr>
              <w:tabs>
                <w:tab w:val="clear" w:pos="431"/>
              </w:tabs>
              <w:suppressAutoHyphens/>
              <w:overflowPunct/>
              <w:adjustRightInd/>
              <w:snapToGrid/>
              <w:spacing w:before="0" w:after="0" w:line="240" w:lineRule="auto"/>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С00-R99</w:t>
            </w:r>
          </w:p>
        </w:tc>
        <w:tc>
          <w:tcPr>
            <w:tcW w:w="762"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eastAsia="en-US"/>
              </w:rPr>
            </w:pPr>
            <w:r w:rsidRPr="007E57AE">
              <w:rPr>
                <w:snapToGrid/>
                <w:spacing w:val="-5"/>
                <w:sz w:val="18"/>
                <w:szCs w:val="18"/>
                <w:lang w:val="en-GB" w:eastAsia="en-US"/>
              </w:rPr>
              <w:t>30 605.1</w:t>
            </w:r>
          </w:p>
        </w:tc>
        <w:tc>
          <w:tcPr>
            <w:tcW w:w="763"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eastAsia="en-US"/>
              </w:rPr>
            </w:pPr>
            <w:r w:rsidRPr="007E57AE">
              <w:rPr>
                <w:snapToGrid/>
                <w:spacing w:val="-5"/>
                <w:sz w:val="18"/>
                <w:szCs w:val="18"/>
                <w:lang w:val="en-GB" w:eastAsia="en-US"/>
              </w:rPr>
              <w:t>27 403.7</w:t>
            </w:r>
          </w:p>
        </w:tc>
        <w:tc>
          <w:tcPr>
            <w:tcW w:w="763"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eastAsia="en-US"/>
              </w:rPr>
            </w:pPr>
            <w:r w:rsidRPr="007E57AE">
              <w:rPr>
                <w:snapToGrid/>
                <w:spacing w:val="-5"/>
                <w:sz w:val="18"/>
                <w:szCs w:val="18"/>
                <w:lang w:val="en-GB" w:eastAsia="en-US"/>
              </w:rPr>
              <w:t>26 001.7</w:t>
            </w:r>
          </w:p>
        </w:tc>
        <w:tc>
          <w:tcPr>
            <w:tcW w:w="763"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eastAsia="en-US"/>
              </w:rPr>
            </w:pPr>
            <w:r w:rsidRPr="007E57AE">
              <w:rPr>
                <w:snapToGrid/>
                <w:spacing w:val="-5"/>
                <w:sz w:val="18"/>
                <w:szCs w:val="18"/>
                <w:lang w:val="en-GB" w:eastAsia="en-US"/>
              </w:rPr>
              <w:t>23 173.7</w:t>
            </w:r>
          </w:p>
        </w:tc>
        <w:tc>
          <w:tcPr>
            <w:tcW w:w="763"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eastAsia="en-US"/>
              </w:rPr>
            </w:pPr>
            <w:r w:rsidRPr="007E57AE">
              <w:rPr>
                <w:snapToGrid/>
                <w:spacing w:val="-5"/>
                <w:sz w:val="18"/>
                <w:szCs w:val="18"/>
                <w:lang w:val="en-GB" w:eastAsia="en-US"/>
              </w:rPr>
              <w:t>22 304.6</w:t>
            </w:r>
          </w:p>
        </w:tc>
        <w:tc>
          <w:tcPr>
            <w:tcW w:w="763"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eastAsia="en-US"/>
              </w:rPr>
            </w:pPr>
            <w:r w:rsidRPr="007E57AE">
              <w:rPr>
                <w:snapToGrid/>
                <w:spacing w:val="-5"/>
                <w:sz w:val="18"/>
                <w:szCs w:val="18"/>
                <w:lang w:val="en-GB" w:eastAsia="en-US"/>
              </w:rPr>
              <w:t>20 989.5</w:t>
            </w:r>
          </w:p>
        </w:tc>
        <w:tc>
          <w:tcPr>
            <w:tcW w:w="763"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eastAsia="en-US"/>
              </w:rPr>
            </w:pPr>
            <w:r w:rsidRPr="007E57AE">
              <w:rPr>
                <w:snapToGrid/>
                <w:spacing w:val="-5"/>
                <w:sz w:val="18"/>
                <w:szCs w:val="18"/>
                <w:lang w:val="en-GB" w:eastAsia="en-US"/>
              </w:rPr>
              <w:t>20 060.9</w:t>
            </w:r>
          </w:p>
        </w:tc>
        <w:tc>
          <w:tcPr>
            <w:tcW w:w="763"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8"/>
                <w:szCs w:val="18"/>
                <w:lang w:val="en-GB" w:eastAsia="en-US"/>
              </w:rPr>
            </w:pPr>
            <w:r w:rsidRPr="007E57AE">
              <w:rPr>
                <w:snapToGrid/>
                <w:spacing w:val="-5"/>
                <w:sz w:val="18"/>
                <w:szCs w:val="18"/>
                <w:lang w:val="en-GB" w:eastAsia="en-US"/>
              </w:rPr>
              <w:t>19 169.9</w:t>
            </w:r>
          </w:p>
        </w:tc>
      </w:tr>
    </w:tbl>
    <w:p w:rsidR="00A93F62" w:rsidRDefault="00A93F62">
      <w:pPr>
        <w:pStyle w:val="SingleTxtGC"/>
        <w:rPr>
          <w:snapToGrid/>
          <w:lang w:val="en-GB"/>
        </w:rPr>
      </w:pPr>
      <w:r>
        <w:rPr>
          <w:snapToGrid/>
          <w:lang w:val="en-GB"/>
        </w:rPr>
        <w:br w:type="page"/>
        <w:t>253.</w:t>
      </w:r>
      <w:r>
        <w:rPr>
          <w:rFonts w:hint="eastAsia"/>
          <w:snapToGrid/>
          <w:lang w:val="en-GB"/>
        </w:rPr>
        <w:t xml:space="preserve">  </w:t>
      </w:r>
      <w:r>
        <w:rPr>
          <w:snapToGrid/>
          <w:lang w:val="en-GB"/>
        </w:rPr>
        <w:t>人口发病率</w:t>
      </w:r>
      <w:r>
        <w:rPr>
          <w:snapToGrid/>
          <w:lang w:val="en-GB"/>
        </w:rPr>
        <w:t>(</w:t>
      </w:r>
      <w:r>
        <w:rPr>
          <w:snapToGrid/>
          <w:lang w:val="en-GB"/>
        </w:rPr>
        <w:t>每</w:t>
      </w:r>
      <w:r>
        <w:rPr>
          <w:snapToGrid/>
          <w:lang w:val="en-GB"/>
        </w:rPr>
        <w:t>100 000</w:t>
      </w:r>
      <w:r>
        <w:rPr>
          <w:snapToGrid/>
          <w:lang w:val="en-GB"/>
        </w:rPr>
        <w:t>人</w:t>
      </w:r>
      <w:r>
        <w:rPr>
          <w:snapToGrid/>
          <w:lang w:val="en-GB"/>
        </w:rPr>
        <w:t>)</w:t>
      </w:r>
    </w:p>
    <w:tbl>
      <w:tblPr>
        <w:tblStyle w:val="TabNum"/>
        <w:tblW w:w="9673" w:type="dxa"/>
        <w:tblLayout w:type="fixed"/>
        <w:tblLook w:val="01E0" w:firstRow="1" w:lastRow="1" w:firstColumn="1" w:lastColumn="1" w:noHBand="0" w:noVBand="0"/>
      </w:tblPr>
      <w:tblGrid>
        <w:gridCol w:w="1666"/>
        <w:gridCol w:w="1540"/>
        <w:gridCol w:w="808"/>
        <w:gridCol w:w="808"/>
        <w:gridCol w:w="809"/>
        <w:gridCol w:w="808"/>
        <w:gridCol w:w="808"/>
        <w:gridCol w:w="809"/>
        <w:gridCol w:w="808"/>
        <w:gridCol w:w="809"/>
      </w:tblGrid>
      <w:tr w:rsidR="00A93F62">
        <w:trPr>
          <w:tblHeader/>
        </w:trPr>
        <w:tc>
          <w:tcPr>
            <w:cnfStyle w:val="001000000000" w:firstRow="0" w:lastRow="0" w:firstColumn="1" w:lastColumn="0" w:oddVBand="0" w:evenVBand="0" w:oddHBand="0" w:evenHBand="0" w:firstRowFirstColumn="0" w:firstRowLastColumn="0" w:lastRowFirstColumn="0" w:lastRowLastColumn="0"/>
            <w:tcW w:w="1666" w:type="dxa"/>
            <w:tcBorders>
              <w:bottom w:val="single" w:sz="12" w:space="0" w:color="auto"/>
            </w:tcBorders>
            <w:shd w:val="clear" w:color="auto" w:fill="auto"/>
          </w:tcPr>
          <w:p w:rsidR="00A93F62" w:rsidRPr="007E57AE" w:rsidRDefault="00A93F62">
            <w:pPr>
              <w:tabs>
                <w:tab w:val="clear" w:pos="431"/>
              </w:tabs>
              <w:suppressAutoHyphens/>
              <w:overflowPunct/>
              <w:adjustRightInd/>
              <w:snapToGrid/>
              <w:spacing w:before="0" w:after="0" w:line="240" w:lineRule="auto"/>
              <w:rPr>
                <w:i/>
                <w:snapToGrid/>
                <w:sz w:val="18"/>
                <w:szCs w:val="18"/>
                <w:lang w:val="en-GB"/>
              </w:rPr>
            </w:pPr>
            <w:r w:rsidRPr="007E57AE">
              <w:rPr>
                <w:rFonts w:eastAsia="KaiTi_GB2312"/>
                <w:snapToGrid/>
                <w:sz w:val="18"/>
                <w:szCs w:val="18"/>
                <w:lang w:val="en-GB"/>
              </w:rPr>
              <w:t>名称</w:t>
            </w:r>
          </w:p>
        </w:tc>
        <w:tc>
          <w:tcPr>
            <w:tcW w:w="1540" w:type="dxa"/>
            <w:tcBorders>
              <w:top w:val="single" w:sz="4" w:space="0" w:color="auto"/>
              <w:bottom w:val="single" w:sz="12" w:space="0" w:color="auto"/>
            </w:tcBorders>
            <w:shd w:val="clear" w:color="auto" w:fill="auto"/>
          </w:tcPr>
          <w:p w:rsidR="00A93F62" w:rsidRPr="007E57AE" w:rsidRDefault="00A93F62">
            <w:pPr>
              <w:tabs>
                <w:tab w:val="clear" w:pos="431"/>
              </w:tabs>
              <w:suppressAutoHyphens/>
              <w:overflowPunct/>
              <w:adjustRightInd/>
              <w:spacing w:after="0" w:line="240" w:lineRule="auto"/>
              <w:cnfStyle w:val="000000000000" w:firstRow="0" w:lastRow="0" w:firstColumn="0" w:lastColumn="0" w:oddVBand="0" w:evenVBand="0" w:oddHBand="0" w:evenHBand="0" w:firstRowFirstColumn="0" w:firstRowLastColumn="0" w:lastRowFirstColumn="0" w:lastRowLastColumn="0"/>
              <w:rPr>
                <w:rFonts w:eastAsia="KaiTi_GB2312"/>
                <w:snapToGrid/>
                <w:spacing w:val="-6"/>
                <w:sz w:val="18"/>
                <w:szCs w:val="18"/>
                <w:lang w:val="en-GB"/>
              </w:rPr>
            </w:pPr>
            <w:r w:rsidRPr="007E57AE">
              <w:rPr>
                <w:rFonts w:eastAsia="KaiTi_GB2312"/>
                <w:snapToGrid/>
                <w:spacing w:val="-6"/>
                <w:sz w:val="18"/>
                <w:szCs w:val="18"/>
                <w:lang w:val="en-GB"/>
              </w:rPr>
              <w:t>国际疾病分类法</w:t>
            </w:r>
            <w:r w:rsidRPr="007E57AE">
              <w:rPr>
                <w:rFonts w:eastAsia="KaiTi_GB2312"/>
                <w:snapToGrid/>
                <w:spacing w:val="-6"/>
                <w:sz w:val="18"/>
                <w:szCs w:val="18"/>
                <w:lang w:val="en-GB"/>
              </w:rPr>
              <w:t>-</w:t>
            </w:r>
            <w:r w:rsidRPr="007E57AE">
              <w:rPr>
                <w:rFonts w:eastAsia="KaiTi_GB2312"/>
                <w:snapToGrid/>
                <w:spacing w:val="-6"/>
                <w:sz w:val="18"/>
                <w:szCs w:val="18"/>
                <w:lang w:val="en-GB"/>
              </w:rPr>
              <w:br/>
              <w:t>Х</w:t>
            </w:r>
            <w:r w:rsidRPr="007E57AE">
              <w:rPr>
                <w:rFonts w:eastAsia="KaiTi_GB2312"/>
                <w:snapToGrid/>
                <w:spacing w:val="-6"/>
                <w:sz w:val="18"/>
                <w:szCs w:val="18"/>
                <w:lang w:val="en-GB"/>
              </w:rPr>
              <w:t>的代码</w:t>
            </w:r>
          </w:p>
        </w:tc>
        <w:tc>
          <w:tcPr>
            <w:tcW w:w="808"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rPr>
              <w:t>2000</w:t>
            </w:r>
            <w:r w:rsidRPr="007E57AE">
              <w:rPr>
                <w:rFonts w:eastAsia="KaiTi_GB2312"/>
                <w:snapToGrid/>
                <w:spacing w:val="-6"/>
                <w:sz w:val="18"/>
                <w:szCs w:val="18"/>
                <w:lang w:val="en-GB"/>
              </w:rPr>
              <w:t>年</w:t>
            </w:r>
          </w:p>
        </w:tc>
        <w:tc>
          <w:tcPr>
            <w:tcW w:w="808"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rPr>
              <w:t>2001</w:t>
            </w:r>
            <w:r w:rsidRPr="007E57AE">
              <w:rPr>
                <w:rFonts w:eastAsia="KaiTi_GB2312"/>
                <w:snapToGrid/>
                <w:spacing w:val="-6"/>
                <w:sz w:val="18"/>
                <w:szCs w:val="18"/>
                <w:lang w:val="en-GB"/>
              </w:rPr>
              <w:t>年</w:t>
            </w:r>
          </w:p>
        </w:tc>
        <w:tc>
          <w:tcPr>
            <w:tcW w:w="809"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rPr>
              <w:t>2002</w:t>
            </w:r>
            <w:r w:rsidRPr="007E57AE">
              <w:rPr>
                <w:rFonts w:eastAsia="KaiTi_GB2312"/>
                <w:snapToGrid/>
                <w:spacing w:val="-6"/>
                <w:sz w:val="18"/>
                <w:szCs w:val="18"/>
                <w:lang w:val="en-GB"/>
              </w:rPr>
              <w:t>年</w:t>
            </w:r>
          </w:p>
        </w:tc>
        <w:tc>
          <w:tcPr>
            <w:tcW w:w="808"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rPr>
              <w:t>2003</w:t>
            </w:r>
            <w:r w:rsidRPr="007E57AE">
              <w:rPr>
                <w:rFonts w:eastAsia="KaiTi_GB2312"/>
                <w:snapToGrid/>
                <w:spacing w:val="-6"/>
                <w:sz w:val="18"/>
                <w:szCs w:val="18"/>
                <w:lang w:val="en-GB"/>
              </w:rPr>
              <w:t>年</w:t>
            </w:r>
          </w:p>
        </w:tc>
        <w:tc>
          <w:tcPr>
            <w:tcW w:w="808"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rPr>
              <w:t>2004</w:t>
            </w:r>
            <w:r w:rsidRPr="007E57AE">
              <w:rPr>
                <w:rFonts w:eastAsia="KaiTi_GB2312"/>
                <w:snapToGrid/>
                <w:spacing w:val="-6"/>
                <w:sz w:val="18"/>
                <w:szCs w:val="18"/>
                <w:lang w:val="en-GB"/>
              </w:rPr>
              <w:t>年</w:t>
            </w:r>
          </w:p>
        </w:tc>
        <w:tc>
          <w:tcPr>
            <w:tcW w:w="809"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rPr>
              <w:t>2005</w:t>
            </w:r>
            <w:r w:rsidRPr="007E57AE">
              <w:rPr>
                <w:rFonts w:eastAsia="KaiTi_GB2312"/>
                <w:snapToGrid/>
                <w:spacing w:val="-6"/>
                <w:sz w:val="18"/>
                <w:szCs w:val="18"/>
                <w:lang w:val="en-GB"/>
              </w:rPr>
              <w:t>年</w:t>
            </w:r>
          </w:p>
        </w:tc>
        <w:tc>
          <w:tcPr>
            <w:tcW w:w="808"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rPr>
              <w:t>2006</w:t>
            </w:r>
            <w:r w:rsidRPr="007E57AE">
              <w:rPr>
                <w:rFonts w:eastAsia="KaiTi_GB2312"/>
                <w:snapToGrid/>
                <w:spacing w:val="-6"/>
                <w:sz w:val="18"/>
                <w:szCs w:val="18"/>
                <w:lang w:val="en-GB"/>
              </w:rPr>
              <w:t>年</w:t>
            </w:r>
          </w:p>
        </w:tc>
        <w:tc>
          <w:tcPr>
            <w:tcW w:w="809" w:type="dxa"/>
            <w:tcBorders>
              <w:top w:val="single" w:sz="4" w:space="0" w:color="auto"/>
              <w:bottom w:val="single" w:sz="12" w:space="0" w:color="auto"/>
            </w:tcBorders>
            <w:shd w:val="clear" w:color="auto" w:fill="auto"/>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pacing w:val="-6"/>
                <w:sz w:val="18"/>
                <w:szCs w:val="18"/>
                <w:lang w:val="en-GB"/>
              </w:rPr>
            </w:pPr>
            <w:r w:rsidRPr="007E57AE">
              <w:rPr>
                <w:rFonts w:eastAsia="KaiTi_GB2312"/>
                <w:snapToGrid/>
                <w:spacing w:val="-6"/>
                <w:sz w:val="18"/>
                <w:szCs w:val="18"/>
                <w:lang w:val="en-GB"/>
              </w:rPr>
              <w:t>2007</w:t>
            </w:r>
            <w:r w:rsidRPr="007E57AE">
              <w:rPr>
                <w:rFonts w:eastAsia="KaiTi_GB2312"/>
                <w:snapToGrid/>
                <w:spacing w:val="-6"/>
                <w:sz w:val="18"/>
                <w:szCs w:val="18"/>
                <w:lang w:val="en-GB"/>
              </w:rPr>
              <w:t>年</w:t>
            </w:r>
          </w:p>
        </w:tc>
      </w:tr>
      <w:tr w:rsidR="00A93F62">
        <w:tc>
          <w:tcPr>
            <w:cnfStyle w:val="001000000000" w:firstRow="0" w:lastRow="0" w:firstColumn="1" w:lastColumn="0" w:oddVBand="0" w:evenVBand="0" w:oddHBand="0" w:evenHBand="0" w:firstRowFirstColumn="0" w:firstRowLastColumn="0" w:lastRowFirstColumn="0" w:lastRowLastColumn="0"/>
            <w:tcW w:w="1666" w:type="dxa"/>
            <w:tcBorders>
              <w:top w:val="single" w:sz="12" w:space="0" w:color="auto"/>
            </w:tcBorders>
          </w:tcPr>
          <w:p w:rsidR="00A93F62" w:rsidRPr="007E57AE" w:rsidRDefault="00A93F62">
            <w:pPr>
              <w:tabs>
                <w:tab w:val="clear" w:pos="431"/>
              </w:tabs>
              <w:suppressAutoHyphens/>
              <w:overflowPunct/>
              <w:adjustRightInd/>
              <w:spacing w:before="0" w:after="0" w:line="240" w:lineRule="auto"/>
              <w:rPr>
                <w:snapToGrid/>
                <w:sz w:val="18"/>
                <w:szCs w:val="18"/>
                <w:lang w:val="en-GB"/>
              </w:rPr>
            </w:pPr>
            <w:r w:rsidRPr="007E57AE">
              <w:rPr>
                <w:snapToGrid/>
                <w:sz w:val="18"/>
                <w:szCs w:val="18"/>
                <w:lang w:val="en-GB"/>
              </w:rPr>
              <w:t>某些传染病和</w:t>
            </w:r>
            <w:r w:rsidRPr="007E57AE">
              <w:rPr>
                <w:snapToGrid/>
                <w:sz w:val="18"/>
                <w:szCs w:val="18"/>
                <w:lang w:val="en-GB"/>
              </w:rPr>
              <w:br/>
            </w:r>
            <w:r w:rsidRPr="007E57AE">
              <w:rPr>
                <w:snapToGrid/>
                <w:sz w:val="18"/>
                <w:szCs w:val="18"/>
                <w:lang w:val="en-GB"/>
              </w:rPr>
              <w:t>寄生虫病</w:t>
            </w:r>
          </w:p>
        </w:tc>
        <w:tc>
          <w:tcPr>
            <w:tcW w:w="1540" w:type="dxa"/>
            <w:tcBorders>
              <w:top w:val="single" w:sz="12" w:space="0" w:color="auto"/>
            </w:tcBorders>
          </w:tcPr>
          <w:p w:rsidR="00A93F62" w:rsidRPr="007E57AE" w:rsidRDefault="00A93F62">
            <w:pPr>
              <w:tabs>
                <w:tab w:val="clear" w:pos="431"/>
              </w:tabs>
              <w:suppressAutoHyphens/>
              <w:overflowPunct/>
              <w:adjustRightInd/>
              <w:snapToGrid/>
              <w:spacing w:before="0" w:after="0" w:line="240" w:lineRule="auto"/>
              <w:cnfStyle w:val="000000000000" w:firstRow="0" w:lastRow="0" w:firstColumn="0" w:lastColumn="0" w:oddVBand="0" w:evenVBand="0" w:oddHBand="0" w:evenHBand="0" w:firstRowFirstColumn="0" w:firstRowLastColumn="0" w:lastRowFirstColumn="0" w:lastRowLastColumn="0"/>
              <w:rPr>
                <w:snapToGrid/>
                <w:spacing w:val="-6"/>
                <w:sz w:val="18"/>
                <w:szCs w:val="18"/>
                <w:lang w:val="en-GB"/>
              </w:rPr>
            </w:pPr>
            <w:r w:rsidRPr="007E57AE">
              <w:rPr>
                <w:snapToGrid/>
                <w:spacing w:val="-6"/>
                <w:sz w:val="18"/>
                <w:szCs w:val="18"/>
                <w:lang w:val="en-GB"/>
              </w:rPr>
              <w:t>А00-В99</w:t>
            </w:r>
          </w:p>
        </w:tc>
        <w:tc>
          <w:tcPr>
            <w:tcW w:w="808"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rPr>
            </w:pPr>
            <w:r w:rsidRPr="007E57AE">
              <w:rPr>
                <w:snapToGrid/>
                <w:spacing w:val="-6"/>
                <w:sz w:val="18"/>
                <w:szCs w:val="18"/>
                <w:lang w:val="en-GB"/>
              </w:rPr>
              <w:t>2 620.4</w:t>
            </w:r>
          </w:p>
        </w:tc>
        <w:tc>
          <w:tcPr>
            <w:tcW w:w="808"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rPr>
            </w:pPr>
            <w:r w:rsidRPr="007E57AE">
              <w:rPr>
                <w:snapToGrid/>
                <w:spacing w:val="-6"/>
                <w:sz w:val="18"/>
                <w:szCs w:val="18"/>
                <w:lang w:val="en-GB"/>
              </w:rPr>
              <w:t>2 202.1</w:t>
            </w:r>
          </w:p>
        </w:tc>
        <w:tc>
          <w:tcPr>
            <w:tcW w:w="809"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rPr>
            </w:pPr>
            <w:r w:rsidRPr="007E57AE">
              <w:rPr>
                <w:snapToGrid/>
                <w:spacing w:val="-6"/>
                <w:sz w:val="18"/>
                <w:szCs w:val="18"/>
                <w:lang w:val="en-GB"/>
              </w:rPr>
              <w:t>1 995.7</w:t>
            </w:r>
          </w:p>
        </w:tc>
        <w:tc>
          <w:tcPr>
            <w:tcW w:w="808"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rPr>
            </w:pPr>
            <w:r w:rsidRPr="007E57AE">
              <w:rPr>
                <w:snapToGrid/>
                <w:spacing w:val="-6"/>
                <w:sz w:val="18"/>
                <w:szCs w:val="18"/>
                <w:lang w:val="en-GB"/>
              </w:rPr>
              <w:t>1 880.3</w:t>
            </w:r>
          </w:p>
        </w:tc>
        <w:tc>
          <w:tcPr>
            <w:tcW w:w="808"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rPr>
            </w:pPr>
            <w:r w:rsidRPr="007E57AE">
              <w:rPr>
                <w:snapToGrid/>
                <w:spacing w:val="-6"/>
                <w:sz w:val="18"/>
                <w:szCs w:val="18"/>
                <w:lang w:val="en-GB"/>
              </w:rPr>
              <w:t>1 786.9</w:t>
            </w:r>
          </w:p>
        </w:tc>
        <w:tc>
          <w:tcPr>
            <w:tcW w:w="809"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rPr>
              <w:t>1 82</w:t>
            </w:r>
            <w:r w:rsidRPr="007E57AE">
              <w:rPr>
                <w:snapToGrid/>
                <w:spacing w:val="-6"/>
                <w:sz w:val="18"/>
                <w:szCs w:val="18"/>
                <w:lang w:val="en-GB" w:eastAsia="en-US"/>
              </w:rPr>
              <w:t>3.2</w:t>
            </w:r>
          </w:p>
        </w:tc>
        <w:tc>
          <w:tcPr>
            <w:tcW w:w="808"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1 419.7</w:t>
            </w:r>
          </w:p>
        </w:tc>
        <w:tc>
          <w:tcPr>
            <w:tcW w:w="809" w:type="dxa"/>
            <w:tcBorders>
              <w:top w:val="single" w:sz="12" w:space="0" w:color="auto"/>
            </w:tcBorders>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1 261.7</w:t>
            </w:r>
          </w:p>
        </w:tc>
      </w:tr>
      <w:tr w:rsidR="00A93F62">
        <w:trPr>
          <w:trHeight w:val="354"/>
        </w:trPr>
        <w:tc>
          <w:tcPr>
            <w:cnfStyle w:val="001000000000" w:firstRow="0" w:lastRow="0" w:firstColumn="1" w:lastColumn="0" w:oddVBand="0" w:evenVBand="0" w:oddHBand="0" w:evenHBand="0" w:firstRowFirstColumn="0" w:firstRowLastColumn="0" w:lastRowFirstColumn="0" w:lastRowLastColumn="0"/>
            <w:tcW w:w="1666" w:type="dxa"/>
          </w:tcPr>
          <w:p w:rsidR="00A93F62" w:rsidRPr="007E57AE" w:rsidRDefault="00A93F62">
            <w:pPr>
              <w:tabs>
                <w:tab w:val="clear" w:pos="431"/>
              </w:tabs>
              <w:suppressAutoHyphens/>
              <w:overflowPunct/>
              <w:adjustRightInd/>
              <w:spacing w:before="0" w:after="0" w:line="240" w:lineRule="auto"/>
              <w:rPr>
                <w:snapToGrid/>
                <w:sz w:val="18"/>
                <w:szCs w:val="18"/>
                <w:lang w:val="en-GB" w:eastAsia="en-US"/>
              </w:rPr>
            </w:pPr>
            <w:r w:rsidRPr="007E57AE">
              <w:rPr>
                <w:snapToGrid/>
                <w:sz w:val="18"/>
                <w:szCs w:val="18"/>
                <w:lang w:val="en-GB"/>
              </w:rPr>
              <w:t>某些非传染性</w:t>
            </w:r>
            <w:r w:rsidRPr="007E57AE">
              <w:rPr>
                <w:snapToGrid/>
                <w:sz w:val="18"/>
                <w:szCs w:val="18"/>
                <w:lang w:val="en-GB"/>
              </w:rPr>
              <w:br/>
            </w:r>
            <w:r w:rsidRPr="007E57AE">
              <w:rPr>
                <w:snapToGrid/>
                <w:sz w:val="18"/>
                <w:szCs w:val="18"/>
                <w:lang w:val="en-GB"/>
              </w:rPr>
              <w:t>疾病</w:t>
            </w:r>
          </w:p>
        </w:tc>
        <w:tc>
          <w:tcPr>
            <w:tcW w:w="1540" w:type="dxa"/>
          </w:tcPr>
          <w:p w:rsidR="00A93F62" w:rsidRPr="007E57AE" w:rsidRDefault="00A93F62">
            <w:pPr>
              <w:tabs>
                <w:tab w:val="clear" w:pos="431"/>
              </w:tabs>
              <w:suppressAutoHyphens/>
              <w:overflowPunct/>
              <w:adjustRightInd/>
              <w:snapToGrid/>
              <w:spacing w:before="0" w:after="0" w:line="240" w:lineRule="auto"/>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С00-R99</w:t>
            </w:r>
          </w:p>
        </w:tc>
        <w:tc>
          <w:tcPr>
            <w:tcW w:w="808"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48 193.8</w:t>
            </w:r>
          </w:p>
        </w:tc>
        <w:tc>
          <w:tcPr>
            <w:tcW w:w="808"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44 299.9</w:t>
            </w:r>
          </w:p>
        </w:tc>
        <w:tc>
          <w:tcPr>
            <w:tcW w:w="809"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43 591.6</w:t>
            </w:r>
          </w:p>
        </w:tc>
        <w:tc>
          <w:tcPr>
            <w:tcW w:w="808"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40299.7</w:t>
            </w:r>
          </w:p>
        </w:tc>
        <w:tc>
          <w:tcPr>
            <w:tcW w:w="808"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39 203.1</w:t>
            </w:r>
          </w:p>
        </w:tc>
        <w:tc>
          <w:tcPr>
            <w:tcW w:w="809"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37 254.5</w:t>
            </w:r>
          </w:p>
        </w:tc>
        <w:tc>
          <w:tcPr>
            <w:tcW w:w="808"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35 286.8</w:t>
            </w:r>
          </w:p>
        </w:tc>
        <w:tc>
          <w:tcPr>
            <w:tcW w:w="809" w:type="dxa"/>
          </w:tcPr>
          <w:p w:rsidR="00A93F62" w:rsidRPr="007E57AE"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6"/>
                <w:sz w:val="18"/>
                <w:szCs w:val="18"/>
                <w:lang w:val="en-GB" w:eastAsia="en-US"/>
              </w:rPr>
            </w:pPr>
            <w:r w:rsidRPr="007E57AE">
              <w:rPr>
                <w:snapToGrid/>
                <w:spacing w:val="-6"/>
                <w:sz w:val="18"/>
                <w:szCs w:val="18"/>
                <w:lang w:val="en-GB" w:eastAsia="en-US"/>
              </w:rPr>
              <w:t>33 192.8</w:t>
            </w:r>
          </w:p>
        </w:tc>
      </w:tr>
    </w:tbl>
    <w:p w:rsidR="00A93F62" w:rsidRDefault="00A93F62">
      <w:pPr>
        <w:tabs>
          <w:tab w:val="clear" w:pos="431"/>
        </w:tabs>
        <w:suppressAutoHyphens/>
        <w:overflowPunct/>
        <w:adjustRightInd/>
        <w:snapToGrid/>
        <w:spacing w:beforeLines="50" w:before="163" w:line="320" w:lineRule="atLeast"/>
        <w:ind w:left="1134" w:right="1134"/>
        <w:rPr>
          <w:snapToGrid/>
          <w:szCs w:val="21"/>
          <w:lang w:val="en-GB"/>
        </w:rPr>
      </w:pPr>
      <w:r>
        <w:rPr>
          <w:snapToGrid/>
          <w:szCs w:val="21"/>
          <w:lang w:val="en-GB"/>
        </w:rPr>
        <w:t>254.</w:t>
      </w:r>
      <w:r>
        <w:rPr>
          <w:rFonts w:hint="eastAsia"/>
          <w:snapToGrid/>
          <w:szCs w:val="21"/>
          <w:lang w:val="en-GB"/>
        </w:rPr>
        <w:t xml:space="preserve">  </w:t>
      </w:r>
      <w:r>
        <w:rPr>
          <w:snapToGrid/>
          <w:szCs w:val="21"/>
          <w:lang w:val="en-GB"/>
        </w:rPr>
        <w:t>2000-2007</w:t>
      </w:r>
      <w:r>
        <w:rPr>
          <w:snapToGrid/>
          <w:szCs w:val="21"/>
          <w:lang w:val="en-GB"/>
        </w:rPr>
        <w:t>年期间，土库曼斯坦疫苗可预防感染的发病率</w:t>
      </w:r>
    </w:p>
    <w:p w:rsidR="00A93F62" w:rsidRDefault="00A93F62" w:rsidP="000D657E">
      <w:pPr>
        <w:tabs>
          <w:tab w:val="clear" w:pos="431"/>
        </w:tabs>
        <w:suppressAutoHyphens/>
        <w:overflowPunct/>
        <w:adjustRightInd/>
        <w:snapToGrid/>
        <w:spacing w:after="120" w:line="240" w:lineRule="atLeast"/>
        <w:ind w:leftChars="690" w:left="31680" w:right="1134" w:firstLineChars="160" w:firstLine="31680"/>
        <w:rPr>
          <w:rFonts w:eastAsia="SimHei"/>
          <w:snapToGrid/>
          <w:szCs w:val="21"/>
          <w:lang w:val="en-GB"/>
        </w:rPr>
      </w:pPr>
      <w:r>
        <w:rPr>
          <w:rFonts w:eastAsia="SimHei"/>
          <w:snapToGrid/>
          <w:szCs w:val="21"/>
          <w:lang w:val="en-GB"/>
        </w:rPr>
        <w:t>(</w:t>
      </w:r>
      <w:r>
        <w:rPr>
          <w:rFonts w:hAnsi="SimSun"/>
          <w:snapToGrid/>
          <w:szCs w:val="21"/>
          <w:lang w:val="en-GB"/>
        </w:rPr>
        <w:t>每</w:t>
      </w:r>
      <w:r>
        <w:rPr>
          <w:snapToGrid/>
          <w:szCs w:val="21"/>
          <w:lang w:val="en-GB"/>
        </w:rPr>
        <w:t>100 000</w:t>
      </w:r>
      <w:r>
        <w:rPr>
          <w:rFonts w:hAnsi="SimSun"/>
          <w:snapToGrid/>
          <w:szCs w:val="21"/>
          <w:lang w:val="en-GB"/>
        </w:rPr>
        <w:t>人</w:t>
      </w:r>
      <w:r>
        <w:rPr>
          <w:rFonts w:eastAsia="SimHei"/>
          <w:snapToGrid/>
          <w:szCs w:val="21"/>
          <w:lang w:val="en-GB"/>
        </w:rPr>
        <w:t>)</w:t>
      </w:r>
    </w:p>
    <w:tbl>
      <w:tblPr>
        <w:tblStyle w:val="TabNum"/>
        <w:tblW w:w="7897" w:type="dxa"/>
        <w:tblInd w:w="1128" w:type="dxa"/>
        <w:tblLook w:val="01E0" w:firstRow="1" w:lastRow="1" w:firstColumn="1" w:lastColumn="1" w:noHBand="0" w:noVBand="0"/>
      </w:tblPr>
      <w:tblGrid>
        <w:gridCol w:w="1200"/>
        <w:gridCol w:w="800"/>
        <w:gridCol w:w="800"/>
        <w:gridCol w:w="832"/>
        <w:gridCol w:w="868"/>
        <w:gridCol w:w="832"/>
        <w:gridCol w:w="901"/>
        <w:gridCol w:w="832"/>
        <w:gridCol w:w="832"/>
      </w:tblGrid>
      <w:tr w:rsidR="00A93F62" w:rsidRPr="00253C38">
        <w:trPr>
          <w:trHeight w:val="444"/>
          <w:tblHeader/>
        </w:trPr>
        <w:tc>
          <w:tcPr>
            <w:cnfStyle w:val="001000000000" w:firstRow="0" w:lastRow="0" w:firstColumn="1" w:lastColumn="0" w:oddVBand="0" w:evenVBand="0" w:oddHBand="0" w:evenHBand="0" w:firstRowFirstColumn="0" w:firstRowLastColumn="0" w:lastRowFirstColumn="0" w:lastRowLastColumn="0"/>
            <w:tcW w:w="1200" w:type="dxa"/>
            <w:tcBorders>
              <w:bottom w:val="single" w:sz="12" w:space="0" w:color="auto"/>
            </w:tcBorders>
            <w:shd w:val="clear" w:color="auto" w:fill="auto"/>
            <w:noWrap/>
          </w:tcPr>
          <w:p w:rsidR="00A93F62" w:rsidRPr="00253C38" w:rsidRDefault="00A93F62">
            <w:pPr>
              <w:tabs>
                <w:tab w:val="clear" w:pos="431"/>
              </w:tabs>
              <w:suppressAutoHyphens/>
              <w:overflowPunct/>
              <w:adjustRightInd/>
              <w:snapToGrid/>
              <w:spacing w:before="0" w:after="0" w:line="240" w:lineRule="auto"/>
              <w:rPr>
                <w:i/>
                <w:snapToGrid/>
                <w:sz w:val="18"/>
                <w:szCs w:val="18"/>
                <w:lang w:val="en-GB" w:eastAsia="en-US"/>
              </w:rPr>
            </w:pPr>
          </w:p>
        </w:tc>
        <w:tc>
          <w:tcPr>
            <w:tcW w:w="800" w:type="dxa"/>
            <w:tcBorders>
              <w:top w:val="single" w:sz="4" w:space="0" w:color="auto"/>
              <w:bottom w:val="single" w:sz="12" w:space="0" w:color="auto"/>
            </w:tcBorders>
            <w:shd w:val="clear" w:color="auto" w:fill="auto"/>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snapToGrid/>
                <w:sz w:val="18"/>
                <w:szCs w:val="18"/>
                <w:lang w:val="en-GB" w:eastAsia="en-US"/>
              </w:rPr>
              <w:t>2000</w:t>
            </w:r>
            <w:r w:rsidRPr="00253C38">
              <w:rPr>
                <w:rFonts w:eastAsia="KaiTi_GB2312"/>
                <w:snapToGrid/>
                <w:sz w:val="18"/>
                <w:szCs w:val="18"/>
                <w:lang w:val="en-GB" w:eastAsia="en-US"/>
              </w:rPr>
              <w:t>年</w:t>
            </w:r>
          </w:p>
        </w:tc>
        <w:tc>
          <w:tcPr>
            <w:tcW w:w="800" w:type="dxa"/>
            <w:tcBorders>
              <w:top w:val="single" w:sz="4" w:space="0" w:color="auto"/>
              <w:bottom w:val="single" w:sz="12" w:space="0" w:color="auto"/>
            </w:tcBorders>
            <w:shd w:val="clear" w:color="auto" w:fill="auto"/>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snapToGrid/>
                <w:sz w:val="18"/>
                <w:szCs w:val="18"/>
                <w:lang w:val="en-GB" w:eastAsia="en-US"/>
              </w:rPr>
              <w:t>2001</w:t>
            </w:r>
            <w:r w:rsidRPr="00253C38">
              <w:rPr>
                <w:rFonts w:eastAsia="KaiTi_GB2312"/>
                <w:snapToGrid/>
                <w:sz w:val="18"/>
                <w:szCs w:val="18"/>
                <w:lang w:val="en-GB" w:eastAsia="en-US"/>
              </w:rPr>
              <w:t>年</w:t>
            </w:r>
          </w:p>
        </w:tc>
        <w:tc>
          <w:tcPr>
            <w:tcW w:w="832" w:type="dxa"/>
            <w:tcBorders>
              <w:top w:val="single" w:sz="4" w:space="0" w:color="auto"/>
              <w:bottom w:val="single" w:sz="12" w:space="0" w:color="auto"/>
            </w:tcBorders>
            <w:shd w:val="clear" w:color="auto" w:fill="auto"/>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snapToGrid/>
                <w:sz w:val="18"/>
                <w:szCs w:val="18"/>
                <w:lang w:val="en-GB" w:eastAsia="en-US"/>
              </w:rPr>
              <w:t>2002</w:t>
            </w:r>
            <w:r w:rsidRPr="00253C38">
              <w:rPr>
                <w:rFonts w:eastAsia="KaiTi_GB2312"/>
                <w:snapToGrid/>
                <w:sz w:val="18"/>
                <w:szCs w:val="18"/>
                <w:lang w:val="en-GB" w:eastAsia="en-US"/>
              </w:rPr>
              <w:t>年</w:t>
            </w:r>
          </w:p>
        </w:tc>
        <w:tc>
          <w:tcPr>
            <w:tcW w:w="868" w:type="dxa"/>
            <w:tcBorders>
              <w:top w:val="single" w:sz="4" w:space="0" w:color="auto"/>
              <w:bottom w:val="single" w:sz="12" w:space="0" w:color="auto"/>
            </w:tcBorders>
            <w:shd w:val="clear" w:color="auto" w:fill="auto"/>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snapToGrid/>
                <w:sz w:val="18"/>
                <w:szCs w:val="18"/>
                <w:lang w:val="en-GB" w:eastAsia="en-US"/>
              </w:rPr>
              <w:t>2003</w:t>
            </w:r>
            <w:r w:rsidRPr="00253C38">
              <w:rPr>
                <w:rFonts w:eastAsia="KaiTi_GB2312"/>
                <w:snapToGrid/>
                <w:sz w:val="18"/>
                <w:szCs w:val="18"/>
                <w:lang w:val="en-GB" w:eastAsia="en-US"/>
              </w:rPr>
              <w:t>年</w:t>
            </w:r>
          </w:p>
        </w:tc>
        <w:tc>
          <w:tcPr>
            <w:tcW w:w="832" w:type="dxa"/>
            <w:tcBorders>
              <w:top w:val="single" w:sz="4" w:space="0" w:color="auto"/>
              <w:bottom w:val="single" w:sz="12" w:space="0" w:color="auto"/>
            </w:tcBorders>
            <w:shd w:val="clear" w:color="auto" w:fill="auto"/>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snapToGrid/>
                <w:sz w:val="18"/>
                <w:szCs w:val="18"/>
                <w:lang w:val="en-GB" w:eastAsia="en-US"/>
              </w:rPr>
              <w:t>2004</w:t>
            </w:r>
            <w:r w:rsidRPr="00253C38">
              <w:rPr>
                <w:rFonts w:eastAsia="KaiTi_GB2312"/>
                <w:snapToGrid/>
                <w:sz w:val="18"/>
                <w:szCs w:val="18"/>
                <w:lang w:val="en-GB" w:eastAsia="en-US"/>
              </w:rPr>
              <w:t>年</w:t>
            </w:r>
          </w:p>
        </w:tc>
        <w:tc>
          <w:tcPr>
            <w:tcW w:w="901" w:type="dxa"/>
            <w:tcBorders>
              <w:top w:val="single" w:sz="4" w:space="0" w:color="auto"/>
              <w:bottom w:val="single" w:sz="12" w:space="0" w:color="auto"/>
            </w:tcBorders>
            <w:shd w:val="clear" w:color="auto" w:fill="auto"/>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snapToGrid/>
                <w:sz w:val="18"/>
                <w:szCs w:val="18"/>
                <w:lang w:val="en-GB" w:eastAsia="en-US"/>
              </w:rPr>
              <w:t>2005</w:t>
            </w:r>
            <w:r w:rsidRPr="00253C38">
              <w:rPr>
                <w:rFonts w:eastAsia="KaiTi_GB2312"/>
                <w:snapToGrid/>
                <w:sz w:val="18"/>
                <w:szCs w:val="18"/>
                <w:lang w:val="en-GB" w:eastAsia="en-US"/>
              </w:rPr>
              <w:t>年</w:t>
            </w:r>
            <w:r w:rsidRPr="00253C38">
              <w:rPr>
                <w:rFonts w:eastAsia="KaiTi_GB2312"/>
                <w:snapToGrid/>
                <w:sz w:val="18"/>
                <w:szCs w:val="18"/>
                <w:lang w:val="en-GB" w:eastAsia="en-US"/>
              </w:rPr>
              <w:t>.</w:t>
            </w:r>
          </w:p>
        </w:tc>
        <w:tc>
          <w:tcPr>
            <w:tcW w:w="832" w:type="dxa"/>
            <w:tcBorders>
              <w:top w:val="single" w:sz="4" w:space="0" w:color="auto"/>
              <w:bottom w:val="single" w:sz="12" w:space="0" w:color="auto"/>
            </w:tcBorders>
            <w:shd w:val="clear" w:color="auto" w:fill="auto"/>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snapToGrid/>
                <w:sz w:val="18"/>
                <w:szCs w:val="18"/>
                <w:lang w:val="en-GB" w:eastAsia="en-US"/>
              </w:rPr>
              <w:t>2006</w:t>
            </w:r>
            <w:r w:rsidRPr="00253C38">
              <w:rPr>
                <w:rFonts w:eastAsia="KaiTi_GB2312"/>
                <w:snapToGrid/>
                <w:sz w:val="18"/>
                <w:szCs w:val="18"/>
                <w:lang w:val="en-GB" w:eastAsia="en-US"/>
              </w:rPr>
              <w:t>年</w:t>
            </w:r>
          </w:p>
        </w:tc>
        <w:tc>
          <w:tcPr>
            <w:tcW w:w="832" w:type="dxa"/>
            <w:tcBorders>
              <w:top w:val="single" w:sz="4" w:space="0" w:color="auto"/>
              <w:bottom w:val="single" w:sz="12" w:space="0" w:color="auto"/>
            </w:tcBorders>
            <w:shd w:val="clear" w:color="auto" w:fill="auto"/>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snapToGrid/>
                <w:sz w:val="18"/>
                <w:szCs w:val="18"/>
                <w:lang w:val="en-GB" w:eastAsia="en-US"/>
              </w:rPr>
              <w:t>2007</w:t>
            </w:r>
            <w:r w:rsidRPr="00253C38">
              <w:rPr>
                <w:rFonts w:eastAsia="KaiTi_GB2312"/>
                <w:snapToGrid/>
                <w:sz w:val="18"/>
                <w:szCs w:val="18"/>
                <w:lang w:val="en-GB" w:eastAsia="en-US"/>
              </w:rPr>
              <w:t>年</w:t>
            </w:r>
          </w:p>
        </w:tc>
      </w:tr>
      <w:tr w:rsidR="00A93F62" w:rsidRPr="00253C38">
        <w:trPr>
          <w:trHeight w:val="334"/>
        </w:trPr>
        <w:tc>
          <w:tcPr>
            <w:cnfStyle w:val="001000000000" w:firstRow="0" w:lastRow="0" w:firstColumn="1" w:lastColumn="0" w:oddVBand="0" w:evenVBand="0" w:oddHBand="0" w:evenHBand="0" w:firstRowFirstColumn="0" w:firstRowLastColumn="0" w:lastRowFirstColumn="0" w:lastRowLastColumn="0"/>
            <w:tcW w:w="1200" w:type="dxa"/>
            <w:tcBorders>
              <w:top w:val="single" w:sz="12" w:space="0" w:color="auto"/>
            </w:tcBorders>
          </w:tcPr>
          <w:p w:rsidR="00A93F62" w:rsidRPr="00253C38" w:rsidRDefault="00A93F62">
            <w:pPr>
              <w:tabs>
                <w:tab w:val="clear" w:pos="431"/>
              </w:tabs>
              <w:suppressAutoHyphens/>
              <w:overflowPunct/>
              <w:adjustRightInd/>
              <w:snapToGrid/>
              <w:spacing w:before="0" w:after="0" w:line="240" w:lineRule="auto"/>
              <w:jc w:val="left"/>
              <w:rPr>
                <w:snapToGrid/>
                <w:sz w:val="18"/>
                <w:szCs w:val="18"/>
                <w:lang w:val="en-GB"/>
              </w:rPr>
            </w:pPr>
            <w:r w:rsidRPr="00253C38">
              <w:rPr>
                <w:snapToGrid/>
                <w:sz w:val="18"/>
                <w:szCs w:val="18"/>
                <w:lang w:val="en-GB"/>
              </w:rPr>
              <w:t>肺结核</w:t>
            </w:r>
          </w:p>
        </w:tc>
        <w:tc>
          <w:tcPr>
            <w:tcW w:w="800" w:type="dxa"/>
            <w:tcBorders>
              <w:top w:val="single" w:sz="12" w:space="0" w:color="auto"/>
            </w:tcBorders>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45.4</w:t>
            </w:r>
          </w:p>
        </w:tc>
        <w:tc>
          <w:tcPr>
            <w:tcW w:w="800" w:type="dxa"/>
            <w:tcBorders>
              <w:top w:val="single" w:sz="12" w:space="0" w:color="auto"/>
            </w:tcBorders>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52.5</w:t>
            </w:r>
          </w:p>
        </w:tc>
        <w:tc>
          <w:tcPr>
            <w:tcW w:w="832" w:type="dxa"/>
            <w:tcBorders>
              <w:top w:val="single" w:sz="12" w:space="0" w:color="auto"/>
            </w:tcBorders>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51.5</w:t>
            </w:r>
          </w:p>
        </w:tc>
        <w:tc>
          <w:tcPr>
            <w:tcW w:w="868" w:type="dxa"/>
            <w:tcBorders>
              <w:top w:val="single" w:sz="12" w:space="0" w:color="auto"/>
            </w:tcBorders>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68.7</w:t>
            </w:r>
          </w:p>
        </w:tc>
        <w:tc>
          <w:tcPr>
            <w:tcW w:w="832" w:type="dxa"/>
            <w:tcBorders>
              <w:top w:val="single" w:sz="12" w:space="0" w:color="auto"/>
            </w:tcBorders>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62.1</w:t>
            </w:r>
          </w:p>
        </w:tc>
        <w:tc>
          <w:tcPr>
            <w:tcW w:w="901" w:type="dxa"/>
            <w:tcBorders>
              <w:top w:val="single" w:sz="12" w:space="0" w:color="auto"/>
            </w:tcBorders>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57.2</w:t>
            </w:r>
          </w:p>
        </w:tc>
        <w:tc>
          <w:tcPr>
            <w:tcW w:w="832" w:type="dxa"/>
            <w:tcBorders>
              <w:top w:val="single" w:sz="12" w:space="0" w:color="auto"/>
            </w:tcBorders>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57.0</w:t>
            </w:r>
          </w:p>
        </w:tc>
        <w:tc>
          <w:tcPr>
            <w:tcW w:w="832" w:type="dxa"/>
            <w:tcBorders>
              <w:top w:val="single" w:sz="12" w:space="0" w:color="auto"/>
            </w:tcBorders>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67.6</w:t>
            </w:r>
          </w:p>
        </w:tc>
      </w:tr>
      <w:tr w:rsidR="00A93F62" w:rsidRPr="00253C38">
        <w:trPr>
          <w:trHeight w:val="334"/>
        </w:trPr>
        <w:tc>
          <w:tcPr>
            <w:cnfStyle w:val="001000000000" w:firstRow="0" w:lastRow="0" w:firstColumn="1" w:lastColumn="0" w:oddVBand="0" w:evenVBand="0" w:oddHBand="0" w:evenHBand="0" w:firstRowFirstColumn="0" w:firstRowLastColumn="0" w:lastRowFirstColumn="0" w:lastRowLastColumn="0"/>
            <w:tcW w:w="1200" w:type="dxa"/>
          </w:tcPr>
          <w:p w:rsidR="00A93F62" w:rsidRPr="00253C38" w:rsidRDefault="00A93F62">
            <w:pPr>
              <w:tabs>
                <w:tab w:val="clear" w:pos="431"/>
              </w:tabs>
              <w:suppressAutoHyphens/>
              <w:overflowPunct/>
              <w:adjustRightInd/>
              <w:snapToGrid/>
              <w:spacing w:before="0" w:after="0" w:line="240" w:lineRule="auto"/>
              <w:jc w:val="left"/>
              <w:rPr>
                <w:snapToGrid/>
                <w:sz w:val="18"/>
                <w:szCs w:val="18"/>
                <w:lang w:val="en-GB"/>
              </w:rPr>
            </w:pPr>
            <w:r w:rsidRPr="00253C38">
              <w:rPr>
                <w:snapToGrid/>
                <w:sz w:val="18"/>
                <w:szCs w:val="18"/>
                <w:lang w:val="en-GB"/>
              </w:rPr>
              <w:t>脊髓灰质炎</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868"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901"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r>
      <w:tr w:rsidR="00A93F62" w:rsidRPr="00253C38">
        <w:trPr>
          <w:trHeight w:val="335"/>
        </w:trPr>
        <w:tc>
          <w:tcPr>
            <w:cnfStyle w:val="001000000000" w:firstRow="0" w:lastRow="0" w:firstColumn="1" w:lastColumn="0" w:oddVBand="0" w:evenVBand="0" w:oddHBand="0" w:evenHBand="0" w:firstRowFirstColumn="0" w:firstRowLastColumn="0" w:lastRowFirstColumn="0" w:lastRowLastColumn="0"/>
            <w:tcW w:w="1200" w:type="dxa"/>
          </w:tcPr>
          <w:p w:rsidR="00A93F62" w:rsidRPr="00253C38" w:rsidRDefault="00A93F62">
            <w:pPr>
              <w:tabs>
                <w:tab w:val="clear" w:pos="431"/>
              </w:tabs>
              <w:suppressAutoHyphens/>
              <w:overflowPunct/>
              <w:adjustRightInd/>
              <w:snapToGrid/>
              <w:spacing w:before="0" w:after="0" w:line="240" w:lineRule="auto"/>
              <w:jc w:val="left"/>
              <w:rPr>
                <w:snapToGrid/>
                <w:sz w:val="18"/>
                <w:szCs w:val="18"/>
                <w:lang w:val="en-GB" w:eastAsia="en-US"/>
              </w:rPr>
            </w:pPr>
            <w:r w:rsidRPr="00253C38">
              <w:rPr>
                <w:snapToGrid/>
                <w:sz w:val="18"/>
                <w:szCs w:val="18"/>
                <w:lang w:val="en-GB"/>
              </w:rPr>
              <w:t>白喉</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0.6</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0.1</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0.02</w:t>
            </w:r>
          </w:p>
        </w:tc>
        <w:tc>
          <w:tcPr>
            <w:tcW w:w="868"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0.04</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0.04</w:t>
            </w:r>
          </w:p>
        </w:tc>
        <w:tc>
          <w:tcPr>
            <w:tcW w:w="901"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0.04</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0.1</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0.1</w:t>
            </w:r>
          </w:p>
        </w:tc>
      </w:tr>
      <w:tr w:rsidR="00A93F62" w:rsidRPr="00253C38">
        <w:trPr>
          <w:trHeight w:val="334"/>
        </w:trPr>
        <w:tc>
          <w:tcPr>
            <w:cnfStyle w:val="001000000000" w:firstRow="0" w:lastRow="0" w:firstColumn="1" w:lastColumn="0" w:oddVBand="0" w:evenVBand="0" w:oddHBand="0" w:evenHBand="0" w:firstRowFirstColumn="0" w:firstRowLastColumn="0" w:lastRowFirstColumn="0" w:lastRowLastColumn="0"/>
            <w:tcW w:w="1200" w:type="dxa"/>
          </w:tcPr>
          <w:p w:rsidR="00A93F62" w:rsidRPr="00253C38" w:rsidRDefault="00A93F62">
            <w:pPr>
              <w:tabs>
                <w:tab w:val="clear" w:pos="431"/>
              </w:tabs>
              <w:suppressAutoHyphens/>
              <w:overflowPunct/>
              <w:adjustRightInd/>
              <w:snapToGrid/>
              <w:spacing w:before="0" w:after="0" w:line="240" w:lineRule="auto"/>
              <w:jc w:val="left"/>
              <w:rPr>
                <w:snapToGrid/>
                <w:sz w:val="18"/>
                <w:szCs w:val="18"/>
                <w:lang w:val="en-GB"/>
              </w:rPr>
            </w:pPr>
            <w:r w:rsidRPr="00253C38">
              <w:rPr>
                <w:snapToGrid/>
                <w:sz w:val="18"/>
                <w:szCs w:val="18"/>
                <w:lang w:val="en-GB"/>
              </w:rPr>
              <w:t>百日咳</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0.2</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0.2</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1.0</w:t>
            </w:r>
          </w:p>
        </w:tc>
        <w:tc>
          <w:tcPr>
            <w:tcW w:w="868"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0.1</w:t>
            </w:r>
          </w:p>
        </w:tc>
        <w:tc>
          <w:tcPr>
            <w:tcW w:w="901"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r>
      <w:tr w:rsidR="00A93F62" w:rsidRPr="00253C38">
        <w:trPr>
          <w:trHeight w:val="334"/>
        </w:trPr>
        <w:tc>
          <w:tcPr>
            <w:cnfStyle w:val="001000000000" w:firstRow="0" w:lastRow="0" w:firstColumn="1" w:lastColumn="0" w:oddVBand="0" w:evenVBand="0" w:oddHBand="0" w:evenHBand="0" w:firstRowFirstColumn="0" w:firstRowLastColumn="0" w:lastRowFirstColumn="0" w:lastRowLastColumn="0"/>
            <w:tcW w:w="1200" w:type="dxa"/>
          </w:tcPr>
          <w:p w:rsidR="00A93F62" w:rsidRPr="00253C38" w:rsidRDefault="00A93F62">
            <w:pPr>
              <w:tabs>
                <w:tab w:val="clear" w:pos="431"/>
              </w:tabs>
              <w:suppressAutoHyphens/>
              <w:overflowPunct/>
              <w:adjustRightInd/>
              <w:snapToGrid/>
              <w:spacing w:before="0" w:after="0" w:line="240" w:lineRule="auto"/>
              <w:jc w:val="left"/>
              <w:rPr>
                <w:snapToGrid/>
                <w:sz w:val="18"/>
                <w:szCs w:val="18"/>
                <w:lang w:val="en-GB"/>
              </w:rPr>
            </w:pPr>
            <w:r w:rsidRPr="00253C38">
              <w:rPr>
                <w:snapToGrid/>
                <w:sz w:val="18"/>
                <w:szCs w:val="18"/>
                <w:lang w:val="en-GB"/>
              </w:rPr>
              <w:t>麻疹</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2.3</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0.2</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0.2</w:t>
            </w:r>
          </w:p>
        </w:tc>
        <w:tc>
          <w:tcPr>
            <w:tcW w:w="868"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0.02</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0.02</w:t>
            </w:r>
          </w:p>
        </w:tc>
        <w:tc>
          <w:tcPr>
            <w:tcW w:w="901"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0.96</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1.2</w:t>
            </w:r>
          </w:p>
        </w:tc>
      </w:tr>
      <w:tr w:rsidR="00A93F62" w:rsidRPr="00253C38">
        <w:trPr>
          <w:trHeight w:val="335"/>
        </w:trPr>
        <w:tc>
          <w:tcPr>
            <w:cnfStyle w:val="001000000000" w:firstRow="0" w:lastRow="0" w:firstColumn="1" w:lastColumn="0" w:oddVBand="0" w:evenVBand="0" w:oddHBand="0" w:evenHBand="0" w:firstRowFirstColumn="0" w:firstRowLastColumn="0" w:lastRowFirstColumn="0" w:lastRowLastColumn="0"/>
            <w:tcW w:w="1200" w:type="dxa"/>
          </w:tcPr>
          <w:p w:rsidR="00A93F62" w:rsidRPr="00253C38" w:rsidRDefault="00A93F62">
            <w:pPr>
              <w:tabs>
                <w:tab w:val="clear" w:pos="431"/>
              </w:tabs>
              <w:suppressAutoHyphens/>
              <w:overflowPunct/>
              <w:adjustRightInd/>
              <w:snapToGrid/>
              <w:spacing w:before="0" w:after="0" w:line="240" w:lineRule="auto"/>
              <w:jc w:val="left"/>
              <w:rPr>
                <w:snapToGrid/>
                <w:sz w:val="18"/>
                <w:szCs w:val="18"/>
                <w:lang w:val="en-GB"/>
              </w:rPr>
            </w:pPr>
            <w:r w:rsidRPr="00253C38">
              <w:rPr>
                <w:snapToGrid/>
                <w:sz w:val="18"/>
                <w:szCs w:val="18"/>
                <w:lang w:val="en-GB"/>
              </w:rPr>
              <w:t>腮腺炎</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22.6</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14.0</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33.8</w:t>
            </w:r>
          </w:p>
        </w:tc>
        <w:tc>
          <w:tcPr>
            <w:tcW w:w="868"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22.0</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16.0</w:t>
            </w:r>
          </w:p>
        </w:tc>
        <w:tc>
          <w:tcPr>
            <w:tcW w:w="901"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9.4</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10.7</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11.1</w:t>
            </w:r>
          </w:p>
        </w:tc>
      </w:tr>
      <w:tr w:rsidR="00A93F62" w:rsidRPr="00253C38">
        <w:trPr>
          <w:trHeight w:val="334"/>
        </w:trPr>
        <w:tc>
          <w:tcPr>
            <w:cnfStyle w:val="001000000000" w:firstRow="0" w:lastRow="0" w:firstColumn="1" w:lastColumn="0" w:oddVBand="0" w:evenVBand="0" w:oddHBand="0" w:evenHBand="0" w:firstRowFirstColumn="0" w:firstRowLastColumn="0" w:lastRowFirstColumn="0" w:lastRowLastColumn="0"/>
            <w:tcW w:w="1200" w:type="dxa"/>
          </w:tcPr>
          <w:p w:rsidR="00A93F62" w:rsidRPr="00253C38" w:rsidRDefault="00A93F62">
            <w:pPr>
              <w:tabs>
                <w:tab w:val="clear" w:pos="431"/>
              </w:tabs>
              <w:suppressAutoHyphens/>
              <w:overflowPunct/>
              <w:adjustRightInd/>
              <w:snapToGrid/>
              <w:spacing w:before="0" w:after="0" w:line="240" w:lineRule="auto"/>
              <w:jc w:val="left"/>
              <w:rPr>
                <w:snapToGrid/>
                <w:sz w:val="18"/>
                <w:szCs w:val="18"/>
                <w:lang w:val="en-GB"/>
              </w:rPr>
            </w:pPr>
            <w:r w:rsidRPr="00253C38">
              <w:rPr>
                <w:snapToGrid/>
                <w:sz w:val="18"/>
                <w:szCs w:val="18"/>
                <w:lang w:val="en-GB"/>
              </w:rPr>
              <w:t>破伤风</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0.02</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0.02</w:t>
            </w:r>
          </w:p>
        </w:tc>
        <w:tc>
          <w:tcPr>
            <w:tcW w:w="868"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901"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0.0</w:t>
            </w:r>
          </w:p>
        </w:tc>
      </w:tr>
      <w:tr w:rsidR="00A93F62" w:rsidRPr="00253C38">
        <w:trPr>
          <w:trHeight w:val="334"/>
        </w:trPr>
        <w:tc>
          <w:tcPr>
            <w:cnfStyle w:val="001000000000" w:firstRow="0" w:lastRow="0" w:firstColumn="1" w:lastColumn="0" w:oddVBand="0" w:evenVBand="0" w:oddHBand="0" w:evenHBand="0" w:firstRowFirstColumn="0" w:firstRowLastColumn="0" w:lastRowFirstColumn="0" w:lastRowLastColumn="0"/>
            <w:tcW w:w="1200" w:type="dxa"/>
          </w:tcPr>
          <w:p w:rsidR="00A93F62" w:rsidRPr="00253C38" w:rsidRDefault="00A93F62">
            <w:pPr>
              <w:tabs>
                <w:tab w:val="clear" w:pos="431"/>
              </w:tabs>
              <w:suppressAutoHyphens/>
              <w:overflowPunct/>
              <w:adjustRightInd/>
              <w:snapToGrid/>
              <w:spacing w:before="0" w:after="0" w:line="240" w:lineRule="auto"/>
              <w:jc w:val="left"/>
              <w:rPr>
                <w:snapToGrid/>
                <w:sz w:val="18"/>
                <w:szCs w:val="18"/>
                <w:lang w:val="en-GB"/>
              </w:rPr>
            </w:pPr>
            <w:r w:rsidRPr="00253C38">
              <w:rPr>
                <w:snapToGrid/>
                <w:sz w:val="18"/>
                <w:szCs w:val="18"/>
                <w:lang w:val="en-GB" w:eastAsia="en-US"/>
              </w:rPr>
              <w:t>В</w:t>
            </w:r>
            <w:r w:rsidRPr="00253C38">
              <w:rPr>
                <w:snapToGrid/>
                <w:sz w:val="18"/>
                <w:szCs w:val="18"/>
                <w:lang w:val="en-GB"/>
              </w:rPr>
              <w:t>型肝炎</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13.3</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11.8</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10.0</w:t>
            </w:r>
          </w:p>
        </w:tc>
        <w:tc>
          <w:tcPr>
            <w:tcW w:w="868"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7.7</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5.4</w:t>
            </w:r>
          </w:p>
        </w:tc>
        <w:tc>
          <w:tcPr>
            <w:tcW w:w="901"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4.2</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2.4</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2.5</w:t>
            </w:r>
          </w:p>
        </w:tc>
      </w:tr>
      <w:tr w:rsidR="00A93F62" w:rsidRPr="00253C38">
        <w:trPr>
          <w:trHeight w:val="335"/>
        </w:trPr>
        <w:tc>
          <w:tcPr>
            <w:cnfStyle w:val="001000000000" w:firstRow="0" w:lastRow="0" w:firstColumn="1" w:lastColumn="0" w:oddVBand="0" w:evenVBand="0" w:oddHBand="0" w:evenHBand="0" w:firstRowFirstColumn="0" w:firstRowLastColumn="0" w:lastRowFirstColumn="0" w:lastRowLastColumn="0"/>
            <w:tcW w:w="1200" w:type="dxa"/>
          </w:tcPr>
          <w:p w:rsidR="00A93F62" w:rsidRPr="00253C38" w:rsidRDefault="00A93F62">
            <w:pPr>
              <w:tabs>
                <w:tab w:val="clear" w:pos="431"/>
              </w:tabs>
              <w:suppressAutoHyphens/>
              <w:overflowPunct/>
              <w:adjustRightInd/>
              <w:snapToGrid/>
              <w:spacing w:before="0" w:after="0" w:line="240" w:lineRule="auto"/>
              <w:jc w:val="left"/>
              <w:rPr>
                <w:snapToGrid/>
                <w:sz w:val="18"/>
                <w:szCs w:val="18"/>
                <w:lang w:val="en-GB"/>
              </w:rPr>
            </w:pPr>
            <w:r w:rsidRPr="00253C38">
              <w:rPr>
                <w:snapToGrid/>
                <w:sz w:val="18"/>
                <w:szCs w:val="18"/>
                <w:lang w:val="en-GB"/>
              </w:rPr>
              <w:t>风疹</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2.7</w:t>
            </w:r>
          </w:p>
        </w:tc>
        <w:tc>
          <w:tcPr>
            <w:tcW w:w="800"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0.7</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0.6</w:t>
            </w:r>
          </w:p>
        </w:tc>
        <w:tc>
          <w:tcPr>
            <w:tcW w:w="868"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0.4</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0.5</w:t>
            </w:r>
          </w:p>
        </w:tc>
        <w:tc>
          <w:tcPr>
            <w:tcW w:w="901"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9.9</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1.9</w:t>
            </w:r>
          </w:p>
        </w:tc>
        <w:tc>
          <w:tcPr>
            <w:tcW w:w="832" w:type="dxa"/>
            <w:noWrap/>
          </w:tcPr>
          <w:p w:rsidR="00A93F62" w:rsidRPr="00253C38" w:rsidRDefault="00A93F62" w:rsidP="00253C38">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0.3</w:t>
            </w:r>
          </w:p>
        </w:tc>
      </w:tr>
    </w:tbl>
    <w:p w:rsidR="00A93F62" w:rsidRDefault="00A93F62">
      <w:pPr>
        <w:numPr>
          <w:ilvl w:val="0"/>
          <w:numId w:val="44"/>
        </w:numPr>
        <w:tabs>
          <w:tab w:val="clear" w:pos="431"/>
        </w:tabs>
        <w:suppressAutoHyphens/>
        <w:overflowPunct/>
        <w:adjustRightInd/>
        <w:snapToGrid/>
        <w:spacing w:beforeLines="50" w:before="163" w:line="320" w:lineRule="atLeast"/>
        <w:ind w:left="1735" w:right="1134" w:hanging="601"/>
        <w:rPr>
          <w:rFonts w:hint="eastAsia"/>
          <w:snapToGrid/>
          <w:szCs w:val="21"/>
          <w:lang w:val="en-GB"/>
        </w:rPr>
      </w:pPr>
      <w:r>
        <w:rPr>
          <w:snapToGrid/>
          <w:szCs w:val="21"/>
          <w:lang w:val="en-GB"/>
        </w:rPr>
        <w:t>因医生证明中止怀孕</w:t>
      </w:r>
    </w:p>
    <w:p w:rsidR="00A93F62" w:rsidRDefault="00A93F62">
      <w:pPr>
        <w:tabs>
          <w:tab w:val="clear" w:pos="431"/>
        </w:tabs>
        <w:suppressAutoHyphens/>
        <w:overflowPunct/>
        <w:adjustRightInd/>
        <w:snapToGrid/>
        <w:spacing w:after="120" w:line="320" w:lineRule="atLeast"/>
        <w:ind w:left="1418" w:right="1134" w:firstLine="318"/>
        <w:rPr>
          <w:snapToGrid/>
          <w:szCs w:val="21"/>
          <w:lang w:val="en-GB"/>
        </w:rPr>
      </w:pPr>
      <w:r>
        <w:rPr>
          <w:rFonts w:eastAsia="SimHei"/>
          <w:snapToGrid/>
          <w:szCs w:val="21"/>
          <w:lang w:val="en-GB"/>
        </w:rPr>
        <w:t>(</w:t>
      </w:r>
      <w:r>
        <w:rPr>
          <w:snapToGrid/>
          <w:szCs w:val="21"/>
          <w:lang w:val="en-GB"/>
        </w:rPr>
        <w:t>占胎生数百分率</w:t>
      </w:r>
      <w:r>
        <w:rPr>
          <w:rFonts w:eastAsia="SimHei"/>
          <w:snapToGrid/>
          <w:szCs w:val="21"/>
          <w:lang w:val="en-GB"/>
        </w:rPr>
        <w:t>)</w:t>
      </w:r>
    </w:p>
    <w:tbl>
      <w:tblPr>
        <w:tblStyle w:val="TabNum"/>
        <w:tblW w:w="7300" w:type="dxa"/>
        <w:tblInd w:w="1228" w:type="dxa"/>
        <w:tblLook w:val="01E0" w:firstRow="1" w:lastRow="1" w:firstColumn="1" w:lastColumn="1" w:noHBand="0" w:noVBand="0"/>
      </w:tblPr>
      <w:tblGrid>
        <w:gridCol w:w="903"/>
        <w:gridCol w:w="900"/>
        <w:gridCol w:w="900"/>
        <w:gridCol w:w="900"/>
        <w:gridCol w:w="898"/>
        <w:gridCol w:w="901"/>
        <w:gridCol w:w="899"/>
        <w:gridCol w:w="999"/>
      </w:tblGrid>
      <w:tr w:rsidR="00A93F62" w:rsidRPr="00253C38">
        <w:trPr>
          <w:trHeight w:val="354"/>
          <w:tblHeader/>
        </w:trPr>
        <w:tc>
          <w:tcPr>
            <w:cnfStyle w:val="001000000000" w:firstRow="0" w:lastRow="0" w:firstColumn="1" w:lastColumn="0" w:oddVBand="0" w:evenVBand="0" w:oddHBand="0" w:evenHBand="0" w:firstRowFirstColumn="0" w:firstRowLastColumn="0" w:lastRowFirstColumn="0" w:lastRowLastColumn="0"/>
            <w:tcW w:w="618" w:type="pct"/>
            <w:tcBorders>
              <w:bottom w:val="single" w:sz="12" w:space="0" w:color="auto"/>
            </w:tcBorders>
            <w:shd w:val="clear" w:color="auto" w:fill="auto"/>
            <w:noWrap/>
          </w:tcPr>
          <w:p w:rsidR="00A93F62" w:rsidRPr="00253C38" w:rsidRDefault="00A93F62">
            <w:pPr>
              <w:tabs>
                <w:tab w:val="clear" w:pos="431"/>
              </w:tabs>
              <w:suppressAutoHyphens/>
              <w:overflowPunct/>
              <w:adjustRightInd/>
              <w:snapToGrid/>
              <w:spacing w:before="0" w:after="0" w:line="240" w:lineRule="atLeast"/>
              <w:rPr>
                <w:i/>
                <w:snapToGrid/>
                <w:sz w:val="18"/>
                <w:szCs w:val="18"/>
                <w:lang w:val="en-GB" w:eastAsia="en-US"/>
              </w:rPr>
            </w:pPr>
            <w:r w:rsidRPr="00253C38">
              <w:rPr>
                <w:rFonts w:eastAsia="KaiTi_GB2312"/>
                <w:snapToGrid/>
                <w:sz w:val="18"/>
                <w:szCs w:val="18"/>
                <w:lang w:val="en-GB" w:eastAsia="en-US"/>
              </w:rPr>
              <w:t>2000</w:t>
            </w:r>
            <w:r w:rsidRPr="00253C38">
              <w:rPr>
                <w:rFonts w:eastAsia="KaiTi_GB2312"/>
                <w:snapToGrid/>
                <w:sz w:val="18"/>
                <w:szCs w:val="18"/>
                <w:lang w:val="en-GB" w:eastAsia="en-US"/>
              </w:rPr>
              <w:t>年</w:t>
            </w:r>
          </w:p>
        </w:tc>
        <w:tc>
          <w:tcPr>
            <w:tcW w:w="616" w:type="pct"/>
            <w:tcBorders>
              <w:top w:val="single" w:sz="4" w:space="0" w:color="auto"/>
              <w:bottom w:val="single" w:sz="12" w:space="0" w:color="auto"/>
            </w:tcBorders>
            <w:shd w:val="clear" w:color="auto" w:fill="auto"/>
            <w:noWrap/>
          </w:tcPr>
          <w:p w:rsidR="00A93F62" w:rsidRPr="00253C38"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snapToGrid/>
                <w:sz w:val="18"/>
                <w:szCs w:val="18"/>
                <w:lang w:val="en-GB" w:eastAsia="en-US"/>
              </w:rPr>
              <w:t>2001</w:t>
            </w:r>
            <w:r w:rsidRPr="00253C38">
              <w:rPr>
                <w:rFonts w:eastAsia="KaiTi_GB2312"/>
                <w:snapToGrid/>
                <w:sz w:val="18"/>
                <w:szCs w:val="18"/>
                <w:lang w:val="en-GB" w:eastAsia="en-US"/>
              </w:rPr>
              <w:t>年</w:t>
            </w:r>
          </w:p>
        </w:tc>
        <w:tc>
          <w:tcPr>
            <w:tcW w:w="616" w:type="pct"/>
            <w:tcBorders>
              <w:top w:val="single" w:sz="4" w:space="0" w:color="auto"/>
              <w:bottom w:val="single" w:sz="12" w:space="0" w:color="auto"/>
            </w:tcBorders>
            <w:shd w:val="clear" w:color="auto" w:fill="auto"/>
            <w:noWrap/>
          </w:tcPr>
          <w:p w:rsidR="00A93F62" w:rsidRPr="00253C38"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snapToGrid/>
                <w:sz w:val="18"/>
                <w:szCs w:val="18"/>
                <w:lang w:val="en-GB" w:eastAsia="en-US"/>
              </w:rPr>
              <w:t>2002</w:t>
            </w:r>
            <w:r w:rsidRPr="00253C38">
              <w:rPr>
                <w:rFonts w:eastAsia="KaiTi_GB2312"/>
                <w:snapToGrid/>
                <w:sz w:val="18"/>
                <w:szCs w:val="18"/>
                <w:lang w:val="en-GB" w:eastAsia="en-US"/>
              </w:rPr>
              <w:t>年</w:t>
            </w:r>
          </w:p>
        </w:tc>
        <w:tc>
          <w:tcPr>
            <w:tcW w:w="616" w:type="pct"/>
            <w:tcBorders>
              <w:top w:val="single" w:sz="4" w:space="0" w:color="auto"/>
              <w:bottom w:val="single" w:sz="12" w:space="0" w:color="auto"/>
            </w:tcBorders>
            <w:shd w:val="clear" w:color="auto" w:fill="auto"/>
            <w:noWrap/>
          </w:tcPr>
          <w:p w:rsidR="00A93F62" w:rsidRPr="00253C38"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snapToGrid/>
                <w:sz w:val="18"/>
                <w:szCs w:val="18"/>
                <w:lang w:val="en-GB" w:eastAsia="en-US"/>
              </w:rPr>
              <w:t>2003</w:t>
            </w:r>
            <w:r w:rsidRPr="00253C38">
              <w:rPr>
                <w:rFonts w:eastAsia="KaiTi_GB2312"/>
                <w:snapToGrid/>
                <w:sz w:val="18"/>
                <w:szCs w:val="18"/>
                <w:lang w:val="en-GB" w:eastAsia="en-US"/>
              </w:rPr>
              <w:t>年</w:t>
            </w:r>
          </w:p>
        </w:tc>
        <w:tc>
          <w:tcPr>
            <w:tcW w:w="615" w:type="pct"/>
            <w:tcBorders>
              <w:top w:val="single" w:sz="4" w:space="0" w:color="auto"/>
              <w:bottom w:val="single" w:sz="12" w:space="0" w:color="auto"/>
            </w:tcBorders>
            <w:shd w:val="clear" w:color="auto" w:fill="auto"/>
            <w:noWrap/>
          </w:tcPr>
          <w:p w:rsidR="00A93F62" w:rsidRPr="00253C38"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snapToGrid/>
                <w:sz w:val="18"/>
                <w:szCs w:val="18"/>
                <w:lang w:val="en-GB" w:eastAsia="en-US"/>
              </w:rPr>
              <w:t>2004</w:t>
            </w:r>
            <w:r w:rsidRPr="00253C38">
              <w:rPr>
                <w:rFonts w:eastAsia="KaiTi_GB2312"/>
                <w:snapToGrid/>
                <w:sz w:val="18"/>
                <w:szCs w:val="18"/>
                <w:lang w:val="en-GB" w:eastAsia="en-US"/>
              </w:rPr>
              <w:t>年</w:t>
            </w:r>
          </w:p>
        </w:tc>
        <w:tc>
          <w:tcPr>
            <w:tcW w:w="617" w:type="pct"/>
            <w:tcBorders>
              <w:top w:val="single" w:sz="4" w:space="0" w:color="auto"/>
              <w:bottom w:val="single" w:sz="12" w:space="0" w:color="auto"/>
            </w:tcBorders>
            <w:shd w:val="clear" w:color="auto" w:fill="auto"/>
            <w:noWrap/>
          </w:tcPr>
          <w:p w:rsidR="00A93F62" w:rsidRPr="00253C38"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snapToGrid/>
                <w:sz w:val="18"/>
                <w:szCs w:val="18"/>
                <w:lang w:val="en-GB" w:eastAsia="en-US"/>
              </w:rPr>
              <w:t>2005</w:t>
            </w:r>
            <w:r w:rsidRPr="00253C38">
              <w:rPr>
                <w:rFonts w:eastAsia="KaiTi_GB2312"/>
                <w:snapToGrid/>
                <w:sz w:val="18"/>
                <w:szCs w:val="18"/>
                <w:lang w:val="en-GB" w:eastAsia="en-US"/>
              </w:rPr>
              <w:t>年</w:t>
            </w:r>
          </w:p>
        </w:tc>
        <w:tc>
          <w:tcPr>
            <w:tcW w:w="616" w:type="pct"/>
            <w:tcBorders>
              <w:top w:val="single" w:sz="4" w:space="0" w:color="auto"/>
              <w:bottom w:val="single" w:sz="12" w:space="0" w:color="auto"/>
            </w:tcBorders>
            <w:shd w:val="clear" w:color="auto" w:fill="auto"/>
            <w:noWrap/>
          </w:tcPr>
          <w:p w:rsidR="00A93F62" w:rsidRPr="00253C38"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snapToGrid/>
                <w:sz w:val="18"/>
                <w:szCs w:val="18"/>
                <w:lang w:val="en-GB" w:eastAsia="en-US"/>
              </w:rPr>
              <w:t>2006</w:t>
            </w:r>
            <w:r w:rsidRPr="00253C38">
              <w:rPr>
                <w:rFonts w:eastAsia="KaiTi_GB2312"/>
                <w:snapToGrid/>
                <w:sz w:val="18"/>
                <w:szCs w:val="18"/>
                <w:lang w:val="en-GB" w:eastAsia="en-US"/>
              </w:rPr>
              <w:t>年</w:t>
            </w:r>
          </w:p>
        </w:tc>
        <w:tc>
          <w:tcPr>
            <w:tcW w:w="684" w:type="pct"/>
            <w:tcBorders>
              <w:top w:val="single" w:sz="4" w:space="0" w:color="auto"/>
              <w:bottom w:val="single" w:sz="12" w:space="0" w:color="auto"/>
            </w:tcBorders>
            <w:shd w:val="clear" w:color="auto" w:fill="auto"/>
            <w:noWrap/>
          </w:tcPr>
          <w:p w:rsidR="00A93F62" w:rsidRPr="00253C38"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253C38">
              <w:rPr>
                <w:rFonts w:eastAsia="KaiTi_GB2312"/>
                <w:snapToGrid/>
                <w:sz w:val="18"/>
                <w:szCs w:val="18"/>
                <w:lang w:val="en-GB" w:eastAsia="en-US"/>
              </w:rPr>
              <w:t>2007</w:t>
            </w:r>
            <w:r w:rsidRPr="00253C38">
              <w:rPr>
                <w:rFonts w:eastAsia="KaiTi_GB2312"/>
                <w:snapToGrid/>
                <w:sz w:val="18"/>
                <w:szCs w:val="18"/>
                <w:lang w:val="en-GB" w:eastAsia="en-US"/>
              </w:rPr>
              <w:t>年</w:t>
            </w:r>
          </w:p>
        </w:tc>
      </w:tr>
      <w:tr w:rsidR="00A93F62" w:rsidRPr="00253C38">
        <w:trPr>
          <w:trHeight w:val="322"/>
        </w:trPr>
        <w:tc>
          <w:tcPr>
            <w:cnfStyle w:val="001000000000" w:firstRow="0" w:lastRow="0" w:firstColumn="1" w:lastColumn="0" w:oddVBand="0" w:evenVBand="0" w:oddHBand="0" w:evenHBand="0" w:firstRowFirstColumn="0" w:firstRowLastColumn="0" w:lastRowFirstColumn="0" w:lastRowLastColumn="0"/>
            <w:tcW w:w="618" w:type="pct"/>
            <w:tcBorders>
              <w:top w:val="single" w:sz="12" w:space="0" w:color="auto"/>
            </w:tcBorders>
            <w:noWrap/>
          </w:tcPr>
          <w:p w:rsidR="00A93F62" w:rsidRPr="00253C38" w:rsidRDefault="00A93F62">
            <w:pPr>
              <w:tabs>
                <w:tab w:val="clear" w:pos="431"/>
              </w:tabs>
              <w:suppressAutoHyphens/>
              <w:overflowPunct/>
              <w:adjustRightInd/>
              <w:snapToGrid/>
              <w:spacing w:before="0" w:after="0" w:line="240" w:lineRule="atLeast"/>
              <w:rPr>
                <w:snapToGrid/>
                <w:sz w:val="18"/>
                <w:szCs w:val="18"/>
                <w:lang w:val="en-GB" w:eastAsia="en-US"/>
              </w:rPr>
            </w:pPr>
            <w:r w:rsidRPr="00253C38">
              <w:rPr>
                <w:snapToGrid/>
                <w:sz w:val="18"/>
                <w:szCs w:val="18"/>
                <w:lang w:val="en-GB" w:eastAsia="en-US"/>
              </w:rPr>
              <w:t>0.8</w:t>
            </w:r>
          </w:p>
        </w:tc>
        <w:tc>
          <w:tcPr>
            <w:tcW w:w="616" w:type="pct"/>
            <w:tcBorders>
              <w:top w:val="single" w:sz="12" w:space="0" w:color="auto"/>
            </w:tcBorders>
            <w:noWrap/>
          </w:tcPr>
          <w:p w:rsidR="00A93F62" w:rsidRPr="00253C38"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0.7</w:t>
            </w:r>
          </w:p>
        </w:tc>
        <w:tc>
          <w:tcPr>
            <w:tcW w:w="616" w:type="pct"/>
            <w:tcBorders>
              <w:top w:val="single" w:sz="12" w:space="0" w:color="auto"/>
            </w:tcBorders>
            <w:noWrap/>
          </w:tcPr>
          <w:p w:rsidR="00A93F62" w:rsidRPr="00253C38"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0.5</w:t>
            </w:r>
          </w:p>
        </w:tc>
        <w:tc>
          <w:tcPr>
            <w:tcW w:w="616" w:type="pct"/>
            <w:tcBorders>
              <w:top w:val="single" w:sz="12" w:space="0" w:color="auto"/>
            </w:tcBorders>
            <w:noWrap/>
          </w:tcPr>
          <w:p w:rsidR="00A93F62" w:rsidRPr="00253C38"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0.5</w:t>
            </w:r>
          </w:p>
        </w:tc>
        <w:tc>
          <w:tcPr>
            <w:tcW w:w="615" w:type="pct"/>
            <w:tcBorders>
              <w:top w:val="single" w:sz="12" w:space="0" w:color="auto"/>
            </w:tcBorders>
            <w:noWrap/>
          </w:tcPr>
          <w:p w:rsidR="00A93F62" w:rsidRPr="00253C38"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0.3</w:t>
            </w:r>
          </w:p>
        </w:tc>
        <w:tc>
          <w:tcPr>
            <w:tcW w:w="617" w:type="pct"/>
            <w:tcBorders>
              <w:top w:val="single" w:sz="12" w:space="0" w:color="auto"/>
            </w:tcBorders>
            <w:noWrap/>
          </w:tcPr>
          <w:p w:rsidR="00A93F62" w:rsidRPr="00253C38"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0.2</w:t>
            </w:r>
          </w:p>
        </w:tc>
        <w:tc>
          <w:tcPr>
            <w:tcW w:w="616" w:type="pct"/>
            <w:tcBorders>
              <w:top w:val="single" w:sz="12" w:space="0" w:color="auto"/>
            </w:tcBorders>
            <w:noWrap/>
          </w:tcPr>
          <w:p w:rsidR="00A93F62" w:rsidRPr="00253C38"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0.2</w:t>
            </w:r>
          </w:p>
        </w:tc>
        <w:tc>
          <w:tcPr>
            <w:tcW w:w="684" w:type="pct"/>
            <w:tcBorders>
              <w:top w:val="single" w:sz="12" w:space="0" w:color="auto"/>
            </w:tcBorders>
            <w:noWrap/>
          </w:tcPr>
          <w:p w:rsidR="00A93F62" w:rsidRPr="00253C38"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253C38">
              <w:rPr>
                <w:snapToGrid/>
                <w:sz w:val="18"/>
                <w:szCs w:val="18"/>
                <w:lang w:val="en-GB" w:eastAsia="en-US"/>
              </w:rPr>
              <w:t>0.2</w:t>
            </w:r>
          </w:p>
        </w:tc>
      </w:tr>
    </w:tbl>
    <w:p w:rsidR="00A93F62" w:rsidRDefault="00A93F62">
      <w:pPr>
        <w:numPr>
          <w:ilvl w:val="0"/>
          <w:numId w:val="43"/>
        </w:numPr>
        <w:tabs>
          <w:tab w:val="clear" w:pos="431"/>
        </w:tabs>
        <w:suppressAutoHyphens/>
        <w:overflowPunct/>
        <w:adjustRightInd/>
        <w:snapToGrid/>
        <w:spacing w:beforeLines="50" w:before="163" w:after="120" w:line="320" w:lineRule="atLeast"/>
        <w:ind w:right="1134"/>
        <w:rPr>
          <w:rFonts w:hint="eastAsia"/>
          <w:snapToGrid/>
          <w:szCs w:val="21"/>
          <w:lang w:val="en-GB"/>
        </w:rPr>
      </w:pPr>
      <w:r>
        <w:rPr>
          <w:snapToGrid/>
          <w:szCs w:val="21"/>
          <w:lang w:val="en-GB"/>
        </w:rPr>
        <w:t>流产指标</w:t>
      </w:r>
    </w:p>
    <w:tbl>
      <w:tblPr>
        <w:tblStyle w:val="TabNum"/>
        <w:tblW w:w="7370" w:type="dxa"/>
        <w:tblInd w:w="1228" w:type="dxa"/>
        <w:tblLayout w:type="fixed"/>
        <w:tblLook w:val="01E0" w:firstRow="1" w:lastRow="1" w:firstColumn="1" w:lastColumn="1" w:noHBand="0" w:noVBand="0"/>
      </w:tblPr>
      <w:tblGrid>
        <w:gridCol w:w="3090"/>
        <w:gridCol w:w="780"/>
        <w:gridCol w:w="700"/>
        <w:gridCol w:w="700"/>
        <w:gridCol w:w="700"/>
        <w:gridCol w:w="700"/>
        <w:gridCol w:w="700"/>
      </w:tblGrid>
      <w:tr w:rsidR="00A93F62" w:rsidRPr="00406163">
        <w:trPr>
          <w:tblHeader/>
        </w:trPr>
        <w:tc>
          <w:tcPr>
            <w:cnfStyle w:val="001000000000" w:firstRow="0" w:lastRow="0" w:firstColumn="1" w:lastColumn="0" w:oddVBand="0" w:evenVBand="0" w:oddHBand="0" w:evenHBand="0" w:firstRowFirstColumn="0" w:firstRowLastColumn="0" w:lastRowFirstColumn="0" w:lastRowLastColumn="0"/>
            <w:tcW w:w="3090" w:type="dxa"/>
            <w:vMerge w:val="restart"/>
            <w:shd w:val="clear" w:color="auto" w:fill="auto"/>
          </w:tcPr>
          <w:p w:rsidR="00A93F62" w:rsidRPr="00406163" w:rsidRDefault="00A93F62">
            <w:pPr>
              <w:tabs>
                <w:tab w:val="clear" w:pos="431"/>
              </w:tabs>
              <w:suppressAutoHyphens/>
              <w:overflowPunct/>
              <w:adjustRightInd/>
              <w:snapToGrid/>
              <w:spacing w:before="0" w:after="0" w:line="240" w:lineRule="atLeast"/>
              <w:rPr>
                <w:i/>
                <w:snapToGrid/>
                <w:sz w:val="18"/>
                <w:szCs w:val="18"/>
                <w:lang w:val="en-GB"/>
              </w:rPr>
            </w:pPr>
            <w:r w:rsidRPr="00406163">
              <w:rPr>
                <w:rFonts w:eastAsia="KaiTi_GB2312"/>
                <w:snapToGrid/>
                <w:sz w:val="18"/>
                <w:szCs w:val="18"/>
                <w:lang w:val="en-GB"/>
              </w:rPr>
              <w:t>指标名称</w:t>
            </w:r>
          </w:p>
        </w:tc>
        <w:tc>
          <w:tcPr>
            <w:tcW w:w="4280" w:type="dxa"/>
            <w:gridSpan w:val="6"/>
            <w:tcBorders>
              <w:top w:val="single" w:sz="4" w:space="0" w:color="auto"/>
              <w:bottom w:val="nil"/>
            </w:tcBorders>
            <w:shd w:val="clear" w:color="auto" w:fill="auto"/>
          </w:tcPr>
          <w:p w:rsidR="00A93F62" w:rsidRPr="00406163"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406163">
              <w:rPr>
                <w:rFonts w:eastAsia="KaiTi_GB2312"/>
                <w:snapToGrid/>
                <w:sz w:val="18"/>
                <w:szCs w:val="18"/>
                <w:lang w:val="en-GB"/>
              </w:rPr>
              <w:t>年</w:t>
            </w:r>
          </w:p>
        </w:tc>
      </w:tr>
      <w:tr w:rsidR="00A93F62" w:rsidRPr="00406163">
        <w:trPr>
          <w:trHeight w:val="70"/>
          <w:tblHeader/>
        </w:trPr>
        <w:tc>
          <w:tcPr>
            <w:cnfStyle w:val="001000000000" w:firstRow="0" w:lastRow="0" w:firstColumn="1" w:lastColumn="0" w:oddVBand="0" w:evenVBand="0" w:oddHBand="0" w:evenHBand="0" w:firstRowFirstColumn="0" w:firstRowLastColumn="0" w:lastRowFirstColumn="0" w:lastRowLastColumn="0"/>
            <w:tcW w:w="3090" w:type="dxa"/>
            <w:vMerge/>
            <w:tcBorders>
              <w:top w:val="nil"/>
              <w:bottom w:val="single" w:sz="12" w:space="0" w:color="auto"/>
            </w:tcBorders>
            <w:shd w:val="clear" w:color="auto" w:fill="auto"/>
          </w:tcPr>
          <w:p w:rsidR="00A93F62" w:rsidRPr="00406163" w:rsidRDefault="00A93F62">
            <w:pPr>
              <w:tabs>
                <w:tab w:val="clear" w:pos="431"/>
              </w:tabs>
              <w:suppressAutoHyphens/>
              <w:overflowPunct/>
              <w:adjustRightInd/>
              <w:snapToGrid/>
              <w:spacing w:before="0" w:after="0" w:line="240" w:lineRule="atLeast"/>
              <w:rPr>
                <w:i/>
                <w:snapToGrid/>
                <w:sz w:val="18"/>
                <w:szCs w:val="18"/>
                <w:lang w:val="en-GB" w:eastAsia="en-US"/>
              </w:rPr>
            </w:pPr>
          </w:p>
        </w:tc>
        <w:tc>
          <w:tcPr>
            <w:tcW w:w="780" w:type="dxa"/>
            <w:tcBorders>
              <w:top w:val="nil"/>
              <w:bottom w:val="single" w:sz="12" w:space="0" w:color="auto"/>
            </w:tcBorders>
            <w:shd w:val="clear" w:color="auto" w:fill="auto"/>
          </w:tcPr>
          <w:p w:rsidR="00A93F62" w:rsidRPr="00406163"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406163">
              <w:rPr>
                <w:rFonts w:eastAsia="KaiTi_GB2312"/>
                <w:snapToGrid/>
                <w:sz w:val="18"/>
                <w:szCs w:val="18"/>
                <w:lang w:val="en-GB" w:eastAsia="en-US"/>
              </w:rPr>
              <w:t>2002</w:t>
            </w:r>
          </w:p>
        </w:tc>
        <w:tc>
          <w:tcPr>
            <w:tcW w:w="700" w:type="dxa"/>
            <w:tcBorders>
              <w:top w:val="nil"/>
              <w:bottom w:val="single" w:sz="12" w:space="0" w:color="auto"/>
            </w:tcBorders>
            <w:shd w:val="clear" w:color="auto" w:fill="auto"/>
          </w:tcPr>
          <w:p w:rsidR="00A93F62" w:rsidRPr="00406163"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406163">
              <w:rPr>
                <w:rFonts w:eastAsia="KaiTi_GB2312"/>
                <w:snapToGrid/>
                <w:sz w:val="18"/>
                <w:szCs w:val="18"/>
                <w:lang w:val="en-GB" w:eastAsia="en-US"/>
              </w:rPr>
              <w:t>2003</w:t>
            </w:r>
          </w:p>
        </w:tc>
        <w:tc>
          <w:tcPr>
            <w:tcW w:w="700" w:type="dxa"/>
            <w:tcBorders>
              <w:top w:val="nil"/>
              <w:bottom w:val="single" w:sz="12" w:space="0" w:color="auto"/>
            </w:tcBorders>
            <w:shd w:val="clear" w:color="auto" w:fill="auto"/>
          </w:tcPr>
          <w:p w:rsidR="00A93F62" w:rsidRPr="00406163"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406163">
              <w:rPr>
                <w:rFonts w:eastAsia="KaiTi_GB2312"/>
                <w:snapToGrid/>
                <w:sz w:val="18"/>
                <w:szCs w:val="18"/>
                <w:lang w:val="en-GB" w:eastAsia="en-US"/>
              </w:rPr>
              <w:t>2004</w:t>
            </w:r>
          </w:p>
        </w:tc>
        <w:tc>
          <w:tcPr>
            <w:tcW w:w="700" w:type="dxa"/>
            <w:tcBorders>
              <w:top w:val="nil"/>
              <w:bottom w:val="single" w:sz="12" w:space="0" w:color="auto"/>
            </w:tcBorders>
            <w:shd w:val="clear" w:color="auto" w:fill="auto"/>
          </w:tcPr>
          <w:p w:rsidR="00A93F62" w:rsidRPr="00406163"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406163">
              <w:rPr>
                <w:rFonts w:eastAsia="KaiTi_GB2312"/>
                <w:snapToGrid/>
                <w:sz w:val="18"/>
                <w:szCs w:val="18"/>
                <w:lang w:val="en-GB" w:eastAsia="en-US"/>
              </w:rPr>
              <w:t>2005</w:t>
            </w:r>
          </w:p>
        </w:tc>
        <w:tc>
          <w:tcPr>
            <w:tcW w:w="700" w:type="dxa"/>
            <w:tcBorders>
              <w:top w:val="nil"/>
              <w:bottom w:val="single" w:sz="12" w:space="0" w:color="auto"/>
            </w:tcBorders>
            <w:shd w:val="clear" w:color="auto" w:fill="auto"/>
          </w:tcPr>
          <w:p w:rsidR="00A93F62" w:rsidRPr="00406163"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406163">
              <w:rPr>
                <w:rFonts w:eastAsia="KaiTi_GB2312"/>
                <w:snapToGrid/>
                <w:sz w:val="18"/>
                <w:szCs w:val="18"/>
                <w:lang w:val="en-GB" w:eastAsia="en-US"/>
              </w:rPr>
              <w:t>2006</w:t>
            </w:r>
          </w:p>
        </w:tc>
        <w:tc>
          <w:tcPr>
            <w:tcW w:w="700" w:type="dxa"/>
            <w:tcBorders>
              <w:top w:val="nil"/>
              <w:bottom w:val="single" w:sz="12" w:space="0" w:color="auto"/>
            </w:tcBorders>
            <w:shd w:val="clear" w:color="auto" w:fill="auto"/>
          </w:tcPr>
          <w:p w:rsidR="00A93F62" w:rsidRPr="00406163"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406163">
              <w:rPr>
                <w:rFonts w:eastAsia="KaiTi_GB2312"/>
                <w:snapToGrid/>
                <w:sz w:val="18"/>
                <w:szCs w:val="18"/>
                <w:lang w:val="en-GB" w:eastAsia="en-US"/>
              </w:rPr>
              <w:t>2007</w:t>
            </w:r>
          </w:p>
        </w:tc>
      </w:tr>
      <w:tr w:rsidR="00A93F62" w:rsidRPr="00406163">
        <w:tc>
          <w:tcPr>
            <w:cnfStyle w:val="001000000000" w:firstRow="0" w:lastRow="0" w:firstColumn="1" w:lastColumn="0" w:oddVBand="0" w:evenVBand="0" w:oddHBand="0" w:evenHBand="0" w:firstRowFirstColumn="0" w:firstRowLastColumn="0" w:lastRowFirstColumn="0" w:lastRowLastColumn="0"/>
            <w:tcW w:w="3090" w:type="dxa"/>
            <w:tcBorders>
              <w:top w:val="single" w:sz="12" w:space="0" w:color="auto"/>
            </w:tcBorders>
          </w:tcPr>
          <w:p w:rsidR="00A93F62" w:rsidRPr="00406163" w:rsidRDefault="00A93F62">
            <w:pPr>
              <w:tabs>
                <w:tab w:val="clear" w:pos="431"/>
              </w:tabs>
              <w:suppressAutoHyphens/>
              <w:overflowPunct/>
              <w:adjustRightInd/>
              <w:snapToGrid/>
              <w:spacing w:before="0" w:after="0" w:line="240" w:lineRule="atLeast"/>
              <w:rPr>
                <w:snapToGrid/>
                <w:sz w:val="18"/>
                <w:szCs w:val="18"/>
                <w:lang w:val="en-GB"/>
              </w:rPr>
            </w:pPr>
            <w:r w:rsidRPr="00406163">
              <w:rPr>
                <w:snapToGrid/>
                <w:sz w:val="18"/>
                <w:szCs w:val="18"/>
                <w:lang w:val="en-GB"/>
              </w:rPr>
              <w:t>流产指标</w:t>
            </w:r>
          </w:p>
        </w:tc>
        <w:tc>
          <w:tcPr>
            <w:tcW w:w="780" w:type="dxa"/>
            <w:tcBorders>
              <w:top w:val="single" w:sz="12" w:space="0" w:color="auto"/>
            </w:tcBorders>
          </w:tcPr>
          <w:p w:rsidR="00A93F62" w:rsidRPr="00406163"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406163">
              <w:rPr>
                <w:snapToGrid/>
                <w:sz w:val="18"/>
                <w:szCs w:val="18"/>
                <w:lang w:val="en-GB" w:eastAsia="en-US"/>
              </w:rPr>
              <w:t>11.5</w:t>
            </w:r>
          </w:p>
        </w:tc>
        <w:tc>
          <w:tcPr>
            <w:tcW w:w="700" w:type="dxa"/>
            <w:tcBorders>
              <w:top w:val="single" w:sz="12" w:space="0" w:color="auto"/>
            </w:tcBorders>
          </w:tcPr>
          <w:p w:rsidR="00A93F62" w:rsidRPr="00406163"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406163">
              <w:rPr>
                <w:snapToGrid/>
                <w:sz w:val="18"/>
                <w:szCs w:val="18"/>
                <w:lang w:val="en-GB" w:eastAsia="en-US"/>
              </w:rPr>
              <w:t>11.0</w:t>
            </w:r>
          </w:p>
        </w:tc>
        <w:tc>
          <w:tcPr>
            <w:tcW w:w="700" w:type="dxa"/>
            <w:tcBorders>
              <w:top w:val="single" w:sz="12" w:space="0" w:color="auto"/>
            </w:tcBorders>
          </w:tcPr>
          <w:p w:rsidR="00A93F62" w:rsidRPr="00406163"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406163">
              <w:rPr>
                <w:snapToGrid/>
                <w:sz w:val="18"/>
                <w:szCs w:val="18"/>
                <w:lang w:val="en-GB" w:eastAsia="en-US"/>
              </w:rPr>
              <w:t>10.6</w:t>
            </w:r>
          </w:p>
        </w:tc>
        <w:tc>
          <w:tcPr>
            <w:tcW w:w="700" w:type="dxa"/>
            <w:tcBorders>
              <w:top w:val="single" w:sz="12" w:space="0" w:color="auto"/>
            </w:tcBorders>
          </w:tcPr>
          <w:p w:rsidR="00A93F62" w:rsidRPr="00406163"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406163">
              <w:rPr>
                <w:snapToGrid/>
                <w:sz w:val="18"/>
                <w:szCs w:val="18"/>
                <w:lang w:val="en-GB" w:eastAsia="en-US"/>
              </w:rPr>
              <w:t>10.1</w:t>
            </w:r>
          </w:p>
        </w:tc>
        <w:tc>
          <w:tcPr>
            <w:tcW w:w="700" w:type="dxa"/>
            <w:tcBorders>
              <w:top w:val="single" w:sz="12" w:space="0" w:color="auto"/>
            </w:tcBorders>
          </w:tcPr>
          <w:p w:rsidR="00A93F62" w:rsidRPr="00406163"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406163">
              <w:rPr>
                <w:snapToGrid/>
                <w:sz w:val="18"/>
                <w:szCs w:val="18"/>
                <w:lang w:val="en-GB" w:eastAsia="en-US"/>
              </w:rPr>
              <w:t>9.1</w:t>
            </w:r>
          </w:p>
        </w:tc>
        <w:tc>
          <w:tcPr>
            <w:tcW w:w="700" w:type="dxa"/>
            <w:tcBorders>
              <w:top w:val="single" w:sz="12" w:space="0" w:color="auto"/>
            </w:tcBorders>
          </w:tcPr>
          <w:p w:rsidR="00A93F62" w:rsidRPr="00406163" w:rsidRDefault="00A93F62" w:rsidP="00406163">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406163">
              <w:rPr>
                <w:snapToGrid/>
                <w:sz w:val="18"/>
                <w:szCs w:val="18"/>
                <w:lang w:val="en-GB" w:eastAsia="en-US"/>
              </w:rPr>
              <w:t>7.6</w:t>
            </w:r>
          </w:p>
        </w:tc>
      </w:tr>
    </w:tbl>
    <w:p w:rsidR="00A93F62" w:rsidRDefault="00A93F62">
      <w:pPr>
        <w:tabs>
          <w:tab w:val="clear" w:pos="431"/>
        </w:tabs>
        <w:suppressAutoHyphens/>
        <w:overflowPunct/>
        <w:adjustRightInd/>
        <w:snapToGrid/>
        <w:spacing w:beforeLines="50" w:before="163" w:after="120" w:line="320" w:lineRule="atLeast"/>
        <w:ind w:left="1134" w:right="1134"/>
        <w:rPr>
          <w:snapToGrid/>
          <w:szCs w:val="21"/>
          <w:lang w:val="en-GB"/>
        </w:rPr>
      </w:pPr>
      <w:r>
        <w:rPr>
          <w:snapToGrid/>
          <w:szCs w:val="21"/>
          <w:lang w:val="en-GB"/>
        </w:rPr>
        <w:t>257.</w:t>
      </w:r>
      <w:r>
        <w:rPr>
          <w:rFonts w:hint="eastAsia"/>
          <w:snapToGrid/>
          <w:szCs w:val="21"/>
          <w:lang w:val="en-GB"/>
        </w:rPr>
        <w:t xml:space="preserve">  </w:t>
      </w:r>
      <w:r>
        <w:rPr>
          <w:snapToGrid/>
          <w:szCs w:val="21"/>
          <w:lang w:val="en-GB"/>
        </w:rPr>
        <w:t>土库曼斯坦夏季患腹泻感染的孩子增多。为预防腹泻，组织了大规模的儿童口服补液活动</w:t>
      </w:r>
      <w:r>
        <w:rPr>
          <w:snapToGrid/>
          <w:szCs w:val="21"/>
          <w:lang w:val="en-GB"/>
        </w:rPr>
        <w:t>(</w:t>
      </w:r>
      <w:r>
        <w:rPr>
          <w:snapToGrid/>
          <w:szCs w:val="21"/>
          <w:lang w:val="en-GB"/>
        </w:rPr>
        <w:t>从四月到十月</w:t>
      </w:r>
      <w:r>
        <w:rPr>
          <w:snapToGrid/>
          <w:szCs w:val="21"/>
          <w:lang w:val="en-GB"/>
        </w:rPr>
        <w:t>)</w:t>
      </w:r>
      <w:r>
        <w:rPr>
          <w:snapToGrid/>
          <w:szCs w:val="21"/>
          <w:lang w:val="en-GB"/>
        </w:rPr>
        <w:t>。每个有</w:t>
      </w:r>
      <w:r>
        <w:rPr>
          <w:snapToGrid/>
          <w:szCs w:val="21"/>
          <w:lang w:val="en-GB"/>
        </w:rPr>
        <w:t>2</w:t>
      </w:r>
      <w:r>
        <w:rPr>
          <w:snapToGrid/>
          <w:szCs w:val="21"/>
          <w:lang w:val="en-GB"/>
        </w:rPr>
        <w:t>岁以下儿童的家庭，都会免费得到补液制剂。保健和医疗产业部会同联合国儿童基金会一起，于</w:t>
      </w:r>
      <w:r>
        <w:rPr>
          <w:snapToGrid/>
          <w:szCs w:val="21"/>
          <w:lang w:val="en-GB"/>
        </w:rPr>
        <w:t>1995</w:t>
      </w:r>
      <w:r>
        <w:rPr>
          <w:snapToGrid/>
          <w:szCs w:val="21"/>
          <w:lang w:val="en-GB"/>
        </w:rPr>
        <w:t>年制订了《五岁以下儿童防治腹泻感染的国家纲要》。纲要规定，所有政府机构都应加入到防治腹泻感染的工作中。</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258.</w:t>
      </w:r>
      <w:r>
        <w:rPr>
          <w:rFonts w:hint="eastAsia"/>
          <w:snapToGrid/>
          <w:szCs w:val="21"/>
          <w:lang w:val="en-GB"/>
        </w:rPr>
        <w:t xml:space="preserve">  </w:t>
      </w:r>
      <w:r>
        <w:rPr>
          <w:snapToGrid/>
          <w:szCs w:val="21"/>
          <w:lang w:val="en-GB"/>
        </w:rPr>
        <w:t>预防和治疗急性呼吸道感染与肺炎，在保护儿童生命的斗争中十分重要。为降低儿童患急性呼吸道感染的发病率和死亡率，</w:t>
      </w:r>
      <w:r>
        <w:rPr>
          <w:snapToGrid/>
          <w:szCs w:val="21"/>
          <w:lang w:val="en-GB"/>
        </w:rPr>
        <w:t>1995</w:t>
      </w:r>
      <w:r>
        <w:rPr>
          <w:snapToGrid/>
          <w:szCs w:val="21"/>
          <w:lang w:val="en-GB"/>
        </w:rPr>
        <w:t>年，制订了《国家纲要》。降低土库曼斯坦</w:t>
      </w:r>
      <w:r>
        <w:rPr>
          <w:snapToGrid/>
          <w:szCs w:val="21"/>
          <w:lang w:val="en-GB"/>
        </w:rPr>
        <w:t>14</w:t>
      </w:r>
      <w:r>
        <w:rPr>
          <w:snapToGrid/>
          <w:szCs w:val="21"/>
          <w:lang w:val="en-GB"/>
        </w:rPr>
        <w:t>岁以下儿童的发病率和死亡率，是纲要的主要目的。</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259. </w:t>
      </w:r>
      <w:r>
        <w:rPr>
          <w:rFonts w:hint="eastAsia"/>
          <w:snapToGrid/>
          <w:szCs w:val="21"/>
          <w:lang w:val="en-GB"/>
        </w:rPr>
        <w:t xml:space="preserve"> </w:t>
      </w:r>
      <w:r>
        <w:rPr>
          <w:snapToGrid/>
          <w:szCs w:val="21"/>
          <w:lang w:val="en-GB"/>
        </w:rPr>
        <w:t>母乳喂养是土库曼斯坦本土居民的民族传统。土库曼斯坦政府高度重视这一传统的恢复。土库曼斯坦保健与医疗产业部会同联合国儿童基金会一起，制订了《恢复长期母乳喂养国家纲要》。在国家纲要的框架内，</w:t>
      </w:r>
      <w:r>
        <w:rPr>
          <w:snapToGrid/>
          <w:szCs w:val="21"/>
          <w:lang w:val="en-GB"/>
        </w:rPr>
        <w:t>1998</w:t>
      </w:r>
      <w:r>
        <w:rPr>
          <w:snapToGrid/>
          <w:szCs w:val="21"/>
          <w:lang w:val="en-GB"/>
        </w:rPr>
        <w:t>年签署了《土库曼斯坦保护和支持母乳喂养令》。在全国各地区落实纲要计划措施。目前，土库曼斯坦</w:t>
      </w:r>
      <w:r>
        <w:rPr>
          <w:snapToGrid/>
          <w:szCs w:val="21"/>
          <w:lang w:val="en-GB"/>
        </w:rPr>
        <w:t>97.9%</w:t>
      </w:r>
      <w:r>
        <w:rPr>
          <w:snapToGrid/>
          <w:szCs w:val="21"/>
          <w:lang w:val="en-GB"/>
        </w:rPr>
        <w:t>的孩子得到母乳喂养，</w:t>
      </w:r>
      <w:r>
        <w:rPr>
          <w:snapToGrid/>
          <w:szCs w:val="21"/>
          <w:lang w:val="en-GB"/>
        </w:rPr>
        <w:t>41.4%</w:t>
      </w:r>
      <w:r>
        <w:rPr>
          <w:snapToGrid/>
          <w:szCs w:val="21"/>
          <w:lang w:val="en-GB"/>
        </w:rPr>
        <w:t>的孩子享受单独的母乳喂养到六个月。遵照国家纲要的要求，妇产医院里实行十条成功母乳喂养原则，</w:t>
      </w:r>
      <w:r>
        <w:rPr>
          <w:snapToGrid/>
          <w:szCs w:val="21"/>
          <w:lang w:val="en-GB"/>
        </w:rPr>
        <w:t>59</w:t>
      </w:r>
      <w:r>
        <w:rPr>
          <w:snapToGrid/>
          <w:szCs w:val="21"/>
          <w:lang w:val="en-GB"/>
        </w:rPr>
        <w:t>所医院</w:t>
      </w:r>
      <w:r>
        <w:rPr>
          <w:snapToGrid/>
          <w:szCs w:val="21"/>
          <w:lang w:val="en-GB"/>
        </w:rPr>
        <w:t>(90%)</w:t>
      </w:r>
      <w:r>
        <w:rPr>
          <w:snapToGrid/>
          <w:szCs w:val="21"/>
          <w:lang w:val="en-GB"/>
        </w:rPr>
        <w:t>获得</w:t>
      </w:r>
      <w:r>
        <w:rPr>
          <w:snapToGrid/>
          <w:szCs w:val="21"/>
          <w:lang w:val="en-GB"/>
        </w:rPr>
        <w:t>“</w:t>
      </w:r>
      <w:r>
        <w:rPr>
          <w:rFonts w:hint="eastAsia"/>
          <w:snapToGrid/>
          <w:szCs w:val="21"/>
          <w:lang w:val="en-GB"/>
        </w:rPr>
        <w:t>爱</w:t>
      </w:r>
      <w:r>
        <w:rPr>
          <w:snapToGrid/>
          <w:szCs w:val="21"/>
          <w:lang w:val="en-GB"/>
        </w:rPr>
        <w:t>婴医院</w:t>
      </w:r>
      <w:r>
        <w:rPr>
          <w:snapToGrid/>
          <w:szCs w:val="21"/>
          <w:lang w:val="en-GB"/>
        </w:rPr>
        <w:t>”</w:t>
      </w:r>
      <w:r>
        <w:rPr>
          <w:snapToGrid/>
          <w:szCs w:val="21"/>
          <w:lang w:val="en-GB"/>
        </w:rPr>
        <w:t>的称号。</w:t>
      </w:r>
    </w:p>
    <w:p w:rsidR="00A93F62" w:rsidRDefault="00A93F62">
      <w:pPr>
        <w:tabs>
          <w:tab w:val="clear" w:pos="431"/>
        </w:tabs>
        <w:suppressAutoHyphens/>
        <w:overflowPunct/>
        <w:adjustRightInd/>
        <w:snapToGrid/>
        <w:spacing w:after="120" w:line="320" w:lineRule="atLeast"/>
        <w:ind w:left="1134" w:right="1134"/>
        <w:rPr>
          <w:snapToGrid/>
          <w:color w:val="000000"/>
          <w:szCs w:val="21"/>
          <w:lang w:val="en-GB"/>
        </w:rPr>
      </w:pPr>
      <w:r>
        <w:rPr>
          <w:snapToGrid/>
          <w:szCs w:val="21"/>
          <w:lang w:val="en-GB"/>
        </w:rPr>
        <w:t>260.</w:t>
      </w:r>
      <w:r>
        <w:rPr>
          <w:rFonts w:hint="eastAsia"/>
          <w:snapToGrid/>
          <w:szCs w:val="21"/>
          <w:lang w:val="en-GB"/>
        </w:rPr>
        <w:t xml:space="preserve">  </w:t>
      </w:r>
      <w:r>
        <w:rPr>
          <w:snapToGrid/>
          <w:szCs w:val="21"/>
          <w:lang w:val="en-GB"/>
        </w:rPr>
        <w:t>2001</w:t>
      </w:r>
      <w:r>
        <w:rPr>
          <w:snapToGrid/>
          <w:szCs w:val="21"/>
          <w:lang w:val="en-GB"/>
        </w:rPr>
        <w:t>年，土库曼斯坦保健与医疗产业部通过了</w:t>
      </w:r>
      <w:r>
        <w:rPr>
          <w:snapToGrid/>
          <w:szCs w:val="21"/>
          <w:lang w:val="en-GB"/>
        </w:rPr>
        <w:t>“</w:t>
      </w:r>
      <w:r>
        <w:rPr>
          <w:snapToGrid/>
          <w:szCs w:val="21"/>
          <w:lang w:val="en-GB"/>
        </w:rPr>
        <w:t>世界卫生组织</w:t>
      </w:r>
      <w:r>
        <w:rPr>
          <w:snapToGrid/>
          <w:szCs w:val="21"/>
          <w:lang w:val="en-GB"/>
        </w:rPr>
        <w:t>/</w:t>
      </w:r>
      <w:r>
        <w:rPr>
          <w:snapToGrid/>
          <w:szCs w:val="21"/>
          <w:lang w:val="en-GB"/>
        </w:rPr>
        <w:t>联合国儿童基金会全面管理土库曼斯坦儿童疾病文件的修改与实施</w:t>
      </w:r>
      <w:r>
        <w:rPr>
          <w:snapToGrid/>
          <w:szCs w:val="21"/>
          <w:lang w:val="en-GB"/>
        </w:rPr>
        <w:t>”</w:t>
      </w:r>
      <w:r>
        <w:rPr>
          <w:snapToGrid/>
          <w:szCs w:val="21"/>
          <w:lang w:val="en-GB"/>
        </w:rPr>
        <w:t>方案，并确定了试验地区。该计划单独针对护士和基层医院。由于推行该计划，试验地区的肠道疾病发病率下降，</w:t>
      </w:r>
      <w:r>
        <w:rPr>
          <w:snapToGrid/>
          <w:color w:val="000000"/>
          <w:szCs w:val="21"/>
          <w:lang w:val="en-GB"/>
        </w:rPr>
        <w:t>急性胃肠感染死亡事例消失，整个儿童死亡率降低。将来准备在整个</w:t>
      </w:r>
      <w:r>
        <w:rPr>
          <w:snapToGrid/>
          <w:szCs w:val="21"/>
          <w:lang w:val="en-GB"/>
        </w:rPr>
        <w:t>土库曼斯坦推行该计划。</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261.</w:t>
      </w:r>
      <w:r>
        <w:rPr>
          <w:rFonts w:hint="eastAsia"/>
          <w:snapToGrid/>
          <w:szCs w:val="21"/>
          <w:lang w:val="en-GB"/>
        </w:rPr>
        <w:t xml:space="preserve">  </w:t>
      </w:r>
      <w:r>
        <w:rPr>
          <w:snapToGrid/>
          <w:szCs w:val="21"/>
          <w:lang w:val="en-GB"/>
        </w:rPr>
        <w:t>缺铁性贫血是一个尖锐的问题。会同联合国儿童基金会一起，于</w:t>
      </w:r>
      <w:r>
        <w:rPr>
          <w:snapToGrid/>
          <w:szCs w:val="21"/>
          <w:lang w:val="en-GB"/>
        </w:rPr>
        <w:t>1998</w:t>
      </w:r>
      <w:r>
        <w:rPr>
          <w:snapToGrid/>
          <w:szCs w:val="21"/>
          <w:lang w:val="en-GB"/>
        </w:rPr>
        <w:t>年在达守古斯省，</w:t>
      </w:r>
      <w:r>
        <w:rPr>
          <w:snapToGrid/>
          <w:szCs w:val="21"/>
          <w:lang w:val="en-GB"/>
        </w:rPr>
        <w:t>2001</w:t>
      </w:r>
      <w:r>
        <w:rPr>
          <w:snapToGrid/>
          <w:szCs w:val="21"/>
          <w:lang w:val="en-GB"/>
        </w:rPr>
        <w:t>年在巴尔干省，实施</w:t>
      </w:r>
      <w:r>
        <w:rPr>
          <w:snapToGrid/>
          <w:szCs w:val="21"/>
          <w:lang w:val="en-GB"/>
        </w:rPr>
        <w:t>“</w:t>
      </w:r>
      <w:r>
        <w:rPr>
          <w:snapToGrid/>
          <w:szCs w:val="21"/>
          <w:lang w:val="en-GB"/>
        </w:rPr>
        <w:t>预防与防治贫血</w:t>
      </w:r>
      <w:r>
        <w:rPr>
          <w:snapToGrid/>
          <w:szCs w:val="21"/>
          <w:lang w:val="en-GB"/>
        </w:rPr>
        <w:t>”</w:t>
      </w:r>
      <w:r>
        <w:rPr>
          <w:snapToGrid/>
          <w:szCs w:val="21"/>
          <w:lang w:val="en-GB"/>
        </w:rPr>
        <w:t>计划。育龄妇女、孕妇、</w:t>
      </w:r>
      <w:r>
        <w:rPr>
          <w:snapToGrid/>
          <w:szCs w:val="21"/>
          <w:lang w:val="en-GB"/>
        </w:rPr>
        <w:t>6</w:t>
      </w:r>
      <w:r>
        <w:rPr>
          <w:snapToGrid/>
          <w:szCs w:val="21"/>
          <w:lang w:val="en-GB"/>
        </w:rPr>
        <w:t>个月到</w:t>
      </w:r>
      <w:r>
        <w:rPr>
          <w:snapToGrid/>
          <w:szCs w:val="21"/>
          <w:lang w:val="en-GB"/>
        </w:rPr>
        <w:t>2</w:t>
      </w:r>
      <w:r>
        <w:rPr>
          <w:snapToGrid/>
          <w:szCs w:val="21"/>
          <w:lang w:val="en-GB"/>
        </w:rPr>
        <w:t>岁的儿童，成为被调查群体。</w:t>
      </w:r>
      <w:r>
        <w:rPr>
          <w:snapToGrid/>
          <w:szCs w:val="21"/>
          <w:lang w:val="en-GB"/>
        </w:rPr>
        <w:t>2005</w:t>
      </w:r>
      <w:r>
        <w:rPr>
          <w:snapToGrid/>
          <w:szCs w:val="21"/>
          <w:lang w:val="en-GB"/>
        </w:rPr>
        <w:t>年，在达守古斯省对</w:t>
      </w:r>
      <w:r>
        <w:rPr>
          <w:snapToGrid/>
          <w:szCs w:val="21"/>
          <w:lang w:val="en-GB"/>
        </w:rPr>
        <w:t xml:space="preserve"> “</w:t>
      </w:r>
      <w:r>
        <w:rPr>
          <w:snapToGrid/>
          <w:szCs w:val="21"/>
          <w:lang w:val="en-GB"/>
        </w:rPr>
        <w:t>预防与防治贫血</w:t>
      </w:r>
      <w:r>
        <w:rPr>
          <w:snapToGrid/>
          <w:szCs w:val="21"/>
          <w:lang w:val="en-GB"/>
        </w:rPr>
        <w:t>”</w:t>
      </w:r>
      <w:r>
        <w:rPr>
          <w:snapToGrid/>
          <w:szCs w:val="21"/>
          <w:lang w:val="en-GB"/>
        </w:rPr>
        <w:t>计划展开调查。评价贫血症在达守古斯省的</w:t>
      </w:r>
      <w:r>
        <w:rPr>
          <w:snapToGrid/>
          <w:szCs w:val="21"/>
          <w:lang w:val="en-GB"/>
        </w:rPr>
        <w:t>6</w:t>
      </w:r>
      <w:r>
        <w:rPr>
          <w:snapToGrid/>
          <w:szCs w:val="21"/>
          <w:lang w:val="en-GB"/>
        </w:rPr>
        <w:t>个月到</w:t>
      </w:r>
      <w:r>
        <w:rPr>
          <w:snapToGrid/>
          <w:szCs w:val="21"/>
          <w:lang w:val="en-GB"/>
        </w:rPr>
        <w:t>5</w:t>
      </w:r>
      <w:r>
        <w:rPr>
          <w:snapToGrid/>
          <w:szCs w:val="21"/>
          <w:lang w:val="en-GB"/>
        </w:rPr>
        <w:t>岁儿童、</w:t>
      </w:r>
      <w:r>
        <w:rPr>
          <w:snapToGrid/>
          <w:szCs w:val="21"/>
          <w:lang w:val="en-GB"/>
        </w:rPr>
        <w:t>15</w:t>
      </w:r>
      <w:r>
        <w:rPr>
          <w:snapToGrid/>
          <w:szCs w:val="21"/>
          <w:lang w:val="en-GB"/>
        </w:rPr>
        <w:t>岁到</w:t>
      </w:r>
      <w:r>
        <w:rPr>
          <w:snapToGrid/>
          <w:szCs w:val="21"/>
          <w:lang w:val="en-GB"/>
        </w:rPr>
        <w:t>49</w:t>
      </w:r>
      <w:r>
        <w:rPr>
          <w:snapToGrid/>
          <w:szCs w:val="21"/>
          <w:lang w:val="en-GB"/>
        </w:rPr>
        <w:t>岁妇女中的蔓延趋势；实施措施，提高计划的有效性；制订方案；筹备行动规划，将该省新阶段的计划继续推广，是该计划的目的。如调查结果所示，育龄妇女</w:t>
      </w:r>
      <w:r>
        <w:rPr>
          <w:snapToGrid/>
          <w:szCs w:val="21"/>
          <w:lang w:val="en-GB"/>
        </w:rPr>
        <w:t>Ⅲ</w:t>
      </w:r>
      <w:r>
        <w:rPr>
          <w:snapToGrid/>
          <w:szCs w:val="21"/>
          <w:lang w:val="en-GB"/>
        </w:rPr>
        <w:t>级贫血症消失，</w:t>
      </w:r>
      <w:r>
        <w:rPr>
          <w:snapToGrid/>
          <w:szCs w:val="21"/>
          <w:lang w:val="en-GB"/>
        </w:rPr>
        <w:t>Ⅰ-Ⅱ</w:t>
      </w:r>
      <w:r>
        <w:rPr>
          <w:snapToGrid/>
          <w:szCs w:val="21"/>
          <w:lang w:val="en-GB"/>
        </w:rPr>
        <w:t>级贫血症降低</w:t>
      </w:r>
      <w:r>
        <w:rPr>
          <w:snapToGrid/>
          <w:szCs w:val="21"/>
          <w:lang w:val="en-GB"/>
        </w:rPr>
        <w:t>20%</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262.</w:t>
      </w:r>
      <w:r>
        <w:rPr>
          <w:rFonts w:hint="eastAsia"/>
          <w:snapToGrid/>
          <w:szCs w:val="21"/>
          <w:lang w:val="en-GB"/>
        </w:rPr>
        <w:t xml:space="preserve">  </w:t>
      </w:r>
      <w:r>
        <w:rPr>
          <w:snapToGrid/>
          <w:szCs w:val="21"/>
          <w:lang w:val="en-GB"/>
        </w:rPr>
        <w:t>为改善孕妇与儿童的医疗服务，在地区中心医院开设了重症监护病房，由儿童复苏专家进行医治。</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263.</w:t>
      </w:r>
      <w:r>
        <w:rPr>
          <w:rFonts w:hint="eastAsia"/>
          <w:snapToGrid/>
          <w:szCs w:val="21"/>
          <w:lang w:val="en-GB"/>
        </w:rPr>
        <w:t xml:space="preserve">  </w:t>
      </w:r>
      <w:r>
        <w:rPr>
          <w:snapToGrid/>
          <w:szCs w:val="21"/>
          <w:lang w:val="en-GB"/>
        </w:rPr>
        <w:t>根据土库曼斯坦保健与医疗产业部命令，自</w:t>
      </w:r>
      <w:r>
        <w:rPr>
          <w:snapToGrid/>
          <w:szCs w:val="21"/>
          <w:lang w:val="en-GB"/>
        </w:rPr>
        <w:t>2007</w:t>
      </w:r>
      <w:r>
        <w:rPr>
          <w:snapToGrid/>
          <w:szCs w:val="21"/>
          <w:lang w:val="en-GB"/>
        </w:rPr>
        <w:t>年</w:t>
      </w:r>
      <w:r>
        <w:rPr>
          <w:snapToGrid/>
          <w:szCs w:val="21"/>
          <w:lang w:val="en-GB"/>
        </w:rPr>
        <w:t>1</w:t>
      </w:r>
      <w:r>
        <w:rPr>
          <w:snapToGrid/>
          <w:szCs w:val="21"/>
          <w:lang w:val="en-GB"/>
        </w:rPr>
        <w:t>月，根据世界卫生组织的建议，在卫生领域实施了活胎和死胎的标准。至</w:t>
      </w:r>
      <w:r>
        <w:rPr>
          <w:snapToGrid/>
          <w:szCs w:val="21"/>
          <w:lang w:val="en-GB"/>
        </w:rPr>
        <w:t>2008</w:t>
      </w:r>
      <w:r>
        <w:rPr>
          <w:snapToGrid/>
          <w:szCs w:val="21"/>
          <w:lang w:val="en-GB"/>
        </w:rPr>
        <w:t>年年中，将有</w:t>
      </w:r>
      <w:r>
        <w:rPr>
          <w:snapToGrid/>
          <w:szCs w:val="21"/>
          <w:lang w:val="en-GB"/>
        </w:rPr>
        <w:t>80%</w:t>
      </w:r>
      <w:r>
        <w:rPr>
          <w:snapToGrid/>
          <w:szCs w:val="21"/>
          <w:lang w:val="en-GB"/>
        </w:rPr>
        <w:t>左右从事这项研究的专家要专门就此课题得到培训。而且，</w:t>
      </w:r>
      <w:r>
        <w:rPr>
          <w:snapToGrid/>
          <w:szCs w:val="21"/>
          <w:lang w:val="en-GB"/>
        </w:rPr>
        <w:t>“</w:t>
      </w:r>
      <w:r>
        <w:rPr>
          <w:snapToGrid/>
          <w:szCs w:val="21"/>
          <w:lang w:val="en-GB"/>
        </w:rPr>
        <w:t>新生儿护理和提供复苏帮助基本教程</w:t>
      </w:r>
      <w:r>
        <w:rPr>
          <w:snapToGrid/>
          <w:szCs w:val="21"/>
          <w:lang w:val="en-GB"/>
        </w:rPr>
        <w:t>”</w:t>
      </w:r>
      <w:r>
        <w:rPr>
          <w:snapToGrid/>
          <w:szCs w:val="21"/>
          <w:lang w:val="en-GB"/>
        </w:rPr>
        <w:t>将有助于成功落实活胎</w:t>
      </w:r>
      <w:r>
        <w:rPr>
          <w:snapToGrid/>
          <w:szCs w:val="21"/>
          <w:lang w:val="en-GB"/>
        </w:rPr>
        <w:t>-</w:t>
      </w:r>
      <w:r>
        <w:rPr>
          <w:snapToGrid/>
          <w:szCs w:val="21"/>
          <w:lang w:val="en-GB"/>
        </w:rPr>
        <w:t>死胎的新标准。就此将经常举行研讨会，专家们</w:t>
      </w:r>
      <w:r>
        <w:rPr>
          <w:snapToGrid/>
          <w:szCs w:val="21"/>
          <w:lang w:val="en-GB"/>
        </w:rPr>
        <w:t>(</w:t>
      </w:r>
      <w:r>
        <w:rPr>
          <w:snapToGrid/>
          <w:szCs w:val="21"/>
          <w:lang w:val="en-GB"/>
        </w:rPr>
        <w:t>妇科大夫、复苏专家</w:t>
      </w:r>
      <w:r>
        <w:rPr>
          <w:snapToGrid/>
          <w:szCs w:val="21"/>
          <w:lang w:val="en-GB"/>
        </w:rPr>
        <w:t>)</w:t>
      </w:r>
      <w:r>
        <w:rPr>
          <w:snapToGrid/>
          <w:szCs w:val="21"/>
          <w:lang w:val="en-GB"/>
        </w:rPr>
        <w:t>可提高自己的专业知识。</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264.</w:t>
      </w:r>
      <w:r>
        <w:rPr>
          <w:rFonts w:hint="eastAsia"/>
          <w:snapToGrid/>
          <w:szCs w:val="21"/>
          <w:lang w:val="en-GB"/>
        </w:rPr>
        <w:t xml:space="preserve">  </w:t>
      </w:r>
      <w:r>
        <w:rPr>
          <w:snapToGrid/>
          <w:szCs w:val="21"/>
          <w:lang w:val="en-GB"/>
        </w:rPr>
        <w:t>在环境卫生领域，进行以下的预防与日常卫生监督：</w:t>
      </w:r>
    </w:p>
    <w:p w:rsidR="00A93F62" w:rsidRDefault="00A93F62">
      <w:pPr>
        <w:pStyle w:val="Bullet1GC"/>
        <w:numPr>
          <w:ilvl w:val="0"/>
          <w:numId w:val="14"/>
        </w:numPr>
        <w:rPr>
          <w:snapToGrid/>
          <w:lang w:val="en-GB"/>
        </w:rPr>
      </w:pPr>
      <w:r>
        <w:rPr>
          <w:snapToGrid/>
          <w:lang w:val="en-GB"/>
        </w:rPr>
        <w:t>大气空气的卫生防护；</w:t>
      </w:r>
    </w:p>
    <w:p w:rsidR="00A93F62" w:rsidRDefault="00A93F62">
      <w:pPr>
        <w:pStyle w:val="Bullet1GC"/>
        <w:numPr>
          <w:ilvl w:val="0"/>
          <w:numId w:val="14"/>
        </w:numPr>
        <w:rPr>
          <w:snapToGrid/>
          <w:lang w:val="en-GB"/>
        </w:rPr>
      </w:pPr>
      <w:r>
        <w:rPr>
          <w:snapToGrid/>
          <w:lang w:val="en-GB"/>
        </w:rPr>
        <w:t>土壤的卫生防护与居民区净化；</w:t>
      </w:r>
    </w:p>
    <w:p w:rsidR="00A93F62" w:rsidRDefault="00A93F62">
      <w:pPr>
        <w:pStyle w:val="Bullet1GC"/>
        <w:numPr>
          <w:ilvl w:val="0"/>
          <w:numId w:val="14"/>
        </w:numPr>
        <w:rPr>
          <w:snapToGrid/>
          <w:lang w:val="en-GB"/>
        </w:rPr>
      </w:pPr>
      <w:r>
        <w:rPr>
          <w:snapToGrid/>
          <w:lang w:val="en-GB"/>
        </w:rPr>
        <w:t>水库的卫生防护与污水净化；</w:t>
      </w:r>
    </w:p>
    <w:p w:rsidR="00A93F62" w:rsidRDefault="00A93F62">
      <w:pPr>
        <w:pStyle w:val="Bullet1GC"/>
        <w:numPr>
          <w:ilvl w:val="0"/>
          <w:numId w:val="14"/>
        </w:numPr>
        <w:rPr>
          <w:snapToGrid/>
          <w:lang w:val="en-GB"/>
        </w:rPr>
      </w:pPr>
      <w:r>
        <w:rPr>
          <w:snapToGrid/>
          <w:lang w:val="en-GB"/>
        </w:rPr>
        <w:t>居民区的规划卫生；</w:t>
      </w:r>
    </w:p>
    <w:p w:rsidR="00A93F62" w:rsidRDefault="00A93F62">
      <w:pPr>
        <w:pStyle w:val="Bullet1GC"/>
        <w:numPr>
          <w:ilvl w:val="0"/>
          <w:numId w:val="14"/>
        </w:numPr>
        <w:rPr>
          <w:snapToGrid/>
          <w:lang w:val="en-GB"/>
        </w:rPr>
      </w:pPr>
      <w:r>
        <w:rPr>
          <w:snapToGrid/>
          <w:lang w:val="en-GB"/>
        </w:rPr>
        <w:t>居民区的供水卫生；</w:t>
      </w:r>
    </w:p>
    <w:p w:rsidR="00A93F62" w:rsidRDefault="00A93F62">
      <w:pPr>
        <w:pStyle w:val="Bullet1GC"/>
        <w:numPr>
          <w:ilvl w:val="0"/>
          <w:numId w:val="14"/>
        </w:numPr>
        <w:rPr>
          <w:snapToGrid/>
          <w:lang w:val="en-GB"/>
        </w:rPr>
      </w:pPr>
      <w:r>
        <w:rPr>
          <w:snapToGrid/>
          <w:lang w:val="en-GB"/>
        </w:rPr>
        <w:t>住宅和公共建筑卫生。</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265.</w:t>
      </w:r>
      <w:r>
        <w:rPr>
          <w:rFonts w:hint="eastAsia"/>
          <w:snapToGrid/>
          <w:szCs w:val="21"/>
          <w:lang w:val="en-GB"/>
        </w:rPr>
        <w:t xml:space="preserve">  </w:t>
      </w:r>
      <w:r>
        <w:rPr>
          <w:snapToGrid/>
          <w:szCs w:val="21"/>
          <w:lang w:val="en-GB"/>
        </w:rPr>
        <w:t>劳动保健领域有不同产业的卫生标准与条例。卫生防疫部门研究卫生保健劳动条件，进行生产环境卫生评估，预防生产的职业危害与职业病，监督妇女和青少年的卫生劳动条件。</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266.</w:t>
      </w:r>
      <w:r>
        <w:rPr>
          <w:rFonts w:hint="eastAsia"/>
          <w:snapToGrid/>
          <w:szCs w:val="21"/>
          <w:lang w:val="en-GB"/>
        </w:rPr>
        <w:t xml:space="preserve">  </w:t>
      </w:r>
      <w:r>
        <w:rPr>
          <w:snapToGrid/>
          <w:szCs w:val="21"/>
          <w:lang w:val="en-GB"/>
        </w:rPr>
        <w:t>为完善防疫措施，实行了《</w:t>
      </w:r>
      <w:r>
        <w:rPr>
          <w:snapToGrid/>
          <w:szCs w:val="21"/>
          <w:lang w:val="en-GB"/>
        </w:rPr>
        <w:t>1993-2003</w:t>
      </w:r>
      <w:r>
        <w:rPr>
          <w:snapToGrid/>
          <w:szCs w:val="21"/>
          <w:lang w:val="en-GB"/>
        </w:rPr>
        <w:t>年防疫接种纲要》，该纲要顺利实施并延长至</w:t>
      </w:r>
      <w:r>
        <w:rPr>
          <w:snapToGrid/>
          <w:szCs w:val="21"/>
          <w:lang w:val="en-GB"/>
        </w:rPr>
        <w:t>2020</w:t>
      </w:r>
      <w:r>
        <w:rPr>
          <w:snapToGrid/>
          <w:szCs w:val="21"/>
          <w:lang w:val="en-GB"/>
        </w:rPr>
        <w:t>年。由于采取了持续、合理的措施，</w:t>
      </w:r>
      <w:r>
        <w:rPr>
          <w:snapToGrid/>
          <w:szCs w:val="21"/>
          <w:lang w:val="en-GB"/>
        </w:rPr>
        <w:t>2002</w:t>
      </w:r>
      <w:r>
        <w:rPr>
          <w:snapToGrid/>
          <w:szCs w:val="21"/>
          <w:lang w:val="en-GB"/>
        </w:rPr>
        <w:t>年，土库曼斯坦被授予</w:t>
      </w:r>
      <w:r>
        <w:rPr>
          <w:snapToGrid/>
          <w:szCs w:val="21"/>
          <w:lang w:val="en-GB"/>
        </w:rPr>
        <w:t>“</w:t>
      </w:r>
      <w:r>
        <w:rPr>
          <w:snapToGrid/>
          <w:szCs w:val="21"/>
          <w:lang w:val="en-GB"/>
        </w:rPr>
        <w:t>消除地方性原始神经性病毒传播</w:t>
      </w:r>
      <w:r>
        <w:rPr>
          <w:snapToGrid/>
          <w:szCs w:val="21"/>
          <w:lang w:val="en-GB"/>
        </w:rPr>
        <w:t>”</w:t>
      </w:r>
      <w:r>
        <w:rPr>
          <w:snapToGrid/>
          <w:szCs w:val="21"/>
          <w:lang w:val="en-GB"/>
        </w:rPr>
        <w:t>证书。为使土库曼斯坦继续成为无脊髓灰质炎国家，</w:t>
      </w:r>
      <w:r>
        <w:rPr>
          <w:snapToGrid/>
          <w:szCs w:val="21"/>
          <w:lang w:val="en-GB"/>
        </w:rPr>
        <w:t>2007</w:t>
      </w:r>
      <w:r>
        <w:rPr>
          <w:snapToGrid/>
          <w:szCs w:val="21"/>
          <w:lang w:val="en-GB"/>
        </w:rPr>
        <w:t>年</w:t>
      </w:r>
      <w:r>
        <w:rPr>
          <w:snapToGrid/>
          <w:szCs w:val="21"/>
          <w:lang w:val="en-GB"/>
        </w:rPr>
        <w:t>9</w:t>
      </w:r>
      <w:r>
        <w:rPr>
          <w:snapToGrid/>
          <w:szCs w:val="21"/>
          <w:lang w:val="en-GB"/>
        </w:rPr>
        <w:t>月、</w:t>
      </w:r>
      <w:r>
        <w:rPr>
          <w:snapToGrid/>
          <w:szCs w:val="21"/>
          <w:lang w:val="en-GB"/>
        </w:rPr>
        <w:t>10</w:t>
      </w:r>
      <w:r>
        <w:rPr>
          <w:snapToGrid/>
          <w:szCs w:val="21"/>
          <w:lang w:val="en-GB"/>
        </w:rPr>
        <w:t>月，土库曼斯坦保健与医疗产业部在同阿富汗接壤地区和高人口流动地区，分两阶段推行</w:t>
      </w:r>
      <w:r>
        <w:rPr>
          <w:snapToGrid/>
          <w:szCs w:val="21"/>
          <w:lang w:val="en-GB"/>
        </w:rPr>
        <w:t>0-5</w:t>
      </w:r>
      <w:r>
        <w:rPr>
          <w:snapToGrid/>
          <w:szCs w:val="21"/>
          <w:lang w:val="en-GB"/>
        </w:rPr>
        <w:t>岁儿童口服灰质炎疫苗完全免疫法。</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267.</w:t>
      </w:r>
      <w:r>
        <w:rPr>
          <w:rFonts w:hint="eastAsia"/>
          <w:snapToGrid/>
          <w:szCs w:val="21"/>
          <w:lang w:val="en-GB"/>
        </w:rPr>
        <w:t xml:space="preserve">  </w:t>
      </w:r>
      <w:r>
        <w:rPr>
          <w:snapToGrid/>
          <w:szCs w:val="21"/>
          <w:lang w:val="en-GB"/>
        </w:rPr>
        <w:t>土库曼斯坦免疫儿童的百分率</w:t>
      </w:r>
    </w:p>
    <w:tbl>
      <w:tblPr>
        <w:tblStyle w:val="TabNum"/>
        <w:tblW w:w="9581" w:type="dxa"/>
        <w:tblInd w:w="56" w:type="dxa"/>
        <w:tblLayout w:type="fixed"/>
        <w:tblLook w:val="01E0" w:firstRow="1" w:lastRow="1" w:firstColumn="1" w:lastColumn="1" w:noHBand="0" w:noVBand="0"/>
      </w:tblPr>
      <w:tblGrid>
        <w:gridCol w:w="1092"/>
        <w:gridCol w:w="546"/>
        <w:gridCol w:w="462"/>
        <w:gridCol w:w="476"/>
        <w:gridCol w:w="448"/>
        <w:gridCol w:w="476"/>
        <w:gridCol w:w="434"/>
        <w:gridCol w:w="438"/>
        <w:gridCol w:w="503"/>
        <w:gridCol w:w="479"/>
        <w:gridCol w:w="526"/>
        <w:gridCol w:w="527"/>
        <w:gridCol w:w="575"/>
        <w:gridCol w:w="551"/>
        <w:gridCol w:w="527"/>
        <w:gridCol w:w="527"/>
        <w:gridCol w:w="515"/>
        <w:gridCol w:w="479"/>
      </w:tblGrid>
      <w:tr w:rsidR="00A93F62">
        <w:trPr>
          <w:tblHeader/>
        </w:trPr>
        <w:tc>
          <w:tcPr>
            <w:cnfStyle w:val="001000000000" w:firstRow="0" w:lastRow="0" w:firstColumn="1" w:lastColumn="0" w:oddVBand="0" w:evenVBand="0" w:oddHBand="0" w:evenHBand="0" w:firstRowFirstColumn="0" w:firstRowLastColumn="0" w:lastRowFirstColumn="0" w:lastRowLastColumn="0"/>
            <w:tcW w:w="1092" w:type="dxa"/>
            <w:tcBorders>
              <w:bottom w:val="single" w:sz="12" w:space="0" w:color="auto"/>
            </w:tcBorders>
            <w:shd w:val="clear" w:color="auto" w:fill="auto"/>
          </w:tcPr>
          <w:p w:rsidR="00A93F62" w:rsidRDefault="00A93F62">
            <w:pPr>
              <w:tabs>
                <w:tab w:val="clear" w:pos="431"/>
              </w:tabs>
              <w:suppressAutoHyphens/>
              <w:overflowPunct/>
              <w:adjustRightInd/>
              <w:snapToGrid/>
              <w:spacing w:before="0" w:after="0" w:line="240" w:lineRule="auto"/>
              <w:rPr>
                <w:rFonts w:ascii="KaiTi_GB2312" w:eastAsia="KaiTi_GB2312" w:hAnsi="SimSun"/>
                <w:snapToGrid/>
                <w:spacing w:val="-4"/>
                <w:sz w:val="15"/>
                <w:szCs w:val="15"/>
                <w:lang w:val="en-GB"/>
              </w:rPr>
            </w:pPr>
            <w:r>
              <w:rPr>
                <w:rFonts w:ascii="KaiTi_GB2312" w:eastAsia="KaiTi_GB2312" w:hAnsi="SimSun"/>
                <w:snapToGrid/>
                <w:spacing w:val="-4"/>
                <w:sz w:val="15"/>
                <w:szCs w:val="15"/>
                <w:lang w:val="en-GB"/>
              </w:rPr>
              <w:t>年/%</w:t>
            </w:r>
          </w:p>
        </w:tc>
        <w:tc>
          <w:tcPr>
            <w:tcW w:w="546"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1991</w:t>
            </w:r>
          </w:p>
        </w:tc>
        <w:tc>
          <w:tcPr>
            <w:tcW w:w="462"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1992</w:t>
            </w:r>
          </w:p>
        </w:tc>
        <w:tc>
          <w:tcPr>
            <w:tcW w:w="476"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1993</w:t>
            </w:r>
          </w:p>
        </w:tc>
        <w:tc>
          <w:tcPr>
            <w:tcW w:w="448"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1994</w:t>
            </w:r>
          </w:p>
        </w:tc>
        <w:tc>
          <w:tcPr>
            <w:tcW w:w="476"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1995</w:t>
            </w:r>
          </w:p>
        </w:tc>
        <w:tc>
          <w:tcPr>
            <w:tcW w:w="434"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1996</w:t>
            </w:r>
          </w:p>
        </w:tc>
        <w:tc>
          <w:tcPr>
            <w:tcW w:w="438"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1997</w:t>
            </w:r>
          </w:p>
        </w:tc>
        <w:tc>
          <w:tcPr>
            <w:tcW w:w="503"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1998</w:t>
            </w:r>
          </w:p>
        </w:tc>
        <w:tc>
          <w:tcPr>
            <w:tcW w:w="479"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1999</w:t>
            </w:r>
          </w:p>
        </w:tc>
        <w:tc>
          <w:tcPr>
            <w:tcW w:w="526"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2000</w:t>
            </w:r>
          </w:p>
        </w:tc>
        <w:tc>
          <w:tcPr>
            <w:tcW w:w="527"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2001</w:t>
            </w:r>
          </w:p>
        </w:tc>
        <w:tc>
          <w:tcPr>
            <w:tcW w:w="575"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2002</w:t>
            </w:r>
          </w:p>
        </w:tc>
        <w:tc>
          <w:tcPr>
            <w:tcW w:w="551"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2003</w:t>
            </w:r>
          </w:p>
        </w:tc>
        <w:tc>
          <w:tcPr>
            <w:tcW w:w="527"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2004</w:t>
            </w:r>
          </w:p>
        </w:tc>
        <w:tc>
          <w:tcPr>
            <w:tcW w:w="527"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2005</w:t>
            </w:r>
          </w:p>
        </w:tc>
        <w:tc>
          <w:tcPr>
            <w:tcW w:w="515"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2006</w:t>
            </w:r>
          </w:p>
        </w:tc>
        <w:tc>
          <w:tcPr>
            <w:tcW w:w="479"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KaiTi_GB2312" w:eastAsia="KaiTi_GB2312" w:hAnsi="SimSun"/>
                <w:i/>
                <w:snapToGrid/>
                <w:spacing w:val="-5"/>
                <w:sz w:val="15"/>
                <w:szCs w:val="15"/>
                <w:lang w:val="en-GB"/>
              </w:rPr>
            </w:pPr>
            <w:r>
              <w:rPr>
                <w:rFonts w:ascii="KaiTi_GB2312" w:eastAsia="KaiTi_GB2312" w:hAnsi="SimSun"/>
                <w:i/>
                <w:snapToGrid/>
                <w:spacing w:val="-5"/>
                <w:sz w:val="15"/>
                <w:szCs w:val="15"/>
                <w:lang w:val="en-GB"/>
              </w:rPr>
              <w:t>2007</w:t>
            </w:r>
          </w:p>
        </w:tc>
      </w:tr>
      <w:tr w:rsidR="00A93F62">
        <w:trPr>
          <w:tblHeader/>
        </w:trPr>
        <w:tc>
          <w:tcPr>
            <w:cnfStyle w:val="001000000000" w:firstRow="0" w:lastRow="0" w:firstColumn="1" w:lastColumn="0" w:oddVBand="0" w:evenVBand="0" w:oddHBand="0" w:evenHBand="0" w:firstRowFirstColumn="0" w:firstRowLastColumn="0" w:lastRowFirstColumn="0" w:lastRowLastColumn="0"/>
            <w:tcW w:w="1092" w:type="dxa"/>
            <w:shd w:val="clear" w:color="auto" w:fill="auto"/>
          </w:tcPr>
          <w:p w:rsidR="00A93F62" w:rsidRDefault="00A93F62">
            <w:pPr>
              <w:tabs>
                <w:tab w:val="clear" w:pos="431"/>
              </w:tabs>
              <w:suppressAutoHyphens/>
              <w:overflowPunct/>
              <w:adjustRightInd/>
              <w:snapToGrid/>
              <w:spacing w:before="0" w:after="0" w:line="240" w:lineRule="auto"/>
              <w:rPr>
                <w:snapToGrid/>
                <w:spacing w:val="-4"/>
                <w:sz w:val="15"/>
                <w:szCs w:val="15"/>
                <w:lang w:val="en-GB"/>
              </w:rPr>
            </w:pPr>
            <w:r>
              <w:rPr>
                <w:snapToGrid/>
                <w:spacing w:val="-4"/>
                <w:sz w:val="15"/>
                <w:szCs w:val="15"/>
                <w:lang w:val="en-GB"/>
              </w:rPr>
              <w:t>防治结核病</w:t>
            </w:r>
          </w:p>
        </w:tc>
        <w:tc>
          <w:tcPr>
            <w:tcW w:w="546"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96.0</w:t>
            </w:r>
          </w:p>
        </w:tc>
        <w:tc>
          <w:tcPr>
            <w:tcW w:w="462"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96.8</w:t>
            </w:r>
          </w:p>
        </w:tc>
        <w:tc>
          <w:tcPr>
            <w:tcW w:w="476"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94.0</w:t>
            </w:r>
          </w:p>
        </w:tc>
        <w:tc>
          <w:tcPr>
            <w:tcW w:w="448"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97.0</w:t>
            </w:r>
          </w:p>
        </w:tc>
        <w:tc>
          <w:tcPr>
            <w:tcW w:w="476"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93.0</w:t>
            </w:r>
          </w:p>
        </w:tc>
        <w:tc>
          <w:tcPr>
            <w:tcW w:w="434"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97.0</w:t>
            </w:r>
          </w:p>
        </w:tc>
        <w:tc>
          <w:tcPr>
            <w:tcW w:w="438"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96.6</w:t>
            </w:r>
          </w:p>
        </w:tc>
        <w:tc>
          <w:tcPr>
            <w:tcW w:w="503"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98.2</w:t>
            </w:r>
          </w:p>
        </w:tc>
        <w:tc>
          <w:tcPr>
            <w:tcW w:w="479"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99.1</w:t>
            </w:r>
          </w:p>
        </w:tc>
        <w:tc>
          <w:tcPr>
            <w:tcW w:w="526"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99.5</w:t>
            </w:r>
          </w:p>
        </w:tc>
        <w:tc>
          <w:tcPr>
            <w:tcW w:w="527"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575"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99.2</w:t>
            </w:r>
          </w:p>
        </w:tc>
        <w:tc>
          <w:tcPr>
            <w:tcW w:w="551"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98.8</w:t>
            </w:r>
          </w:p>
        </w:tc>
        <w:tc>
          <w:tcPr>
            <w:tcW w:w="527"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99.1</w:t>
            </w:r>
          </w:p>
        </w:tc>
        <w:tc>
          <w:tcPr>
            <w:tcW w:w="527"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515"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99.2</w:t>
            </w:r>
          </w:p>
        </w:tc>
        <w:tc>
          <w:tcPr>
            <w:tcW w:w="479" w:type="dxa"/>
            <w:tcBorders>
              <w:top w:val="single" w:sz="4" w:space="0" w:color="auto"/>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98.9</w:t>
            </w:r>
          </w:p>
        </w:tc>
      </w:tr>
      <w:tr w:rsidR="00A93F62">
        <w:trPr>
          <w:tblHeader/>
        </w:trPr>
        <w:tc>
          <w:tcPr>
            <w:cnfStyle w:val="001000000000" w:firstRow="0" w:lastRow="0" w:firstColumn="1" w:lastColumn="0" w:oddVBand="0" w:evenVBand="0" w:oddHBand="0" w:evenHBand="0" w:firstRowFirstColumn="0" w:firstRowLastColumn="0" w:lastRowFirstColumn="0" w:lastRowLastColumn="0"/>
            <w:tcW w:w="1092" w:type="dxa"/>
            <w:tcBorders>
              <w:top w:val="nil"/>
            </w:tcBorders>
            <w:shd w:val="clear" w:color="auto" w:fill="auto"/>
          </w:tcPr>
          <w:p w:rsidR="00A93F62" w:rsidRDefault="00A93F62">
            <w:pPr>
              <w:tabs>
                <w:tab w:val="clear" w:pos="431"/>
              </w:tabs>
              <w:suppressAutoHyphens/>
              <w:overflowPunct/>
              <w:adjustRightInd/>
              <w:snapToGrid/>
              <w:spacing w:before="0" w:after="0" w:line="240" w:lineRule="auto"/>
              <w:jc w:val="left"/>
              <w:rPr>
                <w:snapToGrid/>
                <w:sz w:val="15"/>
                <w:szCs w:val="15"/>
                <w:lang w:val="en-GB"/>
              </w:rPr>
            </w:pPr>
            <w:r>
              <w:rPr>
                <w:snapToGrid/>
                <w:spacing w:val="-4"/>
                <w:sz w:val="15"/>
                <w:szCs w:val="15"/>
                <w:lang w:val="en-GB"/>
              </w:rPr>
              <w:t>防治白喉、百日咳和破伤风化</w:t>
            </w:r>
          </w:p>
        </w:tc>
        <w:tc>
          <w:tcPr>
            <w:tcW w:w="546"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81.0</w:t>
            </w:r>
          </w:p>
        </w:tc>
        <w:tc>
          <w:tcPr>
            <w:tcW w:w="462"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84.0</w:t>
            </w:r>
          </w:p>
        </w:tc>
        <w:tc>
          <w:tcPr>
            <w:tcW w:w="476"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73.0</w:t>
            </w:r>
          </w:p>
        </w:tc>
        <w:tc>
          <w:tcPr>
            <w:tcW w:w="448"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90.0</w:t>
            </w:r>
          </w:p>
        </w:tc>
        <w:tc>
          <w:tcPr>
            <w:tcW w:w="476"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93.0</w:t>
            </w:r>
          </w:p>
        </w:tc>
        <w:tc>
          <w:tcPr>
            <w:tcW w:w="434"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97.0</w:t>
            </w:r>
          </w:p>
        </w:tc>
        <w:tc>
          <w:tcPr>
            <w:tcW w:w="438"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98.0</w:t>
            </w:r>
          </w:p>
        </w:tc>
        <w:tc>
          <w:tcPr>
            <w:tcW w:w="503"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479"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98.0</w:t>
            </w:r>
          </w:p>
        </w:tc>
        <w:tc>
          <w:tcPr>
            <w:tcW w:w="526"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97.0</w:t>
            </w:r>
          </w:p>
        </w:tc>
        <w:tc>
          <w:tcPr>
            <w:tcW w:w="527"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95.4</w:t>
            </w:r>
          </w:p>
        </w:tc>
        <w:tc>
          <w:tcPr>
            <w:tcW w:w="575"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97.7</w:t>
            </w:r>
          </w:p>
        </w:tc>
        <w:tc>
          <w:tcPr>
            <w:tcW w:w="551"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83.3</w:t>
            </w:r>
          </w:p>
        </w:tc>
        <w:tc>
          <w:tcPr>
            <w:tcW w:w="527"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97.2</w:t>
            </w:r>
          </w:p>
        </w:tc>
        <w:tc>
          <w:tcPr>
            <w:tcW w:w="527"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515"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97.7</w:t>
            </w:r>
          </w:p>
        </w:tc>
        <w:tc>
          <w:tcPr>
            <w:tcW w:w="479"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97.6</w:t>
            </w:r>
          </w:p>
        </w:tc>
      </w:tr>
      <w:tr w:rsidR="00A93F62">
        <w:trPr>
          <w:tblHeader/>
        </w:trPr>
        <w:tc>
          <w:tcPr>
            <w:cnfStyle w:val="001000000000" w:firstRow="0" w:lastRow="0" w:firstColumn="1" w:lastColumn="0" w:oddVBand="0" w:evenVBand="0" w:oddHBand="0" w:evenHBand="0" w:firstRowFirstColumn="0" w:firstRowLastColumn="0" w:lastRowFirstColumn="0" w:lastRowLastColumn="0"/>
            <w:tcW w:w="1092" w:type="dxa"/>
            <w:tcBorders>
              <w:top w:val="nil"/>
            </w:tcBorders>
            <w:shd w:val="clear" w:color="auto" w:fill="auto"/>
          </w:tcPr>
          <w:p w:rsidR="00A93F62" w:rsidRDefault="00A93F62">
            <w:pPr>
              <w:tabs>
                <w:tab w:val="clear" w:pos="431"/>
              </w:tabs>
              <w:suppressAutoHyphens/>
              <w:overflowPunct/>
              <w:adjustRightInd/>
              <w:snapToGrid/>
              <w:spacing w:before="0" w:after="0" w:line="240" w:lineRule="auto"/>
              <w:rPr>
                <w:snapToGrid/>
                <w:sz w:val="15"/>
                <w:szCs w:val="15"/>
                <w:lang w:val="en-GB"/>
              </w:rPr>
            </w:pPr>
            <w:r>
              <w:rPr>
                <w:snapToGrid/>
                <w:sz w:val="15"/>
                <w:szCs w:val="15"/>
                <w:lang w:val="en-GB"/>
              </w:rPr>
              <w:t>防治麻疹</w:t>
            </w:r>
          </w:p>
        </w:tc>
        <w:tc>
          <w:tcPr>
            <w:tcW w:w="546"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63.0</w:t>
            </w:r>
          </w:p>
        </w:tc>
        <w:tc>
          <w:tcPr>
            <w:tcW w:w="462"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76.0</w:t>
            </w:r>
          </w:p>
        </w:tc>
        <w:tc>
          <w:tcPr>
            <w:tcW w:w="476"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84.0</w:t>
            </w:r>
          </w:p>
        </w:tc>
        <w:tc>
          <w:tcPr>
            <w:tcW w:w="448"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90.0</w:t>
            </w:r>
          </w:p>
        </w:tc>
        <w:tc>
          <w:tcPr>
            <w:tcW w:w="476"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92.0</w:t>
            </w:r>
          </w:p>
        </w:tc>
        <w:tc>
          <w:tcPr>
            <w:tcW w:w="434"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98.0</w:t>
            </w:r>
          </w:p>
        </w:tc>
        <w:tc>
          <w:tcPr>
            <w:tcW w:w="438"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100.0</w:t>
            </w:r>
          </w:p>
        </w:tc>
        <w:tc>
          <w:tcPr>
            <w:tcW w:w="503"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479"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97.0</w:t>
            </w:r>
          </w:p>
        </w:tc>
        <w:tc>
          <w:tcPr>
            <w:tcW w:w="526"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97.0</w:t>
            </w:r>
          </w:p>
        </w:tc>
        <w:tc>
          <w:tcPr>
            <w:tcW w:w="527"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97.6</w:t>
            </w:r>
          </w:p>
        </w:tc>
        <w:tc>
          <w:tcPr>
            <w:tcW w:w="575"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88.0</w:t>
            </w:r>
          </w:p>
        </w:tc>
        <w:tc>
          <w:tcPr>
            <w:tcW w:w="551"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97.1</w:t>
            </w:r>
          </w:p>
        </w:tc>
        <w:tc>
          <w:tcPr>
            <w:tcW w:w="527"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97.3</w:t>
            </w:r>
          </w:p>
        </w:tc>
        <w:tc>
          <w:tcPr>
            <w:tcW w:w="527"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515"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98.9</w:t>
            </w:r>
          </w:p>
        </w:tc>
        <w:tc>
          <w:tcPr>
            <w:tcW w:w="479"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98.8*</w:t>
            </w:r>
          </w:p>
        </w:tc>
      </w:tr>
      <w:tr w:rsidR="00A93F62">
        <w:trPr>
          <w:tblHeader/>
        </w:trPr>
        <w:tc>
          <w:tcPr>
            <w:cnfStyle w:val="001000000000" w:firstRow="0" w:lastRow="0" w:firstColumn="1" w:lastColumn="0" w:oddVBand="0" w:evenVBand="0" w:oddHBand="0" w:evenHBand="0" w:firstRowFirstColumn="0" w:firstRowLastColumn="0" w:lastRowFirstColumn="0" w:lastRowLastColumn="0"/>
            <w:tcW w:w="1092" w:type="dxa"/>
            <w:tcBorders>
              <w:top w:val="nil"/>
            </w:tcBorders>
            <w:shd w:val="clear" w:color="auto" w:fill="auto"/>
          </w:tcPr>
          <w:p w:rsidR="00A93F62" w:rsidRDefault="00A93F62">
            <w:pPr>
              <w:tabs>
                <w:tab w:val="clear" w:pos="431"/>
              </w:tabs>
              <w:suppressAutoHyphens/>
              <w:overflowPunct/>
              <w:adjustRightInd/>
              <w:snapToGrid/>
              <w:spacing w:before="0" w:after="0" w:line="240" w:lineRule="auto"/>
              <w:rPr>
                <w:snapToGrid/>
                <w:sz w:val="15"/>
                <w:szCs w:val="15"/>
                <w:lang w:val="en-GB"/>
              </w:rPr>
            </w:pPr>
            <w:r>
              <w:rPr>
                <w:snapToGrid/>
                <w:spacing w:val="-4"/>
                <w:sz w:val="15"/>
                <w:szCs w:val="15"/>
                <w:lang w:val="en-GB"/>
              </w:rPr>
              <w:t>防治脊髓灰质炎</w:t>
            </w:r>
          </w:p>
        </w:tc>
        <w:tc>
          <w:tcPr>
            <w:tcW w:w="546"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462"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91.0</w:t>
            </w:r>
          </w:p>
        </w:tc>
        <w:tc>
          <w:tcPr>
            <w:tcW w:w="476"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92.0</w:t>
            </w:r>
          </w:p>
        </w:tc>
        <w:tc>
          <w:tcPr>
            <w:tcW w:w="448"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94.0</w:t>
            </w:r>
          </w:p>
        </w:tc>
        <w:tc>
          <w:tcPr>
            <w:tcW w:w="476"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96.0</w:t>
            </w:r>
          </w:p>
        </w:tc>
        <w:tc>
          <w:tcPr>
            <w:tcW w:w="434"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98.0</w:t>
            </w:r>
          </w:p>
        </w:tc>
        <w:tc>
          <w:tcPr>
            <w:tcW w:w="438"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503"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479"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98.0</w:t>
            </w:r>
          </w:p>
        </w:tc>
        <w:tc>
          <w:tcPr>
            <w:tcW w:w="526"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98.0</w:t>
            </w:r>
          </w:p>
        </w:tc>
        <w:tc>
          <w:tcPr>
            <w:tcW w:w="527"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94.3</w:t>
            </w:r>
          </w:p>
        </w:tc>
        <w:tc>
          <w:tcPr>
            <w:tcW w:w="575"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551"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66.0</w:t>
            </w:r>
          </w:p>
        </w:tc>
        <w:tc>
          <w:tcPr>
            <w:tcW w:w="527"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97.8</w:t>
            </w:r>
          </w:p>
        </w:tc>
        <w:tc>
          <w:tcPr>
            <w:tcW w:w="527"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99.1</w:t>
            </w:r>
          </w:p>
        </w:tc>
        <w:tc>
          <w:tcPr>
            <w:tcW w:w="515"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98.0</w:t>
            </w:r>
          </w:p>
        </w:tc>
        <w:tc>
          <w:tcPr>
            <w:tcW w:w="479" w:type="dxa"/>
            <w:tcBorders>
              <w:top w:val="nil"/>
              <w:bottom w:val="nil"/>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97.7</w:t>
            </w:r>
          </w:p>
        </w:tc>
      </w:tr>
      <w:tr w:rsidR="00A93F62">
        <w:trPr>
          <w:tblHeader/>
        </w:trPr>
        <w:tc>
          <w:tcPr>
            <w:cnfStyle w:val="001000000000" w:firstRow="0" w:lastRow="0" w:firstColumn="1" w:lastColumn="0" w:oddVBand="0" w:evenVBand="0" w:oddHBand="0" w:evenHBand="0" w:firstRowFirstColumn="0" w:firstRowLastColumn="0" w:lastRowFirstColumn="0" w:lastRowLastColumn="0"/>
            <w:tcW w:w="1092" w:type="dxa"/>
            <w:tcBorders>
              <w:top w:val="nil"/>
            </w:tcBorders>
            <w:shd w:val="clear" w:color="auto" w:fill="auto"/>
          </w:tcPr>
          <w:p w:rsidR="00A93F62" w:rsidRDefault="00A93F62">
            <w:pPr>
              <w:tabs>
                <w:tab w:val="clear" w:pos="431"/>
              </w:tabs>
              <w:suppressAutoHyphens/>
              <w:overflowPunct/>
              <w:adjustRightInd/>
              <w:snapToGrid/>
              <w:spacing w:before="0" w:after="0" w:line="240" w:lineRule="auto"/>
              <w:rPr>
                <w:snapToGrid/>
                <w:spacing w:val="-4"/>
                <w:sz w:val="15"/>
                <w:szCs w:val="15"/>
                <w:lang w:val="en-GB"/>
              </w:rPr>
            </w:pPr>
            <w:r>
              <w:rPr>
                <w:snapToGrid/>
                <w:spacing w:val="-8"/>
                <w:sz w:val="15"/>
                <w:szCs w:val="15"/>
                <w:lang w:val="en-GB"/>
              </w:rPr>
              <w:t>防治乙型肝炎</w:t>
            </w:r>
          </w:p>
        </w:tc>
        <w:tc>
          <w:tcPr>
            <w:tcW w:w="546"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462"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476"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448"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476"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434"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438"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03"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479"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26"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27"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75"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96.4</w:t>
            </w:r>
          </w:p>
        </w:tc>
        <w:tc>
          <w:tcPr>
            <w:tcW w:w="551"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97.0</w:t>
            </w:r>
          </w:p>
        </w:tc>
        <w:tc>
          <w:tcPr>
            <w:tcW w:w="527"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96.5</w:t>
            </w:r>
          </w:p>
        </w:tc>
        <w:tc>
          <w:tcPr>
            <w:tcW w:w="527"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99.1</w:t>
            </w:r>
          </w:p>
        </w:tc>
        <w:tc>
          <w:tcPr>
            <w:tcW w:w="515"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98.1</w:t>
            </w:r>
          </w:p>
        </w:tc>
        <w:tc>
          <w:tcPr>
            <w:tcW w:w="479" w:type="dxa"/>
            <w:tcBorders>
              <w:top w:val="nil"/>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97.8</w:t>
            </w:r>
          </w:p>
        </w:tc>
      </w:tr>
    </w:tbl>
    <w:p w:rsidR="00A93F62" w:rsidRDefault="00A93F62">
      <w:pPr>
        <w:tabs>
          <w:tab w:val="clear" w:pos="431"/>
        </w:tabs>
        <w:suppressAutoHyphens/>
        <w:overflowPunct/>
        <w:adjustRightInd/>
        <w:snapToGrid/>
        <w:spacing w:beforeLines="20" w:before="65" w:line="240" w:lineRule="atLeast"/>
        <w:ind w:left="1134" w:right="1134"/>
        <w:rPr>
          <w:snapToGrid/>
          <w:sz w:val="18"/>
          <w:szCs w:val="18"/>
          <w:lang w:val="en-GB"/>
        </w:rPr>
      </w:pPr>
      <w:r>
        <w:rPr>
          <w:rFonts w:eastAsia="KaiTi_GB2312"/>
          <w:snapToGrid/>
          <w:sz w:val="18"/>
          <w:szCs w:val="18"/>
          <w:lang w:val="en-GB"/>
        </w:rPr>
        <w:t>备注：</w:t>
      </w:r>
      <w:r>
        <w:rPr>
          <w:snapToGrid/>
          <w:sz w:val="18"/>
          <w:szCs w:val="18"/>
          <w:lang w:val="en-GB"/>
        </w:rPr>
        <w:t>未按城市、农村人口，以及性别进行免疫儿童的百分率划分。</w:t>
      </w:r>
    </w:p>
    <w:p w:rsidR="00A93F62" w:rsidRDefault="00A93F62">
      <w:pPr>
        <w:tabs>
          <w:tab w:val="clear" w:pos="431"/>
        </w:tabs>
        <w:suppressAutoHyphens/>
        <w:overflowPunct/>
        <w:adjustRightInd/>
        <w:snapToGrid/>
        <w:spacing w:after="120" w:line="240" w:lineRule="atLeast"/>
        <w:ind w:left="1134" w:right="1134"/>
        <w:rPr>
          <w:iCs/>
          <w:snapToGrid/>
          <w:sz w:val="18"/>
          <w:szCs w:val="18"/>
          <w:lang w:val="en-GB"/>
        </w:rPr>
      </w:pPr>
      <w:r>
        <w:rPr>
          <w:iCs/>
          <w:snapToGrid/>
          <w:sz w:val="18"/>
          <w:szCs w:val="18"/>
          <w:lang w:val="en-GB"/>
        </w:rPr>
        <w:t>*</w:t>
      </w:r>
      <w:r>
        <w:rPr>
          <w:rFonts w:hint="eastAsia"/>
          <w:iCs/>
          <w:snapToGrid/>
          <w:sz w:val="18"/>
          <w:szCs w:val="18"/>
          <w:lang w:val="en-GB"/>
        </w:rPr>
        <w:tab/>
        <w:t xml:space="preserve"> </w:t>
      </w:r>
      <w:r>
        <w:rPr>
          <w:iCs/>
          <w:snapToGrid/>
          <w:sz w:val="18"/>
          <w:szCs w:val="18"/>
          <w:lang w:val="en-GB"/>
        </w:rPr>
        <w:t>2007</w:t>
      </w:r>
      <w:r>
        <w:rPr>
          <w:iCs/>
          <w:snapToGrid/>
          <w:sz w:val="18"/>
          <w:szCs w:val="18"/>
          <w:lang w:val="en-GB"/>
        </w:rPr>
        <w:t>年</w:t>
      </w:r>
      <w:r>
        <w:rPr>
          <w:iCs/>
          <w:snapToGrid/>
          <w:sz w:val="18"/>
          <w:szCs w:val="18"/>
          <w:lang w:val="en-GB"/>
        </w:rPr>
        <w:t>1</w:t>
      </w:r>
      <w:r>
        <w:rPr>
          <w:iCs/>
          <w:snapToGrid/>
          <w:sz w:val="18"/>
          <w:szCs w:val="18"/>
          <w:lang w:val="en-GB"/>
        </w:rPr>
        <w:t>月起，以麻疹</w:t>
      </w:r>
      <w:r>
        <w:rPr>
          <w:iCs/>
          <w:snapToGrid/>
          <w:sz w:val="18"/>
          <w:szCs w:val="18"/>
          <w:lang w:val="en-GB"/>
        </w:rPr>
        <w:t>/</w:t>
      </w:r>
      <w:r>
        <w:rPr>
          <w:iCs/>
          <w:snapToGrid/>
          <w:sz w:val="18"/>
          <w:szCs w:val="18"/>
          <w:lang w:val="en-GB"/>
        </w:rPr>
        <w:t>风疹</w:t>
      </w:r>
      <w:r>
        <w:rPr>
          <w:iCs/>
          <w:snapToGrid/>
          <w:sz w:val="18"/>
          <w:szCs w:val="18"/>
          <w:lang w:val="en-GB"/>
        </w:rPr>
        <w:t>/</w:t>
      </w:r>
      <w:r>
        <w:rPr>
          <w:iCs/>
          <w:snapToGrid/>
          <w:sz w:val="18"/>
          <w:szCs w:val="18"/>
          <w:lang w:val="en-GB"/>
        </w:rPr>
        <w:t>腮腺炎组合疫苗进行儿童免疫。</w:t>
      </w:r>
    </w:p>
    <w:p w:rsidR="00A93F62" w:rsidRDefault="00A93F62">
      <w:pPr>
        <w:pStyle w:val="SingleTxtGC"/>
        <w:tabs>
          <w:tab w:val="clear" w:pos="1565"/>
          <w:tab w:val="clear" w:pos="1996"/>
          <w:tab w:val="left" w:pos="1680"/>
        </w:tabs>
        <w:rPr>
          <w:snapToGrid/>
          <w:lang w:val="en-GB"/>
        </w:rPr>
      </w:pPr>
      <w:r>
        <w:rPr>
          <w:snapToGrid/>
          <w:lang w:val="en-GB"/>
        </w:rPr>
        <w:t>268.</w:t>
      </w:r>
      <w:r>
        <w:rPr>
          <w:rFonts w:hint="eastAsia"/>
          <w:snapToGrid/>
          <w:lang w:val="en-GB"/>
        </w:rPr>
        <w:tab/>
      </w:r>
      <w:r>
        <w:rPr>
          <w:snapToGrid/>
          <w:lang w:val="en-GB"/>
        </w:rPr>
        <w:t>儿童年接种指标</w:t>
      </w:r>
    </w:p>
    <w:tbl>
      <w:tblPr>
        <w:tblStyle w:val="TabNum"/>
        <w:tblW w:w="7400" w:type="dxa"/>
        <w:tblInd w:w="1028" w:type="dxa"/>
        <w:tblLook w:val="01E0" w:firstRow="1" w:lastRow="1" w:firstColumn="1" w:lastColumn="1" w:noHBand="0" w:noVBand="0"/>
      </w:tblPr>
      <w:tblGrid>
        <w:gridCol w:w="1602"/>
        <w:gridCol w:w="1999"/>
        <w:gridCol w:w="1899"/>
        <w:gridCol w:w="1900"/>
      </w:tblGrid>
      <w:tr w:rsidR="00A93F62" w:rsidRPr="007B3FBD">
        <w:trPr>
          <w:trHeight w:val="446"/>
          <w:tblHeader/>
        </w:trPr>
        <w:tc>
          <w:tcPr>
            <w:cnfStyle w:val="001000000000" w:firstRow="0" w:lastRow="0" w:firstColumn="1" w:lastColumn="0" w:oddVBand="0" w:evenVBand="0" w:oddHBand="0" w:evenHBand="0" w:firstRowFirstColumn="0" w:firstRowLastColumn="0" w:lastRowFirstColumn="0" w:lastRowLastColumn="0"/>
            <w:tcW w:w="1082" w:type="pct"/>
            <w:tcBorders>
              <w:bottom w:val="single" w:sz="12" w:space="0" w:color="auto"/>
            </w:tcBorders>
            <w:shd w:val="clear" w:color="auto" w:fill="auto"/>
          </w:tcPr>
          <w:p w:rsidR="00A93F62" w:rsidRPr="007B3FBD" w:rsidRDefault="00A93F62">
            <w:pPr>
              <w:tabs>
                <w:tab w:val="clear" w:pos="431"/>
              </w:tabs>
              <w:suppressAutoHyphens/>
              <w:overflowPunct/>
              <w:adjustRightInd/>
              <w:snapToGrid/>
              <w:spacing w:before="0" w:after="0" w:line="240" w:lineRule="atLeast"/>
              <w:rPr>
                <w:i/>
                <w:snapToGrid/>
                <w:sz w:val="18"/>
                <w:szCs w:val="18"/>
                <w:lang w:val="en-GB"/>
              </w:rPr>
            </w:pPr>
            <w:r w:rsidRPr="007B3FBD">
              <w:rPr>
                <w:rFonts w:eastAsia="KaiTi_GB2312"/>
                <w:snapToGrid/>
                <w:sz w:val="18"/>
                <w:szCs w:val="18"/>
                <w:lang w:val="en-GB"/>
              </w:rPr>
              <w:t>年</w:t>
            </w:r>
          </w:p>
        </w:tc>
        <w:tc>
          <w:tcPr>
            <w:tcW w:w="1350" w:type="pct"/>
            <w:tcBorders>
              <w:top w:val="single" w:sz="4" w:space="0" w:color="auto"/>
              <w:bottom w:val="single" w:sz="12" w:space="0" w:color="auto"/>
            </w:tcBorders>
            <w:shd w:val="clear" w:color="auto" w:fill="auto"/>
          </w:tcPr>
          <w:p w:rsidR="00A93F62" w:rsidRPr="007B3FBD"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B3FBD">
              <w:rPr>
                <w:rFonts w:eastAsia="KaiTi_GB2312"/>
                <w:i/>
                <w:snapToGrid/>
                <w:sz w:val="18"/>
                <w:szCs w:val="18"/>
                <w:lang w:val="en-GB" w:eastAsia="en-US"/>
              </w:rPr>
              <w:t>2005</w:t>
            </w:r>
          </w:p>
        </w:tc>
        <w:tc>
          <w:tcPr>
            <w:tcW w:w="1283" w:type="pct"/>
            <w:tcBorders>
              <w:top w:val="single" w:sz="4" w:space="0" w:color="auto"/>
              <w:bottom w:val="single" w:sz="12" w:space="0" w:color="auto"/>
            </w:tcBorders>
            <w:shd w:val="clear" w:color="auto" w:fill="auto"/>
          </w:tcPr>
          <w:p w:rsidR="00A93F62" w:rsidRPr="007B3FBD"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B3FBD">
              <w:rPr>
                <w:rFonts w:eastAsia="KaiTi_GB2312"/>
                <w:i/>
                <w:snapToGrid/>
                <w:sz w:val="18"/>
                <w:szCs w:val="18"/>
                <w:lang w:val="en-GB" w:eastAsia="en-US"/>
              </w:rPr>
              <w:t>2006</w:t>
            </w:r>
          </w:p>
        </w:tc>
        <w:tc>
          <w:tcPr>
            <w:tcW w:w="1284" w:type="pct"/>
            <w:tcBorders>
              <w:top w:val="single" w:sz="4" w:space="0" w:color="auto"/>
              <w:bottom w:val="single" w:sz="12" w:space="0" w:color="auto"/>
            </w:tcBorders>
            <w:shd w:val="clear" w:color="auto" w:fill="auto"/>
          </w:tcPr>
          <w:p w:rsidR="00A93F62" w:rsidRPr="007B3FBD"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B3FBD">
              <w:rPr>
                <w:rFonts w:eastAsia="KaiTi_GB2312"/>
                <w:i/>
                <w:snapToGrid/>
                <w:sz w:val="18"/>
                <w:szCs w:val="18"/>
                <w:lang w:val="en-GB" w:eastAsia="en-US"/>
              </w:rPr>
              <w:t>2007</w:t>
            </w:r>
          </w:p>
        </w:tc>
      </w:tr>
      <w:tr w:rsidR="00A93F62" w:rsidRPr="007B3FBD">
        <w:tc>
          <w:tcPr>
            <w:cnfStyle w:val="001000000000" w:firstRow="0" w:lastRow="0" w:firstColumn="1" w:lastColumn="0" w:oddVBand="0" w:evenVBand="0" w:oddHBand="0" w:evenHBand="0" w:firstRowFirstColumn="0" w:firstRowLastColumn="0" w:lastRowFirstColumn="0" w:lastRowLastColumn="0"/>
            <w:tcW w:w="1082" w:type="pct"/>
            <w:tcBorders>
              <w:top w:val="single" w:sz="12" w:space="0" w:color="auto"/>
            </w:tcBorders>
          </w:tcPr>
          <w:p w:rsidR="00A93F62" w:rsidRPr="007B3FBD" w:rsidRDefault="00A93F62">
            <w:pPr>
              <w:tabs>
                <w:tab w:val="clear" w:pos="431"/>
              </w:tabs>
              <w:suppressAutoHyphens/>
              <w:overflowPunct/>
              <w:adjustRightInd/>
              <w:snapToGrid/>
              <w:spacing w:before="0" w:after="0" w:line="240" w:lineRule="atLeast"/>
              <w:rPr>
                <w:snapToGrid/>
                <w:sz w:val="18"/>
                <w:szCs w:val="18"/>
                <w:lang w:val="en-GB" w:eastAsia="en-US"/>
              </w:rPr>
            </w:pPr>
            <w:r w:rsidRPr="007B3FBD">
              <w:rPr>
                <w:snapToGrid/>
                <w:sz w:val="18"/>
                <w:szCs w:val="18"/>
                <w:lang w:val="en-GB"/>
              </w:rPr>
              <w:t>土库曼斯坦</w:t>
            </w:r>
            <w:r w:rsidRPr="007B3FBD">
              <w:rPr>
                <w:snapToGrid/>
                <w:sz w:val="18"/>
                <w:szCs w:val="18"/>
                <w:lang w:val="en-GB" w:eastAsia="en-US"/>
              </w:rPr>
              <w:t>%</w:t>
            </w:r>
          </w:p>
        </w:tc>
        <w:tc>
          <w:tcPr>
            <w:tcW w:w="1350" w:type="pct"/>
            <w:tcBorders>
              <w:top w:val="single" w:sz="12" w:space="0" w:color="auto"/>
            </w:tcBorders>
          </w:tcPr>
          <w:p w:rsidR="00A93F62" w:rsidRPr="007B3FBD"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B3FBD">
              <w:rPr>
                <w:snapToGrid/>
                <w:sz w:val="18"/>
                <w:szCs w:val="18"/>
                <w:lang w:val="en-GB" w:eastAsia="en-US"/>
              </w:rPr>
              <w:t>99.0</w:t>
            </w:r>
          </w:p>
        </w:tc>
        <w:tc>
          <w:tcPr>
            <w:tcW w:w="1283" w:type="pct"/>
            <w:tcBorders>
              <w:top w:val="single" w:sz="12" w:space="0" w:color="auto"/>
            </w:tcBorders>
          </w:tcPr>
          <w:p w:rsidR="00A93F62" w:rsidRPr="007B3FBD"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B3FBD">
              <w:rPr>
                <w:snapToGrid/>
                <w:sz w:val="18"/>
                <w:szCs w:val="18"/>
                <w:lang w:val="en-GB" w:eastAsia="en-US"/>
              </w:rPr>
              <w:t>98.4</w:t>
            </w:r>
          </w:p>
        </w:tc>
        <w:tc>
          <w:tcPr>
            <w:tcW w:w="1284" w:type="pct"/>
            <w:tcBorders>
              <w:top w:val="single" w:sz="12" w:space="0" w:color="auto"/>
            </w:tcBorders>
          </w:tcPr>
          <w:p w:rsidR="00A93F62" w:rsidRPr="007B3FBD"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B3FBD">
              <w:rPr>
                <w:snapToGrid/>
                <w:sz w:val="18"/>
                <w:szCs w:val="18"/>
                <w:lang w:val="en-GB" w:eastAsia="en-US"/>
              </w:rPr>
              <w:t>98.2</w:t>
            </w:r>
          </w:p>
        </w:tc>
      </w:tr>
    </w:tbl>
    <w:p w:rsidR="00A93F62" w:rsidRDefault="00A93F62">
      <w:pPr>
        <w:tabs>
          <w:tab w:val="clear" w:pos="431"/>
        </w:tabs>
        <w:suppressAutoHyphens/>
        <w:overflowPunct/>
        <w:adjustRightInd/>
        <w:snapToGrid/>
        <w:spacing w:beforeLines="50" w:before="163" w:after="120" w:line="320" w:lineRule="atLeast"/>
        <w:ind w:left="1134" w:right="1134"/>
        <w:rPr>
          <w:iCs/>
          <w:snapToGrid/>
          <w:szCs w:val="21"/>
          <w:lang w:val="en-GB"/>
        </w:rPr>
      </w:pPr>
      <w:r>
        <w:rPr>
          <w:snapToGrid/>
          <w:szCs w:val="21"/>
          <w:lang w:val="en-GB"/>
        </w:rPr>
        <w:t xml:space="preserve">269. </w:t>
      </w:r>
      <w:r>
        <w:rPr>
          <w:rFonts w:hint="eastAsia"/>
          <w:snapToGrid/>
          <w:szCs w:val="21"/>
          <w:lang w:val="en-GB"/>
        </w:rPr>
        <w:t xml:space="preserve"> </w:t>
      </w:r>
      <w:r>
        <w:rPr>
          <w:snapToGrid/>
          <w:szCs w:val="21"/>
          <w:lang w:val="en-GB"/>
        </w:rPr>
        <w:t>目前，国家正在采取措施消除麻疹和风疹，为此，土库曼斯坦政府通过了</w:t>
      </w:r>
      <w:r>
        <w:rPr>
          <w:snapToGrid/>
          <w:szCs w:val="21"/>
          <w:lang w:val="en-GB"/>
        </w:rPr>
        <w:t>“</w:t>
      </w:r>
      <w:r>
        <w:rPr>
          <w:snapToGrid/>
          <w:szCs w:val="21"/>
          <w:lang w:val="en-GB"/>
        </w:rPr>
        <w:t>预防麻疹和先天性风疹感染</w:t>
      </w:r>
      <w:r>
        <w:rPr>
          <w:snapToGrid/>
          <w:szCs w:val="21"/>
          <w:lang w:val="en-GB"/>
        </w:rPr>
        <w:t>”</w:t>
      </w:r>
      <w:r>
        <w:rPr>
          <w:snapToGrid/>
          <w:szCs w:val="21"/>
          <w:lang w:val="en-GB"/>
        </w:rPr>
        <w:t>的计划，在该框架下自</w:t>
      </w:r>
      <w:r>
        <w:rPr>
          <w:snapToGrid/>
          <w:szCs w:val="21"/>
          <w:lang w:val="en-GB"/>
        </w:rPr>
        <w:t>2007</w:t>
      </w:r>
      <w:r>
        <w:rPr>
          <w:snapToGrid/>
          <w:szCs w:val="21"/>
          <w:lang w:val="en-GB"/>
        </w:rPr>
        <w:t>年起，在全国预防接种日那天为</w:t>
      </w:r>
      <w:r>
        <w:rPr>
          <w:snapToGrid/>
          <w:szCs w:val="21"/>
          <w:lang w:val="en-GB"/>
        </w:rPr>
        <w:t>12-15</w:t>
      </w:r>
      <w:r>
        <w:rPr>
          <w:snapToGrid/>
          <w:szCs w:val="21"/>
          <w:lang w:val="en-GB"/>
        </w:rPr>
        <w:t>个月和</w:t>
      </w:r>
      <w:r>
        <w:rPr>
          <w:snapToGrid/>
          <w:szCs w:val="21"/>
          <w:lang w:val="en-GB"/>
        </w:rPr>
        <w:t>6</w:t>
      </w:r>
      <w:r>
        <w:rPr>
          <w:snapToGrid/>
          <w:szCs w:val="21"/>
          <w:lang w:val="en-GB"/>
        </w:rPr>
        <w:t>岁的孩子接种预防麻疹、风疹和腮腺炎的混合疫苗。</w:t>
      </w:r>
      <w:r>
        <w:rPr>
          <w:iCs/>
          <w:snapToGrid/>
          <w:szCs w:val="21"/>
          <w:lang w:val="en-GB"/>
        </w:rPr>
        <w:t>2</w:t>
      </w:r>
      <w:r>
        <w:rPr>
          <w:iCs/>
          <w:snapToGrid/>
          <w:szCs w:val="21"/>
          <w:lang w:val="en-GB"/>
        </w:rPr>
        <w:t>次剂量的接种防止了这些疾病的发生和病毒在国内的传播。为使现有易感人群的人数稳定，使这些疾病的病原体自然传播无法实现，</w:t>
      </w:r>
      <w:r>
        <w:rPr>
          <w:iCs/>
          <w:snapToGrid/>
          <w:szCs w:val="21"/>
          <w:lang w:val="en-GB"/>
        </w:rPr>
        <w:t>2007</w:t>
      </w:r>
      <w:r>
        <w:rPr>
          <w:iCs/>
          <w:snapToGrid/>
          <w:szCs w:val="21"/>
          <w:lang w:val="en-GB"/>
        </w:rPr>
        <w:t>年，发起了防治麻疹</w:t>
      </w:r>
      <w:r>
        <w:rPr>
          <w:iCs/>
          <w:snapToGrid/>
          <w:szCs w:val="21"/>
          <w:lang w:val="en-GB"/>
        </w:rPr>
        <w:t>/</w:t>
      </w:r>
      <w:r>
        <w:rPr>
          <w:iCs/>
          <w:snapToGrid/>
          <w:szCs w:val="21"/>
          <w:lang w:val="en-GB"/>
        </w:rPr>
        <w:t>风疹的群众运动，目标群体为：</w:t>
      </w:r>
    </w:p>
    <w:p w:rsidR="00A93F62" w:rsidRDefault="00A93F62">
      <w:pPr>
        <w:pStyle w:val="SingleTxtGC"/>
        <w:tabs>
          <w:tab w:val="clear" w:pos="1996"/>
          <w:tab w:val="clear" w:pos="2427"/>
          <w:tab w:val="left" w:pos="2220"/>
        </w:tabs>
        <w:rPr>
          <w:snapToGrid/>
          <w:lang w:val="en-GB"/>
        </w:rPr>
      </w:pPr>
      <w:r>
        <w:rPr>
          <w:snapToGrid/>
          <w:lang w:val="en-GB"/>
        </w:rPr>
        <w:t xml:space="preserve">     </w:t>
      </w:r>
      <w:r>
        <w:rPr>
          <w:rFonts w:hint="eastAsia"/>
          <w:snapToGrid/>
          <w:lang w:val="en-GB"/>
        </w:rPr>
        <w:t>(</w:t>
      </w:r>
      <w:r>
        <w:rPr>
          <w:snapToGrid/>
          <w:lang w:val="en-GB"/>
        </w:rPr>
        <w:t>a)</w:t>
      </w:r>
      <w:r>
        <w:rPr>
          <w:rFonts w:hint="eastAsia"/>
          <w:snapToGrid/>
          <w:lang w:val="en-GB"/>
        </w:rPr>
        <w:tab/>
      </w:r>
      <w:r>
        <w:rPr>
          <w:snapToGrid/>
          <w:lang w:val="en-GB"/>
        </w:rPr>
        <w:t>7-23</w:t>
      </w:r>
      <w:r>
        <w:rPr>
          <w:snapToGrid/>
          <w:lang w:val="en-GB"/>
        </w:rPr>
        <w:t>岁的儿童和青少年</w:t>
      </w:r>
      <w:r>
        <w:rPr>
          <w:snapToGrid/>
          <w:lang w:val="en-GB"/>
        </w:rPr>
        <w:t>(</w:t>
      </w:r>
      <w:r>
        <w:rPr>
          <w:snapToGrid/>
          <w:lang w:val="en-GB"/>
        </w:rPr>
        <w:t>所有男子与女子</w:t>
      </w:r>
      <w:r>
        <w:rPr>
          <w:snapToGrid/>
          <w:lang w:val="en-GB"/>
        </w:rPr>
        <w:t>)</w:t>
      </w:r>
      <w:r>
        <w:rPr>
          <w:snapToGrid/>
          <w:lang w:val="en-GB"/>
        </w:rPr>
        <w:t>；</w:t>
      </w:r>
    </w:p>
    <w:p w:rsidR="00A93F62" w:rsidRDefault="00A93F62">
      <w:pPr>
        <w:pStyle w:val="SingleTxtGC"/>
        <w:tabs>
          <w:tab w:val="clear" w:pos="2427"/>
          <w:tab w:val="left" w:pos="2220"/>
        </w:tabs>
        <w:rPr>
          <w:snapToGrid/>
          <w:lang w:val="en-GB"/>
        </w:rPr>
      </w:pPr>
      <w:r>
        <w:rPr>
          <w:snapToGrid/>
          <w:lang w:val="en-GB"/>
        </w:rPr>
        <w:t xml:space="preserve">     </w:t>
      </w:r>
      <w:r>
        <w:rPr>
          <w:rFonts w:hint="eastAsia"/>
          <w:snapToGrid/>
          <w:lang w:val="en-GB"/>
        </w:rPr>
        <w:t>(</w:t>
      </w:r>
      <w:r>
        <w:rPr>
          <w:snapToGrid/>
          <w:lang w:val="en-GB"/>
        </w:rPr>
        <w:t>b)</w:t>
      </w:r>
      <w:r>
        <w:rPr>
          <w:rFonts w:hint="eastAsia"/>
          <w:snapToGrid/>
          <w:lang w:val="en-GB"/>
        </w:rPr>
        <w:tab/>
      </w:r>
      <w:r>
        <w:rPr>
          <w:rFonts w:hint="eastAsia"/>
          <w:snapToGrid/>
          <w:lang w:val="en-GB"/>
        </w:rPr>
        <w:tab/>
      </w:r>
      <w:r>
        <w:rPr>
          <w:snapToGrid/>
          <w:lang w:val="en-GB"/>
        </w:rPr>
        <w:t>24-40</w:t>
      </w:r>
      <w:r>
        <w:rPr>
          <w:snapToGrid/>
          <w:lang w:val="en-GB"/>
        </w:rPr>
        <w:t>岁的育龄妇女。</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270.</w:t>
      </w:r>
      <w:r>
        <w:rPr>
          <w:rFonts w:hint="eastAsia"/>
          <w:snapToGrid/>
          <w:szCs w:val="21"/>
          <w:lang w:val="en-GB"/>
        </w:rPr>
        <w:t xml:space="preserve">  </w:t>
      </w:r>
      <w:r>
        <w:rPr>
          <w:snapToGrid/>
          <w:szCs w:val="21"/>
          <w:lang w:val="en-GB"/>
        </w:rPr>
        <w:t>由于同为扩大与包括邻国阿富汗、伊朗、乌兹别克斯坦在内的疟疾流行的国家，包括邻国阿富汗、伊朗、乌兹别克斯坦，以及经常往土库曼斯坦移民的从塔吉克斯坦、阿塞拜疆等国迁往土库曼斯坦移民的经济与社会联系的加强，存在疟疾输入、传播的风险。根据疫病情况，制订、批准并实施了《土库曼斯坦</w:t>
      </w:r>
      <w:r>
        <w:rPr>
          <w:snapToGrid/>
          <w:szCs w:val="21"/>
          <w:lang w:val="en-GB"/>
        </w:rPr>
        <w:t>2005-2010</w:t>
      </w:r>
      <w:r>
        <w:rPr>
          <w:snapToGrid/>
          <w:szCs w:val="21"/>
          <w:lang w:val="en-GB"/>
        </w:rPr>
        <w:t>年期间预防疟疾国家纲要》。在履行</w:t>
      </w:r>
      <w:r>
        <w:rPr>
          <w:snapToGrid/>
          <w:szCs w:val="21"/>
          <w:lang w:val="en-GB"/>
        </w:rPr>
        <w:t>“</w:t>
      </w:r>
      <w:r>
        <w:rPr>
          <w:snapToGrid/>
          <w:szCs w:val="21"/>
          <w:lang w:val="en-GB"/>
        </w:rPr>
        <w:t>消除疟疾向前进</w:t>
      </w:r>
      <w:r>
        <w:rPr>
          <w:snapToGrid/>
          <w:szCs w:val="21"/>
          <w:lang w:val="en-GB"/>
        </w:rPr>
        <w:t>”</w:t>
      </w:r>
      <w:r>
        <w:rPr>
          <w:snapToGrid/>
          <w:szCs w:val="21"/>
          <w:lang w:val="en-GB"/>
        </w:rPr>
        <w:t>塔什干宣言</w:t>
      </w:r>
      <w:r>
        <w:rPr>
          <w:snapToGrid/>
          <w:szCs w:val="21"/>
          <w:lang w:val="en-GB"/>
        </w:rPr>
        <w:t>(</w:t>
      </w:r>
      <w:r>
        <w:rPr>
          <w:snapToGrid/>
          <w:szCs w:val="21"/>
          <w:lang w:val="en-GB"/>
        </w:rPr>
        <w:t>在地区倡议下于</w:t>
      </w:r>
      <w:r>
        <w:rPr>
          <w:snapToGrid/>
          <w:szCs w:val="21"/>
          <w:lang w:val="en-GB"/>
        </w:rPr>
        <w:t>2005</w:t>
      </w:r>
      <w:r>
        <w:rPr>
          <w:snapToGrid/>
          <w:szCs w:val="21"/>
          <w:lang w:val="en-GB"/>
        </w:rPr>
        <w:t>年</w:t>
      </w:r>
      <w:r>
        <w:rPr>
          <w:snapToGrid/>
          <w:szCs w:val="21"/>
          <w:lang w:val="en-GB"/>
        </w:rPr>
        <w:t>10</w:t>
      </w:r>
      <w:r>
        <w:rPr>
          <w:snapToGrid/>
          <w:szCs w:val="21"/>
          <w:lang w:val="en-GB"/>
        </w:rPr>
        <w:t>月</w:t>
      </w:r>
      <w:r>
        <w:rPr>
          <w:snapToGrid/>
          <w:szCs w:val="21"/>
          <w:lang w:val="en-GB"/>
        </w:rPr>
        <w:t>18-20</w:t>
      </w:r>
      <w:r>
        <w:rPr>
          <w:snapToGrid/>
          <w:szCs w:val="21"/>
          <w:lang w:val="en-GB"/>
        </w:rPr>
        <w:t>日召开的第一次会议上通过</w:t>
      </w:r>
      <w:r>
        <w:rPr>
          <w:snapToGrid/>
          <w:szCs w:val="21"/>
          <w:lang w:val="en-GB"/>
        </w:rPr>
        <w:t>)</w:t>
      </w:r>
      <w:r>
        <w:rPr>
          <w:snapToGrid/>
          <w:szCs w:val="21"/>
          <w:lang w:val="en-GB"/>
        </w:rPr>
        <w:t>规定的义务基础上，土库曼斯坦制定并批准《国家消除疟疾战略规划</w:t>
      </w:r>
      <w:r>
        <w:rPr>
          <w:snapToGrid/>
          <w:szCs w:val="21"/>
          <w:lang w:val="en-GB"/>
        </w:rPr>
        <w:t>(2008-2010</w:t>
      </w:r>
      <w:r>
        <w:rPr>
          <w:snapToGrid/>
          <w:szCs w:val="21"/>
          <w:lang w:val="en-GB"/>
        </w:rPr>
        <w:t>年</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rFonts w:hint="eastAsia"/>
          <w:iCs/>
          <w:snapToGrid/>
          <w:szCs w:val="21"/>
          <w:lang w:val="en-GB"/>
        </w:rPr>
      </w:pPr>
      <w:r>
        <w:rPr>
          <w:snapToGrid/>
          <w:szCs w:val="21"/>
          <w:lang w:val="en-GB"/>
        </w:rPr>
        <w:t>271.</w:t>
      </w:r>
      <w:r>
        <w:rPr>
          <w:rFonts w:hint="eastAsia"/>
          <w:snapToGrid/>
          <w:szCs w:val="21"/>
          <w:lang w:val="en-GB"/>
        </w:rPr>
        <w:t xml:space="preserve">  </w:t>
      </w:r>
      <w:r>
        <w:rPr>
          <w:snapToGrid/>
          <w:szCs w:val="21"/>
          <w:lang w:val="en-GB"/>
        </w:rPr>
        <w:t>土库曼斯坦政府通过了《土库曼斯坦</w:t>
      </w:r>
      <w:r>
        <w:rPr>
          <w:snapToGrid/>
          <w:szCs w:val="21"/>
          <w:lang w:val="en-GB"/>
        </w:rPr>
        <w:t>2005-2009</w:t>
      </w:r>
      <w:r>
        <w:rPr>
          <w:snapToGrid/>
          <w:szCs w:val="21"/>
          <w:lang w:val="en-GB"/>
        </w:rPr>
        <w:t>年间预防与防治结核病国家纲要》，并批准成立包括</w:t>
      </w:r>
      <w:r>
        <w:rPr>
          <w:snapToGrid/>
          <w:szCs w:val="21"/>
          <w:lang w:val="en-GB"/>
        </w:rPr>
        <w:t>HOUP</w:t>
      </w:r>
      <w:r>
        <w:rPr>
          <w:snapToGrid/>
          <w:szCs w:val="21"/>
          <w:lang w:val="en-GB"/>
        </w:rPr>
        <w:t>方案的机构间协调委员会。</w:t>
      </w:r>
      <w:r>
        <w:rPr>
          <w:snapToGrid/>
          <w:szCs w:val="21"/>
          <w:lang w:val="en-GB"/>
        </w:rPr>
        <w:t>HOUP</w:t>
      </w:r>
      <w:r>
        <w:rPr>
          <w:snapToGrid/>
          <w:szCs w:val="21"/>
          <w:lang w:val="en-GB"/>
        </w:rPr>
        <w:t>方案帮助土库曼斯坦保健与医疗产业部，实行结核病监督战略</w:t>
      </w:r>
      <w:r>
        <w:rPr>
          <w:rFonts w:hint="eastAsia"/>
          <w:snapToGrid/>
          <w:spacing w:val="-50"/>
          <w:szCs w:val="21"/>
          <w:lang w:val="en-GB"/>
        </w:rPr>
        <w:t>―</w:t>
      </w:r>
      <w:r>
        <w:rPr>
          <w:rFonts w:hint="eastAsia"/>
          <w:snapToGrid/>
          <w:szCs w:val="21"/>
          <w:lang w:val="en-GB"/>
        </w:rPr>
        <w:t>―</w:t>
      </w:r>
      <w:r>
        <w:rPr>
          <w:snapToGrid/>
          <w:szCs w:val="21"/>
          <w:lang w:val="en-GB"/>
        </w:rPr>
        <w:t>世界卫生组织建议的</w:t>
      </w:r>
      <w:r>
        <w:rPr>
          <w:snapToGrid/>
          <w:szCs w:val="21"/>
          <w:lang w:val="en-GB"/>
        </w:rPr>
        <w:t>DOTS</w:t>
      </w:r>
      <w:r>
        <w:rPr>
          <w:snapToGrid/>
          <w:szCs w:val="21"/>
          <w:lang w:val="en-GB"/>
        </w:rPr>
        <w:t>。</w:t>
      </w:r>
      <w:r>
        <w:rPr>
          <w:snapToGrid/>
          <w:szCs w:val="21"/>
          <w:lang w:val="en-GB"/>
        </w:rPr>
        <w:t>DOTS(</w:t>
      </w:r>
      <w:r>
        <w:rPr>
          <w:snapToGrid/>
          <w:szCs w:val="21"/>
          <w:lang w:val="en-GB"/>
        </w:rPr>
        <w:t>由医务人员直接监督，以标准短期的化疗疗程治疗结核病</w:t>
      </w:r>
      <w:r>
        <w:rPr>
          <w:snapToGrid/>
          <w:szCs w:val="21"/>
          <w:lang w:val="en-GB"/>
        </w:rPr>
        <w:t>)</w:t>
      </w:r>
      <w:r>
        <w:rPr>
          <w:snapToGrid/>
          <w:szCs w:val="21"/>
          <w:lang w:val="en-GB"/>
        </w:rPr>
        <w:t>是一个多元计划，包括帮助民族干部学习</w:t>
      </w:r>
      <w:r>
        <w:rPr>
          <w:snapToGrid/>
          <w:szCs w:val="21"/>
          <w:lang w:val="en-GB"/>
        </w:rPr>
        <w:t>DOTS</w:t>
      </w:r>
      <w:r>
        <w:rPr>
          <w:snapToGrid/>
          <w:szCs w:val="21"/>
          <w:lang w:val="en-GB"/>
        </w:rPr>
        <w:t>战略，完善药物管制系统，试验站工作的安排及其合理化，建立监测和控制系统，落实卫生教育工作。</w:t>
      </w:r>
      <w:r>
        <w:rPr>
          <w:snapToGrid/>
          <w:szCs w:val="21"/>
          <w:lang w:val="en-GB"/>
        </w:rPr>
        <w:t>HOUP</w:t>
      </w:r>
      <w:r>
        <w:rPr>
          <w:snapToGrid/>
          <w:szCs w:val="21"/>
          <w:lang w:val="en-GB"/>
        </w:rPr>
        <w:t>方案组织提供人道主义货物，包括双目显微镜、实验试剂、显微镜检查中心设备。</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272.</w:t>
      </w:r>
      <w:r>
        <w:rPr>
          <w:rFonts w:hint="eastAsia"/>
          <w:snapToGrid/>
          <w:szCs w:val="21"/>
          <w:lang w:val="en-GB"/>
        </w:rPr>
        <w:t xml:space="preserve">  </w:t>
      </w:r>
      <w:r>
        <w:rPr>
          <w:snapToGrid/>
          <w:szCs w:val="21"/>
          <w:lang w:val="en-GB"/>
        </w:rPr>
        <w:t>儿童在基层医疗服务站的免疫是主要的、最有效的和稳定的。广泛接种疫苗，是保健体系建立期间的主要重大成果之一。推广免疫计划，是防止儿童被</w:t>
      </w:r>
      <w:r>
        <w:rPr>
          <w:snapToGrid/>
          <w:szCs w:val="21"/>
          <w:lang w:val="en-GB"/>
        </w:rPr>
        <w:t>(</w:t>
      </w:r>
      <w:r>
        <w:rPr>
          <w:snapToGrid/>
          <w:szCs w:val="21"/>
          <w:lang w:val="en-GB"/>
        </w:rPr>
        <w:t>脊髓灰质炎、结核病、破伤风、白喉、百日咳、麻疹</w:t>
      </w:r>
      <w:r>
        <w:rPr>
          <w:snapToGrid/>
          <w:szCs w:val="21"/>
          <w:lang w:val="en-GB"/>
        </w:rPr>
        <w:t>)</w:t>
      </w:r>
      <w:r>
        <w:rPr>
          <w:snapToGrid/>
          <w:szCs w:val="21"/>
          <w:lang w:val="en-GB"/>
        </w:rPr>
        <w:t>传染的强制保护手段。每年实行的免疫计划需要自给自足的免疫系统：优质疫苗、安全注射。土库曼斯坦已建立这种免疫系统。</w:t>
      </w:r>
      <w:r>
        <w:rPr>
          <w:snapToGrid/>
          <w:szCs w:val="21"/>
          <w:lang w:val="en-GB"/>
        </w:rPr>
        <w:t>1995</w:t>
      </w:r>
      <w:r>
        <w:rPr>
          <w:snapToGrid/>
          <w:szCs w:val="21"/>
          <w:lang w:val="en-GB"/>
        </w:rPr>
        <w:t>年起，以优质疫苗进行免疫接种，疫苗是通过联合国儿童基金会驻土库曼斯坦代表处采购的。由国家预算内资金出资采购疫苗。提供疫苗时，还配套提供一次性自毁式注射器、安全盒，以保障注射安全。建立接种后的反应与并发症监测系统。</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273.</w:t>
      </w:r>
      <w:r>
        <w:rPr>
          <w:rFonts w:hint="eastAsia"/>
          <w:snapToGrid/>
          <w:szCs w:val="21"/>
          <w:lang w:val="en-GB"/>
        </w:rPr>
        <w:t xml:space="preserve">  </w:t>
      </w:r>
      <w:r>
        <w:rPr>
          <w:snapToGrid/>
          <w:szCs w:val="21"/>
          <w:lang w:val="en-GB"/>
        </w:rPr>
        <w:t>目前，在城乡的保健所，每个土库曼斯坦公民都可以得到以一次性自毁式注射器进行的，防治脊髓灰质炎、白喉、破伤风、百日咳、结核病、麻疹、风疹、腮腺炎和乙型肝炎的免费预防接种。</w:t>
      </w:r>
    </w:p>
    <w:p w:rsidR="00A93F62" w:rsidRDefault="00A93F62">
      <w:pPr>
        <w:tabs>
          <w:tab w:val="clear" w:pos="431"/>
        </w:tabs>
        <w:suppressAutoHyphens/>
        <w:overflowPunct/>
        <w:adjustRightInd/>
        <w:snapToGrid/>
        <w:spacing w:after="120" w:line="320" w:lineRule="atLeast"/>
        <w:ind w:left="1134" w:right="1134"/>
        <w:rPr>
          <w:rFonts w:hint="eastAsia"/>
          <w:snapToGrid/>
          <w:szCs w:val="21"/>
          <w:lang w:val="en-GB"/>
        </w:rPr>
      </w:pPr>
      <w:r>
        <w:rPr>
          <w:snapToGrid/>
          <w:szCs w:val="21"/>
          <w:lang w:val="en-GB"/>
        </w:rPr>
        <w:t>274.</w:t>
      </w:r>
      <w:r>
        <w:rPr>
          <w:rFonts w:hint="eastAsia"/>
          <w:snapToGrid/>
          <w:szCs w:val="21"/>
          <w:lang w:val="en-GB"/>
        </w:rPr>
        <w:t xml:space="preserve">  </w:t>
      </w:r>
      <w:r>
        <w:rPr>
          <w:snapToGrid/>
          <w:szCs w:val="21"/>
          <w:lang w:val="en-GB"/>
        </w:rPr>
        <w:t>土库曼斯坦防治许多传染病的较高免疫率为：</w:t>
      </w:r>
    </w:p>
    <w:tbl>
      <w:tblPr>
        <w:tblStyle w:val="TabNum"/>
        <w:tblW w:w="9595" w:type="dxa"/>
        <w:tblInd w:w="42" w:type="dxa"/>
        <w:tblLayout w:type="fixed"/>
        <w:tblLook w:val="01E0" w:firstRow="1" w:lastRow="1" w:firstColumn="1" w:lastColumn="1" w:noHBand="0" w:noVBand="0"/>
      </w:tblPr>
      <w:tblGrid>
        <w:gridCol w:w="1087"/>
        <w:gridCol w:w="531"/>
        <w:gridCol w:w="532"/>
        <w:gridCol w:w="532"/>
        <w:gridCol w:w="532"/>
        <w:gridCol w:w="531"/>
        <w:gridCol w:w="532"/>
        <w:gridCol w:w="532"/>
        <w:gridCol w:w="532"/>
        <w:gridCol w:w="531"/>
        <w:gridCol w:w="532"/>
        <w:gridCol w:w="532"/>
        <w:gridCol w:w="532"/>
        <w:gridCol w:w="531"/>
        <w:gridCol w:w="532"/>
        <w:gridCol w:w="532"/>
        <w:gridCol w:w="532"/>
      </w:tblGrid>
      <w:tr w:rsidR="00A93F62">
        <w:trPr>
          <w:tblHeader/>
        </w:trPr>
        <w:tc>
          <w:tcPr>
            <w:cnfStyle w:val="001000000000" w:firstRow="0" w:lastRow="0" w:firstColumn="1" w:lastColumn="0" w:oddVBand="0" w:evenVBand="0" w:oddHBand="0" w:evenHBand="0" w:firstRowFirstColumn="0" w:firstRowLastColumn="0" w:lastRowFirstColumn="0" w:lastRowLastColumn="0"/>
            <w:tcW w:w="1087" w:type="dxa"/>
            <w:tcBorders>
              <w:bottom w:val="single" w:sz="12" w:space="0" w:color="auto"/>
            </w:tcBorders>
            <w:shd w:val="clear" w:color="auto" w:fill="auto"/>
          </w:tcPr>
          <w:p w:rsidR="00A93F62" w:rsidRDefault="00A93F62">
            <w:pPr>
              <w:tabs>
                <w:tab w:val="clear" w:pos="431"/>
              </w:tabs>
              <w:suppressAutoHyphens/>
              <w:overflowPunct/>
              <w:adjustRightInd/>
              <w:snapToGrid/>
              <w:spacing w:before="0" w:after="0" w:line="240" w:lineRule="atLeast"/>
              <w:rPr>
                <w:i/>
                <w:snapToGrid/>
                <w:spacing w:val="-5"/>
                <w:sz w:val="15"/>
                <w:szCs w:val="15"/>
                <w:lang w:val="en-GB" w:eastAsia="en-US"/>
              </w:rPr>
            </w:pPr>
            <w:r>
              <w:rPr>
                <w:rFonts w:eastAsia="KaiTi_GB2312"/>
                <w:snapToGrid/>
                <w:spacing w:val="-5"/>
                <w:sz w:val="15"/>
                <w:szCs w:val="15"/>
                <w:lang w:val="en-GB"/>
              </w:rPr>
              <w:t>年</w:t>
            </w:r>
            <w:r>
              <w:rPr>
                <w:rFonts w:eastAsia="KaiTi_GB2312"/>
                <w:snapToGrid/>
                <w:spacing w:val="-5"/>
                <w:sz w:val="15"/>
                <w:szCs w:val="15"/>
                <w:lang w:val="en-GB" w:eastAsia="en-US"/>
              </w:rPr>
              <w:t>/%</w:t>
            </w:r>
          </w:p>
        </w:tc>
        <w:tc>
          <w:tcPr>
            <w:tcW w:w="531"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1991</w:t>
            </w:r>
          </w:p>
        </w:tc>
        <w:tc>
          <w:tcPr>
            <w:tcW w:w="532"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1992</w:t>
            </w:r>
          </w:p>
        </w:tc>
        <w:tc>
          <w:tcPr>
            <w:tcW w:w="532"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1993</w:t>
            </w:r>
          </w:p>
        </w:tc>
        <w:tc>
          <w:tcPr>
            <w:tcW w:w="532"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1994</w:t>
            </w:r>
          </w:p>
        </w:tc>
        <w:tc>
          <w:tcPr>
            <w:tcW w:w="531"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1995</w:t>
            </w:r>
          </w:p>
        </w:tc>
        <w:tc>
          <w:tcPr>
            <w:tcW w:w="532"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1996</w:t>
            </w:r>
          </w:p>
        </w:tc>
        <w:tc>
          <w:tcPr>
            <w:tcW w:w="532"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1997</w:t>
            </w:r>
          </w:p>
        </w:tc>
        <w:tc>
          <w:tcPr>
            <w:tcW w:w="532"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1998</w:t>
            </w:r>
          </w:p>
        </w:tc>
        <w:tc>
          <w:tcPr>
            <w:tcW w:w="531"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1999</w:t>
            </w:r>
          </w:p>
        </w:tc>
        <w:tc>
          <w:tcPr>
            <w:tcW w:w="532"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2000</w:t>
            </w:r>
          </w:p>
        </w:tc>
        <w:tc>
          <w:tcPr>
            <w:tcW w:w="532"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2001</w:t>
            </w:r>
          </w:p>
        </w:tc>
        <w:tc>
          <w:tcPr>
            <w:tcW w:w="532"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2002</w:t>
            </w:r>
          </w:p>
        </w:tc>
        <w:tc>
          <w:tcPr>
            <w:tcW w:w="531"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2003</w:t>
            </w:r>
          </w:p>
        </w:tc>
        <w:tc>
          <w:tcPr>
            <w:tcW w:w="532"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2004</w:t>
            </w:r>
          </w:p>
        </w:tc>
        <w:tc>
          <w:tcPr>
            <w:tcW w:w="532"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2005</w:t>
            </w:r>
          </w:p>
        </w:tc>
        <w:tc>
          <w:tcPr>
            <w:tcW w:w="532" w:type="dxa"/>
            <w:tcBorders>
              <w:top w:val="single" w:sz="4" w:space="0" w:color="auto"/>
              <w:bottom w:val="single" w:sz="12" w:space="0" w:color="auto"/>
            </w:tcBorders>
            <w:shd w:val="clear" w:color="auto" w:fill="auto"/>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pacing w:val="-5"/>
                <w:sz w:val="15"/>
                <w:szCs w:val="15"/>
                <w:lang w:val="en-GB" w:eastAsia="en-US"/>
              </w:rPr>
            </w:pPr>
            <w:r>
              <w:rPr>
                <w:rFonts w:eastAsia="KaiTi_GB2312"/>
                <w:i/>
                <w:snapToGrid/>
                <w:spacing w:val="-5"/>
                <w:sz w:val="15"/>
                <w:szCs w:val="15"/>
                <w:lang w:val="en-GB" w:eastAsia="en-US"/>
              </w:rPr>
              <w:t>2006</w:t>
            </w:r>
          </w:p>
        </w:tc>
      </w:tr>
      <w:tr w:rsidR="00A93F62">
        <w:tc>
          <w:tcPr>
            <w:cnfStyle w:val="001000000000" w:firstRow="0" w:lastRow="0" w:firstColumn="1" w:lastColumn="0" w:oddVBand="0" w:evenVBand="0" w:oddHBand="0" w:evenHBand="0" w:firstRowFirstColumn="0" w:firstRowLastColumn="0" w:lastRowFirstColumn="0" w:lastRowLastColumn="0"/>
            <w:tcW w:w="1087" w:type="dxa"/>
            <w:tcBorders>
              <w:top w:val="single" w:sz="12" w:space="0" w:color="auto"/>
            </w:tcBorders>
          </w:tcPr>
          <w:p w:rsidR="00A93F62" w:rsidRDefault="00A93F62">
            <w:pPr>
              <w:tabs>
                <w:tab w:val="clear" w:pos="431"/>
              </w:tabs>
              <w:suppressAutoHyphens/>
              <w:overflowPunct/>
              <w:adjustRightInd/>
              <w:snapToGrid/>
              <w:spacing w:before="0" w:after="0" w:line="240" w:lineRule="atLeast"/>
              <w:rPr>
                <w:snapToGrid/>
                <w:spacing w:val="-5"/>
                <w:sz w:val="15"/>
                <w:szCs w:val="15"/>
                <w:lang w:val="en-GB"/>
              </w:rPr>
            </w:pPr>
            <w:r>
              <w:rPr>
                <w:snapToGrid/>
                <w:spacing w:val="-5"/>
                <w:sz w:val="15"/>
                <w:szCs w:val="15"/>
                <w:lang w:val="en-GB"/>
              </w:rPr>
              <w:t>防治结核病</w:t>
            </w:r>
          </w:p>
        </w:tc>
        <w:tc>
          <w:tcPr>
            <w:tcW w:w="531"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96.0</w:t>
            </w:r>
          </w:p>
        </w:tc>
        <w:tc>
          <w:tcPr>
            <w:tcW w:w="532"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96.8</w:t>
            </w:r>
          </w:p>
        </w:tc>
        <w:tc>
          <w:tcPr>
            <w:tcW w:w="532"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94.0</w:t>
            </w:r>
          </w:p>
        </w:tc>
        <w:tc>
          <w:tcPr>
            <w:tcW w:w="532"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97.0</w:t>
            </w:r>
          </w:p>
        </w:tc>
        <w:tc>
          <w:tcPr>
            <w:tcW w:w="531"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93.0</w:t>
            </w:r>
          </w:p>
        </w:tc>
        <w:tc>
          <w:tcPr>
            <w:tcW w:w="532"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97.0</w:t>
            </w:r>
          </w:p>
        </w:tc>
        <w:tc>
          <w:tcPr>
            <w:tcW w:w="532"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96.6</w:t>
            </w:r>
          </w:p>
        </w:tc>
        <w:tc>
          <w:tcPr>
            <w:tcW w:w="532"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98.2</w:t>
            </w:r>
          </w:p>
        </w:tc>
        <w:tc>
          <w:tcPr>
            <w:tcW w:w="531"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99.1</w:t>
            </w:r>
          </w:p>
        </w:tc>
        <w:tc>
          <w:tcPr>
            <w:tcW w:w="532"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99.5</w:t>
            </w:r>
          </w:p>
        </w:tc>
        <w:tc>
          <w:tcPr>
            <w:tcW w:w="532"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532"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99.2</w:t>
            </w:r>
          </w:p>
        </w:tc>
        <w:tc>
          <w:tcPr>
            <w:tcW w:w="531"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98.8</w:t>
            </w:r>
          </w:p>
        </w:tc>
        <w:tc>
          <w:tcPr>
            <w:tcW w:w="532"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99.1</w:t>
            </w:r>
          </w:p>
        </w:tc>
        <w:tc>
          <w:tcPr>
            <w:tcW w:w="532"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532" w:type="dxa"/>
            <w:tcBorders>
              <w:top w:val="single" w:sz="12"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99.2</w:t>
            </w:r>
          </w:p>
        </w:tc>
      </w:tr>
      <w:tr w:rsidR="00A93F62">
        <w:tc>
          <w:tcPr>
            <w:cnfStyle w:val="001000000000" w:firstRow="0" w:lastRow="0" w:firstColumn="1" w:lastColumn="0" w:oddVBand="0" w:evenVBand="0" w:oddHBand="0" w:evenHBand="0" w:firstRowFirstColumn="0" w:firstRowLastColumn="0" w:lastRowFirstColumn="0" w:lastRowLastColumn="0"/>
            <w:tcW w:w="1087" w:type="dxa"/>
          </w:tcPr>
          <w:p w:rsidR="00A93F62" w:rsidRDefault="00A93F62">
            <w:pPr>
              <w:tabs>
                <w:tab w:val="clear" w:pos="431"/>
              </w:tabs>
              <w:suppressAutoHyphens/>
              <w:overflowPunct/>
              <w:adjustRightInd/>
              <w:spacing w:before="0" w:after="0" w:line="240" w:lineRule="atLeast"/>
              <w:rPr>
                <w:snapToGrid/>
                <w:spacing w:val="-5"/>
                <w:sz w:val="15"/>
                <w:szCs w:val="15"/>
                <w:lang w:val="en-GB"/>
              </w:rPr>
            </w:pPr>
            <w:r>
              <w:rPr>
                <w:snapToGrid/>
                <w:spacing w:val="-5"/>
                <w:sz w:val="15"/>
                <w:szCs w:val="15"/>
                <w:lang w:val="en-GB"/>
              </w:rPr>
              <w:t>防治白喉、百日咳和破伤风</w:t>
            </w:r>
          </w:p>
        </w:tc>
        <w:tc>
          <w:tcPr>
            <w:tcW w:w="531"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81.0</w:t>
            </w:r>
          </w:p>
        </w:tc>
        <w:tc>
          <w:tcPr>
            <w:tcW w:w="532"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84.0</w:t>
            </w:r>
          </w:p>
        </w:tc>
        <w:tc>
          <w:tcPr>
            <w:tcW w:w="532"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73.0</w:t>
            </w:r>
          </w:p>
        </w:tc>
        <w:tc>
          <w:tcPr>
            <w:tcW w:w="532"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90.0</w:t>
            </w:r>
          </w:p>
        </w:tc>
        <w:tc>
          <w:tcPr>
            <w:tcW w:w="531"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93.0</w:t>
            </w:r>
          </w:p>
        </w:tc>
        <w:tc>
          <w:tcPr>
            <w:tcW w:w="532"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97.0</w:t>
            </w:r>
          </w:p>
        </w:tc>
        <w:tc>
          <w:tcPr>
            <w:tcW w:w="532"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98.0</w:t>
            </w:r>
          </w:p>
        </w:tc>
        <w:tc>
          <w:tcPr>
            <w:tcW w:w="532"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531"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98.0</w:t>
            </w:r>
          </w:p>
        </w:tc>
        <w:tc>
          <w:tcPr>
            <w:tcW w:w="532"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97.0</w:t>
            </w:r>
          </w:p>
        </w:tc>
        <w:tc>
          <w:tcPr>
            <w:tcW w:w="532"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95.4</w:t>
            </w:r>
          </w:p>
        </w:tc>
        <w:tc>
          <w:tcPr>
            <w:tcW w:w="532"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97.7</w:t>
            </w:r>
          </w:p>
        </w:tc>
        <w:tc>
          <w:tcPr>
            <w:tcW w:w="531"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83.3</w:t>
            </w:r>
          </w:p>
        </w:tc>
        <w:tc>
          <w:tcPr>
            <w:tcW w:w="532"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97.2</w:t>
            </w:r>
          </w:p>
        </w:tc>
        <w:tc>
          <w:tcPr>
            <w:tcW w:w="532"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532" w:type="dxa"/>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97.7</w:t>
            </w:r>
          </w:p>
        </w:tc>
      </w:tr>
      <w:tr w:rsidR="00A93F62">
        <w:tc>
          <w:tcPr>
            <w:cnfStyle w:val="001000000000" w:firstRow="0" w:lastRow="0" w:firstColumn="1" w:lastColumn="0" w:oddVBand="0" w:evenVBand="0" w:oddHBand="0" w:evenHBand="0" w:firstRowFirstColumn="0" w:firstRowLastColumn="0" w:lastRowFirstColumn="0" w:lastRowLastColumn="0"/>
            <w:tcW w:w="1087" w:type="dxa"/>
          </w:tcPr>
          <w:p w:rsidR="00A93F62" w:rsidRDefault="00A93F62">
            <w:pPr>
              <w:tabs>
                <w:tab w:val="clear" w:pos="431"/>
              </w:tabs>
              <w:suppressAutoHyphens/>
              <w:overflowPunct/>
              <w:adjustRightInd/>
              <w:snapToGrid/>
              <w:spacing w:before="0" w:after="0" w:line="240" w:lineRule="atLeast"/>
              <w:rPr>
                <w:snapToGrid/>
                <w:spacing w:val="-5"/>
                <w:sz w:val="15"/>
                <w:szCs w:val="15"/>
                <w:lang w:val="en-GB" w:eastAsia="en-US"/>
              </w:rPr>
            </w:pPr>
            <w:r>
              <w:rPr>
                <w:snapToGrid/>
                <w:spacing w:val="-5"/>
                <w:sz w:val="15"/>
                <w:szCs w:val="15"/>
                <w:lang w:val="en-GB"/>
              </w:rPr>
              <w:t>防治麻疹</w:t>
            </w:r>
            <w:r>
              <w:rPr>
                <w:snapToGrid/>
                <w:spacing w:val="-5"/>
                <w:sz w:val="15"/>
                <w:szCs w:val="15"/>
                <w:lang w:val="en-GB" w:eastAsia="en-US"/>
              </w:rPr>
              <w:t xml:space="preserve"> </w:t>
            </w:r>
          </w:p>
        </w:tc>
        <w:tc>
          <w:tcPr>
            <w:tcW w:w="531"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63.0</w:t>
            </w:r>
          </w:p>
        </w:tc>
        <w:tc>
          <w:tcPr>
            <w:tcW w:w="532"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76.0</w:t>
            </w:r>
          </w:p>
        </w:tc>
        <w:tc>
          <w:tcPr>
            <w:tcW w:w="532"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84.0</w:t>
            </w:r>
          </w:p>
        </w:tc>
        <w:tc>
          <w:tcPr>
            <w:tcW w:w="532"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90.0</w:t>
            </w:r>
          </w:p>
        </w:tc>
        <w:tc>
          <w:tcPr>
            <w:tcW w:w="531"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92.0</w:t>
            </w:r>
          </w:p>
        </w:tc>
        <w:tc>
          <w:tcPr>
            <w:tcW w:w="532"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98.0</w:t>
            </w:r>
          </w:p>
        </w:tc>
        <w:tc>
          <w:tcPr>
            <w:tcW w:w="532"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100.0</w:t>
            </w:r>
          </w:p>
        </w:tc>
        <w:tc>
          <w:tcPr>
            <w:tcW w:w="532"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531"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97.0</w:t>
            </w:r>
          </w:p>
        </w:tc>
        <w:tc>
          <w:tcPr>
            <w:tcW w:w="532"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97.0</w:t>
            </w:r>
          </w:p>
        </w:tc>
        <w:tc>
          <w:tcPr>
            <w:tcW w:w="532"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97.6</w:t>
            </w:r>
          </w:p>
        </w:tc>
        <w:tc>
          <w:tcPr>
            <w:tcW w:w="532"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88.0</w:t>
            </w:r>
          </w:p>
        </w:tc>
        <w:tc>
          <w:tcPr>
            <w:tcW w:w="531"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97.1</w:t>
            </w:r>
          </w:p>
        </w:tc>
        <w:tc>
          <w:tcPr>
            <w:tcW w:w="532"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97.3</w:t>
            </w:r>
          </w:p>
        </w:tc>
        <w:tc>
          <w:tcPr>
            <w:tcW w:w="532"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532" w:type="dxa"/>
            <w:tcBorders>
              <w:bottom w:val="nil"/>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98.9</w:t>
            </w:r>
          </w:p>
        </w:tc>
      </w:tr>
      <w:tr w:rsidR="00A93F62">
        <w:tc>
          <w:tcPr>
            <w:cnfStyle w:val="001000000000" w:firstRow="0" w:lastRow="0" w:firstColumn="1" w:lastColumn="0" w:oddVBand="0" w:evenVBand="0" w:oddHBand="0" w:evenHBand="0" w:firstRowFirstColumn="0" w:firstRowLastColumn="0" w:lastRowFirstColumn="0" w:lastRowLastColumn="0"/>
            <w:tcW w:w="1087" w:type="dxa"/>
            <w:tcBorders>
              <w:top w:val="nil"/>
              <w:bottom w:val="single" w:sz="4" w:space="0" w:color="auto"/>
            </w:tcBorders>
          </w:tcPr>
          <w:p w:rsidR="00A93F62" w:rsidRDefault="00A93F62">
            <w:pPr>
              <w:tabs>
                <w:tab w:val="clear" w:pos="431"/>
              </w:tabs>
              <w:suppressAutoHyphens/>
              <w:overflowPunct/>
              <w:adjustRightInd/>
              <w:snapToGrid/>
              <w:spacing w:before="0" w:after="0" w:line="240" w:lineRule="atLeast"/>
              <w:rPr>
                <w:snapToGrid/>
                <w:spacing w:val="-5"/>
                <w:sz w:val="15"/>
                <w:szCs w:val="15"/>
                <w:lang w:val="en-GB"/>
              </w:rPr>
            </w:pPr>
            <w:r>
              <w:rPr>
                <w:snapToGrid/>
                <w:spacing w:val="-5"/>
                <w:sz w:val="15"/>
                <w:szCs w:val="15"/>
                <w:lang w:val="en-GB"/>
              </w:rPr>
              <w:t>防治脊髓灰质炎</w:t>
            </w:r>
          </w:p>
        </w:tc>
        <w:tc>
          <w:tcPr>
            <w:tcW w:w="531"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32"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91.0</w:t>
            </w:r>
          </w:p>
        </w:tc>
        <w:tc>
          <w:tcPr>
            <w:tcW w:w="532"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92.0</w:t>
            </w:r>
          </w:p>
        </w:tc>
        <w:tc>
          <w:tcPr>
            <w:tcW w:w="532"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94.0</w:t>
            </w:r>
          </w:p>
        </w:tc>
        <w:tc>
          <w:tcPr>
            <w:tcW w:w="531"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96.0</w:t>
            </w:r>
          </w:p>
        </w:tc>
        <w:tc>
          <w:tcPr>
            <w:tcW w:w="532"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98.0</w:t>
            </w:r>
          </w:p>
        </w:tc>
        <w:tc>
          <w:tcPr>
            <w:tcW w:w="532"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532"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531"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98.0</w:t>
            </w:r>
          </w:p>
        </w:tc>
        <w:tc>
          <w:tcPr>
            <w:tcW w:w="532"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98.0</w:t>
            </w:r>
          </w:p>
        </w:tc>
        <w:tc>
          <w:tcPr>
            <w:tcW w:w="532"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94.3</w:t>
            </w:r>
          </w:p>
        </w:tc>
        <w:tc>
          <w:tcPr>
            <w:tcW w:w="532"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99.0</w:t>
            </w:r>
          </w:p>
        </w:tc>
        <w:tc>
          <w:tcPr>
            <w:tcW w:w="531"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66.0</w:t>
            </w:r>
          </w:p>
        </w:tc>
        <w:tc>
          <w:tcPr>
            <w:tcW w:w="532"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97.8</w:t>
            </w:r>
          </w:p>
        </w:tc>
        <w:tc>
          <w:tcPr>
            <w:tcW w:w="532"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99.1</w:t>
            </w:r>
          </w:p>
        </w:tc>
        <w:tc>
          <w:tcPr>
            <w:tcW w:w="532" w:type="dxa"/>
            <w:tcBorders>
              <w:top w:val="nil"/>
              <w:bottom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98.0</w:t>
            </w:r>
          </w:p>
        </w:tc>
      </w:tr>
      <w:tr w:rsidR="00A93F62">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tcBorders>
          </w:tcPr>
          <w:p w:rsidR="00A93F62" w:rsidRDefault="00A93F62">
            <w:pPr>
              <w:tabs>
                <w:tab w:val="clear" w:pos="431"/>
              </w:tabs>
              <w:suppressAutoHyphens/>
              <w:overflowPunct/>
              <w:adjustRightInd/>
              <w:snapToGrid/>
              <w:spacing w:before="0" w:after="0" w:line="240" w:lineRule="atLeast"/>
              <w:rPr>
                <w:snapToGrid/>
                <w:spacing w:val="-5"/>
                <w:sz w:val="15"/>
                <w:szCs w:val="15"/>
                <w:lang w:val="en-GB"/>
              </w:rPr>
            </w:pPr>
            <w:r>
              <w:rPr>
                <w:snapToGrid/>
                <w:spacing w:val="-5"/>
                <w:sz w:val="15"/>
                <w:szCs w:val="15"/>
                <w:lang w:val="en-GB"/>
              </w:rPr>
              <w:t>防治乙型肝炎</w:t>
            </w:r>
          </w:p>
        </w:tc>
        <w:tc>
          <w:tcPr>
            <w:tcW w:w="531"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32"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32"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32"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31"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32"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32"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32"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31"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32"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32"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p>
        </w:tc>
        <w:tc>
          <w:tcPr>
            <w:tcW w:w="532"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96.4</w:t>
            </w:r>
          </w:p>
        </w:tc>
        <w:tc>
          <w:tcPr>
            <w:tcW w:w="531"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97.0</w:t>
            </w:r>
          </w:p>
        </w:tc>
        <w:tc>
          <w:tcPr>
            <w:tcW w:w="532"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96.5</w:t>
            </w:r>
          </w:p>
        </w:tc>
        <w:tc>
          <w:tcPr>
            <w:tcW w:w="532"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99.1</w:t>
            </w:r>
          </w:p>
        </w:tc>
        <w:tc>
          <w:tcPr>
            <w:tcW w:w="532" w:type="dxa"/>
            <w:tcBorders>
              <w:top w:val="single" w:sz="4" w:space="0" w:color="auto"/>
            </w:tcBorders>
          </w:tcPr>
          <w:p w:rsidR="00A93F62"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pacing w:val="-5"/>
                <w:sz w:val="15"/>
                <w:szCs w:val="15"/>
                <w:lang w:val="en-GB" w:eastAsia="en-US"/>
              </w:rPr>
            </w:pPr>
            <w:r>
              <w:rPr>
                <w:snapToGrid/>
                <w:spacing w:val="-5"/>
                <w:sz w:val="15"/>
                <w:szCs w:val="15"/>
                <w:lang w:val="en-GB" w:eastAsia="en-US"/>
              </w:rPr>
              <w:t>98.1</w:t>
            </w:r>
          </w:p>
        </w:tc>
      </w:tr>
    </w:tbl>
    <w:p w:rsidR="00A93F62" w:rsidRDefault="00A93F62">
      <w:pPr>
        <w:tabs>
          <w:tab w:val="clear" w:pos="431"/>
        </w:tabs>
        <w:suppressAutoHyphens/>
        <w:overflowPunct/>
        <w:adjustRightInd/>
        <w:snapToGrid/>
        <w:spacing w:beforeLines="50" w:before="163" w:after="120" w:line="320" w:lineRule="atLeast"/>
        <w:ind w:left="1134" w:right="1134"/>
        <w:rPr>
          <w:snapToGrid/>
          <w:szCs w:val="21"/>
          <w:lang w:val="en-GB"/>
        </w:rPr>
      </w:pPr>
      <w:r>
        <w:rPr>
          <w:snapToGrid/>
          <w:szCs w:val="21"/>
          <w:lang w:val="en-GB"/>
        </w:rPr>
        <w:t xml:space="preserve">275. </w:t>
      </w:r>
      <w:r w:rsidR="00AC06A9">
        <w:rPr>
          <w:rFonts w:hint="eastAsia"/>
          <w:snapToGrid/>
          <w:szCs w:val="21"/>
          <w:lang w:val="en-GB"/>
        </w:rPr>
        <w:t xml:space="preserve"> </w:t>
      </w:r>
      <w:r>
        <w:rPr>
          <w:snapToGrid/>
          <w:szCs w:val="21"/>
          <w:lang w:val="en-GB"/>
        </w:rPr>
        <w:t>为完善防疫措施，实行了《</w:t>
      </w:r>
      <w:r>
        <w:rPr>
          <w:snapToGrid/>
          <w:szCs w:val="21"/>
          <w:lang w:val="en-GB"/>
        </w:rPr>
        <w:t>1993-2003</w:t>
      </w:r>
      <w:r>
        <w:rPr>
          <w:snapToGrid/>
          <w:szCs w:val="21"/>
          <w:lang w:val="en-GB"/>
        </w:rPr>
        <w:t>年防疫接种纲要》，该纲要顺利实施并延长至</w:t>
      </w:r>
      <w:r>
        <w:rPr>
          <w:snapToGrid/>
          <w:szCs w:val="21"/>
          <w:lang w:val="en-GB"/>
        </w:rPr>
        <w:t>2020</w:t>
      </w:r>
      <w:r>
        <w:rPr>
          <w:snapToGrid/>
          <w:szCs w:val="21"/>
          <w:lang w:val="en-GB"/>
        </w:rPr>
        <w:t>年。由于采取了持续、合理的措施，</w:t>
      </w:r>
      <w:r>
        <w:rPr>
          <w:snapToGrid/>
          <w:szCs w:val="21"/>
          <w:lang w:val="en-GB"/>
        </w:rPr>
        <w:t>2002</w:t>
      </w:r>
      <w:r>
        <w:rPr>
          <w:snapToGrid/>
          <w:szCs w:val="21"/>
          <w:lang w:val="en-GB"/>
        </w:rPr>
        <w:t>年，土库曼斯坦被授予</w:t>
      </w:r>
      <w:r>
        <w:rPr>
          <w:snapToGrid/>
          <w:szCs w:val="21"/>
          <w:lang w:val="en-GB"/>
        </w:rPr>
        <w:t>“</w:t>
      </w:r>
      <w:r>
        <w:rPr>
          <w:snapToGrid/>
          <w:szCs w:val="21"/>
          <w:lang w:val="en-GB"/>
        </w:rPr>
        <w:t>消除地方性原始神经性病毒传播</w:t>
      </w:r>
      <w:r>
        <w:rPr>
          <w:snapToGrid/>
          <w:szCs w:val="21"/>
          <w:lang w:val="en-GB"/>
        </w:rPr>
        <w:t>”</w:t>
      </w:r>
      <w:r>
        <w:rPr>
          <w:snapToGrid/>
          <w:szCs w:val="21"/>
          <w:lang w:val="en-GB"/>
        </w:rPr>
        <w:t>证书。目前，国家正在采取措施消除麻疹和风疹，为此，土库曼斯坦政府通过了</w:t>
      </w:r>
      <w:r>
        <w:rPr>
          <w:snapToGrid/>
          <w:szCs w:val="21"/>
          <w:lang w:val="en-GB"/>
        </w:rPr>
        <w:t>“</w:t>
      </w:r>
      <w:r>
        <w:rPr>
          <w:snapToGrid/>
          <w:szCs w:val="21"/>
          <w:lang w:val="en-GB"/>
        </w:rPr>
        <w:t>预防麻疹和先天性风疹感染</w:t>
      </w:r>
      <w:r>
        <w:rPr>
          <w:snapToGrid/>
          <w:szCs w:val="21"/>
          <w:lang w:val="en-GB"/>
        </w:rPr>
        <w:t>”</w:t>
      </w:r>
      <w:r>
        <w:rPr>
          <w:snapToGrid/>
          <w:szCs w:val="21"/>
          <w:lang w:val="en-GB"/>
        </w:rPr>
        <w:t>的计划。</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276.</w:t>
      </w:r>
      <w:r>
        <w:rPr>
          <w:rFonts w:hint="eastAsia"/>
          <w:snapToGrid/>
          <w:szCs w:val="21"/>
          <w:lang w:val="en-GB"/>
        </w:rPr>
        <w:t xml:space="preserve">  </w:t>
      </w:r>
      <w:r>
        <w:rPr>
          <w:snapToGrid/>
          <w:szCs w:val="21"/>
          <w:lang w:val="en-GB"/>
        </w:rPr>
        <w:t>土库曼斯坦保健与医疗产业部卫生防疫署长期持续监测日常饮用水的水质。土库曼斯坦共有</w:t>
      </w:r>
      <w:r>
        <w:rPr>
          <w:snapToGrid/>
          <w:szCs w:val="21"/>
          <w:lang w:val="en-GB"/>
        </w:rPr>
        <w:t>213</w:t>
      </w:r>
      <w:r>
        <w:rPr>
          <w:snapToGrid/>
          <w:szCs w:val="21"/>
          <w:lang w:val="en-GB"/>
        </w:rPr>
        <w:t>条集中供水管道</w:t>
      </w:r>
      <w:r>
        <w:rPr>
          <w:snapToGrid/>
          <w:szCs w:val="21"/>
          <w:lang w:val="en-GB"/>
        </w:rPr>
        <w:t>(</w:t>
      </w:r>
      <w:r>
        <w:rPr>
          <w:snapToGrid/>
          <w:szCs w:val="21"/>
          <w:lang w:val="en-GB"/>
        </w:rPr>
        <w:t>市政的和机关的</w:t>
      </w:r>
      <w:r>
        <w:rPr>
          <w:snapToGrid/>
          <w:szCs w:val="21"/>
          <w:lang w:val="en-GB"/>
        </w:rPr>
        <w:t>)</w:t>
      </w:r>
      <w:r>
        <w:rPr>
          <w:snapToGrid/>
          <w:szCs w:val="21"/>
          <w:lang w:val="en-GB"/>
        </w:rPr>
        <w:t>。</w:t>
      </w:r>
      <w:r>
        <w:rPr>
          <w:snapToGrid/>
          <w:szCs w:val="21"/>
          <w:lang w:val="en-GB"/>
        </w:rPr>
        <w:t>(</w:t>
      </w:r>
      <w:r>
        <w:rPr>
          <w:snapToGrid/>
          <w:szCs w:val="21"/>
          <w:lang w:val="en-GB"/>
        </w:rPr>
        <w:t>根据</w:t>
      </w:r>
      <w:r>
        <w:rPr>
          <w:snapToGrid/>
          <w:szCs w:val="21"/>
          <w:lang w:val="en-GB"/>
        </w:rPr>
        <w:t>2006</w:t>
      </w:r>
      <w:r>
        <w:rPr>
          <w:snapToGrid/>
          <w:szCs w:val="21"/>
          <w:lang w:val="en-GB"/>
        </w:rPr>
        <w:t>年的统计数据</w:t>
      </w:r>
      <w:r>
        <w:rPr>
          <w:snapToGrid/>
          <w:szCs w:val="21"/>
          <w:lang w:val="en-GB"/>
        </w:rPr>
        <w:t>)</w:t>
      </w:r>
      <w:r>
        <w:rPr>
          <w:snapToGrid/>
          <w:szCs w:val="21"/>
          <w:lang w:val="en-GB"/>
        </w:rPr>
        <w:t>其中不符合卫生化学指标的水样占</w:t>
      </w:r>
      <w:r>
        <w:rPr>
          <w:snapToGrid/>
          <w:szCs w:val="21"/>
          <w:lang w:val="en-GB"/>
        </w:rPr>
        <w:t>13.8%</w:t>
      </w:r>
      <w:r>
        <w:rPr>
          <w:snapToGrid/>
          <w:szCs w:val="21"/>
          <w:lang w:val="en-GB"/>
        </w:rPr>
        <w:t>，不符合微生物指标的占</w:t>
      </w:r>
      <w:r>
        <w:rPr>
          <w:snapToGrid/>
          <w:szCs w:val="21"/>
          <w:lang w:val="en-GB"/>
        </w:rPr>
        <w:t>3.2%</w:t>
      </w:r>
      <w:r>
        <w:rPr>
          <w:snapToGrid/>
          <w:szCs w:val="21"/>
          <w:lang w:val="en-GB"/>
        </w:rPr>
        <w:t>。公共分散水源</w:t>
      </w:r>
      <w:r>
        <w:rPr>
          <w:snapToGrid/>
          <w:szCs w:val="21"/>
          <w:lang w:val="en-GB"/>
        </w:rPr>
        <w:t>(</w:t>
      </w:r>
      <w:r>
        <w:rPr>
          <w:snapToGrid/>
          <w:szCs w:val="21"/>
          <w:lang w:val="en-GB"/>
        </w:rPr>
        <w:t>水井、集水装置、泉水</w:t>
      </w:r>
      <w:r>
        <w:rPr>
          <w:snapToGrid/>
          <w:szCs w:val="21"/>
          <w:lang w:val="en-GB"/>
        </w:rPr>
        <w:t>)</w:t>
      </w:r>
      <w:r>
        <w:rPr>
          <w:snapToGrid/>
          <w:szCs w:val="21"/>
          <w:lang w:val="en-GB"/>
        </w:rPr>
        <w:t>为</w:t>
      </w:r>
      <w:r>
        <w:rPr>
          <w:snapToGrid/>
          <w:szCs w:val="21"/>
          <w:lang w:val="en-GB"/>
        </w:rPr>
        <w:t>1703</w:t>
      </w:r>
      <w:r>
        <w:rPr>
          <w:snapToGrid/>
          <w:szCs w:val="21"/>
          <w:lang w:val="en-GB"/>
        </w:rPr>
        <w:t>个。</w:t>
      </w:r>
      <w:r>
        <w:rPr>
          <w:snapToGrid/>
          <w:szCs w:val="21"/>
          <w:lang w:val="en-GB"/>
        </w:rPr>
        <w:t>(</w:t>
      </w:r>
      <w:r>
        <w:rPr>
          <w:snapToGrid/>
          <w:szCs w:val="21"/>
          <w:lang w:val="en-GB"/>
        </w:rPr>
        <w:t>根据</w:t>
      </w:r>
      <w:r>
        <w:rPr>
          <w:snapToGrid/>
          <w:szCs w:val="21"/>
          <w:lang w:val="en-GB"/>
        </w:rPr>
        <w:t>2006</w:t>
      </w:r>
      <w:r>
        <w:rPr>
          <w:snapToGrid/>
          <w:szCs w:val="21"/>
          <w:lang w:val="en-GB"/>
        </w:rPr>
        <w:t>年的统计数据</w:t>
      </w:r>
      <w:r>
        <w:rPr>
          <w:snapToGrid/>
          <w:szCs w:val="21"/>
          <w:lang w:val="en-GB"/>
        </w:rPr>
        <w:t>)</w:t>
      </w:r>
      <w:r>
        <w:rPr>
          <w:snapToGrid/>
          <w:szCs w:val="21"/>
          <w:lang w:val="en-GB"/>
        </w:rPr>
        <w:t>其中不符合卫生化学指标的水样占</w:t>
      </w:r>
      <w:r>
        <w:rPr>
          <w:snapToGrid/>
          <w:szCs w:val="21"/>
          <w:lang w:val="en-GB"/>
        </w:rPr>
        <w:t>33.4%</w:t>
      </w:r>
      <w:r>
        <w:rPr>
          <w:snapToGrid/>
          <w:szCs w:val="21"/>
          <w:lang w:val="en-GB"/>
        </w:rPr>
        <w:t>，不符合微生物指标的占</w:t>
      </w:r>
      <w:r>
        <w:rPr>
          <w:snapToGrid/>
          <w:szCs w:val="21"/>
          <w:lang w:val="en-GB"/>
        </w:rPr>
        <w:t>4%</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277.</w:t>
      </w:r>
      <w:r>
        <w:rPr>
          <w:rFonts w:hint="eastAsia"/>
          <w:snapToGrid/>
          <w:szCs w:val="21"/>
          <w:lang w:val="en-GB"/>
        </w:rPr>
        <w:t xml:space="preserve">  </w:t>
      </w:r>
      <w:r>
        <w:rPr>
          <w:snapToGrid/>
          <w:szCs w:val="21"/>
          <w:lang w:val="en-GB"/>
        </w:rPr>
        <w:t>土库曼斯坦保健领域的主要方向是提高预防的有效性，为保护在有害劳动条件下工作的劳动者的身体健康，及时发现疾病的早期症状，制订旨在于预防和降低一般性疾病和职业病的发病率的保健措施，防备生产事故的发生，防止传染病和寄生虫病的传播，劳动者在开始从事与危险有害物质、不利因素有关的工作时，应进行强制性体检，并进行定期体检。卫生防疫署相关部门应监督各所有制形式的企业、机关是否遵守卫生保健条件。</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278. </w:t>
      </w:r>
      <w:r>
        <w:rPr>
          <w:rFonts w:hint="eastAsia"/>
          <w:snapToGrid/>
          <w:szCs w:val="21"/>
          <w:lang w:val="en-GB"/>
        </w:rPr>
        <w:t xml:space="preserve"> </w:t>
      </w:r>
      <w:r>
        <w:rPr>
          <w:snapToGrid/>
          <w:szCs w:val="21"/>
          <w:lang w:val="en-GB"/>
        </w:rPr>
        <w:t>形成健康的生活方式，预防疾病，是卫生教育的重要环节，卫生教育是否有效直接关系到各类居民措施的制订与实施。通过教育体制、保健系统、媒体渠道和其它专门的研究机构，实行一系列措施。为此，建立了宣传健康生活方式的有效信息系统：</w:t>
      </w:r>
    </w:p>
    <w:p w:rsidR="00A93F62" w:rsidRDefault="00A93F62">
      <w:pPr>
        <w:pStyle w:val="Bullet1GC"/>
        <w:numPr>
          <w:ilvl w:val="0"/>
          <w:numId w:val="14"/>
        </w:numPr>
        <w:rPr>
          <w:snapToGrid/>
          <w:lang w:val="en-GB"/>
        </w:rPr>
      </w:pPr>
      <w:r>
        <w:rPr>
          <w:snapToGrid/>
          <w:lang w:val="en-GB"/>
        </w:rPr>
        <w:t>在学校普及教育课程纲要中加入必</w:t>
      </w:r>
      <w:smartTag w:uri="urn:schemas-microsoft-com:office:smarttags" w:element="PersonName">
        <w:smartTagPr>
          <w:attr w:name="ProductID" w:val="须"/>
        </w:smartTagPr>
        <w:r>
          <w:rPr>
            <w:snapToGrid/>
            <w:lang w:val="en-GB"/>
          </w:rPr>
          <w:t>须</w:t>
        </w:r>
      </w:smartTag>
      <w:r>
        <w:rPr>
          <w:snapToGrid/>
          <w:lang w:val="en-GB"/>
        </w:rPr>
        <w:t>教授健康生活方式的课程；</w:t>
      </w:r>
    </w:p>
    <w:p w:rsidR="00A93F62" w:rsidRDefault="00A93F62">
      <w:pPr>
        <w:pStyle w:val="Bullet1GC"/>
        <w:numPr>
          <w:ilvl w:val="0"/>
          <w:numId w:val="14"/>
        </w:numPr>
        <w:rPr>
          <w:snapToGrid/>
          <w:spacing w:val="-6"/>
          <w:lang w:val="en-GB"/>
        </w:rPr>
      </w:pPr>
      <w:r>
        <w:rPr>
          <w:snapToGrid/>
          <w:spacing w:val="-6"/>
          <w:lang w:val="en-GB"/>
        </w:rPr>
        <w:t>利用各种媒体</w:t>
      </w:r>
      <w:r>
        <w:rPr>
          <w:snapToGrid/>
          <w:spacing w:val="-6"/>
          <w:lang w:val="en-GB"/>
        </w:rPr>
        <w:t>(</w:t>
      </w:r>
      <w:r>
        <w:rPr>
          <w:snapToGrid/>
          <w:spacing w:val="-6"/>
          <w:lang w:val="en-GB"/>
        </w:rPr>
        <w:t>报纸、杂志和其他期刊、广播、电视</w:t>
      </w:r>
      <w:r>
        <w:rPr>
          <w:snapToGrid/>
          <w:spacing w:val="-6"/>
          <w:lang w:val="en-GB"/>
        </w:rPr>
        <w:t>)</w:t>
      </w:r>
      <w:r>
        <w:rPr>
          <w:snapToGrid/>
          <w:spacing w:val="-6"/>
          <w:lang w:val="en-GB"/>
        </w:rPr>
        <w:t>开办</w:t>
      </w:r>
      <w:r>
        <w:rPr>
          <w:snapToGrid/>
          <w:spacing w:val="-6"/>
          <w:lang w:val="en-GB"/>
        </w:rPr>
        <w:t>“</w:t>
      </w:r>
      <w:r>
        <w:rPr>
          <w:snapToGrid/>
          <w:spacing w:val="-6"/>
          <w:lang w:val="en-GB"/>
        </w:rPr>
        <w:t>大众健康</w:t>
      </w:r>
      <w:r>
        <w:rPr>
          <w:snapToGrid/>
          <w:spacing w:val="-6"/>
          <w:lang w:val="en-GB"/>
        </w:rPr>
        <w:t>”</w:t>
      </w:r>
      <w:r>
        <w:rPr>
          <w:snapToGrid/>
          <w:spacing w:val="-6"/>
          <w:lang w:val="en-GB"/>
        </w:rPr>
        <w:t>专栏；</w:t>
      </w:r>
    </w:p>
    <w:p w:rsidR="00A93F62" w:rsidRDefault="00A93F62">
      <w:pPr>
        <w:pStyle w:val="Bullet1GC"/>
        <w:numPr>
          <w:ilvl w:val="0"/>
          <w:numId w:val="14"/>
        </w:numPr>
        <w:rPr>
          <w:snapToGrid/>
          <w:lang w:val="en-GB"/>
        </w:rPr>
      </w:pPr>
      <w:r>
        <w:rPr>
          <w:snapToGrid/>
          <w:lang w:val="en-GB"/>
        </w:rPr>
        <w:t>继续发展并切实推行各阶层居民的群众性体育运动；</w:t>
      </w:r>
    </w:p>
    <w:p w:rsidR="00A93F62" w:rsidRDefault="00A93F62">
      <w:pPr>
        <w:pStyle w:val="Bullet1GC"/>
        <w:numPr>
          <w:ilvl w:val="0"/>
          <w:numId w:val="14"/>
        </w:numPr>
        <w:rPr>
          <w:snapToGrid/>
          <w:lang w:val="en-GB"/>
        </w:rPr>
      </w:pPr>
      <w:r>
        <w:rPr>
          <w:snapToGrid/>
          <w:lang w:val="en-GB"/>
        </w:rPr>
        <w:t>建设体育馆、健身设施、体育场、游泳池；</w:t>
      </w:r>
    </w:p>
    <w:p w:rsidR="00A93F62" w:rsidRDefault="00A93F62">
      <w:pPr>
        <w:pStyle w:val="Bullet1GC"/>
        <w:numPr>
          <w:ilvl w:val="0"/>
          <w:numId w:val="14"/>
        </w:numPr>
        <w:rPr>
          <w:snapToGrid/>
          <w:lang w:val="en-GB"/>
        </w:rPr>
      </w:pPr>
      <w:r>
        <w:rPr>
          <w:snapToGrid/>
          <w:lang w:val="en-GB"/>
        </w:rPr>
        <w:t>禁止在大众媒体登出烈性酒和烟草的广告，通过了《禁止在公共场合吸烟》的法令；</w:t>
      </w:r>
    </w:p>
    <w:p w:rsidR="00A93F62" w:rsidRDefault="00A93F62">
      <w:pPr>
        <w:pStyle w:val="Bullet1GC"/>
        <w:numPr>
          <w:ilvl w:val="0"/>
          <w:numId w:val="14"/>
        </w:numPr>
        <w:rPr>
          <w:snapToGrid/>
          <w:lang w:val="en-GB"/>
        </w:rPr>
      </w:pPr>
      <w:r>
        <w:rPr>
          <w:snapToGrid/>
          <w:lang w:val="en-GB"/>
        </w:rPr>
        <w:t>出版医学科普读物和其他介绍健康生活方式的补充教材和宣传材料。</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279.</w:t>
      </w:r>
      <w:r>
        <w:rPr>
          <w:rFonts w:hint="eastAsia"/>
          <w:snapToGrid/>
          <w:szCs w:val="21"/>
          <w:lang w:val="en-GB"/>
        </w:rPr>
        <w:t xml:space="preserve">  </w:t>
      </w:r>
      <w:r>
        <w:rPr>
          <w:snapToGrid/>
          <w:szCs w:val="21"/>
          <w:lang w:val="en-GB"/>
        </w:rPr>
        <w:t>土库曼斯坦现行国家预防纲要包括：</w:t>
      </w:r>
    </w:p>
    <w:p w:rsidR="00A93F62" w:rsidRDefault="00A93F62">
      <w:pPr>
        <w:pStyle w:val="Bullet1GC"/>
        <w:numPr>
          <w:ilvl w:val="0"/>
          <w:numId w:val="14"/>
        </w:numPr>
        <w:rPr>
          <w:snapToGrid/>
          <w:lang w:val="en-GB"/>
        </w:rPr>
      </w:pPr>
      <w:r>
        <w:rPr>
          <w:snapToGrid/>
          <w:lang w:val="en-GB"/>
        </w:rPr>
        <w:t>2005-2009</w:t>
      </w:r>
      <w:r>
        <w:rPr>
          <w:snapToGrid/>
          <w:lang w:val="en-GB"/>
        </w:rPr>
        <w:t>年土库曼斯坦预防与防治结核病国家纲要；</w:t>
      </w:r>
    </w:p>
    <w:p w:rsidR="00A93F62" w:rsidRDefault="00A93F62">
      <w:pPr>
        <w:pStyle w:val="Bullet1GC"/>
        <w:numPr>
          <w:ilvl w:val="0"/>
          <w:numId w:val="14"/>
        </w:numPr>
        <w:rPr>
          <w:snapToGrid/>
          <w:lang w:val="en-GB"/>
        </w:rPr>
      </w:pPr>
      <w:r>
        <w:rPr>
          <w:snapToGrid/>
          <w:lang w:val="en-GB"/>
        </w:rPr>
        <w:t>2005-2010</w:t>
      </w:r>
      <w:r>
        <w:rPr>
          <w:snapToGrid/>
          <w:lang w:val="en-GB"/>
        </w:rPr>
        <w:t>年预防艾滋病</w:t>
      </w:r>
      <w:r>
        <w:rPr>
          <w:snapToGrid/>
          <w:lang w:val="en-GB"/>
        </w:rPr>
        <w:t>/</w:t>
      </w:r>
      <w:r>
        <w:rPr>
          <w:snapToGrid/>
          <w:lang w:val="en-GB"/>
        </w:rPr>
        <w:t>艾滋病毒</w:t>
      </w:r>
      <w:r>
        <w:rPr>
          <w:snapToGrid/>
          <w:lang w:val="en-GB"/>
        </w:rPr>
        <w:t>/</w:t>
      </w:r>
      <w:r>
        <w:rPr>
          <w:snapToGrid/>
          <w:lang w:val="en-GB"/>
        </w:rPr>
        <w:t>性病国家纲要；</w:t>
      </w:r>
    </w:p>
    <w:p w:rsidR="00A93F62" w:rsidRDefault="00A93F62">
      <w:pPr>
        <w:pStyle w:val="Bullet1GC"/>
        <w:numPr>
          <w:ilvl w:val="0"/>
          <w:numId w:val="14"/>
        </w:numPr>
        <w:rPr>
          <w:snapToGrid/>
          <w:lang w:val="en-GB"/>
        </w:rPr>
      </w:pPr>
      <w:r>
        <w:rPr>
          <w:snapToGrid/>
          <w:lang w:val="en-GB"/>
        </w:rPr>
        <w:t>1998</w:t>
      </w:r>
      <w:r>
        <w:rPr>
          <w:snapToGrid/>
          <w:lang w:val="en-GB"/>
        </w:rPr>
        <w:t>年土库曼斯坦保护和支持母乳喂养国家纲要；</w:t>
      </w:r>
    </w:p>
    <w:p w:rsidR="00A93F62" w:rsidRDefault="00A93F62">
      <w:pPr>
        <w:pStyle w:val="Bullet1GC"/>
        <w:numPr>
          <w:ilvl w:val="0"/>
          <w:numId w:val="14"/>
        </w:numPr>
        <w:rPr>
          <w:snapToGrid/>
          <w:lang w:val="en-GB"/>
        </w:rPr>
      </w:pPr>
      <w:r>
        <w:rPr>
          <w:snapToGrid/>
          <w:lang w:val="en-GB"/>
        </w:rPr>
        <w:t>2006-2010</w:t>
      </w:r>
      <w:r>
        <w:rPr>
          <w:snapToGrid/>
          <w:lang w:val="en-GB"/>
        </w:rPr>
        <w:t>年防止麻醉剂非法流通及帮助依赖毒品和精神药物人群的国家纲要；</w:t>
      </w:r>
    </w:p>
    <w:p w:rsidR="00A93F62" w:rsidRDefault="00A93F62">
      <w:pPr>
        <w:pStyle w:val="Bullet1GC"/>
        <w:numPr>
          <w:ilvl w:val="0"/>
          <w:numId w:val="14"/>
        </w:numPr>
        <w:rPr>
          <w:snapToGrid/>
          <w:lang w:val="en-GB"/>
        </w:rPr>
      </w:pPr>
      <w:r>
        <w:rPr>
          <w:snapToGrid/>
          <w:lang w:val="en-GB"/>
        </w:rPr>
        <w:t>2007-2011</w:t>
      </w:r>
      <w:r>
        <w:rPr>
          <w:snapToGrid/>
          <w:lang w:val="en-GB"/>
        </w:rPr>
        <w:t>年保护妇女妊娠国家纲要；</w:t>
      </w:r>
      <w:r>
        <w:rPr>
          <w:snapToGrid/>
          <w:lang w:val="en-GB"/>
        </w:rPr>
        <w:t xml:space="preserve"> </w:t>
      </w:r>
    </w:p>
    <w:p w:rsidR="00A93F62" w:rsidRDefault="00A93F62">
      <w:pPr>
        <w:pStyle w:val="Bullet1GC"/>
        <w:numPr>
          <w:ilvl w:val="0"/>
          <w:numId w:val="14"/>
        </w:numPr>
        <w:rPr>
          <w:snapToGrid/>
          <w:lang w:val="en-GB"/>
        </w:rPr>
      </w:pPr>
      <w:r>
        <w:rPr>
          <w:snapToGrid/>
          <w:lang w:val="en-GB"/>
        </w:rPr>
        <w:t>2003-2020</w:t>
      </w:r>
      <w:r>
        <w:rPr>
          <w:snapToGrid/>
          <w:lang w:val="en-GB"/>
        </w:rPr>
        <w:t>年土库曼斯坦防疫接种国家纲要；</w:t>
      </w:r>
    </w:p>
    <w:p w:rsidR="00A93F62" w:rsidRDefault="00A93F62">
      <w:pPr>
        <w:pStyle w:val="Bullet1GC"/>
        <w:numPr>
          <w:ilvl w:val="0"/>
          <w:numId w:val="14"/>
        </w:numPr>
        <w:rPr>
          <w:snapToGrid/>
          <w:lang w:val="en-GB"/>
        </w:rPr>
      </w:pPr>
      <w:r>
        <w:rPr>
          <w:snapToGrid/>
          <w:lang w:val="en-GB"/>
        </w:rPr>
        <w:t>2005-2010</w:t>
      </w:r>
      <w:r>
        <w:rPr>
          <w:snapToGrid/>
          <w:lang w:val="en-GB"/>
        </w:rPr>
        <w:t>年预防疟疾国家纲要；</w:t>
      </w:r>
    </w:p>
    <w:p w:rsidR="00A93F62" w:rsidRDefault="00A93F62">
      <w:pPr>
        <w:pStyle w:val="Bullet1GC"/>
        <w:numPr>
          <w:ilvl w:val="0"/>
          <w:numId w:val="14"/>
        </w:numPr>
        <w:rPr>
          <w:snapToGrid/>
          <w:lang w:val="en-GB"/>
        </w:rPr>
      </w:pPr>
      <w:r>
        <w:rPr>
          <w:snapToGrid/>
          <w:lang w:val="en-GB"/>
        </w:rPr>
        <w:t>消除脊髓灰质炎直至全面根除纲要。</w:t>
      </w:r>
      <w:r>
        <w:rPr>
          <w:snapToGrid/>
          <w:lang w:val="en-GB"/>
        </w:rPr>
        <w:t>2006-2008</w:t>
      </w:r>
      <w:r>
        <w:rPr>
          <w:snapToGrid/>
          <w:lang w:val="en-GB"/>
        </w:rPr>
        <w:t>年在土库曼斯坦维持无地方性原始神经性病毒现状工作计划；</w:t>
      </w:r>
    </w:p>
    <w:p w:rsidR="00A93F62" w:rsidRDefault="00A93F62">
      <w:pPr>
        <w:pStyle w:val="Bullet1GC"/>
        <w:numPr>
          <w:ilvl w:val="0"/>
          <w:numId w:val="14"/>
        </w:numPr>
        <w:rPr>
          <w:snapToGrid/>
          <w:lang w:val="en-GB"/>
        </w:rPr>
      </w:pPr>
      <w:r>
        <w:rPr>
          <w:snapToGrid/>
          <w:lang w:val="en-GB"/>
        </w:rPr>
        <w:t>预防和治疗贫血症纲要；</w:t>
      </w:r>
    </w:p>
    <w:p w:rsidR="00A93F62" w:rsidRDefault="00A93F62">
      <w:pPr>
        <w:pStyle w:val="Bullet1GC"/>
        <w:numPr>
          <w:ilvl w:val="0"/>
          <w:numId w:val="14"/>
        </w:numPr>
        <w:rPr>
          <w:snapToGrid/>
          <w:lang w:val="en-GB"/>
        </w:rPr>
      </w:pPr>
      <w:r>
        <w:rPr>
          <w:snapToGrid/>
          <w:lang w:val="en-GB"/>
        </w:rPr>
        <w:t>全民加碘食盐，预防碘缺乏症纲要。</w:t>
      </w:r>
    </w:p>
    <w:p w:rsidR="00A93F62" w:rsidRDefault="00A93F62">
      <w:pPr>
        <w:tabs>
          <w:tab w:val="clear" w:pos="431"/>
        </w:tabs>
        <w:suppressAutoHyphens/>
        <w:overflowPunct/>
        <w:adjustRightInd/>
        <w:snapToGrid/>
        <w:spacing w:after="120" w:line="320" w:lineRule="atLeast"/>
        <w:ind w:left="1134" w:right="1134"/>
        <w:rPr>
          <w:snapToGrid/>
          <w:spacing w:val="-4"/>
          <w:szCs w:val="21"/>
          <w:lang w:val="en-GB"/>
        </w:rPr>
      </w:pPr>
      <w:r>
        <w:rPr>
          <w:snapToGrid/>
          <w:szCs w:val="21"/>
          <w:lang w:val="en-GB"/>
        </w:rPr>
        <w:t xml:space="preserve">280. </w:t>
      </w:r>
      <w:r>
        <w:rPr>
          <w:rFonts w:hint="eastAsia"/>
          <w:snapToGrid/>
          <w:spacing w:val="-4"/>
          <w:szCs w:val="21"/>
          <w:lang w:val="en-GB"/>
        </w:rPr>
        <w:t xml:space="preserve"> </w:t>
      </w:r>
      <w:r>
        <w:rPr>
          <w:snapToGrid/>
          <w:spacing w:val="-4"/>
          <w:szCs w:val="21"/>
          <w:lang w:val="en-GB"/>
        </w:rPr>
        <w:t>筹备在各地区建立少女中心的方案，在这些中心少女们不仅可以了解有关生殖健康的生理和心理方面的知识，而且会对家庭健康，其维护和巩固方法形成整体认识。未来的主妇和母亲还将学习如何合理安排饮食，学习正确的烹饪知识。</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281.</w:t>
      </w:r>
      <w:r>
        <w:rPr>
          <w:rFonts w:hint="eastAsia"/>
          <w:snapToGrid/>
          <w:szCs w:val="21"/>
          <w:lang w:val="en-GB"/>
        </w:rPr>
        <w:t xml:space="preserve">  </w:t>
      </w:r>
      <w:smartTag w:uri="urn:schemas-microsoft-com:office:smarttags" w:element="chsdate">
        <w:smartTagPr>
          <w:attr w:name="IsROCDate" w:val="False"/>
          <w:attr w:name="IsLunarDate" w:val="False"/>
          <w:attr w:name="Day" w:val="14"/>
          <w:attr w:name="Month" w:val="1"/>
          <w:attr w:name="Year" w:val="2008"/>
        </w:smartTagPr>
        <w:r>
          <w:rPr>
            <w:snapToGrid/>
            <w:szCs w:val="21"/>
            <w:lang w:val="en-GB"/>
          </w:rPr>
          <w:t>2008</w:t>
        </w:r>
        <w:r>
          <w:rPr>
            <w:snapToGrid/>
            <w:szCs w:val="21"/>
            <w:lang w:val="en-GB"/>
          </w:rPr>
          <w:t>年</w:t>
        </w:r>
        <w:r>
          <w:rPr>
            <w:snapToGrid/>
            <w:szCs w:val="21"/>
            <w:lang w:val="en-GB"/>
          </w:rPr>
          <w:t>1</w:t>
        </w:r>
        <w:r>
          <w:rPr>
            <w:snapToGrid/>
            <w:szCs w:val="21"/>
            <w:lang w:val="en-GB"/>
          </w:rPr>
          <w:t>月</w:t>
        </w:r>
        <w:r>
          <w:rPr>
            <w:snapToGrid/>
            <w:szCs w:val="21"/>
            <w:lang w:val="en-GB"/>
          </w:rPr>
          <w:t>14</w:t>
        </w:r>
        <w:r>
          <w:rPr>
            <w:snapToGrid/>
            <w:szCs w:val="21"/>
            <w:lang w:val="en-GB"/>
          </w:rPr>
          <w:t>日</w:t>
        </w:r>
      </w:smartTag>
      <w:r>
        <w:rPr>
          <w:snapToGrid/>
          <w:szCs w:val="21"/>
          <w:lang w:val="en-GB"/>
        </w:rPr>
        <w:t>土库曼斯坦总统签署第</w:t>
      </w:r>
      <w:r>
        <w:rPr>
          <w:snapToGrid/>
          <w:szCs w:val="21"/>
          <w:lang w:val="en-GB"/>
        </w:rPr>
        <w:t>9378</w:t>
      </w:r>
      <w:r>
        <w:rPr>
          <w:snapToGrid/>
          <w:szCs w:val="21"/>
          <w:lang w:val="en-GB"/>
        </w:rPr>
        <w:t>号培养土库曼斯坦的优秀专家和学者特别决议。该文件尤其提到将培养优秀的医学专家作为主要任务的临床医学研究的现状。因此，为提高专业水平，许多专家纷纷出国深造：</w:t>
      </w:r>
    </w:p>
    <w:p w:rsidR="00A93F62" w:rsidRDefault="00A93F62">
      <w:pPr>
        <w:pStyle w:val="Bullet1GC"/>
        <w:numPr>
          <w:ilvl w:val="0"/>
          <w:numId w:val="14"/>
        </w:numPr>
        <w:rPr>
          <w:snapToGrid/>
          <w:lang w:val="en-GB"/>
        </w:rPr>
      </w:pPr>
      <w:r>
        <w:rPr>
          <w:snapToGrid/>
          <w:lang w:val="en-GB"/>
        </w:rPr>
        <w:t>神经病学家去中国学习中医；</w:t>
      </w:r>
    </w:p>
    <w:p w:rsidR="00A93F62" w:rsidRDefault="00A93F62">
      <w:pPr>
        <w:pStyle w:val="Bullet1GC"/>
        <w:numPr>
          <w:ilvl w:val="0"/>
          <w:numId w:val="14"/>
        </w:numPr>
        <w:rPr>
          <w:snapToGrid/>
          <w:lang w:val="en-GB"/>
        </w:rPr>
      </w:pPr>
      <w:r>
        <w:rPr>
          <w:snapToGrid/>
          <w:lang w:val="en-GB"/>
        </w:rPr>
        <w:t>去美国学习传染病和艾滋病专业知识；</w:t>
      </w:r>
    </w:p>
    <w:p w:rsidR="00A93F62" w:rsidRDefault="00A93F62">
      <w:pPr>
        <w:pStyle w:val="Bullet1GC"/>
        <w:numPr>
          <w:ilvl w:val="0"/>
          <w:numId w:val="14"/>
        </w:numPr>
        <w:rPr>
          <w:snapToGrid/>
          <w:lang w:val="en-GB"/>
        </w:rPr>
      </w:pPr>
      <w:r>
        <w:rPr>
          <w:snapToGrid/>
          <w:lang w:val="en-GB"/>
        </w:rPr>
        <w:t>去土耳其学习创伤学和骨关节外科学知识；</w:t>
      </w:r>
    </w:p>
    <w:p w:rsidR="00A93F62" w:rsidRDefault="00A93F62">
      <w:pPr>
        <w:pStyle w:val="Bullet1GC"/>
        <w:numPr>
          <w:ilvl w:val="0"/>
          <w:numId w:val="14"/>
        </w:numPr>
        <w:rPr>
          <w:snapToGrid/>
          <w:lang w:val="en-GB"/>
        </w:rPr>
      </w:pPr>
      <w:r>
        <w:rPr>
          <w:snapToGrid/>
          <w:lang w:val="en-GB"/>
        </w:rPr>
        <w:t>去日本学习母婴健康保护知识。</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282.</w:t>
      </w:r>
      <w:r>
        <w:rPr>
          <w:rFonts w:hint="eastAsia"/>
          <w:snapToGrid/>
          <w:szCs w:val="21"/>
          <w:lang w:val="en-GB"/>
        </w:rPr>
        <w:t xml:space="preserve"> </w:t>
      </w:r>
      <w:r>
        <w:rPr>
          <w:snapToGrid/>
          <w:szCs w:val="21"/>
          <w:lang w:val="en-GB"/>
        </w:rPr>
        <w:t xml:space="preserve"> </w:t>
      </w:r>
      <w:r>
        <w:rPr>
          <w:snapToGrid/>
          <w:szCs w:val="21"/>
          <w:lang w:val="en-GB"/>
        </w:rPr>
        <w:t>根据国际公约和土库曼斯坦法律法规，</w:t>
      </w:r>
      <w:r>
        <w:rPr>
          <w:snapToGrid/>
          <w:szCs w:val="21"/>
          <w:lang w:val="en-GB"/>
        </w:rPr>
        <w:t>2007</w:t>
      </w:r>
      <w:r>
        <w:rPr>
          <w:snapToGrid/>
          <w:szCs w:val="21"/>
          <w:lang w:val="en-GB"/>
        </w:rPr>
        <w:t>年起，土库曼斯坦教育部正式承认国外高等院校颁发给土库曼斯坦公民的高等教育证书，证书持有人有权从事专业</w:t>
      </w:r>
      <w:r>
        <w:rPr>
          <w:snapToGrid/>
          <w:szCs w:val="21"/>
          <w:lang w:val="en-GB"/>
        </w:rPr>
        <w:t>(</w:t>
      </w:r>
      <w:r>
        <w:rPr>
          <w:snapToGrid/>
          <w:szCs w:val="21"/>
          <w:lang w:val="en-GB"/>
        </w:rPr>
        <w:t>医务</w:t>
      </w:r>
      <w:r>
        <w:rPr>
          <w:snapToGrid/>
          <w:szCs w:val="21"/>
          <w:lang w:val="en-GB"/>
        </w:rPr>
        <w:t>)</w:t>
      </w:r>
      <w:r>
        <w:rPr>
          <w:snapToGrid/>
          <w:szCs w:val="21"/>
          <w:lang w:val="en-GB"/>
        </w:rPr>
        <w:t>工作。</w:t>
      </w:r>
    </w:p>
    <w:p w:rsidR="00A93F62" w:rsidRDefault="00A93F62">
      <w:pPr>
        <w:tabs>
          <w:tab w:val="clear" w:pos="431"/>
        </w:tabs>
        <w:suppressAutoHyphens/>
        <w:overflowPunct/>
        <w:adjustRightInd/>
        <w:snapToGrid/>
        <w:spacing w:after="120" w:line="320" w:lineRule="atLeast"/>
        <w:ind w:left="1134" w:right="1134"/>
        <w:rPr>
          <w:rFonts w:hint="eastAsia"/>
          <w:snapToGrid/>
          <w:szCs w:val="21"/>
          <w:lang w:val="en-GB"/>
        </w:rPr>
      </w:pPr>
      <w:r>
        <w:rPr>
          <w:snapToGrid/>
          <w:szCs w:val="21"/>
          <w:lang w:val="en-GB"/>
        </w:rPr>
        <w:t>283.</w:t>
      </w:r>
      <w:r>
        <w:rPr>
          <w:rFonts w:hint="eastAsia"/>
          <w:snapToGrid/>
          <w:szCs w:val="21"/>
          <w:lang w:val="en-GB"/>
        </w:rPr>
        <w:t xml:space="preserve">  </w:t>
      </w:r>
      <w:r>
        <w:rPr>
          <w:snapToGrid/>
          <w:szCs w:val="21"/>
          <w:lang w:val="en-GB"/>
        </w:rPr>
        <w:t>各专业医生数量</w:t>
      </w:r>
    </w:p>
    <w:tbl>
      <w:tblPr>
        <w:tblStyle w:val="TabNum"/>
        <w:tblW w:w="7370" w:type="dxa"/>
        <w:tblInd w:w="1128" w:type="dxa"/>
        <w:tblLayout w:type="fixed"/>
        <w:tblLook w:val="01E0" w:firstRow="1" w:lastRow="1" w:firstColumn="1" w:lastColumn="1" w:noHBand="0" w:noVBand="0"/>
      </w:tblPr>
      <w:tblGrid>
        <w:gridCol w:w="3114"/>
        <w:gridCol w:w="591"/>
        <w:gridCol w:w="733"/>
        <w:gridCol w:w="733"/>
        <w:gridCol w:w="733"/>
        <w:gridCol w:w="733"/>
        <w:gridCol w:w="733"/>
      </w:tblGrid>
      <w:tr w:rsidR="00A93F62">
        <w:trPr>
          <w:tblHeader/>
        </w:trPr>
        <w:tc>
          <w:tcPr>
            <w:cnfStyle w:val="001000000000" w:firstRow="0" w:lastRow="0" w:firstColumn="1" w:lastColumn="0" w:oddVBand="0" w:evenVBand="0" w:oddHBand="0" w:evenHBand="0" w:firstRowFirstColumn="0" w:firstRowLastColumn="0" w:lastRowFirstColumn="0" w:lastRowLastColumn="0"/>
            <w:tcW w:w="3114" w:type="dxa"/>
            <w:vMerge w:val="restart"/>
            <w:shd w:val="clear" w:color="auto" w:fill="auto"/>
          </w:tcPr>
          <w:p w:rsidR="00A93F62" w:rsidRPr="007E57AE" w:rsidRDefault="00A93F62">
            <w:pPr>
              <w:tabs>
                <w:tab w:val="clear" w:pos="431"/>
              </w:tabs>
              <w:suppressAutoHyphens/>
              <w:overflowPunct/>
              <w:adjustRightInd/>
              <w:snapToGrid/>
              <w:spacing w:before="0" w:after="0" w:line="240" w:lineRule="atLeast"/>
              <w:rPr>
                <w:i/>
                <w:snapToGrid/>
                <w:sz w:val="18"/>
                <w:szCs w:val="18"/>
                <w:lang w:val="en-GB"/>
              </w:rPr>
            </w:pPr>
            <w:r w:rsidRPr="007E57AE">
              <w:rPr>
                <w:rFonts w:eastAsia="KaiTi_GB2312"/>
                <w:snapToGrid/>
                <w:sz w:val="18"/>
                <w:szCs w:val="18"/>
                <w:lang w:val="en-GB"/>
              </w:rPr>
              <w:t>指标名称</w:t>
            </w:r>
          </w:p>
        </w:tc>
        <w:tc>
          <w:tcPr>
            <w:tcW w:w="4256" w:type="dxa"/>
            <w:gridSpan w:val="6"/>
            <w:tcBorders>
              <w:top w:val="single" w:sz="4" w:space="0" w:color="auto"/>
              <w:bottom w:val="nil"/>
            </w:tcBorders>
            <w:shd w:val="clear" w:color="auto" w:fill="auto"/>
          </w:tcPr>
          <w:p w:rsidR="00A93F62" w:rsidRPr="007E57AE"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年</w:t>
            </w:r>
          </w:p>
        </w:tc>
      </w:tr>
      <w:tr w:rsidR="00A93F62">
        <w:trPr>
          <w:tblHeader/>
        </w:trPr>
        <w:tc>
          <w:tcPr>
            <w:cnfStyle w:val="001000000000" w:firstRow="0" w:lastRow="0" w:firstColumn="1" w:lastColumn="0" w:oddVBand="0" w:evenVBand="0" w:oddHBand="0" w:evenHBand="0" w:firstRowFirstColumn="0" w:firstRowLastColumn="0" w:lastRowFirstColumn="0" w:lastRowLastColumn="0"/>
            <w:tcW w:w="3114" w:type="dxa"/>
            <w:vMerge/>
            <w:tcBorders>
              <w:top w:val="nil"/>
              <w:bottom w:val="single" w:sz="12" w:space="0" w:color="auto"/>
            </w:tcBorders>
            <w:shd w:val="clear" w:color="auto" w:fill="auto"/>
          </w:tcPr>
          <w:p w:rsidR="00A93F62" w:rsidRPr="007E57AE" w:rsidRDefault="00A93F62">
            <w:pPr>
              <w:tabs>
                <w:tab w:val="clear" w:pos="431"/>
              </w:tabs>
              <w:suppressAutoHyphens/>
              <w:overflowPunct/>
              <w:adjustRightInd/>
              <w:snapToGrid/>
              <w:spacing w:before="0" w:after="0" w:line="240" w:lineRule="atLeast"/>
              <w:rPr>
                <w:i/>
                <w:snapToGrid/>
                <w:sz w:val="18"/>
                <w:szCs w:val="18"/>
                <w:lang w:val="en-GB" w:eastAsia="en-US"/>
              </w:rPr>
            </w:pPr>
          </w:p>
        </w:tc>
        <w:tc>
          <w:tcPr>
            <w:tcW w:w="591"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i/>
                <w:snapToGrid/>
                <w:sz w:val="18"/>
                <w:szCs w:val="18"/>
                <w:lang w:val="en-GB" w:eastAsia="en-US"/>
              </w:rPr>
              <w:t>2002</w:t>
            </w:r>
          </w:p>
        </w:tc>
        <w:tc>
          <w:tcPr>
            <w:tcW w:w="733"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i/>
                <w:snapToGrid/>
                <w:sz w:val="18"/>
                <w:szCs w:val="18"/>
                <w:lang w:val="en-GB" w:eastAsia="en-US"/>
              </w:rPr>
              <w:t>2003</w:t>
            </w:r>
          </w:p>
        </w:tc>
        <w:tc>
          <w:tcPr>
            <w:tcW w:w="733"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i/>
                <w:snapToGrid/>
                <w:sz w:val="18"/>
                <w:szCs w:val="18"/>
                <w:lang w:val="en-GB" w:eastAsia="en-US"/>
              </w:rPr>
              <w:t>2004</w:t>
            </w:r>
          </w:p>
        </w:tc>
        <w:tc>
          <w:tcPr>
            <w:tcW w:w="733"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i/>
                <w:snapToGrid/>
                <w:sz w:val="18"/>
                <w:szCs w:val="18"/>
                <w:lang w:val="en-GB" w:eastAsia="en-US"/>
              </w:rPr>
              <w:t>2005</w:t>
            </w:r>
          </w:p>
        </w:tc>
        <w:tc>
          <w:tcPr>
            <w:tcW w:w="733"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i/>
                <w:snapToGrid/>
                <w:sz w:val="18"/>
                <w:szCs w:val="18"/>
                <w:lang w:val="en-GB" w:eastAsia="en-US"/>
              </w:rPr>
              <w:t>2006</w:t>
            </w:r>
          </w:p>
        </w:tc>
        <w:tc>
          <w:tcPr>
            <w:tcW w:w="733"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i/>
                <w:snapToGrid/>
                <w:sz w:val="18"/>
                <w:szCs w:val="18"/>
                <w:lang w:val="en-GB" w:eastAsia="en-US"/>
              </w:rPr>
              <w:t>2007</w:t>
            </w:r>
          </w:p>
        </w:tc>
      </w:tr>
      <w:tr w:rsidR="00A93F62">
        <w:tc>
          <w:tcPr>
            <w:cnfStyle w:val="001000000000" w:firstRow="0" w:lastRow="0" w:firstColumn="1" w:lastColumn="0" w:oddVBand="0" w:evenVBand="0" w:oddHBand="0" w:evenHBand="0" w:firstRowFirstColumn="0" w:firstRowLastColumn="0" w:lastRowFirstColumn="0" w:lastRowLastColumn="0"/>
            <w:tcW w:w="3114" w:type="dxa"/>
            <w:tcBorders>
              <w:top w:val="single" w:sz="12" w:space="0" w:color="auto"/>
            </w:tcBorders>
          </w:tcPr>
          <w:p w:rsidR="00A93F62" w:rsidRPr="007E57AE" w:rsidRDefault="00A93F62">
            <w:pPr>
              <w:tabs>
                <w:tab w:val="clear" w:pos="431"/>
              </w:tabs>
              <w:suppressAutoHyphens/>
              <w:overflowPunct/>
              <w:adjustRightInd/>
              <w:snapToGrid/>
              <w:spacing w:line="240" w:lineRule="atLeast"/>
              <w:jc w:val="left"/>
              <w:rPr>
                <w:snapToGrid/>
                <w:sz w:val="18"/>
                <w:szCs w:val="18"/>
                <w:lang w:val="en-GB"/>
              </w:rPr>
            </w:pPr>
            <w:r w:rsidRPr="007E57AE">
              <w:rPr>
                <w:snapToGrid/>
                <w:sz w:val="18"/>
                <w:szCs w:val="18"/>
                <w:lang w:val="en-GB"/>
              </w:rPr>
              <w:t>接受高等医科教育的各专业医生数量</w:t>
            </w:r>
          </w:p>
        </w:tc>
        <w:tc>
          <w:tcPr>
            <w:tcW w:w="591" w:type="dxa"/>
            <w:tcBorders>
              <w:top w:val="single" w:sz="12" w:space="0" w:color="auto"/>
            </w:tcBorders>
          </w:tcPr>
          <w:p w:rsidR="00A93F62" w:rsidRPr="007E57AE" w:rsidRDefault="00A93F62" w:rsidP="007B3FBD">
            <w:pPr>
              <w:tabs>
                <w:tab w:val="clear" w:pos="431"/>
              </w:tabs>
              <w:suppressAutoHyphens/>
              <w:overflowPunct/>
              <w:adjustRightInd/>
              <w:snapToGrid/>
              <w:spacing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eastAsia="en-US"/>
              </w:rPr>
              <w:t>13</w:t>
            </w:r>
            <w:r w:rsidRPr="007E57AE">
              <w:rPr>
                <w:snapToGrid/>
                <w:sz w:val="18"/>
                <w:szCs w:val="18"/>
                <w:lang w:val="en-GB"/>
              </w:rPr>
              <w:t xml:space="preserve"> </w:t>
            </w:r>
            <w:r w:rsidRPr="007E57AE">
              <w:rPr>
                <w:snapToGrid/>
                <w:sz w:val="18"/>
                <w:szCs w:val="18"/>
                <w:lang w:val="en-GB" w:eastAsia="en-US"/>
              </w:rPr>
              <w:t>670</w:t>
            </w:r>
          </w:p>
        </w:tc>
        <w:tc>
          <w:tcPr>
            <w:tcW w:w="733" w:type="dxa"/>
            <w:tcBorders>
              <w:top w:val="single" w:sz="12" w:space="0" w:color="auto"/>
            </w:tcBorders>
          </w:tcPr>
          <w:p w:rsidR="00A93F62" w:rsidRPr="007E57AE" w:rsidRDefault="00A93F62" w:rsidP="007B3FBD">
            <w:pPr>
              <w:tabs>
                <w:tab w:val="clear" w:pos="431"/>
              </w:tabs>
              <w:suppressAutoHyphens/>
              <w:overflowPunct/>
              <w:adjustRightInd/>
              <w:snapToGrid/>
              <w:spacing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w:t>
            </w:r>
            <w:r w:rsidRPr="007E57AE">
              <w:rPr>
                <w:snapToGrid/>
                <w:sz w:val="18"/>
                <w:szCs w:val="18"/>
                <w:lang w:val="en-GB"/>
              </w:rPr>
              <w:t xml:space="preserve"> </w:t>
            </w:r>
            <w:r w:rsidRPr="007E57AE">
              <w:rPr>
                <w:snapToGrid/>
                <w:sz w:val="18"/>
                <w:szCs w:val="18"/>
                <w:lang w:val="en-GB" w:eastAsia="en-US"/>
              </w:rPr>
              <w:t>391</w:t>
            </w:r>
          </w:p>
        </w:tc>
        <w:tc>
          <w:tcPr>
            <w:tcW w:w="733" w:type="dxa"/>
            <w:tcBorders>
              <w:top w:val="single" w:sz="12" w:space="0" w:color="auto"/>
            </w:tcBorders>
          </w:tcPr>
          <w:p w:rsidR="00A93F62" w:rsidRPr="007E57AE" w:rsidRDefault="00A93F62" w:rsidP="007B3FBD">
            <w:pPr>
              <w:tabs>
                <w:tab w:val="clear" w:pos="431"/>
              </w:tabs>
              <w:suppressAutoHyphens/>
              <w:overflowPunct/>
              <w:adjustRightInd/>
              <w:snapToGrid/>
              <w:spacing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w:t>
            </w:r>
            <w:r w:rsidRPr="007E57AE">
              <w:rPr>
                <w:snapToGrid/>
                <w:sz w:val="18"/>
                <w:szCs w:val="18"/>
                <w:lang w:val="en-GB"/>
              </w:rPr>
              <w:t xml:space="preserve"> </w:t>
            </w:r>
            <w:r w:rsidRPr="007E57AE">
              <w:rPr>
                <w:snapToGrid/>
                <w:sz w:val="18"/>
                <w:szCs w:val="18"/>
                <w:lang w:val="en-GB" w:eastAsia="en-US"/>
              </w:rPr>
              <w:t>062</w:t>
            </w:r>
          </w:p>
        </w:tc>
        <w:tc>
          <w:tcPr>
            <w:tcW w:w="733" w:type="dxa"/>
            <w:tcBorders>
              <w:top w:val="single" w:sz="12" w:space="0" w:color="auto"/>
            </w:tcBorders>
          </w:tcPr>
          <w:p w:rsidR="00A93F62" w:rsidRPr="007E57AE" w:rsidRDefault="00A93F62" w:rsidP="007B3FBD">
            <w:pPr>
              <w:tabs>
                <w:tab w:val="clear" w:pos="431"/>
              </w:tabs>
              <w:suppressAutoHyphens/>
              <w:overflowPunct/>
              <w:adjustRightInd/>
              <w:snapToGrid/>
              <w:spacing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w:t>
            </w:r>
            <w:r w:rsidRPr="007E57AE">
              <w:rPr>
                <w:snapToGrid/>
                <w:sz w:val="18"/>
                <w:szCs w:val="18"/>
                <w:lang w:val="en-GB"/>
              </w:rPr>
              <w:t xml:space="preserve"> </w:t>
            </w:r>
            <w:r w:rsidRPr="007E57AE">
              <w:rPr>
                <w:snapToGrid/>
                <w:sz w:val="18"/>
                <w:szCs w:val="18"/>
                <w:lang w:val="en-GB" w:eastAsia="en-US"/>
              </w:rPr>
              <w:t>662</w:t>
            </w:r>
          </w:p>
        </w:tc>
        <w:tc>
          <w:tcPr>
            <w:tcW w:w="733" w:type="dxa"/>
            <w:tcBorders>
              <w:top w:val="single" w:sz="12" w:space="0" w:color="auto"/>
            </w:tcBorders>
          </w:tcPr>
          <w:p w:rsidR="00A93F62" w:rsidRPr="007E57AE" w:rsidRDefault="00A93F62" w:rsidP="007B3FBD">
            <w:pPr>
              <w:tabs>
                <w:tab w:val="clear" w:pos="431"/>
              </w:tabs>
              <w:suppressAutoHyphens/>
              <w:overflowPunct/>
              <w:adjustRightInd/>
              <w:snapToGrid/>
              <w:spacing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w:t>
            </w:r>
            <w:r w:rsidRPr="007E57AE">
              <w:rPr>
                <w:snapToGrid/>
                <w:sz w:val="18"/>
                <w:szCs w:val="18"/>
                <w:lang w:val="en-GB"/>
              </w:rPr>
              <w:t xml:space="preserve"> </w:t>
            </w:r>
            <w:r w:rsidRPr="007E57AE">
              <w:rPr>
                <w:snapToGrid/>
                <w:sz w:val="18"/>
                <w:szCs w:val="18"/>
                <w:lang w:val="en-GB" w:eastAsia="en-US"/>
              </w:rPr>
              <w:t>210</w:t>
            </w:r>
          </w:p>
        </w:tc>
        <w:tc>
          <w:tcPr>
            <w:tcW w:w="733" w:type="dxa"/>
            <w:tcBorders>
              <w:top w:val="single" w:sz="12" w:space="0" w:color="auto"/>
            </w:tcBorders>
          </w:tcPr>
          <w:p w:rsidR="00A93F62" w:rsidRPr="007E57AE" w:rsidRDefault="00A93F62" w:rsidP="007B3FBD">
            <w:pPr>
              <w:tabs>
                <w:tab w:val="clear" w:pos="431"/>
              </w:tabs>
              <w:suppressAutoHyphens/>
              <w:overflowPunct/>
              <w:adjustRightInd/>
              <w:snapToGrid/>
              <w:spacing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w:t>
            </w:r>
            <w:r w:rsidRPr="007E57AE">
              <w:rPr>
                <w:snapToGrid/>
                <w:sz w:val="18"/>
                <w:szCs w:val="18"/>
                <w:lang w:val="en-GB"/>
              </w:rPr>
              <w:t xml:space="preserve"> </w:t>
            </w:r>
            <w:r w:rsidRPr="007E57AE">
              <w:rPr>
                <w:snapToGrid/>
                <w:sz w:val="18"/>
                <w:szCs w:val="18"/>
                <w:lang w:val="en-GB" w:eastAsia="en-US"/>
              </w:rPr>
              <w:t>104</w:t>
            </w:r>
          </w:p>
        </w:tc>
      </w:tr>
    </w:tbl>
    <w:p w:rsidR="00A93F62" w:rsidRDefault="00A93F62">
      <w:pPr>
        <w:tabs>
          <w:tab w:val="clear" w:pos="431"/>
        </w:tabs>
        <w:suppressAutoHyphens/>
        <w:overflowPunct/>
        <w:adjustRightInd/>
        <w:snapToGrid/>
        <w:spacing w:beforeLines="50" w:before="163" w:after="120" w:line="320" w:lineRule="atLeast"/>
        <w:ind w:left="1134" w:right="1134"/>
        <w:rPr>
          <w:snapToGrid/>
          <w:szCs w:val="21"/>
          <w:lang w:val="en-GB"/>
        </w:rPr>
      </w:pPr>
      <w:r>
        <w:rPr>
          <w:snapToGrid/>
          <w:szCs w:val="21"/>
          <w:lang w:val="en-GB"/>
        </w:rPr>
        <w:t>284.</w:t>
      </w:r>
      <w:r>
        <w:rPr>
          <w:rFonts w:hint="eastAsia"/>
          <w:snapToGrid/>
          <w:szCs w:val="21"/>
          <w:lang w:val="en-GB"/>
        </w:rPr>
        <w:t xml:space="preserve">  </w:t>
      </w:r>
      <w:r>
        <w:rPr>
          <w:snapToGrid/>
          <w:szCs w:val="21"/>
          <w:lang w:val="en-GB"/>
        </w:rPr>
        <w:t>护理人员数量</w:t>
      </w:r>
    </w:p>
    <w:tbl>
      <w:tblPr>
        <w:tblStyle w:val="TabNum"/>
        <w:tblW w:w="7370" w:type="dxa"/>
        <w:tblInd w:w="1128" w:type="dxa"/>
        <w:tblLayout w:type="fixed"/>
        <w:tblLook w:val="01E0" w:firstRow="1" w:lastRow="1" w:firstColumn="1" w:lastColumn="1" w:noHBand="0" w:noVBand="0"/>
      </w:tblPr>
      <w:tblGrid>
        <w:gridCol w:w="2888"/>
        <w:gridCol w:w="817"/>
        <w:gridCol w:w="733"/>
        <w:gridCol w:w="733"/>
        <w:gridCol w:w="733"/>
        <w:gridCol w:w="733"/>
        <w:gridCol w:w="733"/>
      </w:tblGrid>
      <w:tr w:rsidR="00A93F62">
        <w:trPr>
          <w:tblHeader/>
        </w:trPr>
        <w:tc>
          <w:tcPr>
            <w:cnfStyle w:val="001000000000" w:firstRow="0" w:lastRow="0" w:firstColumn="1" w:lastColumn="0" w:oddVBand="0" w:evenVBand="0" w:oddHBand="0" w:evenHBand="0" w:firstRowFirstColumn="0" w:firstRowLastColumn="0" w:lastRowFirstColumn="0" w:lastRowLastColumn="0"/>
            <w:tcW w:w="2888" w:type="dxa"/>
            <w:vMerge w:val="restart"/>
            <w:shd w:val="clear" w:color="auto" w:fill="auto"/>
          </w:tcPr>
          <w:p w:rsidR="00A93F62" w:rsidRPr="007E57AE" w:rsidRDefault="00A93F62">
            <w:pPr>
              <w:tabs>
                <w:tab w:val="clear" w:pos="431"/>
              </w:tabs>
              <w:suppressAutoHyphens/>
              <w:overflowPunct/>
              <w:adjustRightInd/>
              <w:snapToGrid/>
              <w:spacing w:before="0" w:after="0" w:line="240" w:lineRule="atLeast"/>
              <w:rPr>
                <w:i/>
                <w:snapToGrid/>
                <w:sz w:val="18"/>
                <w:szCs w:val="18"/>
                <w:lang w:val="en-GB"/>
              </w:rPr>
            </w:pPr>
            <w:r w:rsidRPr="007E57AE">
              <w:rPr>
                <w:rFonts w:eastAsia="KaiTi_GB2312"/>
                <w:snapToGrid/>
                <w:sz w:val="18"/>
                <w:szCs w:val="18"/>
                <w:lang w:val="en-GB"/>
              </w:rPr>
              <w:t>指标名称</w:t>
            </w:r>
          </w:p>
        </w:tc>
        <w:tc>
          <w:tcPr>
            <w:tcW w:w="4482" w:type="dxa"/>
            <w:gridSpan w:val="6"/>
            <w:tcBorders>
              <w:top w:val="single" w:sz="4" w:space="0" w:color="auto"/>
              <w:bottom w:val="nil"/>
            </w:tcBorders>
            <w:shd w:val="clear" w:color="auto" w:fill="auto"/>
          </w:tcPr>
          <w:p w:rsidR="00A93F62" w:rsidRPr="007E57AE"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年</w:t>
            </w:r>
          </w:p>
        </w:tc>
      </w:tr>
      <w:tr w:rsidR="00A93F62">
        <w:trPr>
          <w:tblHeader/>
        </w:trPr>
        <w:tc>
          <w:tcPr>
            <w:cnfStyle w:val="001000000000" w:firstRow="0" w:lastRow="0" w:firstColumn="1" w:lastColumn="0" w:oddVBand="0" w:evenVBand="0" w:oddHBand="0" w:evenHBand="0" w:firstRowFirstColumn="0" w:firstRowLastColumn="0" w:lastRowFirstColumn="0" w:lastRowLastColumn="0"/>
            <w:tcW w:w="2888" w:type="dxa"/>
            <w:vMerge/>
            <w:tcBorders>
              <w:top w:val="nil"/>
              <w:bottom w:val="single" w:sz="12" w:space="0" w:color="auto"/>
            </w:tcBorders>
            <w:shd w:val="clear" w:color="auto" w:fill="auto"/>
          </w:tcPr>
          <w:p w:rsidR="00A93F62" w:rsidRPr="007E57AE" w:rsidRDefault="00A93F62">
            <w:pPr>
              <w:tabs>
                <w:tab w:val="clear" w:pos="431"/>
              </w:tabs>
              <w:suppressAutoHyphens/>
              <w:overflowPunct/>
              <w:adjustRightInd/>
              <w:snapToGrid/>
              <w:spacing w:before="0" w:after="0" w:line="240" w:lineRule="atLeast"/>
              <w:rPr>
                <w:i/>
                <w:snapToGrid/>
                <w:sz w:val="18"/>
                <w:szCs w:val="18"/>
                <w:lang w:val="en-GB" w:eastAsia="en-US"/>
              </w:rPr>
            </w:pPr>
          </w:p>
        </w:tc>
        <w:tc>
          <w:tcPr>
            <w:tcW w:w="817"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i/>
                <w:snapToGrid/>
                <w:sz w:val="18"/>
                <w:szCs w:val="18"/>
                <w:lang w:val="en-GB" w:eastAsia="en-US"/>
              </w:rPr>
              <w:t>2002</w:t>
            </w:r>
          </w:p>
        </w:tc>
        <w:tc>
          <w:tcPr>
            <w:tcW w:w="733"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i/>
                <w:snapToGrid/>
                <w:sz w:val="18"/>
                <w:szCs w:val="18"/>
                <w:lang w:val="en-GB" w:eastAsia="en-US"/>
              </w:rPr>
              <w:t>2003</w:t>
            </w:r>
          </w:p>
        </w:tc>
        <w:tc>
          <w:tcPr>
            <w:tcW w:w="733"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i/>
                <w:snapToGrid/>
                <w:sz w:val="18"/>
                <w:szCs w:val="18"/>
                <w:lang w:val="en-GB" w:eastAsia="en-US"/>
              </w:rPr>
              <w:t>2004</w:t>
            </w:r>
          </w:p>
        </w:tc>
        <w:tc>
          <w:tcPr>
            <w:tcW w:w="733"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i/>
                <w:snapToGrid/>
                <w:sz w:val="18"/>
                <w:szCs w:val="18"/>
                <w:lang w:val="en-GB" w:eastAsia="en-US"/>
              </w:rPr>
              <w:t>2005</w:t>
            </w:r>
          </w:p>
        </w:tc>
        <w:tc>
          <w:tcPr>
            <w:tcW w:w="733"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i/>
                <w:snapToGrid/>
                <w:sz w:val="18"/>
                <w:szCs w:val="18"/>
                <w:lang w:val="en-GB" w:eastAsia="en-US"/>
              </w:rPr>
              <w:t>2006</w:t>
            </w:r>
          </w:p>
        </w:tc>
        <w:tc>
          <w:tcPr>
            <w:tcW w:w="733"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i/>
                <w:snapToGrid/>
                <w:sz w:val="18"/>
                <w:szCs w:val="18"/>
                <w:lang w:val="en-GB" w:eastAsia="en-US"/>
              </w:rPr>
              <w:t>2007</w:t>
            </w:r>
          </w:p>
        </w:tc>
      </w:tr>
      <w:tr w:rsidR="00A93F62">
        <w:trPr>
          <w:tblHeader/>
        </w:trPr>
        <w:tc>
          <w:tcPr>
            <w:cnfStyle w:val="001000000000" w:firstRow="0" w:lastRow="0" w:firstColumn="1" w:lastColumn="0" w:oddVBand="0" w:evenVBand="0" w:oddHBand="0" w:evenHBand="0" w:firstRowFirstColumn="0" w:firstRowLastColumn="0" w:lastRowFirstColumn="0" w:lastRowLastColumn="0"/>
            <w:tcW w:w="2888" w:type="dxa"/>
            <w:tcBorders>
              <w:top w:val="nil"/>
            </w:tcBorders>
            <w:shd w:val="clear" w:color="auto" w:fill="auto"/>
          </w:tcPr>
          <w:p w:rsidR="00A93F62" w:rsidRPr="007E57AE" w:rsidRDefault="00A93F62">
            <w:pPr>
              <w:tabs>
                <w:tab w:val="clear" w:pos="431"/>
              </w:tabs>
              <w:suppressAutoHyphens/>
              <w:overflowPunct/>
              <w:adjustRightInd/>
              <w:snapToGrid/>
              <w:spacing w:line="240" w:lineRule="atLeast"/>
              <w:rPr>
                <w:i/>
                <w:snapToGrid/>
                <w:sz w:val="18"/>
                <w:szCs w:val="18"/>
                <w:lang w:val="en-GB"/>
              </w:rPr>
            </w:pPr>
            <w:r w:rsidRPr="007E57AE">
              <w:rPr>
                <w:snapToGrid/>
                <w:sz w:val="18"/>
                <w:szCs w:val="18"/>
                <w:lang w:val="en-GB"/>
              </w:rPr>
              <w:t>接受医科教育的护理人员数量</w:t>
            </w:r>
          </w:p>
        </w:tc>
        <w:tc>
          <w:tcPr>
            <w:tcW w:w="817"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line="240" w:lineRule="atLeast"/>
              <w:jc w:val="right"/>
              <w:cnfStyle w:val="000000000000" w:firstRow="0" w:lastRow="0" w:firstColumn="0" w:lastColumn="0" w:oddVBand="0" w:evenVBand="0" w:oddHBand="0" w:evenHBand="0" w:firstRowFirstColumn="0" w:firstRowLastColumn="0" w:lastRowFirstColumn="0" w:lastRowLastColumn="0"/>
              <w:rPr>
                <w:rFonts w:eastAsia="KaiTi_GB2312"/>
                <w:snapToGrid/>
                <w:sz w:val="18"/>
                <w:szCs w:val="18"/>
                <w:lang w:val="en-GB" w:eastAsia="en-US"/>
              </w:rPr>
            </w:pPr>
            <w:r w:rsidRPr="007E57AE">
              <w:rPr>
                <w:snapToGrid/>
                <w:sz w:val="18"/>
                <w:szCs w:val="18"/>
                <w:lang w:val="en-GB" w:eastAsia="en-US"/>
              </w:rPr>
              <w:t>35</w:t>
            </w:r>
            <w:r w:rsidRPr="007E57AE">
              <w:rPr>
                <w:snapToGrid/>
                <w:sz w:val="18"/>
                <w:szCs w:val="18"/>
                <w:lang w:val="en-GB"/>
              </w:rPr>
              <w:t xml:space="preserve"> </w:t>
            </w:r>
            <w:r w:rsidRPr="007E57AE">
              <w:rPr>
                <w:snapToGrid/>
                <w:sz w:val="18"/>
                <w:szCs w:val="18"/>
                <w:lang w:val="en-GB" w:eastAsia="en-US"/>
              </w:rPr>
              <w:t>831</w:t>
            </w:r>
          </w:p>
        </w:tc>
        <w:tc>
          <w:tcPr>
            <w:tcW w:w="733"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line="240" w:lineRule="atLeast"/>
              <w:jc w:val="right"/>
              <w:cnfStyle w:val="000000000000" w:firstRow="0" w:lastRow="0" w:firstColumn="0" w:lastColumn="0" w:oddVBand="0" w:evenVBand="0" w:oddHBand="0" w:evenHBand="0" w:firstRowFirstColumn="0" w:firstRowLastColumn="0" w:lastRowFirstColumn="0" w:lastRowLastColumn="0"/>
              <w:rPr>
                <w:rFonts w:eastAsia="KaiTi_GB2312"/>
                <w:snapToGrid/>
                <w:sz w:val="18"/>
                <w:szCs w:val="18"/>
                <w:lang w:val="en-GB" w:eastAsia="en-US"/>
              </w:rPr>
            </w:pPr>
            <w:r w:rsidRPr="007E57AE">
              <w:rPr>
                <w:snapToGrid/>
                <w:sz w:val="18"/>
                <w:szCs w:val="18"/>
                <w:lang w:val="en-GB" w:eastAsia="en-US"/>
              </w:rPr>
              <w:t>33</w:t>
            </w:r>
            <w:r w:rsidRPr="007E57AE">
              <w:rPr>
                <w:snapToGrid/>
                <w:sz w:val="18"/>
                <w:szCs w:val="18"/>
                <w:lang w:val="en-GB"/>
              </w:rPr>
              <w:t xml:space="preserve"> </w:t>
            </w:r>
            <w:r w:rsidRPr="007E57AE">
              <w:rPr>
                <w:snapToGrid/>
                <w:sz w:val="18"/>
                <w:szCs w:val="18"/>
                <w:lang w:val="en-GB" w:eastAsia="en-US"/>
              </w:rPr>
              <w:t>571</w:t>
            </w:r>
          </w:p>
        </w:tc>
        <w:tc>
          <w:tcPr>
            <w:tcW w:w="733"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line="240" w:lineRule="atLeast"/>
              <w:jc w:val="right"/>
              <w:cnfStyle w:val="000000000000" w:firstRow="0" w:lastRow="0" w:firstColumn="0" w:lastColumn="0" w:oddVBand="0" w:evenVBand="0" w:oddHBand="0" w:evenHBand="0" w:firstRowFirstColumn="0" w:firstRowLastColumn="0" w:lastRowFirstColumn="0" w:lastRowLastColumn="0"/>
              <w:rPr>
                <w:rFonts w:eastAsia="KaiTi_GB2312"/>
                <w:snapToGrid/>
                <w:sz w:val="18"/>
                <w:szCs w:val="18"/>
                <w:lang w:val="en-GB" w:eastAsia="en-US"/>
              </w:rPr>
            </w:pPr>
            <w:r w:rsidRPr="007E57AE">
              <w:rPr>
                <w:snapToGrid/>
                <w:sz w:val="18"/>
                <w:szCs w:val="18"/>
                <w:lang w:val="en-GB" w:eastAsia="en-US"/>
              </w:rPr>
              <w:t>23</w:t>
            </w:r>
            <w:r w:rsidRPr="007E57AE">
              <w:rPr>
                <w:snapToGrid/>
                <w:sz w:val="18"/>
                <w:szCs w:val="18"/>
                <w:lang w:val="en-GB"/>
              </w:rPr>
              <w:t xml:space="preserve"> </w:t>
            </w:r>
            <w:r w:rsidRPr="007E57AE">
              <w:rPr>
                <w:snapToGrid/>
                <w:sz w:val="18"/>
                <w:szCs w:val="18"/>
                <w:lang w:val="en-GB" w:eastAsia="en-US"/>
              </w:rPr>
              <w:t>298</w:t>
            </w:r>
          </w:p>
        </w:tc>
        <w:tc>
          <w:tcPr>
            <w:tcW w:w="733"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line="240" w:lineRule="atLeast"/>
              <w:jc w:val="right"/>
              <w:cnfStyle w:val="000000000000" w:firstRow="0" w:lastRow="0" w:firstColumn="0" w:lastColumn="0" w:oddVBand="0" w:evenVBand="0" w:oddHBand="0" w:evenHBand="0" w:firstRowFirstColumn="0" w:firstRowLastColumn="0" w:lastRowFirstColumn="0" w:lastRowLastColumn="0"/>
              <w:rPr>
                <w:rFonts w:eastAsia="KaiTi_GB2312"/>
                <w:snapToGrid/>
                <w:sz w:val="18"/>
                <w:szCs w:val="18"/>
                <w:lang w:val="en-GB" w:eastAsia="en-US"/>
              </w:rPr>
            </w:pPr>
            <w:r w:rsidRPr="007E57AE">
              <w:rPr>
                <w:snapToGrid/>
                <w:sz w:val="18"/>
                <w:szCs w:val="18"/>
                <w:lang w:val="en-GB" w:eastAsia="en-US"/>
              </w:rPr>
              <w:t>22</w:t>
            </w:r>
            <w:r w:rsidRPr="007E57AE">
              <w:rPr>
                <w:snapToGrid/>
                <w:sz w:val="18"/>
                <w:szCs w:val="18"/>
                <w:lang w:val="en-GB"/>
              </w:rPr>
              <w:t xml:space="preserve"> </w:t>
            </w:r>
            <w:r w:rsidRPr="007E57AE">
              <w:rPr>
                <w:snapToGrid/>
                <w:sz w:val="18"/>
                <w:szCs w:val="18"/>
                <w:lang w:val="en-GB" w:eastAsia="en-US"/>
              </w:rPr>
              <w:t>381</w:t>
            </w:r>
          </w:p>
        </w:tc>
        <w:tc>
          <w:tcPr>
            <w:tcW w:w="733"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line="240" w:lineRule="atLeast"/>
              <w:jc w:val="right"/>
              <w:cnfStyle w:val="000000000000" w:firstRow="0" w:lastRow="0" w:firstColumn="0" w:lastColumn="0" w:oddVBand="0" w:evenVBand="0" w:oddHBand="0" w:evenHBand="0" w:firstRowFirstColumn="0" w:firstRowLastColumn="0" w:lastRowFirstColumn="0" w:lastRowLastColumn="0"/>
              <w:rPr>
                <w:rFonts w:eastAsia="KaiTi_GB2312"/>
                <w:snapToGrid/>
                <w:sz w:val="18"/>
                <w:szCs w:val="18"/>
                <w:lang w:val="en-GB" w:eastAsia="en-US"/>
              </w:rPr>
            </w:pPr>
            <w:r w:rsidRPr="007E57AE">
              <w:rPr>
                <w:snapToGrid/>
                <w:sz w:val="18"/>
                <w:szCs w:val="18"/>
                <w:lang w:val="en-GB" w:eastAsia="en-US"/>
              </w:rPr>
              <w:t>21</w:t>
            </w:r>
            <w:r w:rsidRPr="007E57AE">
              <w:rPr>
                <w:snapToGrid/>
                <w:sz w:val="18"/>
                <w:szCs w:val="18"/>
                <w:lang w:val="en-GB"/>
              </w:rPr>
              <w:t xml:space="preserve"> </w:t>
            </w:r>
            <w:r w:rsidRPr="007E57AE">
              <w:rPr>
                <w:snapToGrid/>
                <w:sz w:val="18"/>
                <w:szCs w:val="18"/>
                <w:lang w:val="en-GB" w:eastAsia="en-US"/>
              </w:rPr>
              <w:t>972</w:t>
            </w:r>
          </w:p>
        </w:tc>
        <w:tc>
          <w:tcPr>
            <w:tcW w:w="733" w:type="dxa"/>
            <w:tcBorders>
              <w:top w:val="nil"/>
              <w:bottom w:val="single" w:sz="12" w:space="0" w:color="auto"/>
            </w:tcBorders>
            <w:shd w:val="clear" w:color="auto" w:fill="auto"/>
          </w:tcPr>
          <w:p w:rsidR="00A93F62" w:rsidRPr="007E57AE" w:rsidRDefault="00A93F62" w:rsidP="007B3FBD">
            <w:pPr>
              <w:tabs>
                <w:tab w:val="clear" w:pos="431"/>
              </w:tabs>
              <w:suppressAutoHyphens/>
              <w:overflowPunct/>
              <w:adjustRightInd/>
              <w:snapToGrid/>
              <w:spacing w:line="240" w:lineRule="atLeast"/>
              <w:jc w:val="right"/>
              <w:cnfStyle w:val="000000000000" w:firstRow="0" w:lastRow="0" w:firstColumn="0" w:lastColumn="0" w:oddVBand="0" w:evenVBand="0" w:oddHBand="0" w:evenHBand="0" w:firstRowFirstColumn="0" w:firstRowLastColumn="0" w:lastRowFirstColumn="0" w:lastRowLastColumn="0"/>
              <w:rPr>
                <w:rFonts w:eastAsia="KaiTi_GB2312"/>
                <w:snapToGrid/>
                <w:sz w:val="18"/>
                <w:szCs w:val="18"/>
                <w:lang w:val="en-GB" w:eastAsia="en-US"/>
              </w:rPr>
            </w:pPr>
            <w:r w:rsidRPr="007E57AE">
              <w:rPr>
                <w:snapToGrid/>
                <w:sz w:val="18"/>
                <w:szCs w:val="18"/>
                <w:lang w:val="en-GB" w:eastAsia="en-US"/>
              </w:rPr>
              <w:t>21</w:t>
            </w:r>
            <w:r w:rsidRPr="007E57AE">
              <w:rPr>
                <w:snapToGrid/>
                <w:sz w:val="18"/>
                <w:szCs w:val="18"/>
                <w:lang w:val="en-GB"/>
              </w:rPr>
              <w:t xml:space="preserve"> </w:t>
            </w:r>
            <w:r w:rsidRPr="007E57AE">
              <w:rPr>
                <w:snapToGrid/>
                <w:sz w:val="18"/>
                <w:szCs w:val="18"/>
                <w:lang w:val="en-GB" w:eastAsia="en-US"/>
              </w:rPr>
              <w:t>419</w:t>
            </w:r>
          </w:p>
        </w:tc>
      </w:tr>
    </w:tbl>
    <w:p w:rsidR="00A93F62" w:rsidRDefault="00A93F62">
      <w:pPr>
        <w:pStyle w:val="H1GC"/>
        <w:rPr>
          <w:snapToGrid/>
          <w:lang w:val="en-GB"/>
        </w:rPr>
      </w:pPr>
      <w:r>
        <w:rPr>
          <w:rFonts w:hint="eastAsia"/>
          <w:snapToGrid/>
          <w:lang w:val="en-GB"/>
        </w:rPr>
        <w:tab/>
      </w:r>
      <w:r>
        <w:rPr>
          <w:rFonts w:hint="eastAsia"/>
          <w:snapToGrid/>
          <w:lang w:val="en-GB"/>
        </w:rPr>
        <w:tab/>
      </w:r>
      <w:r>
        <w:rPr>
          <w:snapToGrid/>
          <w:lang w:val="en-GB"/>
        </w:rPr>
        <w:t>第十三条</w:t>
      </w:r>
      <w:r>
        <w:rPr>
          <w:snapToGrid/>
          <w:lang w:val="en-GB"/>
        </w:rPr>
        <w:t xml:space="preserve"> </w:t>
      </w:r>
      <w:r>
        <w:rPr>
          <w:rFonts w:hint="eastAsia"/>
          <w:snapToGrid/>
          <w:lang w:val="en-GB"/>
        </w:rPr>
        <w:br/>
      </w:r>
      <w:r>
        <w:rPr>
          <w:rFonts w:hint="eastAsia"/>
          <w:snapToGrid/>
          <w:lang w:val="en-GB"/>
        </w:rPr>
        <w:t>受</w:t>
      </w:r>
      <w:r>
        <w:rPr>
          <w:snapToGrid/>
          <w:lang w:val="en-GB"/>
        </w:rPr>
        <w:t>教育权</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285. </w:t>
      </w:r>
      <w:r>
        <w:rPr>
          <w:rFonts w:hint="eastAsia"/>
          <w:snapToGrid/>
          <w:szCs w:val="21"/>
          <w:lang w:val="en-GB"/>
        </w:rPr>
        <w:t xml:space="preserve"> </w:t>
      </w:r>
      <w:r>
        <w:rPr>
          <w:snapToGrid/>
          <w:szCs w:val="21"/>
          <w:lang w:val="en-GB"/>
        </w:rPr>
        <w:t>根据《土库曼斯坦教育法》第</w:t>
      </w:r>
      <w:r>
        <w:rPr>
          <w:snapToGrid/>
          <w:szCs w:val="21"/>
          <w:lang w:val="en-GB"/>
        </w:rPr>
        <w:t>38</w:t>
      </w:r>
      <w:r>
        <w:rPr>
          <w:snapToGrid/>
          <w:szCs w:val="21"/>
          <w:lang w:val="en-GB"/>
        </w:rPr>
        <w:t>条规定，每个公民都享有受教育的权利。普通中等教育为义务教育，每个人均有权在国立中学接受免费教育。国家保障每个人根据其才能接受职业教育。根据土库曼斯坦立法规定的依据和程序，国有和非国有单位、公民有权依法从事有偿教育工作。国家规定所有院校应执行的教育标准。土库曼斯坦保护儿童方面的政策规定，依法切实保障儿童的合法权益，不允许任何歧视行为，恢复被侵害的权利。该政策适用于城市和乡村居民，女孩和男孩，以及所有弱势群体儿童。</w:t>
      </w:r>
      <w:smartTag w:uri="urn:schemas-microsoft-com:office:smarttags" w:element="chsdate">
        <w:smartTagPr>
          <w:attr w:name="IsROCDate" w:val="False"/>
          <w:attr w:name="IsLunarDate" w:val="False"/>
          <w:attr w:name="Day" w:val="5"/>
          <w:attr w:name="Month" w:val="7"/>
          <w:attr w:name="Year" w:val="2002"/>
        </w:smartTagPr>
        <w:r>
          <w:rPr>
            <w:snapToGrid/>
            <w:szCs w:val="21"/>
            <w:lang w:val="en-GB"/>
          </w:rPr>
          <w:t>2002</w:t>
        </w:r>
        <w:r>
          <w:rPr>
            <w:snapToGrid/>
            <w:szCs w:val="21"/>
            <w:lang w:val="en-GB"/>
          </w:rPr>
          <w:t>年</w:t>
        </w:r>
        <w:r>
          <w:rPr>
            <w:snapToGrid/>
            <w:szCs w:val="21"/>
            <w:lang w:val="en-GB"/>
          </w:rPr>
          <w:t>7</w:t>
        </w:r>
        <w:r>
          <w:rPr>
            <w:snapToGrid/>
            <w:szCs w:val="21"/>
            <w:lang w:val="en-GB"/>
          </w:rPr>
          <w:t>月</w:t>
        </w:r>
        <w:r>
          <w:rPr>
            <w:snapToGrid/>
            <w:szCs w:val="21"/>
            <w:lang w:val="en-GB"/>
          </w:rPr>
          <w:t>5</w:t>
        </w:r>
        <w:r>
          <w:rPr>
            <w:snapToGrid/>
            <w:szCs w:val="21"/>
            <w:lang w:val="en-GB"/>
          </w:rPr>
          <w:t>日</w:t>
        </w:r>
      </w:smartTag>
      <w:r>
        <w:rPr>
          <w:snapToGrid/>
          <w:szCs w:val="21"/>
          <w:lang w:val="en-GB"/>
        </w:rPr>
        <w:t>颁布的《土库曼斯坦儿童权利保障法》规定了公民</w:t>
      </w:r>
      <w:r>
        <w:rPr>
          <w:snapToGrid/>
          <w:szCs w:val="21"/>
          <w:lang w:val="en-GB"/>
        </w:rPr>
        <w:t>(</w:t>
      </w:r>
      <w:r>
        <w:rPr>
          <w:snapToGrid/>
          <w:szCs w:val="21"/>
          <w:lang w:val="en-GB"/>
        </w:rPr>
        <w:t>包括儿童</w:t>
      </w:r>
      <w:r>
        <w:rPr>
          <w:snapToGrid/>
          <w:szCs w:val="21"/>
          <w:lang w:val="en-GB"/>
        </w:rPr>
        <w:t>)</w:t>
      </w:r>
      <w:r>
        <w:rPr>
          <w:snapToGrid/>
          <w:szCs w:val="21"/>
          <w:lang w:val="en-GB"/>
        </w:rPr>
        <w:t>权利与自由的普遍性。根据该法第</w:t>
      </w:r>
      <w:r>
        <w:rPr>
          <w:snapToGrid/>
          <w:szCs w:val="21"/>
          <w:lang w:val="en-GB"/>
        </w:rPr>
        <w:t>3</w:t>
      </w:r>
      <w:r>
        <w:rPr>
          <w:snapToGrid/>
          <w:szCs w:val="21"/>
          <w:lang w:val="en-GB"/>
        </w:rPr>
        <w:t>条规定，不论其民族、性别、语言、宗教信仰、教育程度、居住地、出生情况、健康状况等因素，土库曼斯坦的所有儿童都拥有平等的权利。</w:t>
      </w:r>
    </w:p>
    <w:p w:rsidR="00A93F62" w:rsidRDefault="00A93F62">
      <w:pPr>
        <w:tabs>
          <w:tab w:val="clear" w:pos="431"/>
        </w:tabs>
        <w:suppressAutoHyphens/>
        <w:overflowPunct/>
        <w:adjustRightInd/>
        <w:snapToGrid/>
        <w:spacing w:after="120" w:line="240" w:lineRule="atLeast"/>
        <w:ind w:left="1134" w:right="1134"/>
        <w:rPr>
          <w:rFonts w:eastAsia="SimHei"/>
          <w:snapToGrid/>
          <w:szCs w:val="21"/>
          <w:lang w:val="en-GB"/>
        </w:rPr>
      </w:pPr>
      <w:r>
        <w:rPr>
          <w:rFonts w:eastAsia="SimHei"/>
          <w:snapToGrid/>
          <w:szCs w:val="21"/>
          <w:lang w:val="en-GB"/>
        </w:rPr>
        <w:t>土库曼斯坦居民识字普及率，</w:t>
      </w:r>
      <w:r>
        <w:rPr>
          <w:rFonts w:eastAsia="SimHei"/>
          <w:snapToGrid/>
          <w:szCs w:val="21"/>
          <w:lang w:val="en-GB"/>
        </w:rPr>
        <w:t>%</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szCs w:val="21"/>
          <w:lang w:val="en-GB"/>
        </w:rPr>
        <w:t>(</w:t>
      </w:r>
      <w:r>
        <w:rPr>
          <w:snapToGrid/>
          <w:szCs w:val="21"/>
          <w:lang w:val="en-GB"/>
        </w:rPr>
        <w:t>根据</w:t>
      </w:r>
      <w:r>
        <w:rPr>
          <w:snapToGrid/>
          <w:szCs w:val="21"/>
          <w:lang w:val="en-GB"/>
        </w:rPr>
        <w:t>1995</w:t>
      </w:r>
      <w:r>
        <w:rPr>
          <w:snapToGrid/>
          <w:szCs w:val="21"/>
          <w:lang w:val="en-GB"/>
        </w:rPr>
        <w:t>年普查数据</w:t>
      </w:r>
      <w:r>
        <w:rPr>
          <w:snapToGrid/>
          <w:szCs w:val="21"/>
          <w:lang w:val="en-GB"/>
        </w:rPr>
        <w:t>)</w:t>
      </w:r>
    </w:p>
    <w:tbl>
      <w:tblPr>
        <w:tblStyle w:val="TabNum1"/>
        <w:tblW w:w="9344" w:type="dxa"/>
        <w:tblInd w:w="56" w:type="dxa"/>
        <w:tblLayout w:type="fixed"/>
        <w:tblLook w:val="01E0" w:firstRow="1" w:lastRow="1" w:firstColumn="1" w:lastColumn="1" w:noHBand="0" w:noVBand="0"/>
      </w:tblPr>
      <w:tblGrid>
        <w:gridCol w:w="952"/>
        <w:gridCol w:w="980"/>
        <w:gridCol w:w="1148"/>
        <w:gridCol w:w="1162"/>
        <w:gridCol w:w="1050"/>
        <w:gridCol w:w="1063"/>
        <w:gridCol w:w="1008"/>
        <w:gridCol w:w="1092"/>
        <w:gridCol w:w="889"/>
      </w:tblGrid>
      <w:tr w:rsidR="00A93F62" w:rsidRPr="007E57AE">
        <w:trPr>
          <w:tblHeader/>
        </w:trPr>
        <w:tc>
          <w:tcPr>
            <w:cnfStyle w:val="001000000000" w:firstRow="0" w:lastRow="0" w:firstColumn="1" w:lastColumn="0" w:oddVBand="0" w:evenVBand="0" w:oddHBand="0" w:evenHBand="0" w:firstRowFirstColumn="0" w:firstRowLastColumn="0" w:lastRowFirstColumn="0" w:lastRowLastColumn="0"/>
            <w:tcW w:w="3080" w:type="dxa"/>
            <w:gridSpan w:val="3"/>
            <w:tcBorders>
              <w:bottom w:val="single" w:sz="2" w:space="0" w:color="auto"/>
            </w:tcBorders>
            <w:shd w:val="clear" w:color="auto" w:fill="auto"/>
          </w:tcPr>
          <w:p w:rsidR="00A93F62" w:rsidRPr="007E57AE" w:rsidRDefault="00A93F62">
            <w:pPr>
              <w:tabs>
                <w:tab w:val="clear" w:pos="431"/>
              </w:tabs>
              <w:suppressAutoHyphens/>
              <w:overflowPunct/>
              <w:adjustRightInd/>
              <w:snapToGrid/>
              <w:spacing w:before="0" w:after="0" w:line="240" w:lineRule="atLeast"/>
              <w:jc w:val="center"/>
              <w:rPr>
                <w:i/>
                <w:snapToGrid/>
                <w:sz w:val="18"/>
                <w:szCs w:val="18"/>
                <w:lang w:val="en-GB"/>
              </w:rPr>
            </w:pPr>
            <w:r w:rsidRPr="007E57AE">
              <w:rPr>
                <w:rFonts w:eastAsia="KaiTi_GB2312"/>
                <w:snapToGrid/>
                <w:sz w:val="18"/>
                <w:szCs w:val="18"/>
                <w:lang w:val="en-GB"/>
              </w:rPr>
              <w:t>所有居民</w:t>
            </w:r>
          </w:p>
        </w:tc>
        <w:tc>
          <w:tcPr>
            <w:tcW w:w="3275" w:type="dxa"/>
            <w:gridSpan w:val="3"/>
            <w:tcBorders>
              <w:top w:val="single" w:sz="4" w:space="0" w:color="auto"/>
              <w:bottom w:val="single" w:sz="2" w:space="0" w:color="auto"/>
            </w:tcBorders>
            <w:shd w:val="clear" w:color="auto" w:fill="auto"/>
          </w:tcPr>
          <w:p w:rsidR="00A93F62" w:rsidRPr="007E57AE" w:rsidRDefault="00A93F62">
            <w:pPr>
              <w:tabs>
                <w:tab w:val="clear" w:pos="431"/>
              </w:tabs>
              <w:suppressAutoHyphens/>
              <w:overflowPunct/>
              <w:adjustRightInd/>
              <w:snapToGrid/>
              <w:spacing w:before="0" w:after="0" w:line="240" w:lineRule="atLeast"/>
              <w:jc w:val="center"/>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rPr>
              <w:t>城市居民</w:t>
            </w:r>
          </w:p>
        </w:tc>
        <w:tc>
          <w:tcPr>
            <w:tcW w:w="2989" w:type="dxa"/>
            <w:gridSpan w:val="3"/>
            <w:tcBorders>
              <w:top w:val="single" w:sz="4" w:space="0" w:color="auto"/>
              <w:bottom w:val="single" w:sz="2" w:space="0" w:color="auto"/>
            </w:tcBorders>
            <w:shd w:val="clear" w:color="auto" w:fill="auto"/>
          </w:tcPr>
          <w:p w:rsidR="00A93F62" w:rsidRPr="007E57AE" w:rsidRDefault="00A93F62">
            <w:pPr>
              <w:tabs>
                <w:tab w:val="clear" w:pos="431"/>
              </w:tabs>
              <w:suppressAutoHyphens/>
              <w:overflowPunct/>
              <w:adjustRightInd/>
              <w:snapToGrid/>
              <w:spacing w:before="0" w:after="0" w:line="240" w:lineRule="atLeast"/>
              <w:jc w:val="center"/>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rPr>
              <w:t>农村居民</w:t>
            </w:r>
          </w:p>
        </w:tc>
      </w:tr>
      <w:tr w:rsidR="00A93F62" w:rsidRPr="007E57AE">
        <w:trPr>
          <w:tblHeader/>
        </w:trPr>
        <w:tc>
          <w:tcPr>
            <w:cnfStyle w:val="001000000000" w:firstRow="0" w:lastRow="0" w:firstColumn="1" w:lastColumn="0" w:oddVBand="0" w:evenVBand="0" w:oddHBand="0" w:evenHBand="0" w:firstRowFirstColumn="0" w:firstRowLastColumn="0" w:lastRowFirstColumn="0" w:lastRowLastColumn="0"/>
            <w:tcW w:w="952" w:type="dxa"/>
            <w:tcBorders>
              <w:top w:val="single" w:sz="2" w:space="0" w:color="auto"/>
              <w:bottom w:val="single" w:sz="12" w:space="0" w:color="auto"/>
            </w:tcBorders>
            <w:shd w:val="clear" w:color="auto" w:fill="auto"/>
          </w:tcPr>
          <w:p w:rsidR="00A93F62" w:rsidRPr="007E57AE" w:rsidRDefault="00A93F62" w:rsidP="00985687">
            <w:pPr>
              <w:tabs>
                <w:tab w:val="clear" w:pos="431"/>
              </w:tabs>
              <w:suppressAutoHyphens/>
              <w:overflowPunct/>
              <w:adjustRightInd/>
              <w:snapToGrid/>
              <w:spacing w:before="0" w:after="0" w:line="240" w:lineRule="atLeast"/>
              <w:jc w:val="right"/>
              <w:rPr>
                <w:i/>
                <w:snapToGrid/>
                <w:sz w:val="18"/>
                <w:szCs w:val="18"/>
                <w:lang w:val="en-GB"/>
              </w:rPr>
            </w:pPr>
            <w:r w:rsidRPr="007E57AE">
              <w:rPr>
                <w:rFonts w:eastAsia="KaiTi_GB2312"/>
                <w:snapToGrid/>
                <w:sz w:val="18"/>
                <w:szCs w:val="18"/>
                <w:lang w:val="en-GB"/>
              </w:rPr>
              <w:t>两性</w:t>
            </w:r>
          </w:p>
        </w:tc>
        <w:tc>
          <w:tcPr>
            <w:tcW w:w="980" w:type="dxa"/>
            <w:tcBorders>
              <w:top w:val="single" w:sz="2" w:space="0" w:color="auto"/>
              <w:bottom w:val="single" w:sz="12" w:space="0" w:color="auto"/>
            </w:tcBorders>
            <w:shd w:val="clear" w:color="auto" w:fill="auto"/>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妇女</w:t>
            </w:r>
          </w:p>
        </w:tc>
        <w:tc>
          <w:tcPr>
            <w:tcW w:w="1148" w:type="dxa"/>
            <w:tcBorders>
              <w:top w:val="single" w:sz="2" w:space="0" w:color="auto"/>
              <w:bottom w:val="single" w:sz="12" w:space="0" w:color="auto"/>
            </w:tcBorders>
            <w:shd w:val="clear" w:color="auto" w:fill="auto"/>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rPr>
              <w:t>男子</w:t>
            </w:r>
          </w:p>
        </w:tc>
        <w:tc>
          <w:tcPr>
            <w:tcW w:w="1162" w:type="dxa"/>
            <w:tcBorders>
              <w:top w:val="single" w:sz="2" w:space="0" w:color="auto"/>
              <w:bottom w:val="single" w:sz="12" w:space="0" w:color="auto"/>
            </w:tcBorders>
            <w:shd w:val="clear" w:color="auto" w:fill="auto"/>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rPr>
              <w:t>两性</w:t>
            </w:r>
          </w:p>
        </w:tc>
        <w:tc>
          <w:tcPr>
            <w:tcW w:w="1050" w:type="dxa"/>
            <w:tcBorders>
              <w:top w:val="single" w:sz="2" w:space="0" w:color="auto"/>
              <w:bottom w:val="single" w:sz="12" w:space="0" w:color="auto"/>
            </w:tcBorders>
            <w:shd w:val="clear" w:color="auto" w:fill="auto"/>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rPr>
              <w:t>妇女</w:t>
            </w:r>
          </w:p>
        </w:tc>
        <w:tc>
          <w:tcPr>
            <w:tcW w:w="1063" w:type="dxa"/>
            <w:tcBorders>
              <w:top w:val="single" w:sz="2" w:space="0" w:color="auto"/>
              <w:bottom w:val="single" w:sz="12" w:space="0" w:color="auto"/>
            </w:tcBorders>
            <w:shd w:val="clear" w:color="auto" w:fill="auto"/>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rPr>
              <w:t>男子</w:t>
            </w:r>
          </w:p>
        </w:tc>
        <w:tc>
          <w:tcPr>
            <w:tcW w:w="1008" w:type="dxa"/>
            <w:tcBorders>
              <w:top w:val="single" w:sz="2" w:space="0" w:color="auto"/>
              <w:bottom w:val="single" w:sz="12" w:space="0" w:color="auto"/>
            </w:tcBorders>
            <w:shd w:val="clear" w:color="auto" w:fill="auto"/>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rPr>
              <w:t>两性</w:t>
            </w:r>
          </w:p>
        </w:tc>
        <w:tc>
          <w:tcPr>
            <w:tcW w:w="1092" w:type="dxa"/>
            <w:tcBorders>
              <w:top w:val="single" w:sz="2" w:space="0" w:color="auto"/>
              <w:bottom w:val="single" w:sz="12" w:space="0" w:color="auto"/>
            </w:tcBorders>
            <w:shd w:val="clear" w:color="auto" w:fill="auto"/>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rPr>
              <w:t>妇女</w:t>
            </w:r>
          </w:p>
        </w:tc>
        <w:tc>
          <w:tcPr>
            <w:tcW w:w="889" w:type="dxa"/>
            <w:tcBorders>
              <w:top w:val="single" w:sz="2" w:space="0" w:color="auto"/>
              <w:bottom w:val="single" w:sz="12" w:space="0" w:color="auto"/>
            </w:tcBorders>
            <w:shd w:val="clear" w:color="auto" w:fill="auto"/>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rPr>
              <w:t>男子</w:t>
            </w:r>
          </w:p>
        </w:tc>
      </w:tr>
      <w:tr w:rsidR="00A93F62" w:rsidRPr="007E57AE">
        <w:tc>
          <w:tcPr>
            <w:cnfStyle w:val="001000000000" w:firstRow="0" w:lastRow="0" w:firstColumn="1" w:lastColumn="0" w:oddVBand="0" w:evenVBand="0" w:oddHBand="0" w:evenHBand="0" w:firstRowFirstColumn="0" w:firstRowLastColumn="0" w:lastRowFirstColumn="0" w:lastRowLastColumn="0"/>
            <w:tcW w:w="9344" w:type="dxa"/>
            <w:gridSpan w:val="9"/>
            <w:tcBorders>
              <w:top w:val="single" w:sz="12" w:space="0" w:color="auto"/>
              <w:bottom w:val="nil"/>
            </w:tcBorders>
          </w:tcPr>
          <w:p w:rsidR="00A93F62" w:rsidRPr="007E57AE" w:rsidRDefault="00A93F62">
            <w:pPr>
              <w:tabs>
                <w:tab w:val="clear" w:pos="431"/>
              </w:tabs>
              <w:suppressAutoHyphens/>
              <w:overflowPunct/>
              <w:adjustRightInd/>
              <w:snapToGrid/>
              <w:spacing w:before="0" w:after="0" w:line="240" w:lineRule="atLeast"/>
              <w:rPr>
                <w:rFonts w:eastAsia="SimHei"/>
                <w:snapToGrid/>
                <w:sz w:val="18"/>
                <w:szCs w:val="18"/>
                <w:lang w:val="en-GB" w:eastAsia="en-US"/>
              </w:rPr>
            </w:pPr>
            <w:r w:rsidRPr="007E57AE">
              <w:rPr>
                <w:rFonts w:eastAsia="SimHei"/>
                <w:snapToGrid/>
                <w:sz w:val="18"/>
                <w:szCs w:val="18"/>
                <w:lang w:val="en-GB"/>
              </w:rPr>
              <w:t>9-49</w:t>
            </w:r>
            <w:r w:rsidRPr="007E57AE">
              <w:rPr>
                <w:rFonts w:eastAsia="SimHei"/>
                <w:snapToGrid/>
                <w:sz w:val="18"/>
                <w:szCs w:val="18"/>
                <w:lang w:val="en-GB"/>
              </w:rPr>
              <w:t>岁居民的识字情况</w:t>
            </w:r>
          </w:p>
        </w:tc>
      </w:tr>
    </w:tbl>
    <w:tbl>
      <w:tblPr>
        <w:tblStyle w:val="TabNum"/>
        <w:tblW w:w="9344" w:type="dxa"/>
        <w:tblInd w:w="56" w:type="dxa"/>
        <w:tblBorders>
          <w:top w:val="none" w:sz="0" w:space="0" w:color="auto"/>
          <w:bottom w:val="none" w:sz="0" w:space="0" w:color="auto"/>
        </w:tblBorders>
        <w:tblLayout w:type="fixed"/>
        <w:tblLook w:val="01E0" w:firstRow="1" w:lastRow="1" w:firstColumn="1" w:lastColumn="1" w:noHBand="0" w:noVBand="0"/>
      </w:tblPr>
      <w:tblGrid>
        <w:gridCol w:w="954"/>
        <w:gridCol w:w="982"/>
        <w:gridCol w:w="1145"/>
        <w:gridCol w:w="1145"/>
        <w:gridCol w:w="1030"/>
        <w:gridCol w:w="1145"/>
        <w:gridCol w:w="1003"/>
        <w:gridCol w:w="1019"/>
        <w:gridCol w:w="921"/>
      </w:tblGrid>
      <w:tr w:rsidR="00A93F62" w:rsidRPr="007E57AE">
        <w:tc>
          <w:tcPr>
            <w:cnfStyle w:val="001000000000" w:firstRow="0" w:lastRow="0" w:firstColumn="1" w:lastColumn="0" w:oddVBand="0" w:evenVBand="0" w:oddHBand="0" w:evenHBand="0" w:firstRowFirstColumn="0" w:firstRowLastColumn="0" w:lastRowFirstColumn="0" w:lastRowLastColumn="0"/>
            <w:tcW w:w="95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A93F62" w:rsidRPr="007E57AE" w:rsidRDefault="00A93F62">
            <w:pPr>
              <w:tabs>
                <w:tab w:val="clear" w:pos="431"/>
              </w:tabs>
              <w:suppressAutoHyphens/>
              <w:overflowPunct/>
              <w:adjustRightInd/>
              <w:snapToGrid/>
              <w:spacing w:before="0" w:after="0" w:line="240" w:lineRule="atLeast"/>
              <w:jc w:val="right"/>
              <w:rPr>
                <w:snapToGrid/>
                <w:sz w:val="18"/>
                <w:szCs w:val="18"/>
                <w:lang w:val="en-GB" w:eastAsia="en-US"/>
              </w:rPr>
            </w:pPr>
            <w:r w:rsidRPr="007E57AE">
              <w:rPr>
                <w:snapToGrid/>
                <w:sz w:val="18"/>
                <w:szCs w:val="18"/>
                <w:lang w:val="en-GB" w:eastAsia="en-US"/>
              </w:rPr>
              <w:t>99.8</w:t>
            </w:r>
          </w:p>
        </w:tc>
        <w:tc>
          <w:tcPr>
            <w:tcW w:w="982" w:type="dxa"/>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99.7</w:t>
            </w:r>
          </w:p>
        </w:tc>
        <w:tc>
          <w:tcPr>
            <w:tcW w:w="1145" w:type="dxa"/>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99.8</w:t>
            </w:r>
          </w:p>
        </w:tc>
        <w:tc>
          <w:tcPr>
            <w:tcW w:w="1145" w:type="dxa"/>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99.8</w:t>
            </w:r>
          </w:p>
        </w:tc>
        <w:tc>
          <w:tcPr>
            <w:tcW w:w="1030" w:type="dxa"/>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99.7</w:t>
            </w:r>
          </w:p>
        </w:tc>
        <w:tc>
          <w:tcPr>
            <w:tcW w:w="1145" w:type="dxa"/>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99.8</w:t>
            </w:r>
          </w:p>
        </w:tc>
        <w:tc>
          <w:tcPr>
            <w:tcW w:w="1003" w:type="dxa"/>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99.8</w:t>
            </w:r>
          </w:p>
        </w:tc>
        <w:tc>
          <w:tcPr>
            <w:tcW w:w="1019" w:type="dxa"/>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99.7</w:t>
            </w:r>
          </w:p>
        </w:tc>
        <w:tc>
          <w:tcPr>
            <w:tcW w:w="921" w:type="dxa"/>
          </w:tcPr>
          <w:p w:rsidR="00A93F62" w:rsidRPr="007E57AE" w:rsidRDefault="00A93F62" w:rsidP="0098568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99.8</w:t>
            </w:r>
          </w:p>
        </w:tc>
      </w:tr>
      <w:tr w:rsidR="00985687" w:rsidRPr="007E57AE" w:rsidTr="00985687">
        <w:tc>
          <w:tcPr>
            <w:cnfStyle w:val="001000000000" w:firstRow="0" w:lastRow="0" w:firstColumn="1" w:lastColumn="0" w:oddVBand="0" w:evenVBand="0" w:oddHBand="0" w:evenHBand="0" w:firstRowFirstColumn="0" w:firstRowLastColumn="0" w:lastRowFirstColumn="0" w:lastRowLastColumn="0"/>
            <w:tcW w:w="9344" w:type="dxa"/>
            <w:gridSpan w:val="9"/>
            <w:tcBorders>
              <w:bottom w:val="none" w:sz="0" w:space="0" w:color="auto"/>
            </w:tcBorders>
          </w:tcPr>
          <w:p w:rsidR="00985687" w:rsidRPr="007E57AE" w:rsidRDefault="00985687" w:rsidP="00985687">
            <w:pPr>
              <w:tabs>
                <w:tab w:val="clear" w:pos="431"/>
              </w:tabs>
              <w:suppressAutoHyphens/>
              <w:overflowPunct/>
              <w:adjustRightInd/>
              <w:snapToGrid/>
              <w:spacing w:line="240" w:lineRule="atLeast"/>
              <w:jc w:val="left"/>
              <w:rPr>
                <w:snapToGrid/>
                <w:sz w:val="18"/>
                <w:szCs w:val="18"/>
                <w:lang w:val="en-GB"/>
              </w:rPr>
            </w:pPr>
            <w:r w:rsidRPr="007E57AE">
              <w:rPr>
                <w:rFonts w:eastAsia="SimHei"/>
                <w:snapToGrid/>
                <w:sz w:val="18"/>
                <w:szCs w:val="18"/>
                <w:lang w:val="en-GB"/>
              </w:rPr>
              <w:t>15</w:t>
            </w:r>
            <w:r w:rsidRPr="007E57AE">
              <w:rPr>
                <w:rFonts w:eastAsia="SimHei"/>
                <w:snapToGrid/>
                <w:sz w:val="18"/>
                <w:szCs w:val="18"/>
                <w:lang w:val="en-GB"/>
              </w:rPr>
              <w:t>岁以上居民的识字情况</w:t>
            </w:r>
          </w:p>
        </w:tc>
      </w:tr>
      <w:tr w:rsidR="00985687" w:rsidRPr="007E57AE" w:rsidTr="00985687">
        <w:tc>
          <w:tcPr>
            <w:cnfStyle w:val="001000000000" w:firstRow="0" w:lastRow="0" w:firstColumn="1" w:lastColumn="0" w:oddVBand="0" w:evenVBand="0" w:oddHBand="0" w:evenHBand="0" w:firstRowFirstColumn="0" w:firstRowLastColumn="0" w:lastRowFirstColumn="0" w:lastRowLastColumn="0"/>
            <w:tcW w:w="954" w:type="dxa"/>
          </w:tcPr>
          <w:p w:rsidR="00985687" w:rsidRPr="007E57AE" w:rsidRDefault="00985687" w:rsidP="00301807">
            <w:pPr>
              <w:tabs>
                <w:tab w:val="clear" w:pos="431"/>
              </w:tabs>
              <w:suppressAutoHyphens/>
              <w:overflowPunct/>
              <w:adjustRightInd/>
              <w:snapToGrid/>
              <w:spacing w:before="0" w:after="0" w:line="240" w:lineRule="atLeast"/>
              <w:jc w:val="right"/>
              <w:rPr>
                <w:snapToGrid/>
                <w:sz w:val="18"/>
                <w:szCs w:val="18"/>
                <w:lang w:val="en-GB" w:eastAsia="en-US"/>
              </w:rPr>
            </w:pPr>
            <w:r w:rsidRPr="007E57AE">
              <w:rPr>
                <w:snapToGrid/>
                <w:sz w:val="18"/>
                <w:szCs w:val="18"/>
                <w:lang w:val="en-GB" w:eastAsia="en-US"/>
              </w:rPr>
              <w:t>98.8</w:t>
            </w:r>
          </w:p>
        </w:tc>
        <w:tc>
          <w:tcPr>
            <w:tcW w:w="982" w:type="dxa"/>
            <w:tcBorders>
              <w:bottom w:val="single" w:sz="12" w:space="0" w:color="auto"/>
            </w:tcBorders>
          </w:tcPr>
          <w:p w:rsidR="00985687" w:rsidRPr="007E57AE" w:rsidRDefault="00985687" w:rsidP="0030180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98.3</w:t>
            </w:r>
          </w:p>
        </w:tc>
        <w:tc>
          <w:tcPr>
            <w:tcW w:w="1145" w:type="dxa"/>
            <w:tcBorders>
              <w:bottom w:val="single" w:sz="12" w:space="0" w:color="auto"/>
            </w:tcBorders>
          </w:tcPr>
          <w:p w:rsidR="00985687" w:rsidRPr="007E57AE" w:rsidRDefault="00985687" w:rsidP="0030180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99.3</w:t>
            </w:r>
          </w:p>
        </w:tc>
        <w:tc>
          <w:tcPr>
            <w:tcW w:w="1145" w:type="dxa"/>
            <w:tcBorders>
              <w:bottom w:val="single" w:sz="12" w:space="0" w:color="auto"/>
            </w:tcBorders>
          </w:tcPr>
          <w:p w:rsidR="00985687" w:rsidRPr="007E57AE" w:rsidRDefault="00985687" w:rsidP="0030180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98.9</w:t>
            </w:r>
          </w:p>
        </w:tc>
        <w:tc>
          <w:tcPr>
            <w:tcW w:w="1030" w:type="dxa"/>
            <w:tcBorders>
              <w:bottom w:val="single" w:sz="12" w:space="0" w:color="auto"/>
            </w:tcBorders>
          </w:tcPr>
          <w:p w:rsidR="00985687" w:rsidRPr="007E57AE" w:rsidRDefault="00985687" w:rsidP="0030180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98.3</w:t>
            </w:r>
          </w:p>
        </w:tc>
        <w:tc>
          <w:tcPr>
            <w:tcW w:w="1145" w:type="dxa"/>
            <w:tcBorders>
              <w:bottom w:val="single" w:sz="12" w:space="0" w:color="auto"/>
            </w:tcBorders>
          </w:tcPr>
          <w:p w:rsidR="00985687" w:rsidRPr="007E57AE" w:rsidRDefault="00985687" w:rsidP="0030180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99.4</w:t>
            </w:r>
          </w:p>
        </w:tc>
        <w:tc>
          <w:tcPr>
            <w:tcW w:w="1003" w:type="dxa"/>
            <w:tcBorders>
              <w:bottom w:val="single" w:sz="12" w:space="0" w:color="auto"/>
            </w:tcBorders>
          </w:tcPr>
          <w:p w:rsidR="00985687" w:rsidRPr="007E57AE" w:rsidRDefault="00985687" w:rsidP="0030180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98.7</w:t>
            </w:r>
          </w:p>
        </w:tc>
        <w:tc>
          <w:tcPr>
            <w:tcW w:w="1019" w:type="dxa"/>
            <w:tcBorders>
              <w:bottom w:val="single" w:sz="12" w:space="0" w:color="auto"/>
            </w:tcBorders>
          </w:tcPr>
          <w:p w:rsidR="00985687" w:rsidRPr="007E57AE" w:rsidRDefault="00985687" w:rsidP="0030180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98.2</w:t>
            </w:r>
          </w:p>
        </w:tc>
        <w:tc>
          <w:tcPr>
            <w:tcW w:w="921" w:type="dxa"/>
            <w:tcBorders>
              <w:bottom w:val="single" w:sz="12" w:space="0" w:color="auto"/>
            </w:tcBorders>
          </w:tcPr>
          <w:p w:rsidR="00985687" w:rsidRPr="007E57AE" w:rsidRDefault="00985687" w:rsidP="00301807">
            <w:pPr>
              <w:tabs>
                <w:tab w:val="clear" w:pos="431"/>
              </w:tabs>
              <w:suppressAutoHyphens/>
              <w:overflowPunct/>
              <w:adjustRightInd/>
              <w:snapToGri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99.2</w:t>
            </w:r>
          </w:p>
        </w:tc>
      </w:tr>
    </w:tbl>
    <w:p w:rsidR="00A93F62" w:rsidRDefault="00A93F62">
      <w:pPr>
        <w:tabs>
          <w:tab w:val="clear" w:pos="431"/>
        </w:tabs>
        <w:suppressAutoHyphens/>
        <w:overflowPunct/>
        <w:adjustRightInd/>
        <w:snapToGrid/>
        <w:spacing w:beforeLines="50" w:before="163" w:after="120" w:line="240" w:lineRule="atLeast"/>
        <w:ind w:left="1134" w:right="1134"/>
        <w:rPr>
          <w:rFonts w:eastAsia="SimHei"/>
          <w:snapToGrid/>
          <w:szCs w:val="21"/>
          <w:lang w:val="en-GB"/>
        </w:rPr>
      </w:pPr>
      <w:r>
        <w:rPr>
          <w:rFonts w:eastAsia="SimHei"/>
          <w:snapToGrid/>
          <w:szCs w:val="21"/>
          <w:lang w:val="en-GB"/>
        </w:rPr>
        <w:t>根据</w:t>
      </w:r>
      <w:r>
        <w:rPr>
          <w:rFonts w:eastAsia="SimHei"/>
          <w:snapToGrid/>
          <w:szCs w:val="21"/>
          <w:lang w:val="en-GB"/>
        </w:rPr>
        <w:t>1995</w:t>
      </w:r>
      <w:r>
        <w:rPr>
          <w:rFonts w:eastAsia="SimHei"/>
          <w:snapToGrid/>
          <w:szCs w:val="21"/>
          <w:lang w:val="en-GB"/>
        </w:rPr>
        <w:t>年土库曼斯坦居民普查情况，</w:t>
      </w:r>
      <w:r>
        <w:rPr>
          <w:rFonts w:eastAsia="SimHei"/>
          <w:snapToGrid/>
          <w:szCs w:val="21"/>
          <w:lang w:val="en-GB"/>
        </w:rPr>
        <w:t>15</w:t>
      </w:r>
      <w:r>
        <w:rPr>
          <w:rFonts w:eastAsia="SimHei"/>
          <w:snapToGrid/>
          <w:szCs w:val="21"/>
          <w:lang w:val="en-GB"/>
        </w:rPr>
        <w:t>岁及以上居民教育程度分布情况</w:t>
      </w:r>
    </w:p>
    <w:tbl>
      <w:tblPr>
        <w:tblStyle w:val="TabNum"/>
        <w:tblW w:w="9372" w:type="dxa"/>
        <w:tblInd w:w="28" w:type="dxa"/>
        <w:tblLayout w:type="fixed"/>
        <w:tblLook w:val="01E0" w:firstRow="1" w:lastRow="1" w:firstColumn="1" w:lastColumn="1" w:noHBand="0" w:noVBand="0"/>
      </w:tblPr>
      <w:tblGrid>
        <w:gridCol w:w="1062"/>
        <w:gridCol w:w="916"/>
        <w:gridCol w:w="1069"/>
        <w:gridCol w:w="907"/>
        <w:gridCol w:w="907"/>
        <w:gridCol w:w="907"/>
        <w:gridCol w:w="907"/>
        <w:gridCol w:w="907"/>
        <w:gridCol w:w="907"/>
        <w:gridCol w:w="883"/>
      </w:tblGrid>
      <w:tr w:rsidR="00A93F62">
        <w:trPr>
          <w:trHeight w:val="255"/>
          <w:tblHeader/>
        </w:trPr>
        <w:tc>
          <w:tcPr>
            <w:cnfStyle w:val="001000000000" w:firstRow="0" w:lastRow="0" w:firstColumn="1" w:lastColumn="0" w:oddVBand="0" w:evenVBand="0" w:oddHBand="0" w:evenHBand="0" w:firstRowFirstColumn="0" w:firstRowLastColumn="0" w:lastRowFirstColumn="0" w:lastRowLastColumn="0"/>
            <w:tcW w:w="1062" w:type="dxa"/>
            <w:vMerge w:val="restart"/>
            <w:shd w:val="clear" w:color="auto" w:fill="auto"/>
          </w:tcPr>
          <w:p w:rsidR="00A93F62" w:rsidRPr="007E57AE" w:rsidRDefault="00A93F62" w:rsidP="007E57AE">
            <w:pPr>
              <w:tabs>
                <w:tab w:val="clear" w:pos="431"/>
              </w:tabs>
              <w:suppressAutoHyphens/>
              <w:overflowPunct/>
              <w:adjustRightInd/>
              <w:snapToGrid/>
              <w:spacing w:before="0" w:after="0" w:line="240" w:lineRule="auto"/>
              <w:jc w:val="left"/>
              <w:rPr>
                <w:i/>
                <w:snapToGrid/>
                <w:sz w:val="18"/>
                <w:szCs w:val="18"/>
                <w:lang w:val="en-GB"/>
              </w:rPr>
            </w:pPr>
            <w:r w:rsidRPr="007E57AE">
              <w:rPr>
                <w:rFonts w:eastAsia="KaiTi_GB2312"/>
                <w:snapToGrid/>
                <w:sz w:val="18"/>
                <w:szCs w:val="18"/>
                <w:lang w:val="en-GB"/>
              </w:rPr>
              <w:t>年龄</w:t>
            </w:r>
          </w:p>
        </w:tc>
        <w:tc>
          <w:tcPr>
            <w:tcW w:w="916" w:type="dxa"/>
            <w:vMerge w:val="restart"/>
            <w:tcBorders>
              <w:top w:val="single" w:sz="4" w:space="0" w:color="auto"/>
              <w:bottom w:val="nil"/>
            </w:tcBorders>
            <w:shd w:val="clear" w:color="auto" w:fill="auto"/>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所有居民</w:t>
            </w:r>
          </w:p>
        </w:tc>
        <w:tc>
          <w:tcPr>
            <w:tcW w:w="1069" w:type="dxa"/>
            <w:vMerge w:val="restart"/>
            <w:tcBorders>
              <w:top w:val="single" w:sz="4" w:space="0" w:color="auto"/>
              <w:bottom w:val="nil"/>
            </w:tcBorders>
            <w:shd w:val="clear" w:color="auto" w:fill="auto"/>
          </w:tcPr>
          <w:p w:rsidR="00A93F62" w:rsidRPr="007E57AE" w:rsidRDefault="00A93F62" w:rsidP="00365AE4">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现有教育</w:t>
            </w:r>
            <w:r w:rsidRPr="007E57AE">
              <w:rPr>
                <w:rFonts w:eastAsia="KaiTi_GB2312" w:hint="eastAsia"/>
                <w:snapToGrid/>
                <w:sz w:val="18"/>
                <w:szCs w:val="18"/>
                <w:lang w:val="en-GB"/>
              </w:rPr>
              <w:br/>
            </w:r>
            <w:r w:rsidRPr="007E57AE">
              <w:rPr>
                <w:rFonts w:eastAsia="KaiTi_GB2312"/>
                <w:snapToGrid/>
                <w:sz w:val="18"/>
                <w:szCs w:val="18"/>
                <w:lang w:val="en-GB"/>
              </w:rPr>
              <w:t>程度</w:t>
            </w:r>
          </w:p>
        </w:tc>
        <w:tc>
          <w:tcPr>
            <w:tcW w:w="5442" w:type="dxa"/>
            <w:gridSpan w:val="6"/>
            <w:tcBorders>
              <w:top w:val="single" w:sz="4" w:space="0" w:color="auto"/>
              <w:bottom w:val="single" w:sz="2" w:space="0" w:color="auto"/>
            </w:tcBorders>
            <w:shd w:val="clear" w:color="auto" w:fill="auto"/>
          </w:tcPr>
          <w:p w:rsidR="00A93F62" w:rsidRPr="007E57AE" w:rsidRDefault="00A93F62">
            <w:pPr>
              <w:tabs>
                <w:tab w:val="clear" w:pos="431"/>
              </w:tabs>
              <w:suppressAutoHyphens/>
              <w:overflowPunct/>
              <w:adjustRightInd/>
              <w:spacing w:before="0" w:after="0" w:line="240" w:lineRule="auto"/>
              <w:jc w:val="center"/>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包括</w:t>
            </w:r>
          </w:p>
        </w:tc>
        <w:tc>
          <w:tcPr>
            <w:tcW w:w="883" w:type="dxa"/>
            <w:vMerge w:val="restart"/>
            <w:tcBorders>
              <w:top w:val="single" w:sz="4" w:space="0" w:color="auto"/>
              <w:bottom w:val="nil"/>
            </w:tcBorders>
            <w:shd w:val="clear" w:color="auto" w:fill="auto"/>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文盲</w:t>
            </w:r>
          </w:p>
        </w:tc>
      </w:tr>
      <w:tr w:rsidR="00A93F62">
        <w:trPr>
          <w:trHeight w:val="563"/>
          <w:tblHeader/>
        </w:trPr>
        <w:tc>
          <w:tcPr>
            <w:cnfStyle w:val="001000000000" w:firstRow="0" w:lastRow="0" w:firstColumn="1" w:lastColumn="0" w:oddVBand="0" w:evenVBand="0" w:oddHBand="0" w:evenHBand="0" w:firstRowFirstColumn="0" w:firstRowLastColumn="0" w:lastRowFirstColumn="0" w:lastRowLastColumn="0"/>
            <w:tcW w:w="1062" w:type="dxa"/>
            <w:vMerge/>
            <w:tcBorders>
              <w:top w:val="nil"/>
              <w:bottom w:val="single" w:sz="12" w:space="0" w:color="auto"/>
            </w:tcBorders>
            <w:shd w:val="clear" w:color="auto" w:fill="auto"/>
          </w:tcPr>
          <w:p w:rsidR="00A93F62" w:rsidRPr="007E57AE" w:rsidRDefault="00A93F62">
            <w:pPr>
              <w:tabs>
                <w:tab w:val="clear" w:pos="431"/>
              </w:tabs>
              <w:suppressAutoHyphens/>
              <w:overflowPunct/>
              <w:adjustRightInd/>
              <w:snapToGrid/>
              <w:spacing w:before="0" w:after="0" w:line="240" w:lineRule="auto"/>
              <w:rPr>
                <w:i/>
                <w:snapToGrid/>
                <w:sz w:val="18"/>
                <w:szCs w:val="18"/>
                <w:lang w:val="en-GB" w:eastAsia="en-US"/>
              </w:rPr>
            </w:pPr>
          </w:p>
        </w:tc>
        <w:tc>
          <w:tcPr>
            <w:tcW w:w="916" w:type="dxa"/>
            <w:vMerge/>
            <w:tcBorders>
              <w:top w:val="nil"/>
              <w:bottom w:val="single" w:sz="12" w:space="0" w:color="auto"/>
            </w:tcBorders>
            <w:shd w:val="clear" w:color="auto" w:fill="auto"/>
          </w:tcPr>
          <w:p w:rsidR="00A93F62" w:rsidRPr="007E57AE" w:rsidRDefault="00A93F62">
            <w:pPr>
              <w:tabs>
                <w:tab w:val="clear" w:pos="431"/>
              </w:tabs>
              <w:suppressAutoHyphens/>
              <w:overflowPunct/>
              <w:adjustRightInd/>
              <w:snapToGrid/>
              <w:spacing w:before="0" w:after="0" w:line="240" w:lineRule="auto"/>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p>
        </w:tc>
        <w:tc>
          <w:tcPr>
            <w:tcW w:w="1069" w:type="dxa"/>
            <w:vMerge/>
            <w:tcBorders>
              <w:top w:val="nil"/>
              <w:bottom w:val="single" w:sz="12" w:space="0" w:color="auto"/>
            </w:tcBorders>
            <w:shd w:val="clear" w:color="auto" w:fill="auto"/>
          </w:tcPr>
          <w:p w:rsidR="00A93F62" w:rsidRPr="007E57AE" w:rsidRDefault="00A93F62">
            <w:pPr>
              <w:tabs>
                <w:tab w:val="clear" w:pos="431"/>
              </w:tabs>
              <w:suppressAutoHyphens/>
              <w:overflowPunct/>
              <w:adjustRightInd/>
              <w:spacing w:before="0" w:after="0" w:line="240" w:lineRule="auto"/>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p>
        </w:tc>
        <w:tc>
          <w:tcPr>
            <w:tcW w:w="907" w:type="dxa"/>
            <w:tcBorders>
              <w:top w:val="single" w:sz="2"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高等教育</w:t>
            </w:r>
          </w:p>
        </w:tc>
        <w:tc>
          <w:tcPr>
            <w:tcW w:w="907" w:type="dxa"/>
            <w:tcBorders>
              <w:top w:val="single" w:sz="2"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大学肄业</w:t>
            </w:r>
          </w:p>
        </w:tc>
        <w:tc>
          <w:tcPr>
            <w:tcW w:w="907" w:type="dxa"/>
            <w:tcBorders>
              <w:top w:val="single" w:sz="2"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中等专业教育</w:t>
            </w:r>
          </w:p>
        </w:tc>
        <w:tc>
          <w:tcPr>
            <w:tcW w:w="907" w:type="dxa"/>
            <w:tcBorders>
              <w:top w:val="single" w:sz="2"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普通中学教育</w:t>
            </w:r>
          </w:p>
        </w:tc>
        <w:tc>
          <w:tcPr>
            <w:tcW w:w="907" w:type="dxa"/>
            <w:tcBorders>
              <w:top w:val="single" w:sz="2"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中学肄业</w:t>
            </w:r>
          </w:p>
        </w:tc>
        <w:tc>
          <w:tcPr>
            <w:tcW w:w="907" w:type="dxa"/>
            <w:tcBorders>
              <w:top w:val="single" w:sz="2"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before="0" w:after="0" w:line="240" w:lineRule="auto"/>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小学教育</w:t>
            </w:r>
          </w:p>
        </w:tc>
        <w:tc>
          <w:tcPr>
            <w:tcW w:w="883" w:type="dxa"/>
            <w:vMerge/>
            <w:tcBorders>
              <w:top w:val="nil"/>
              <w:bottom w:val="single" w:sz="12" w:space="0" w:color="auto"/>
            </w:tcBorders>
            <w:shd w:val="clear" w:color="auto" w:fill="auto"/>
          </w:tcPr>
          <w:p w:rsidR="00A93F62" w:rsidRPr="007E57AE" w:rsidRDefault="00A93F62">
            <w:pPr>
              <w:tabs>
                <w:tab w:val="clear" w:pos="431"/>
              </w:tabs>
              <w:suppressAutoHyphens/>
              <w:overflowPunct/>
              <w:adjustRightInd/>
              <w:snapToGrid/>
              <w:spacing w:before="0" w:after="0" w:line="240" w:lineRule="auto"/>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p>
        </w:tc>
      </w:tr>
      <w:tr w:rsidR="00A93F62">
        <w:trPr>
          <w:trHeight w:val="255"/>
        </w:trPr>
        <w:tc>
          <w:tcPr>
            <w:cnfStyle w:val="001000000000" w:firstRow="0" w:lastRow="0" w:firstColumn="1" w:lastColumn="0" w:oddVBand="0" w:evenVBand="0" w:oddHBand="0" w:evenHBand="0" w:firstRowFirstColumn="0" w:firstRowLastColumn="0" w:lastRowFirstColumn="0" w:lastRowLastColumn="0"/>
            <w:tcW w:w="1062"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r w:rsidRPr="007E57AE">
              <w:rPr>
                <w:snapToGrid/>
                <w:sz w:val="18"/>
                <w:szCs w:val="18"/>
                <w:lang w:val="en-GB"/>
              </w:rPr>
              <w:t>总计</w:t>
            </w:r>
          </w:p>
        </w:tc>
        <w:tc>
          <w:tcPr>
            <w:tcW w:w="916"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100</w:t>
            </w:r>
          </w:p>
        </w:tc>
        <w:tc>
          <w:tcPr>
            <w:tcW w:w="1069"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97.5</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9.2</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0.9</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16.5</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47.8</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18.3</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4.8</w:t>
            </w:r>
          </w:p>
        </w:tc>
        <w:tc>
          <w:tcPr>
            <w:tcW w:w="883"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2.5</w:t>
            </w:r>
          </w:p>
        </w:tc>
      </w:tr>
      <w:tr w:rsidR="00A93F62">
        <w:trPr>
          <w:trHeight w:val="255"/>
        </w:trPr>
        <w:tc>
          <w:tcPr>
            <w:cnfStyle w:val="001000000000" w:firstRow="0" w:lastRow="0" w:firstColumn="1" w:lastColumn="0" w:oddVBand="0" w:evenVBand="0" w:oddHBand="0" w:evenHBand="0" w:firstRowFirstColumn="0" w:firstRowLastColumn="0" w:lastRowFirstColumn="0" w:lastRowLastColumn="0"/>
            <w:tcW w:w="1062"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r w:rsidRPr="007E57AE">
              <w:rPr>
                <w:snapToGrid/>
                <w:sz w:val="18"/>
                <w:szCs w:val="18"/>
                <w:lang w:val="en-GB"/>
              </w:rPr>
              <w:t>城市</w:t>
            </w:r>
          </w:p>
        </w:tc>
        <w:tc>
          <w:tcPr>
            <w:tcW w:w="916"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100</w:t>
            </w:r>
          </w:p>
        </w:tc>
        <w:tc>
          <w:tcPr>
            <w:tcW w:w="1069"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97.8</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13.0</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23.5</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37.1</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18.8</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3.9</w:t>
            </w:r>
          </w:p>
        </w:tc>
        <w:tc>
          <w:tcPr>
            <w:tcW w:w="883"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2.2</w:t>
            </w:r>
          </w:p>
        </w:tc>
      </w:tr>
      <w:tr w:rsidR="00A93F62">
        <w:trPr>
          <w:trHeight w:val="255"/>
        </w:trPr>
        <w:tc>
          <w:tcPr>
            <w:cnfStyle w:val="001000000000" w:firstRow="0" w:lastRow="0" w:firstColumn="1" w:lastColumn="0" w:oddVBand="0" w:evenVBand="0" w:oddHBand="0" w:evenHBand="0" w:firstRowFirstColumn="0" w:firstRowLastColumn="0" w:lastRowFirstColumn="0" w:lastRowLastColumn="0"/>
            <w:tcW w:w="1062"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r w:rsidRPr="007E57AE">
              <w:rPr>
                <w:snapToGrid/>
                <w:sz w:val="18"/>
                <w:szCs w:val="18"/>
                <w:lang w:val="en-GB"/>
              </w:rPr>
              <w:t>农村</w:t>
            </w:r>
          </w:p>
        </w:tc>
        <w:tc>
          <w:tcPr>
            <w:tcW w:w="916"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100</w:t>
            </w:r>
          </w:p>
        </w:tc>
        <w:tc>
          <w:tcPr>
            <w:tcW w:w="1069"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97.2</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5.7</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0.4</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10.1</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57.6</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17.8</w:t>
            </w:r>
          </w:p>
        </w:tc>
        <w:tc>
          <w:tcPr>
            <w:tcW w:w="907"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5.6</w:t>
            </w:r>
          </w:p>
        </w:tc>
        <w:tc>
          <w:tcPr>
            <w:tcW w:w="883"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2.8</w:t>
            </w:r>
          </w:p>
        </w:tc>
      </w:tr>
      <w:tr w:rsidR="00A93F62">
        <w:trPr>
          <w:trHeight w:val="255"/>
        </w:trPr>
        <w:tc>
          <w:tcPr>
            <w:cnfStyle w:val="001000000000" w:firstRow="0" w:lastRow="0" w:firstColumn="1" w:lastColumn="0" w:oddVBand="0" w:evenVBand="0" w:oddHBand="0" w:evenHBand="0" w:firstRowFirstColumn="0" w:firstRowLastColumn="0" w:lastRowFirstColumn="0" w:lastRowLastColumn="0"/>
            <w:tcW w:w="1062"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r w:rsidRPr="007E57AE">
              <w:rPr>
                <w:snapToGrid/>
                <w:sz w:val="18"/>
                <w:szCs w:val="18"/>
                <w:lang w:val="en-GB"/>
              </w:rPr>
              <w:t>男子</w:t>
            </w:r>
          </w:p>
        </w:tc>
        <w:tc>
          <w:tcPr>
            <w:tcW w:w="916"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069"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883"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trPr>
          <w:trHeight w:val="255"/>
        </w:trPr>
        <w:tc>
          <w:tcPr>
            <w:cnfStyle w:val="001000000000" w:firstRow="0" w:lastRow="0" w:firstColumn="1" w:lastColumn="0" w:oddVBand="0" w:evenVBand="0" w:oddHBand="0" w:evenHBand="0" w:firstRowFirstColumn="0" w:firstRowLastColumn="0" w:lastRowFirstColumn="0" w:lastRowLastColumn="0"/>
            <w:tcW w:w="1062"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r w:rsidRPr="007E57AE">
              <w:rPr>
                <w:snapToGrid/>
                <w:sz w:val="18"/>
                <w:szCs w:val="18"/>
                <w:lang w:val="en-GB"/>
              </w:rPr>
              <w:t>总计</w:t>
            </w:r>
          </w:p>
        </w:tc>
        <w:tc>
          <w:tcPr>
            <w:tcW w:w="916"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100</w:t>
            </w:r>
          </w:p>
        </w:tc>
        <w:tc>
          <w:tcPr>
            <w:tcW w:w="1069"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98.5</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11.2</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1.1</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17.8</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46.6</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17.9</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3.9</w:t>
            </w:r>
          </w:p>
        </w:tc>
        <w:tc>
          <w:tcPr>
            <w:tcW w:w="883"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w:t>
            </w:r>
          </w:p>
        </w:tc>
      </w:tr>
      <w:tr w:rsidR="00A93F62">
        <w:trPr>
          <w:trHeight w:val="255"/>
        </w:trPr>
        <w:tc>
          <w:tcPr>
            <w:cnfStyle w:val="001000000000" w:firstRow="0" w:lastRow="0" w:firstColumn="1" w:lastColumn="0" w:oddVBand="0" w:evenVBand="0" w:oddHBand="0" w:evenHBand="0" w:firstRowFirstColumn="0" w:firstRowLastColumn="0" w:lastRowFirstColumn="0" w:lastRowLastColumn="0"/>
            <w:tcW w:w="1062"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r w:rsidRPr="007E57AE">
              <w:rPr>
                <w:snapToGrid/>
                <w:sz w:val="18"/>
                <w:szCs w:val="18"/>
                <w:lang w:val="en-GB"/>
              </w:rPr>
              <w:t>城市</w:t>
            </w:r>
          </w:p>
        </w:tc>
        <w:tc>
          <w:tcPr>
            <w:tcW w:w="916"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100</w:t>
            </w:r>
          </w:p>
        </w:tc>
        <w:tc>
          <w:tcPr>
            <w:tcW w:w="1069"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98.8</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14.1</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23.5</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37.5</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18.9</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3.2</w:t>
            </w:r>
          </w:p>
        </w:tc>
        <w:tc>
          <w:tcPr>
            <w:tcW w:w="883"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w:t>
            </w:r>
          </w:p>
        </w:tc>
      </w:tr>
      <w:tr w:rsidR="00A93F62">
        <w:trPr>
          <w:trHeight w:val="255"/>
        </w:trPr>
        <w:tc>
          <w:tcPr>
            <w:cnfStyle w:val="001000000000" w:firstRow="0" w:lastRow="0" w:firstColumn="1" w:lastColumn="0" w:oddVBand="0" w:evenVBand="0" w:oddHBand="0" w:evenHBand="0" w:firstRowFirstColumn="0" w:firstRowLastColumn="0" w:lastRowFirstColumn="0" w:lastRowLastColumn="0"/>
            <w:tcW w:w="1062"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r w:rsidRPr="007E57AE">
              <w:rPr>
                <w:snapToGrid/>
                <w:sz w:val="18"/>
                <w:szCs w:val="18"/>
                <w:lang w:val="en-GB"/>
              </w:rPr>
              <w:t>农村</w:t>
            </w:r>
          </w:p>
        </w:tc>
        <w:tc>
          <w:tcPr>
            <w:tcW w:w="916"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100</w:t>
            </w:r>
          </w:p>
        </w:tc>
        <w:tc>
          <w:tcPr>
            <w:tcW w:w="1069"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98.3</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8.6</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0.6</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12.5</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55.1</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17.0</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4.5</w:t>
            </w:r>
          </w:p>
        </w:tc>
        <w:tc>
          <w:tcPr>
            <w:tcW w:w="883"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w:t>
            </w:r>
          </w:p>
        </w:tc>
      </w:tr>
      <w:tr w:rsidR="00A93F62">
        <w:trPr>
          <w:trHeight w:val="255"/>
        </w:trPr>
        <w:tc>
          <w:tcPr>
            <w:cnfStyle w:val="001000000000" w:firstRow="0" w:lastRow="0" w:firstColumn="1" w:lastColumn="0" w:oddVBand="0" w:evenVBand="0" w:oddHBand="0" w:evenHBand="0" w:firstRowFirstColumn="0" w:firstRowLastColumn="0" w:lastRowFirstColumn="0" w:lastRowLastColumn="0"/>
            <w:tcW w:w="1062"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r w:rsidRPr="007E57AE">
              <w:rPr>
                <w:snapToGrid/>
                <w:sz w:val="18"/>
                <w:szCs w:val="18"/>
                <w:lang w:val="en-GB"/>
              </w:rPr>
              <w:t>妇女</w:t>
            </w:r>
          </w:p>
        </w:tc>
        <w:tc>
          <w:tcPr>
            <w:tcW w:w="916"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069"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883"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trPr>
          <w:trHeight w:val="255"/>
        </w:trPr>
        <w:tc>
          <w:tcPr>
            <w:cnfStyle w:val="001000000000" w:firstRow="0" w:lastRow="0" w:firstColumn="1" w:lastColumn="0" w:oddVBand="0" w:evenVBand="0" w:oddHBand="0" w:evenHBand="0" w:firstRowFirstColumn="0" w:firstRowLastColumn="0" w:lastRowFirstColumn="0" w:lastRowLastColumn="0"/>
            <w:tcW w:w="1062"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r w:rsidRPr="007E57AE">
              <w:rPr>
                <w:snapToGrid/>
                <w:sz w:val="18"/>
                <w:szCs w:val="18"/>
                <w:lang w:val="en-GB"/>
              </w:rPr>
              <w:t>总计</w:t>
            </w:r>
          </w:p>
        </w:tc>
        <w:tc>
          <w:tcPr>
            <w:tcW w:w="916"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100</w:t>
            </w:r>
          </w:p>
        </w:tc>
        <w:tc>
          <w:tcPr>
            <w:tcW w:w="1069"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96.5</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7.2</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0.8</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15.4</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48.9</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18.6</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5.6</w:t>
            </w:r>
          </w:p>
        </w:tc>
        <w:tc>
          <w:tcPr>
            <w:tcW w:w="883"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3.5</w:t>
            </w:r>
          </w:p>
        </w:tc>
      </w:tr>
      <w:tr w:rsidR="00A93F62">
        <w:trPr>
          <w:trHeight w:val="255"/>
        </w:trPr>
        <w:tc>
          <w:tcPr>
            <w:cnfStyle w:val="001000000000" w:firstRow="0" w:lastRow="0" w:firstColumn="1" w:lastColumn="0" w:oddVBand="0" w:evenVBand="0" w:oddHBand="0" w:evenHBand="0" w:firstRowFirstColumn="0" w:firstRowLastColumn="0" w:lastRowFirstColumn="0" w:lastRowLastColumn="0"/>
            <w:tcW w:w="1062"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r w:rsidRPr="007E57AE">
              <w:rPr>
                <w:snapToGrid/>
                <w:sz w:val="18"/>
                <w:szCs w:val="18"/>
                <w:lang w:val="en-GB"/>
              </w:rPr>
              <w:t>城市</w:t>
            </w:r>
          </w:p>
        </w:tc>
        <w:tc>
          <w:tcPr>
            <w:tcW w:w="916"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100</w:t>
            </w:r>
          </w:p>
        </w:tc>
        <w:tc>
          <w:tcPr>
            <w:tcW w:w="1069"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96.8</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12.0</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23.5</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36.8</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18.7</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4.5</w:t>
            </w:r>
          </w:p>
        </w:tc>
        <w:tc>
          <w:tcPr>
            <w:tcW w:w="883"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3.2</w:t>
            </w:r>
          </w:p>
        </w:tc>
      </w:tr>
      <w:tr w:rsidR="00A93F62">
        <w:trPr>
          <w:trHeight w:val="255"/>
        </w:trPr>
        <w:tc>
          <w:tcPr>
            <w:cnfStyle w:val="001000000000" w:firstRow="0" w:lastRow="0" w:firstColumn="1" w:lastColumn="0" w:oddVBand="0" w:evenVBand="0" w:oddHBand="0" w:evenHBand="0" w:firstRowFirstColumn="0" w:firstRowLastColumn="0" w:lastRowFirstColumn="0" w:lastRowLastColumn="0"/>
            <w:tcW w:w="1062"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r w:rsidRPr="007E57AE">
              <w:rPr>
                <w:snapToGrid/>
                <w:sz w:val="18"/>
                <w:szCs w:val="18"/>
                <w:lang w:val="en-GB"/>
              </w:rPr>
              <w:t>农村</w:t>
            </w:r>
          </w:p>
        </w:tc>
        <w:tc>
          <w:tcPr>
            <w:tcW w:w="916"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100</w:t>
            </w:r>
          </w:p>
        </w:tc>
        <w:tc>
          <w:tcPr>
            <w:tcW w:w="1069"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96.2</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2.9</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0.2</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7.9</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60.0</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18.6</w:t>
            </w:r>
          </w:p>
        </w:tc>
        <w:tc>
          <w:tcPr>
            <w:tcW w:w="907"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6.6</w:t>
            </w:r>
          </w:p>
        </w:tc>
        <w:tc>
          <w:tcPr>
            <w:tcW w:w="883" w:type="dxa"/>
            <w:noWrap/>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3.8</w:t>
            </w:r>
          </w:p>
        </w:tc>
      </w:tr>
    </w:tbl>
    <w:p w:rsidR="00A93F62" w:rsidRDefault="00A93F62">
      <w:pPr>
        <w:tabs>
          <w:tab w:val="clear" w:pos="431"/>
        </w:tabs>
        <w:suppressAutoHyphens/>
        <w:overflowPunct/>
        <w:adjustRightInd/>
        <w:snapToGrid/>
        <w:spacing w:beforeLines="50" w:before="163" w:after="120" w:line="320" w:lineRule="atLeast"/>
        <w:ind w:left="1134" w:right="1134"/>
        <w:rPr>
          <w:snapToGrid/>
          <w:szCs w:val="21"/>
          <w:lang w:val="en-GB"/>
        </w:rPr>
      </w:pPr>
      <w:r>
        <w:rPr>
          <w:snapToGrid/>
          <w:szCs w:val="21"/>
          <w:lang w:val="en-GB"/>
        </w:rPr>
        <w:t xml:space="preserve">286. </w:t>
      </w:r>
      <w:r>
        <w:rPr>
          <w:rFonts w:hint="eastAsia"/>
          <w:snapToGrid/>
          <w:szCs w:val="21"/>
          <w:lang w:val="en-GB"/>
        </w:rPr>
        <w:t xml:space="preserve"> </w:t>
      </w:r>
      <w:smartTag w:uri="urn:schemas-microsoft-com:office:smarttags" w:element="chsdate">
        <w:smartTagPr>
          <w:attr w:name="IsROCDate" w:val="False"/>
          <w:attr w:name="IsLunarDate" w:val="False"/>
          <w:attr w:name="Day" w:val="1"/>
          <w:attr w:name="Month" w:val="10"/>
          <w:attr w:name="Year" w:val="1993"/>
        </w:smartTagPr>
        <w:r>
          <w:rPr>
            <w:snapToGrid/>
            <w:szCs w:val="21"/>
            <w:lang w:val="en-GB"/>
          </w:rPr>
          <w:t>1993</w:t>
        </w:r>
        <w:r>
          <w:rPr>
            <w:snapToGrid/>
            <w:szCs w:val="21"/>
            <w:lang w:val="en-GB"/>
          </w:rPr>
          <w:t>年</w:t>
        </w:r>
        <w:r>
          <w:rPr>
            <w:snapToGrid/>
            <w:szCs w:val="21"/>
            <w:lang w:val="en-GB"/>
          </w:rPr>
          <w:t>10</w:t>
        </w:r>
        <w:r>
          <w:rPr>
            <w:snapToGrid/>
            <w:szCs w:val="21"/>
            <w:lang w:val="en-GB"/>
          </w:rPr>
          <w:t>月</w:t>
        </w:r>
        <w:r>
          <w:rPr>
            <w:snapToGrid/>
            <w:szCs w:val="21"/>
            <w:lang w:val="en-GB"/>
          </w:rPr>
          <w:t>1</w:t>
        </w:r>
        <w:r>
          <w:rPr>
            <w:snapToGrid/>
            <w:szCs w:val="21"/>
            <w:lang w:val="en-GB"/>
          </w:rPr>
          <w:t>日</w:t>
        </w:r>
      </w:smartTag>
      <w:r>
        <w:rPr>
          <w:snapToGrid/>
          <w:szCs w:val="21"/>
          <w:lang w:val="en-GB"/>
        </w:rPr>
        <w:t>通过的《土库曼斯坦教育法》为土库曼斯坦所有公民提供保障</w:t>
      </w:r>
      <w:r>
        <w:rPr>
          <w:rFonts w:hint="eastAsia"/>
          <w:snapToGrid/>
          <w:spacing w:val="-50"/>
          <w:szCs w:val="21"/>
          <w:lang w:val="en-GB"/>
        </w:rPr>
        <w:t>―</w:t>
      </w:r>
      <w:r>
        <w:rPr>
          <w:rFonts w:hint="eastAsia"/>
          <w:snapToGrid/>
          <w:szCs w:val="21"/>
          <w:lang w:val="en-GB"/>
        </w:rPr>
        <w:t>―</w:t>
      </w:r>
      <w:r>
        <w:rPr>
          <w:snapToGrid/>
          <w:szCs w:val="21"/>
          <w:lang w:val="en-GB"/>
        </w:rPr>
        <w:t>保证和保护《宪法》规定的接受教育的权利，该法律规定在土库曼斯坦组织教育的下述基本原则：</w:t>
      </w:r>
    </w:p>
    <w:p w:rsidR="00A93F62" w:rsidRDefault="00A93F62">
      <w:pPr>
        <w:pStyle w:val="Bullet1GC"/>
        <w:numPr>
          <w:ilvl w:val="0"/>
          <w:numId w:val="14"/>
        </w:numPr>
        <w:rPr>
          <w:snapToGrid/>
          <w:lang w:val="en-GB"/>
        </w:rPr>
      </w:pPr>
      <w:r>
        <w:rPr>
          <w:snapToGrid/>
          <w:lang w:val="en-GB"/>
        </w:rPr>
        <w:t>国家为每一个公民提供各种形式和种类的教育服务；</w:t>
      </w:r>
    </w:p>
    <w:p w:rsidR="00A93F62" w:rsidRDefault="00A93F62">
      <w:pPr>
        <w:pStyle w:val="Bullet1GC"/>
        <w:numPr>
          <w:ilvl w:val="0"/>
          <w:numId w:val="14"/>
        </w:numPr>
        <w:rPr>
          <w:snapToGrid/>
          <w:lang w:val="en-GB"/>
        </w:rPr>
      </w:pPr>
      <w:r>
        <w:rPr>
          <w:snapToGrid/>
          <w:lang w:val="en-GB"/>
        </w:rPr>
        <w:t>每个人充分实现其能力和天赋的权利平等；</w:t>
      </w:r>
    </w:p>
    <w:p w:rsidR="00A93F62" w:rsidRDefault="00A93F62">
      <w:pPr>
        <w:pStyle w:val="Bullet1GC"/>
        <w:numPr>
          <w:ilvl w:val="0"/>
          <w:numId w:val="14"/>
        </w:numPr>
        <w:rPr>
          <w:snapToGrid/>
          <w:lang w:val="en-GB"/>
        </w:rPr>
      </w:pPr>
      <w:r>
        <w:rPr>
          <w:snapToGrid/>
          <w:lang w:val="en-GB"/>
        </w:rPr>
        <w:t>国家教育机构免费提供教育服务；</w:t>
      </w:r>
    </w:p>
    <w:p w:rsidR="00A93F62" w:rsidRDefault="00A93F62">
      <w:pPr>
        <w:pStyle w:val="Bullet1GC"/>
        <w:numPr>
          <w:ilvl w:val="0"/>
          <w:numId w:val="14"/>
        </w:numPr>
        <w:rPr>
          <w:snapToGrid/>
          <w:lang w:val="en-GB"/>
        </w:rPr>
      </w:pPr>
      <w:r>
        <w:rPr>
          <w:snapToGrid/>
          <w:lang w:val="en-GB"/>
        </w:rPr>
        <w:softHyphen/>
      </w:r>
      <w:r>
        <w:rPr>
          <w:snapToGrid/>
          <w:lang w:val="en-GB"/>
        </w:rPr>
        <w:t>全人类的价值优先；</w:t>
      </w:r>
    </w:p>
    <w:p w:rsidR="00A93F62" w:rsidRDefault="00A93F62">
      <w:pPr>
        <w:pStyle w:val="Bullet1GC"/>
        <w:numPr>
          <w:ilvl w:val="0"/>
          <w:numId w:val="14"/>
        </w:numPr>
        <w:rPr>
          <w:snapToGrid/>
          <w:lang w:val="en-GB"/>
        </w:rPr>
      </w:pPr>
      <w:r>
        <w:rPr>
          <w:snapToGrid/>
          <w:lang w:val="en-GB"/>
        </w:rPr>
        <w:t>同本民族历史、文化、传统的有机联系；</w:t>
      </w:r>
    </w:p>
    <w:p w:rsidR="00A93F62" w:rsidRDefault="00A93F62">
      <w:pPr>
        <w:pStyle w:val="Bullet1GC"/>
        <w:numPr>
          <w:ilvl w:val="0"/>
          <w:numId w:val="14"/>
        </w:numPr>
        <w:rPr>
          <w:snapToGrid/>
          <w:lang w:val="en-GB"/>
        </w:rPr>
      </w:pPr>
      <w:r>
        <w:rPr>
          <w:snapToGrid/>
          <w:lang w:val="en-GB"/>
        </w:rPr>
        <w:t>国家教育机构教育的非宗教性质；</w:t>
      </w:r>
    </w:p>
    <w:p w:rsidR="00A93F62" w:rsidRDefault="00A93F62">
      <w:pPr>
        <w:pStyle w:val="Bullet1GC"/>
        <w:numPr>
          <w:ilvl w:val="0"/>
          <w:numId w:val="14"/>
        </w:numPr>
        <w:rPr>
          <w:snapToGrid/>
          <w:lang w:val="en-GB"/>
        </w:rPr>
      </w:pPr>
      <w:r>
        <w:rPr>
          <w:snapToGrid/>
          <w:lang w:val="en-GB"/>
        </w:rPr>
        <w:t>国家教育机构独立于政党、其他社会和宗教组织；</w:t>
      </w:r>
    </w:p>
    <w:p w:rsidR="00A93F62" w:rsidRDefault="00A93F62">
      <w:pPr>
        <w:pStyle w:val="Bullet1GC"/>
        <w:numPr>
          <w:ilvl w:val="0"/>
          <w:numId w:val="14"/>
        </w:numPr>
        <w:rPr>
          <w:snapToGrid/>
          <w:lang w:val="en-GB"/>
        </w:rPr>
      </w:pPr>
      <w:r>
        <w:rPr>
          <w:snapToGrid/>
          <w:lang w:val="en-GB"/>
        </w:rPr>
        <w:t>教育与科学和生产相结合，同其他国家的教育系统一致；</w:t>
      </w:r>
    </w:p>
    <w:p w:rsidR="00A93F62" w:rsidRDefault="00A93F62">
      <w:pPr>
        <w:pStyle w:val="Bullet1GC"/>
        <w:numPr>
          <w:ilvl w:val="0"/>
          <w:numId w:val="14"/>
        </w:numPr>
        <w:rPr>
          <w:snapToGrid/>
          <w:lang w:val="en-GB"/>
        </w:rPr>
      </w:pPr>
      <w:r>
        <w:rPr>
          <w:snapToGrid/>
          <w:lang w:val="en-GB"/>
        </w:rPr>
        <w:t>教育系统的灵活性和可预测性；</w:t>
      </w:r>
    </w:p>
    <w:p w:rsidR="00A93F62" w:rsidRDefault="00A93F62">
      <w:pPr>
        <w:pStyle w:val="Bullet1GC"/>
        <w:numPr>
          <w:ilvl w:val="0"/>
          <w:numId w:val="14"/>
        </w:numPr>
        <w:rPr>
          <w:snapToGrid/>
          <w:lang w:val="en-GB"/>
        </w:rPr>
      </w:pPr>
      <w:r>
        <w:rPr>
          <w:snapToGrid/>
          <w:lang w:val="en-GB"/>
        </w:rPr>
        <w:t>教育系统的连续性、继承性和多样性。</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287.</w:t>
      </w:r>
      <w:r>
        <w:rPr>
          <w:rFonts w:hint="eastAsia"/>
          <w:snapToGrid/>
          <w:szCs w:val="21"/>
          <w:lang w:val="en-GB"/>
        </w:rPr>
        <w:t xml:space="preserve">  </w:t>
      </w:r>
      <w:r>
        <w:rPr>
          <w:snapToGrid/>
          <w:szCs w:val="21"/>
          <w:lang w:val="en-GB"/>
        </w:rPr>
        <w:t>土库曼斯坦的教育机构布满全国，保证人们具有获得初等、中等和专业教育的必需条件。这些教育机构包括学龄前幼儿园、学校、高等学校、职业学校、费用全部由国家财政拨款的接收残疾孩子的寄宿学校。</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288.</w:t>
      </w:r>
      <w:r>
        <w:rPr>
          <w:rFonts w:hint="eastAsia"/>
          <w:snapToGrid/>
          <w:szCs w:val="21"/>
          <w:lang w:val="en-GB"/>
        </w:rPr>
        <w:t xml:space="preserve">  </w:t>
      </w:r>
      <w:r>
        <w:rPr>
          <w:snapToGrid/>
          <w:szCs w:val="21"/>
          <w:lang w:val="en-GB"/>
        </w:rPr>
        <w:t>土库曼斯坦的学前教育在家庭，以及与家庭配合的学前教育机构进行。家庭负责个体的和谐发展，灌输民族和全人类的价值观。国家帮助培养和教育儿童，组织他们在学前教育机构学习土库曼斯坦语、英语和俄语，向学前教育机构提供资金和物质援助。教育管理机关指导所有学前教育机构的教学活动，不论其是否属于隶属单位</w:t>
      </w:r>
      <w:r>
        <w:rPr>
          <w:snapToGrid/>
          <w:szCs w:val="21"/>
          <w:lang w:val="en-GB"/>
        </w:rPr>
        <w:t>(</w:t>
      </w:r>
      <w:r>
        <w:rPr>
          <w:snapToGrid/>
          <w:szCs w:val="21"/>
          <w:lang w:val="en-GB"/>
        </w:rPr>
        <w:t>《土库曼斯坦教育法》第</w:t>
      </w:r>
      <w:r>
        <w:rPr>
          <w:snapToGrid/>
          <w:szCs w:val="21"/>
          <w:lang w:val="en-GB"/>
        </w:rPr>
        <w:t>12</w:t>
      </w:r>
      <w:r>
        <w:rPr>
          <w:snapToGrid/>
          <w:szCs w:val="21"/>
          <w:lang w:val="en-GB"/>
        </w:rPr>
        <w:t>条</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289.</w:t>
      </w:r>
      <w:r>
        <w:rPr>
          <w:rFonts w:hint="eastAsia"/>
          <w:snapToGrid/>
          <w:szCs w:val="21"/>
          <w:lang w:val="en-GB"/>
        </w:rPr>
        <w:t xml:space="preserve">  </w:t>
      </w:r>
      <w:r>
        <w:rPr>
          <w:snapToGrid/>
          <w:szCs w:val="21"/>
          <w:lang w:val="en-GB"/>
        </w:rPr>
        <w:t>学前教育机构数量，个</w:t>
      </w:r>
    </w:p>
    <w:tbl>
      <w:tblPr>
        <w:tblStyle w:val="TabNum"/>
        <w:tblW w:w="9505" w:type="dxa"/>
        <w:tblInd w:w="70" w:type="dxa"/>
        <w:tblLook w:val="01E0" w:firstRow="1" w:lastRow="1" w:firstColumn="1" w:lastColumn="1" w:noHBand="0" w:noVBand="0"/>
      </w:tblPr>
      <w:tblGrid>
        <w:gridCol w:w="1630"/>
        <w:gridCol w:w="1125"/>
        <w:gridCol w:w="1125"/>
        <w:gridCol w:w="1125"/>
        <w:gridCol w:w="1125"/>
        <w:gridCol w:w="1125"/>
        <w:gridCol w:w="1125"/>
        <w:gridCol w:w="1125"/>
      </w:tblGrid>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30" w:type="dxa"/>
            <w:tcBorders>
              <w:bottom w:val="single" w:sz="12" w:space="0" w:color="auto"/>
            </w:tcBorders>
          </w:tcPr>
          <w:p w:rsidR="00A93F62" w:rsidRPr="007E57AE" w:rsidRDefault="00A93F62">
            <w:pPr>
              <w:tabs>
                <w:tab w:val="clear" w:pos="431"/>
              </w:tabs>
              <w:suppressAutoHyphens/>
              <w:overflowPunct/>
              <w:adjustRightInd/>
              <w:snapToGrid/>
              <w:spacing w:after="120" w:line="240" w:lineRule="atLeast"/>
              <w:rPr>
                <w:rFonts w:hint="eastAsia"/>
                <w:i/>
                <w:snapToGrid/>
                <w:sz w:val="18"/>
                <w:szCs w:val="18"/>
                <w:lang w:val="en-GB"/>
              </w:rPr>
            </w:pPr>
          </w:p>
        </w:tc>
        <w:tc>
          <w:tcPr>
            <w:tcW w:w="1125" w:type="dxa"/>
            <w:tcBorders>
              <w:top w:val="single" w:sz="4" w:space="0" w:color="auto"/>
              <w:bottom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2000</w:t>
            </w:r>
            <w:r w:rsidRPr="007E57AE">
              <w:rPr>
                <w:rFonts w:eastAsia="KaiTi_GB2312"/>
                <w:snapToGrid/>
                <w:sz w:val="18"/>
                <w:szCs w:val="18"/>
                <w:lang w:val="en-GB" w:eastAsia="en-US"/>
              </w:rPr>
              <w:t>年</w:t>
            </w:r>
          </w:p>
        </w:tc>
        <w:tc>
          <w:tcPr>
            <w:tcW w:w="1125" w:type="dxa"/>
            <w:tcBorders>
              <w:top w:val="single" w:sz="4" w:space="0" w:color="auto"/>
              <w:bottom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2001</w:t>
            </w:r>
            <w:r w:rsidRPr="007E57AE">
              <w:rPr>
                <w:rFonts w:eastAsia="KaiTi_GB2312"/>
                <w:snapToGrid/>
                <w:sz w:val="18"/>
                <w:szCs w:val="18"/>
                <w:lang w:val="en-GB" w:eastAsia="en-US"/>
              </w:rPr>
              <w:t>年</w:t>
            </w:r>
          </w:p>
        </w:tc>
        <w:tc>
          <w:tcPr>
            <w:tcW w:w="1125" w:type="dxa"/>
            <w:tcBorders>
              <w:top w:val="single" w:sz="4" w:space="0" w:color="auto"/>
              <w:bottom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2002</w:t>
            </w:r>
            <w:r w:rsidRPr="007E57AE">
              <w:rPr>
                <w:rFonts w:eastAsia="KaiTi_GB2312"/>
                <w:snapToGrid/>
                <w:sz w:val="18"/>
                <w:szCs w:val="18"/>
                <w:lang w:val="en-GB" w:eastAsia="en-US"/>
              </w:rPr>
              <w:t>年</w:t>
            </w:r>
          </w:p>
        </w:tc>
        <w:tc>
          <w:tcPr>
            <w:tcW w:w="1125" w:type="dxa"/>
            <w:tcBorders>
              <w:top w:val="single" w:sz="4" w:space="0" w:color="auto"/>
              <w:bottom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2003</w:t>
            </w:r>
            <w:r w:rsidRPr="007E57AE">
              <w:rPr>
                <w:rFonts w:eastAsia="KaiTi_GB2312"/>
                <w:snapToGrid/>
                <w:sz w:val="18"/>
                <w:szCs w:val="18"/>
                <w:lang w:val="en-GB" w:eastAsia="en-US"/>
              </w:rPr>
              <w:t>年</w:t>
            </w:r>
          </w:p>
        </w:tc>
        <w:tc>
          <w:tcPr>
            <w:tcW w:w="1125" w:type="dxa"/>
            <w:tcBorders>
              <w:top w:val="single" w:sz="4" w:space="0" w:color="auto"/>
              <w:bottom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2004</w:t>
            </w:r>
            <w:r w:rsidRPr="007E57AE">
              <w:rPr>
                <w:rFonts w:eastAsia="KaiTi_GB2312"/>
                <w:snapToGrid/>
                <w:sz w:val="18"/>
                <w:szCs w:val="18"/>
                <w:lang w:val="en-GB" w:eastAsia="en-US"/>
              </w:rPr>
              <w:t>年</w:t>
            </w:r>
          </w:p>
        </w:tc>
        <w:tc>
          <w:tcPr>
            <w:tcW w:w="1125" w:type="dxa"/>
            <w:tcBorders>
              <w:top w:val="single" w:sz="4" w:space="0" w:color="auto"/>
              <w:bottom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2005</w:t>
            </w:r>
            <w:r w:rsidRPr="007E57AE">
              <w:rPr>
                <w:rFonts w:eastAsia="KaiTi_GB2312"/>
                <w:snapToGrid/>
                <w:sz w:val="18"/>
                <w:szCs w:val="18"/>
                <w:lang w:val="en-GB" w:eastAsia="en-US"/>
              </w:rPr>
              <w:t>年</w:t>
            </w:r>
          </w:p>
        </w:tc>
        <w:tc>
          <w:tcPr>
            <w:tcW w:w="1125" w:type="dxa"/>
            <w:tcBorders>
              <w:top w:val="single" w:sz="4" w:space="0" w:color="auto"/>
              <w:bottom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2006</w:t>
            </w:r>
            <w:r w:rsidRPr="007E57AE">
              <w:rPr>
                <w:rFonts w:eastAsia="KaiTi_GB2312"/>
                <w:snapToGrid/>
                <w:sz w:val="18"/>
                <w:szCs w:val="18"/>
                <w:lang w:val="en-GB" w:eastAsia="en-US"/>
              </w:rPr>
              <w:t>年</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30" w:type="dxa"/>
            <w:tcBorders>
              <w:top w:val="single" w:sz="12" w:space="0" w:color="auto"/>
            </w:tcBorders>
          </w:tcPr>
          <w:p w:rsidR="00A93F62" w:rsidRPr="007E57AE" w:rsidRDefault="00A93F62">
            <w:pPr>
              <w:tabs>
                <w:tab w:val="clear" w:pos="431"/>
              </w:tabs>
              <w:suppressAutoHyphens/>
              <w:overflowPunct/>
              <w:adjustRightInd/>
              <w:snapToGrid/>
              <w:spacing w:after="120" w:line="240" w:lineRule="atLeast"/>
              <w:rPr>
                <w:b/>
                <w:snapToGrid/>
                <w:sz w:val="18"/>
                <w:szCs w:val="18"/>
                <w:lang w:val="en-GB" w:eastAsia="en-US"/>
              </w:rPr>
            </w:pPr>
            <w:r w:rsidRPr="007E57AE">
              <w:rPr>
                <w:rFonts w:eastAsia="SimHei"/>
                <w:snapToGrid/>
                <w:sz w:val="18"/>
                <w:szCs w:val="18"/>
                <w:lang w:val="en-GB"/>
              </w:rPr>
              <w:t>土库曼斯坦</w:t>
            </w:r>
          </w:p>
        </w:tc>
        <w:tc>
          <w:tcPr>
            <w:tcW w:w="1125"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snapToGrid/>
                <w:sz w:val="18"/>
                <w:szCs w:val="18"/>
                <w:lang w:val="en-GB" w:eastAsia="en-US"/>
              </w:rPr>
              <w:t>891</w:t>
            </w:r>
          </w:p>
        </w:tc>
        <w:tc>
          <w:tcPr>
            <w:tcW w:w="1125"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snapToGrid/>
                <w:sz w:val="18"/>
                <w:szCs w:val="18"/>
                <w:lang w:val="en-GB" w:eastAsia="en-US"/>
              </w:rPr>
              <w:t>1</w:t>
            </w:r>
            <w:r w:rsidRPr="007E57AE">
              <w:rPr>
                <w:rFonts w:eastAsia="SimHei"/>
                <w:snapToGrid/>
                <w:sz w:val="18"/>
                <w:szCs w:val="18"/>
                <w:lang w:val="en-GB"/>
              </w:rPr>
              <w:t xml:space="preserve"> </w:t>
            </w:r>
            <w:r w:rsidRPr="007E57AE">
              <w:rPr>
                <w:rFonts w:eastAsia="SimHei"/>
                <w:snapToGrid/>
                <w:sz w:val="18"/>
                <w:szCs w:val="18"/>
                <w:lang w:val="en-GB" w:eastAsia="en-US"/>
              </w:rPr>
              <w:t>051</w:t>
            </w:r>
          </w:p>
        </w:tc>
        <w:tc>
          <w:tcPr>
            <w:tcW w:w="1125"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snapToGrid/>
                <w:sz w:val="18"/>
                <w:szCs w:val="18"/>
                <w:lang w:val="en-GB" w:eastAsia="en-US"/>
              </w:rPr>
              <w:t>1</w:t>
            </w:r>
            <w:r w:rsidRPr="007E57AE">
              <w:rPr>
                <w:rFonts w:eastAsia="SimHei"/>
                <w:snapToGrid/>
                <w:sz w:val="18"/>
                <w:szCs w:val="18"/>
                <w:lang w:val="en-GB"/>
              </w:rPr>
              <w:t xml:space="preserve"> </w:t>
            </w:r>
            <w:r w:rsidRPr="007E57AE">
              <w:rPr>
                <w:rFonts w:eastAsia="SimHei"/>
                <w:snapToGrid/>
                <w:sz w:val="18"/>
                <w:szCs w:val="18"/>
                <w:lang w:val="en-GB" w:eastAsia="en-US"/>
              </w:rPr>
              <w:t>003</w:t>
            </w:r>
          </w:p>
        </w:tc>
        <w:tc>
          <w:tcPr>
            <w:tcW w:w="1125"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snapToGrid/>
                <w:sz w:val="18"/>
                <w:szCs w:val="18"/>
                <w:lang w:val="en-GB" w:eastAsia="en-US"/>
              </w:rPr>
              <w:t>944</w:t>
            </w:r>
          </w:p>
        </w:tc>
        <w:tc>
          <w:tcPr>
            <w:tcW w:w="1125"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snapToGrid/>
                <w:sz w:val="18"/>
                <w:szCs w:val="18"/>
                <w:lang w:val="en-GB" w:eastAsia="en-US"/>
              </w:rPr>
              <w:t>900</w:t>
            </w:r>
          </w:p>
        </w:tc>
        <w:tc>
          <w:tcPr>
            <w:tcW w:w="1125"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snapToGrid/>
                <w:sz w:val="18"/>
                <w:szCs w:val="18"/>
                <w:lang w:val="en-GB" w:eastAsia="en-US"/>
              </w:rPr>
              <w:t>835</w:t>
            </w:r>
          </w:p>
        </w:tc>
        <w:tc>
          <w:tcPr>
            <w:tcW w:w="1125"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snapToGrid/>
                <w:sz w:val="18"/>
                <w:szCs w:val="18"/>
                <w:lang w:val="en-GB" w:eastAsia="en-US"/>
              </w:rPr>
              <w:t>819</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30" w:type="dxa"/>
          </w:tcPr>
          <w:p w:rsidR="00A93F62" w:rsidRPr="007E57AE" w:rsidRDefault="00A93F62">
            <w:pPr>
              <w:tabs>
                <w:tab w:val="clear" w:pos="431"/>
              </w:tabs>
              <w:suppressAutoHyphens/>
              <w:overflowPunct/>
              <w:adjustRightInd/>
              <w:snapToGrid/>
              <w:spacing w:after="120" w:line="240" w:lineRule="atLeast"/>
              <w:rPr>
                <w:snapToGrid/>
                <w:sz w:val="18"/>
                <w:szCs w:val="18"/>
                <w:lang w:val="en-GB"/>
              </w:rPr>
            </w:pPr>
            <w:r w:rsidRPr="007E57AE">
              <w:rPr>
                <w:snapToGrid/>
                <w:sz w:val="18"/>
                <w:szCs w:val="18"/>
                <w:lang w:val="en-GB"/>
              </w:rPr>
              <w:t>阿什哈巴德市</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130</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129</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119</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117</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115</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115</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117</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30" w:type="dxa"/>
          </w:tcPr>
          <w:p w:rsidR="00A93F62" w:rsidRPr="007E57AE" w:rsidRDefault="00A93F62">
            <w:pPr>
              <w:tabs>
                <w:tab w:val="clear" w:pos="431"/>
              </w:tabs>
              <w:suppressAutoHyphens/>
              <w:overflowPunct/>
              <w:adjustRightInd/>
              <w:snapToGrid/>
              <w:spacing w:after="120" w:line="240" w:lineRule="atLeast"/>
              <w:rPr>
                <w:snapToGrid/>
                <w:sz w:val="18"/>
                <w:szCs w:val="18"/>
                <w:lang w:val="en-GB"/>
              </w:rPr>
            </w:pPr>
            <w:r w:rsidRPr="007E57AE">
              <w:rPr>
                <w:snapToGrid/>
                <w:sz w:val="18"/>
                <w:szCs w:val="18"/>
                <w:lang w:val="en-GB"/>
              </w:rPr>
              <w:t>省区：</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30" w:type="dxa"/>
          </w:tcPr>
          <w:p w:rsidR="00A93F62" w:rsidRPr="007E57AE" w:rsidRDefault="00A93F62">
            <w:pPr>
              <w:tabs>
                <w:tab w:val="clear" w:pos="431"/>
              </w:tabs>
              <w:suppressAutoHyphens/>
              <w:overflowPunct/>
              <w:adjustRightInd/>
              <w:snapToGrid/>
              <w:spacing w:after="120" w:line="240" w:lineRule="atLeast"/>
              <w:rPr>
                <w:snapToGrid/>
                <w:sz w:val="18"/>
                <w:szCs w:val="18"/>
                <w:lang w:val="en-GB"/>
              </w:rPr>
            </w:pPr>
            <w:r w:rsidRPr="007E57AE">
              <w:rPr>
                <w:snapToGrid/>
                <w:sz w:val="18"/>
                <w:szCs w:val="18"/>
                <w:lang w:val="en-GB"/>
              </w:rPr>
              <w:t>阿哈尔省</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99</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102</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110</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110</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109</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108</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107</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30" w:type="dxa"/>
          </w:tcPr>
          <w:p w:rsidR="00A93F62" w:rsidRPr="007E57AE" w:rsidRDefault="00A93F62">
            <w:pPr>
              <w:tabs>
                <w:tab w:val="clear" w:pos="431"/>
              </w:tabs>
              <w:suppressAutoHyphens/>
              <w:overflowPunct/>
              <w:adjustRightInd/>
              <w:snapToGrid/>
              <w:spacing w:after="120" w:line="240" w:lineRule="atLeast"/>
              <w:rPr>
                <w:snapToGrid/>
                <w:sz w:val="18"/>
                <w:szCs w:val="18"/>
                <w:lang w:val="en-GB"/>
              </w:rPr>
            </w:pPr>
            <w:r w:rsidRPr="007E57AE">
              <w:rPr>
                <w:snapToGrid/>
                <w:sz w:val="18"/>
                <w:szCs w:val="18"/>
                <w:lang w:val="en-GB"/>
              </w:rPr>
              <w:t>巴尔干省</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146</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143</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141</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137</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137</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137</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137</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30" w:type="dxa"/>
          </w:tcPr>
          <w:p w:rsidR="00A93F62" w:rsidRPr="007E57AE" w:rsidRDefault="00A93F62">
            <w:pPr>
              <w:tabs>
                <w:tab w:val="clear" w:pos="431"/>
              </w:tabs>
              <w:suppressAutoHyphens/>
              <w:overflowPunct/>
              <w:adjustRightInd/>
              <w:snapToGrid/>
              <w:spacing w:after="120" w:line="240" w:lineRule="atLeast"/>
              <w:rPr>
                <w:snapToGrid/>
                <w:sz w:val="18"/>
                <w:szCs w:val="18"/>
                <w:lang w:val="en-GB"/>
              </w:rPr>
            </w:pPr>
            <w:r w:rsidRPr="007E57AE">
              <w:rPr>
                <w:snapToGrid/>
                <w:sz w:val="18"/>
                <w:szCs w:val="18"/>
                <w:lang w:val="en-GB"/>
              </w:rPr>
              <w:t>达守古斯省</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78</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258</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238</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204</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173</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113</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97</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30" w:type="dxa"/>
          </w:tcPr>
          <w:p w:rsidR="00A93F62" w:rsidRPr="007E57AE" w:rsidRDefault="00A93F62">
            <w:pPr>
              <w:tabs>
                <w:tab w:val="clear" w:pos="431"/>
              </w:tabs>
              <w:suppressAutoHyphens/>
              <w:overflowPunct/>
              <w:adjustRightInd/>
              <w:snapToGrid/>
              <w:spacing w:after="120" w:line="240" w:lineRule="atLeast"/>
              <w:rPr>
                <w:snapToGrid/>
                <w:sz w:val="18"/>
                <w:szCs w:val="18"/>
                <w:lang w:val="en-GB"/>
              </w:rPr>
            </w:pPr>
            <w:r w:rsidRPr="007E57AE">
              <w:rPr>
                <w:snapToGrid/>
                <w:sz w:val="18"/>
                <w:szCs w:val="18"/>
                <w:lang w:val="en-GB"/>
              </w:rPr>
              <w:t>列巴普省</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276</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261</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242</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228</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221</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217</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216</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30" w:type="dxa"/>
          </w:tcPr>
          <w:p w:rsidR="00A93F62" w:rsidRPr="007E57AE" w:rsidRDefault="00A93F62">
            <w:pPr>
              <w:tabs>
                <w:tab w:val="clear" w:pos="431"/>
              </w:tabs>
              <w:suppressAutoHyphens/>
              <w:overflowPunct/>
              <w:adjustRightInd/>
              <w:snapToGrid/>
              <w:spacing w:after="120" w:line="240" w:lineRule="atLeast"/>
              <w:rPr>
                <w:snapToGrid/>
                <w:sz w:val="18"/>
                <w:szCs w:val="18"/>
                <w:lang w:val="en-GB"/>
              </w:rPr>
            </w:pPr>
            <w:r w:rsidRPr="007E57AE">
              <w:rPr>
                <w:snapToGrid/>
                <w:sz w:val="18"/>
                <w:szCs w:val="18"/>
                <w:lang w:val="en-GB"/>
              </w:rPr>
              <w:t>马雷伊省</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162</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158</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153</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148</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145</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145</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145</w:t>
            </w:r>
          </w:p>
        </w:tc>
      </w:tr>
    </w:tbl>
    <w:p w:rsidR="00A93F62" w:rsidRDefault="00A93F62">
      <w:pPr>
        <w:tabs>
          <w:tab w:val="clear" w:pos="431"/>
        </w:tabs>
        <w:suppressAutoHyphens/>
        <w:overflowPunct/>
        <w:adjustRightInd/>
        <w:snapToGrid/>
        <w:spacing w:beforeLines="50" w:before="163" w:after="120" w:line="320" w:lineRule="atLeast"/>
        <w:ind w:left="1134" w:right="1134"/>
        <w:rPr>
          <w:snapToGrid/>
          <w:szCs w:val="21"/>
          <w:lang w:val="en-GB"/>
        </w:rPr>
      </w:pPr>
      <w:r>
        <w:rPr>
          <w:snapToGrid/>
          <w:szCs w:val="21"/>
          <w:lang w:val="en-GB"/>
        </w:rPr>
        <w:t>290.</w:t>
      </w:r>
      <w:r>
        <w:rPr>
          <w:rFonts w:hint="eastAsia"/>
          <w:snapToGrid/>
          <w:szCs w:val="21"/>
          <w:lang w:val="en-GB"/>
        </w:rPr>
        <w:t xml:space="preserve">  </w:t>
      </w:r>
      <w:r>
        <w:rPr>
          <w:snapToGrid/>
          <w:szCs w:val="21"/>
          <w:lang w:val="en-GB"/>
        </w:rPr>
        <w:t>学前教育机构的儿童人数，千人</w:t>
      </w:r>
    </w:p>
    <w:tbl>
      <w:tblPr>
        <w:tblStyle w:val="TabNum"/>
        <w:tblW w:w="9491" w:type="dxa"/>
        <w:tblInd w:w="84" w:type="dxa"/>
        <w:tblLook w:val="01E0" w:firstRow="1" w:lastRow="1" w:firstColumn="1" w:lastColumn="1" w:noHBand="0" w:noVBand="0"/>
      </w:tblPr>
      <w:tblGrid>
        <w:gridCol w:w="1616"/>
        <w:gridCol w:w="1125"/>
        <w:gridCol w:w="1125"/>
        <w:gridCol w:w="1125"/>
        <w:gridCol w:w="1125"/>
        <w:gridCol w:w="1125"/>
        <w:gridCol w:w="1125"/>
        <w:gridCol w:w="1125"/>
      </w:tblGrid>
      <w:tr w:rsidR="00A93F62">
        <w:trPr>
          <w:trHeight w:hRule="exact" w:val="390"/>
          <w:tblHeader/>
        </w:trPr>
        <w:tc>
          <w:tcPr>
            <w:cnfStyle w:val="001000000000" w:firstRow="0" w:lastRow="0" w:firstColumn="1" w:lastColumn="0" w:oddVBand="0" w:evenVBand="0" w:oddHBand="0" w:evenHBand="0" w:firstRowFirstColumn="0" w:firstRowLastColumn="0" w:lastRowFirstColumn="0" w:lastRowLastColumn="0"/>
            <w:tcW w:w="1616" w:type="dxa"/>
            <w:tcBorders>
              <w:bottom w:val="single" w:sz="12" w:space="0" w:color="auto"/>
            </w:tcBorders>
            <w:shd w:val="clear" w:color="auto" w:fill="auto"/>
          </w:tcPr>
          <w:p w:rsidR="00A93F62" w:rsidRPr="007E57AE" w:rsidRDefault="00A93F62">
            <w:pPr>
              <w:tabs>
                <w:tab w:val="clear" w:pos="431"/>
              </w:tabs>
              <w:suppressAutoHyphens/>
              <w:overflowPunct/>
              <w:adjustRightInd/>
              <w:snapToGrid/>
              <w:spacing w:after="120" w:line="240" w:lineRule="atLeast"/>
              <w:rPr>
                <w:i/>
                <w:snapToGrid/>
                <w:sz w:val="18"/>
                <w:szCs w:val="18"/>
                <w:lang w:val="en-GB"/>
              </w:rPr>
            </w:pPr>
          </w:p>
        </w:tc>
        <w:tc>
          <w:tcPr>
            <w:tcW w:w="1125"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2000</w:t>
            </w:r>
            <w:r w:rsidRPr="007E57AE">
              <w:rPr>
                <w:rFonts w:eastAsia="KaiTi_GB2312"/>
                <w:snapToGrid/>
                <w:sz w:val="18"/>
                <w:szCs w:val="18"/>
                <w:lang w:val="en-GB" w:eastAsia="en-US"/>
              </w:rPr>
              <w:t>年</w:t>
            </w:r>
          </w:p>
        </w:tc>
        <w:tc>
          <w:tcPr>
            <w:tcW w:w="1125"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2001</w:t>
            </w:r>
            <w:r w:rsidRPr="007E57AE">
              <w:rPr>
                <w:rFonts w:eastAsia="KaiTi_GB2312"/>
                <w:snapToGrid/>
                <w:sz w:val="18"/>
                <w:szCs w:val="18"/>
                <w:lang w:val="en-GB" w:eastAsia="en-US"/>
              </w:rPr>
              <w:t>年</w:t>
            </w:r>
          </w:p>
        </w:tc>
        <w:tc>
          <w:tcPr>
            <w:tcW w:w="1125"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2002</w:t>
            </w:r>
            <w:r w:rsidRPr="007E57AE">
              <w:rPr>
                <w:rFonts w:eastAsia="KaiTi_GB2312"/>
                <w:snapToGrid/>
                <w:sz w:val="18"/>
                <w:szCs w:val="18"/>
                <w:lang w:val="en-GB" w:eastAsia="en-US"/>
              </w:rPr>
              <w:t>年</w:t>
            </w:r>
          </w:p>
        </w:tc>
        <w:tc>
          <w:tcPr>
            <w:tcW w:w="1125"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2003</w:t>
            </w:r>
            <w:r w:rsidRPr="007E57AE">
              <w:rPr>
                <w:rFonts w:eastAsia="KaiTi_GB2312"/>
                <w:snapToGrid/>
                <w:sz w:val="18"/>
                <w:szCs w:val="18"/>
                <w:lang w:val="en-GB" w:eastAsia="en-US"/>
              </w:rPr>
              <w:t>年</w:t>
            </w:r>
          </w:p>
        </w:tc>
        <w:tc>
          <w:tcPr>
            <w:tcW w:w="1125"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2004</w:t>
            </w:r>
            <w:r w:rsidRPr="007E57AE">
              <w:rPr>
                <w:rFonts w:eastAsia="KaiTi_GB2312"/>
                <w:snapToGrid/>
                <w:sz w:val="18"/>
                <w:szCs w:val="18"/>
                <w:lang w:val="en-GB" w:eastAsia="en-US"/>
              </w:rPr>
              <w:t>年</w:t>
            </w:r>
          </w:p>
        </w:tc>
        <w:tc>
          <w:tcPr>
            <w:tcW w:w="1125"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2005</w:t>
            </w:r>
            <w:r w:rsidRPr="007E57AE">
              <w:rPr>
                <w:rFonts w:eastAsia="KaiTi_GB2312"/>
                <w:snapToGrid/>
                <w:sz w:val="18"/>
                <w:szCs w:val="18"/>
                <w:lang w:val="en-GB" w:eastAsia="en-US"/>
              </w:rPr>
              <w:t>年</w:t>
            </w:r>
          </w:p>
        </w:tc>
        <w:tc>
          <w:tcPr>
            <w:tcW w:w="1125"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2006</w:t>
            </w:r>
            <w:r w:rsidRPr="007E57AE">
              <w:rPr>
                <w:rFonts w:eastAsia="KaiTi_GB2312"/>
                <w:snapToGrid/>
                <w:sz w:val="18"/>
                <w:szCs w:val="18"/>
                <w:lang w:val="en-GB" w:eastAsia="en-US"/>
              </w:rPr>
              <w:t>年</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16" w:type="dxa"/>
            <w:tcBorders>
              <w:top w:val="single" w:sz="12" w:space="0" w:color="auto"/>
            </w:tcBorders>
          </w:tcPr>
          <w:p w:rsidR="00A93F62" w:rsidRPr="007E57AE" w:rsidRDefault="00A93F62">
            <w:pPr>
              <w:tabs>
                <w:tab w:val="clear" w:pos="431"/>
              </w:tabs>
              <w:suppressAutoHyphens/>
              <w:overflowPunct/>
              <w:adjustRightInd/>
              <w:snapToGrid/>
              <w:spacing w:after="120" w:line="240" w:lineRule="atLeast"/>
              <w:rPr>
                <w:b/>
                <w:snapToGrid/>
                <w:sz w:val="18"/>
                <w:szCs w:val="18"/>
                <w:lang w:val="en-GB" w:eastAsia="en-US"/>
              </w:rPr>
            </w:pPr>
            <w:r w:rsidRPr="007E57AE">
              <w:rPr>
                <w:rFonts w:eastAsia="SimHei"/>
                <w:snapToGrid/>
                <w:sz w:val="18"/>
                <w:szCs w:val="18"/>
                <w:lang w:val="en-GB"/>
              </w:rPr>
              <w:t>土库曼斯坦</w:t>
            </w:r>
          </w:p>
        </w:tc>
        <w:tc>
          <w:tcPr>
            <w:tcW w:w="1125"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snapToGrid/>
                <w:sz w:val="18"/>
                <w:szCs w:val="18"/>
                <w:lang w:val="en-GB" w:eastAsia="en-US"/>
              </w:rPr>
              <w:t>123.3</w:t>
            </w:r>
          </w:p>
        </w:tc>
        <w:tc>
          <w:tcPr>
            <w:tcW w:w="1125"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snapToGrid/>
                <w:sz w:val="18"/>
                <w:szCs w:val="18"/>
                <w:lang w:val="en-GB" w:eastAsia="en-US"/>
              </w:rPr>
              <w:t>127.2</w:t>
            </w:r>
          </w:p>
        </w:tc>
        <w:tc>
          <w:tcPr>
            <w:tcW w:w="1125"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snapToGrid/>
                <w:sz w:val="18"/>
                <w:szCs w:val="18"/>
                <w:lang w:val="en-GB" w:eastAsia="en-US"/>
              </w:rPr>
              <w:t>125.8</w:t>
            </w:r>
          </w:p>
        </w:tc>
        <w:tc>
          <w:tcPr>
            <w:tcW w:w="1125"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snapToGrid/>
                <w:sz w:val="18"/>
                <w:szCs w:val="18"/>
                <w:lang w:val="en-GB" w:eastAsia="en-US"/>
              </w:rPr>
              <w:t>129</w:t>
            </w:r>
          </w:p>
        </w:tc>
        <w:tc>
          <w:tcPr>
            <w:tcW w:w="1125"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snapToGrid/>
                <w:sz w:val="18"/>
                <w:szCs w:val="18"/>
                <w:lang w:val="en-GB" w:eastAsia="en-US"/>
              </w:rPr>
              <w:t>133.4</w:t>
            </w:r>
          </w:p>
        </w:tc>
        <w:tc>
          <w:tcPr>
            <w:tcW w:w="1125"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snapToGrid/>
                <w:sz w:val="18"/>
                <w:szCs w:val="18"/>
                <w:lang w:val="en-GB" w:eastAsia="en-US"/>
              </w:rPr>
              <w:t>134.6</w:t>
            </w:r>
          </w:p>
        </w:tc>
        <w:tc>
          <w:tcPr>
            <w:tcW w:w="1125"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snapToGrid/>
                <w:sz w:val="18"/>
                <w:szCs w:val="18"/>
                <w:lang w:val="en-GB" w:eastAsia="en-US"/>
              </w:rPr>
              <w:t>137.3</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16"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阿什哈巴德市</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24.1</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25.6</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24.3</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23.8</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25.0</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25.0</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25.7</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16"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省区：</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16"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阿哈尔省</w:t>
            </w:r>
          </w:p>
        </w:tc>
        <w:tc>
          <w:tcPr>
            <w:tcW w:w="1125" w:type="dxa"/>
            <w:tcBorders>
              <w:bottom w:val="nil"/>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13.3</w:t>
            </w:r>
          </w:p>
        </w:tc>
        <w:tc>
          <w:tcPr>
            <w:tcW w:w="1125" w:type="dxa"/>
            <w:tcBorders>
              <w:bottom w:val="nil"/>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14.5</w:t>
            </w:r>
          </w:p>
        </w:tc>
        <w:tc>
          <w:tcPr>
            <w:tcW w:w="1125" w:type="dxa"/>
            <w:tcBorders>
              <w:bottom w:val="nil"/>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15.4</w:t>
            </w:r>
          </w:p>
        </w:tc>
        <w:tc>
          <w:tcPr>
            <w:tcW w:w="1125" w:type="dxa"/>
            <w:tcBorders>
              <w:bottom w:val="nil"/>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15.8</w:t>
            </w:r>
          </w:p>
        </w:tc>
        <w:tc>
          <w:tcPr>
            <w:tcW w:w="1125" w:type="dxa"/>
            <w:tcBorders>
              <w:bottom w:val="nil"/>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16.6</w:t>
            </w:r>
          </w:p>
        </w:tc>
        <w:tc>
          <w:tcPr>
            <w:tcW w:w="1125" w:type="dxa"/>
            <w:tcBorders>
              <w:bottom w:val="nil"/>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16.7</w:t>
            </w:r>
          </w:p>
        </w:tc>
        <w:tc>
          <w:tcPr>
            <w:tcW w:w="1125" w:type="dxa"/>
            <w:tcBorders>
              <w:bottom w:val="nil"/>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16.9</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16" w:type="dxa"/>
            <w:tcBorders>
              <w:top w:val="nil"/>
              <w:bottom w:val="single" w:sz="4" w:space="0" w:color="auto"/>
            </w:tcBorders>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巴尔干省</w:t>
            </w:r>
          </w:p>
        </w:tc>
        <w:tc>
          <w:tcPr>
            <w:tcW w:w="1125" w:type="dxa"/>
            <w:tcBorders>
              <w:top w:val="nil"/>
              <w:bottom w:val="single" w:sz="4"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15.7</w:t>
            </w:r>
          </w:p>
        </w:tc>
        <w:tc>
          <w:tcPr>
            <w:tcW w:w="1125" w:type="dxa"/>
            <w:tcBorders>
              <w:top w:val="nil"/>
              <w:bottom w:val="single" w:sz="4"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15.2</w:t>
            </w:r>
          </w:p>
        </w:tc>
        <w:tc>
          <w:tcPr>
            <w:tcW w:w="1125" w:type="dxa"/>
            <w:tcBorders>
              <w:top w:val="nil"/>
              <w:bottom w:val="single" w:sz="4"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15.2</w:t>
            </w:r>
          </w:p>
        </w:tc>
        <w:tc>
          <w:tcPr>
            <w:tcW w:w="1125" w:type="dxa"/>
            <w:tcBorders>
              <w:top w:val="nil"/>
              <w:bottom w:val="single" w:sz="4"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15.6</w:t>
            </w:r>
          </w:p>
        </w:tc>
        <w:tc>
          <w:tcPr>
            <w:tcW w:w="1125" w:type="dxa"/>
            <w:tcBorders>
              <w:top w:val="nil"/>
              <w:bottom w:val="single" w:sz="4"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16.3</w:t>
            </w:r>
          </w:p>
        </w:tc>
        <w:tc>
          <w:tcPr>
            <w:tcW w:w="1125" w:type="dxa"/>
            <w:tcBorders>
              <w:top w:val="nil"/>
              <w:bottom w:val="single" w:sz="4"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16.4</w:t>
            </w:r>
          </w:p>
        </w:tc>
        <w:tc>
          <w:tcPr>
            <w:tcW w:w="1125" w:type="dxa"/>
            <w:tcBorders>
              <w:top w:val="nil"/>
              <w:bottom w:val="single" w:sz="4"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16.8</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16"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达守古斯省</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18.5</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18.5</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18.6</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18.6</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18.7</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17.6</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17.2</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16"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列巴普省</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30.8</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32.4</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32.0</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33.3</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34.0</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35.1</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36.3</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616"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马雷伊省</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20.9</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21.0</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20.3</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21.9</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22.8</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23.8</w:t>
            </w:r>
          </w:p>
        </w:tc>
        <w:tc>
          <w:tcPr>
            <w:tcW w:w="112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24.4</w:t>
            </w:r>
          </w:p>
        </w:tc>
      </w:tr>
    </w:tbl>
    <w:p w:rsidR="00A93F62" w:rsidRDefault="00A93F62">
      <w:pPr>
        <w:tabs>
          <w:tab w:val="clear" w:pos="431"/>
        </w:tabs>
        <w:suppressAutoHyphens/>
        <w:overflowPunct/>
        <w:adjustRightInd/>
        <w:snapToGrid/>
        <w:spacing w:beforeLines="50" w:before="163" w:after="120" w:line="320" w:lineRule="atLeast"/>
        <w:ind w:left="1134" w:right="1134"/>
        <w:rPr>
          <w:snapToGrid/>
          <w:szCs w:val="21"/>
          <w:lang w:val="en-GB"/>
        </w:rPr>
      </w:pPr>
      <w:r>
        <w:rPr>
          <w:snapToGrid/>
          <w:szCs w:val="21"/>
          <w:lang w:val="en-GB"/>
        </w:rPr>
        <w:t>291.</w:t>
      </w:r>
      <w:r>
        <w:rPr>
          <w:rFonts w:hint="eastAsia"/>
          <w:snapToGrid/>
          <w:szCs w:val="21"/>
          <w:lang w:val="en-GB"/>
        </w:rPr>
        <w:t xml:space="preserve">  </w:t>
      </w:r>
      <w:r>
        <w:rPr>
          <w:snapToGrid/>
          <w:szCs w:val="21"/>
          <w:lang w:val="en-GB"/>
        </w:rPr>
        <w:t>《土库曼斯坦教育法》第</w:t>
      </w:r>
      <w:r>
        <w:rPr>
          <w:snapToGrid/>
          <w:szCs w:val="21"/>
          <w:lang w:val="en-GB"/>
        </w:rPr>
        <w:t>13</w:t>
      </w:r>
      <w:r>
        <w:rPr>
          <w:snapToGrid/>
          <w:szCs w:val="21"/>
          <w:lang w:val="en-GB"/>
        </w:rPr>
        <w:t>条规定，十年普通中等教育作为教育的基石，给土库曼斯坦的公民提供深入掌握知识的可能性以适应时代的要求，更好地开发创作潜能，提高文化水平和身体素质。普通中等教育属于义务教育。特殊情况下，在征得父母或相应人士同意的情况下，学校的校务委员会有权缩短儿童在普通中等教育机构的学习时间。政府当局、地方当局应提供一切必要条件，使学生完全掌握土库曼斯坦语、英语和俄语。</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292.</w:t>
      </w:r>
      <w:r>
        <w:rPr>
          <w:rFonts w:hint="eastAsia"/>
          <w:snapToGrid/>
          <w:szCs w:val="21"/>
          <w:lang w:val="en-GB"/>
        </w:rPr>
        <w:t xml:space="preserve">  </w:t>
      </w:r>
      <w:r>
        <w:rPr>
          <w:snapToGrid/>
          <w:szCs w:val="21"/>
          <w:lang w:val="en-GB"/>
        </w:rPr>
        <w:t>学年初中学情况：</w:t>
      </w:r>
    </w:p>
    <w:p w:rsidR="00A93F62" w:rsidRDefault="00A93F62">
      <w:pPr>
        <w:tabs>
          <w:tab w:val="clear" w:pos="431"/>
        </w:tabs>
        <w:suppressAutoHyphens/>
        <w:overflowPunct/>
        <w:adjustRightInd/>
        <w:snapToGrid/>
        <w:spacing w:after="120" w:line="240" w:lineRule="atLeast"/>
        <w:ind w:left="1134" w:right="1134"/>
        <w:rPr>
          <w:rFonts w:eastAsia="SimHei"/>
          <w:snapToGrid/>
          <w:szCs w:val="21"/>
          <w:lang w:val="en-GB"/>
        </w:rPr>
      </w:pPr>
      <w:r>
        <w:rPr>
          <w:snapToGrid/>
          <w:szCs w:val="21"/>
          <w:lang w:val="en-GB"/>
        </w:rPr>
        <w:t xml:space="preserve">   </w:t>
      </w:r>
      <w:r>
        <w:rPr>
          <w:rFonts w:eastAsia="SimHei"/>
          <w:snapToGrid/>
          <w:szCs w:val="21"/>
          <w:lang w:val="en-GB"/>
        </w:rPr>
        <w:t xml:space="preserve"> </w:t>
      </w:r>
      <w:r>
        <w:rPr>
          <w:rFonts w:eastAsia="SimHei" w:hint="eastAsia"/>
          <w:snapToGrid/>
          <w:szCs w:val="21"/>
          <w:lang w:val="en-GB"/>
        </w:rPr>
        <w:tab/>
        <w:t xml:space="preserve"> </w:t>
      </w:r>
      <w:r>
        <w:rPr>
          <w:rFonts w:eastAsia="SimHei"/>
          <w:snapToGrid/>
          <w:szCs w:val="21"/>
          <w:lang w:val="en-GB"/>
        </w:rPr>
        <w:t>学校数量，所</w:t>
      </w:r>
    </w:p>
    <w:tbl>
      <w:tblPr>
        <w:tblStyle w:val="TabNum"/>
        <w:tblW w:w="9637" w:type="dxa"/>
        <w:tblLayout w:type="fixed"/>
        <w:tblLook w:val="01E0" w:firstRow="1" w:lastRow="1" w:firstColumn="1" w:lastColumn="1" w:noHBand="0" w:noVBand="0"/>
      </w:tblPr>
      <w:tblGrid>
        <w:gridCol w:w="1407"/>
        <w:gridCol w:w="1063"/>
        <w:gridCol w:w="1025"/>
        <w:gridCol w:w="1026"/>
        <w:gridCol w:w="1026"/>
        <w:gridCol w:w="1026"/>
        <w:gridCol w:w="1026"/>
        <w:gridCol w:w="1026"/>
        <w:gridCol w:w="1012"/>
      </w:tblGrid>
      <w:tr w:rsidR="00A93F62">
        <w:trPr>
          <w:trHeight w:val="330"/>
        </w:trPr>
        <w:tc>
          <w:tcPr>
            <w:cnfStyle w:val="001000000000" w:firstRow="0" w:lastRow="0" w:firstColumn="1" w:lastColumn="0" w:oddVBand="0" w:evenVBand="0" w:oddHBand="0" w:evenHBand="0" w:firstRowFirstColumn="0" w:firstRowLastColumn="0" w:lastRowFirstColumn="0" w:lastRowLastColumn="0"/>
            <w:tcW w:w="1407" w:type="dxa"/>
            <w:tcBorders>
              <w:bottom w:val="single" w:sz="12" w:space="0" w:color="auto"/>
            </w:tcBorders>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p>
        </w:tc>
        <w:tc>
          <w:tcPr>
            <w:tcW w:w="1063" w:type="dxa"/>
            <w:tcBorders>
              <w:top w:val="single" w:sz="4" w:space="0" w:color="auto"/>
              <w:bottom w:val="single" w:sz="12" w:space="0" w:color="auto"/>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KaiTi_GB2312"/>
                <w:snapToGrid/>
                <w:sz w:val="18"/>
                <w:szCs w:val="18"/>
                <w:lang w:val="en-GB"/>
              </w:rPr>
            </w:pPr>
            <w:r w:rsidRPr="007E57AE">
              <w:rPr>
                <w:rFonts w:eastAsia="KaiTi_GB2312"/>
                <w:snapToGrid/>
                <w:sz w:val="18"/>
                <w:szCs w:val="18"/>
                <w:lang w:val="en-GB"/>
              </w:rPr>
              <w:t>2000/</w:t>
            </w:r>
            <w:r w:rsidRPr="007E57AE">
              <w:rPr>
                <w:rFonts w:eastAsia="KaiTi_GB2312" w:hint="eastAsia"/>
                <w:snapToGrid/>
                <w:sz w:val="18"/>
                <w:szCs w:val="18"/>
                <w:lang w:val="en-GB"/>
              </w:rPr>
              <w:br/>
            </w:r>
            <w:r w:rsidRPr="007E57AE">
              <w:rPr>
                <w:rFonts w:eastAsia="KaiTi_GB2312"/>
                <w:snapToGrid/>
                <w:sz w:val="18"/>
                <w:szCs w:val="18"/>
                <w:lang w:val="en-GB"/>
              </w:rPr>
              <w:t>2001</w:t>
            </w:r>
            <w:r w:rsidRPr="007E57AE">
              <w:rPr>
                <w:rFonts w:eastAsia="KaiTi_GB2312"/>
                <w:snapToGrid/>
                <w:sz w:val="18"/>
                <w:szCs w:val="18"/>
                <w:lang w:val="en-GB"/>
              </w:rPr>
              <w:t>年</w:t>
            </w:r>
          </w:p>
        </w:tc>
        <w:tc>
          <w:tcPr>
            <w:tcW w:w="1025" w:type="dxa"/>
            <w:tcBorders>
              <w:top w:val="single" w:sz="4" w:space="0" w:color="auto"/>
              <w:bottom w:val="single" w:sz="12" w:space="0" w:color="auto"/>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KaiTi_GB2312"/>
                <w:snapToGrid/>
                <w:sz w:val="18"/>
                <w:szCs w:val="18"/>
                <w:lang w:val="en-GB"/>
              </w:rPr>
            </w:pPr>
            <w:r w:rsidRPr="007E57AE">
              <w:rPr>
                <w:rFonts w:eastAsia="KaiTi_GB2312"/>
                <w:snapToGrid/>
                <w:sz w:val="18"/>
                <w:szCs w:val="18"/>
                <w:lang w:val="en-GB"/>
              </w:rPr>
              <w:t>2001/</w:t>
            </w:r>
            <w:r w:rsidRPr="007E57AE">
              <w:rPr>
                <w:rFonts w:eastAsia="KaiTi_GB2312" w:hint="eastAsia"/>
                <w:snapToGrid/>
                <w:sz w:val="18"/>
                <w:szCs w:val="18"/>
                <w:lang w:val="en-GB"/>
              </w:rPr>
              <w:br/>
            </w:r>
            <w:r w:rsidRPr="007E57AE">
              <w:rPr>
                <w:rFonts w:eastAsia="KaiTi_GB2312"/>
                <w:snapToGrid/>
                <w:sz w:val="18"/>
                <w:szCs w:val="18"/>
                <w:lang w:val="en-GB"/>
              </w:rPr>
              <w:t>2002</w:t>
            </w:r>
            <w:r w:rsidRPr="007E57AE">
              <w:rPr>
                <w:rFonts w:eastAsia="KaiTi_GB2312"/>
                <w:snapToGrid/>
                <w:sz w:val="18"/>
                <w:szCs w:val="18"/>
                <w:lang w:val="en-GB"/>
              </w:rPr>
              <w:t>年</w:t>
            </w:r>
          </w:p>
        </w:tc>
        <w:tc>
          <w:tcPr>
            <w:tcW w:w="1026" w:type="dxa"/>
            <w:tcBorders>
              <w:top w:val="single" w:sz="4" w:space="0" w:color="auto"/>
              <w:bottom w:val="single" w:sz="12" w:space="0" w:color="auto"/>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KaiTi_GB2312"/>
                <w:snapToGrid/>
                <w:sz w:val="18"/>
                <w:szCs w:val="18"/>
                <w:lang w:val="en-GB"/>
              </w:rPr>
            </w:pPr>
            <w:r w:rsidRPr="007E57AE">
              <w:rPr>
                <w:rFonts w:eastAsia="KaiTi_GB2312"/>
                <w:snapToGrid/>
                <w:sz w:val="18"/>
                <w:szCs w:val="18"/>
                <w:lang w:val="en-GB"/>
              </w:rPr>
              <w:t>2002/</w:t>
            </w:r>
            <w:r w:rsidRPr="007E57AE">
              <w:rPr>
                <w:rFonts w:eastAsia="KaiTi_GB2312" w:hint="eastAsia"/>
                <w:snapToGrid/>
                <w:sz w:val="18"/>
                <w:szCs w:val="18"/>
                <w:lang w:val="en-GB"/>
              </w:rPr>
              <w:br/>
            </w:r>
            <w:r w:rsidRPr="007E57AE">
              <w:rPr>
                <w:rFonts w:eastAsia="KaiTi_GB2312"/>
                <w:snapToGrid/>
                <w:sz w:val="18"/>
                <w:szCs w:val="18"/>
                <w:lang w:val="en-GB"/>
              </w:rPr>
              <w:t>2003</w:t>
            </w:r>
            <w:r w:rsidRPr="007E57AE">
              <w:rPr>
                <w:rFonts w:eastAsia="KaiTi_GB2312"/>
                <w:snapToGrid/>
                <w:sz w:val="18"/>
                <w:szCs w:val="18"/>
                <w:lang w:val="en-GB"/>
              </w:rPr>
              <w:t>年</w:t>
            </w:r>
          </w:p>
        </w:tc>
        <w:tc>
          <w:tcPr>
            <w:tcW w:w="1026" w:type="dxa"/>
            <w:tcBorders>
              <w:top w:val="single" w:sz="4" w:space="0" w:color="auto"/>
              <w:bottom w:val="single" w:sz="12" w:space="0" w:color="auto"/>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KaiTi_GB2312"/>
                <w:snapToGrid/>
                <w:sz w:val="18"/>
                <w:szCs w:val="18"/>
                <w:lang w:val="en-GB"/>
              </w:rPr>
            </w:pPr>
            <w:r w:rsidRPr="007E57AE">
              <w:rPr>
                <w:rFonts w:eastAsia="KaiTi_GB2312"/>
                <w:snapToGrid/>
                <w:sz w:val="18"/>
                <w:szCs w:val="18"/>
                <w:lang w:val="en-GB"/>
              </w:rPr>
              <w:t>2003/</w:t>
            </w:r>
            <w:r w:rsidRPr="007E57AE">
              <w:rPr>
                <w:rFonts w:eastAsia="KaiTi_GB2312" w:hint="eastAsia"/>
                <w:snapToGrid/>
                <w:sz w:val="18"/>
                <w:szCs w:val="18"/>
                <w:lang w:val="en-GB"/>
              </w:rPr>
              <w:br/>
            </w:r>
            <w:r w:rsidRPr="007E57AE">
              <w:rPr>
                <w:rFonts w:eastAsia="KaiTi_GB2312"/>
                <w:snapToGrid/>
                <w:sz w:val="18"/>
                <w:szCs w:val="18"/>
                <w:lang w:val="en-GB"/>
              </w:rPr>
              <w:t>2004</w:t>
            </w:r>
            <w:r w:rsidRPr="007E57AE">
              <w:rPr>
                <w:rFonts w:eastAsia="KaiTi_GB2312"/>
                <w:snapToGrid/>
                <w:sz w:val="18"/>
                <w:szCs w:val="18"/>
                <w:lang w:val="en-GB"/>
              </w:rPr>
              <w:t>年</w:t>
            </w:r>
          </w:p>
        </w:tc>
        <w:tc>
          <w:tcPr>
            <w:tcW w:w="1026" w:type="dxa"/>
            <w:tcBorders>
              <w:top w:val="single" w:sz="4" w:space="0" w:color="auto"/>
              <w:bottom w:val="single" w:sz="12" w:space="0" w:color="auto"/>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KaiTi_GB2312"/>
                <w:snapToGrid/>
                <w:sz w:val="18"/>
                <w:szCs w:val="18"/>
                <w:lang w:val="en-GB"/>
              </w:rPr>
            </w:pPr>
            <w:r w:rsidRPr="007E57AE">
              <w:rPr>
                <w:rFonts w:eastAsia="KaiTi_GB2312"/>
                <w:snapToGrid/>
                <w:sz w:val="18"/>
                <w:szCs w:val="18"/>
                <w:lang w:val="en-GB"/>
              </w:rPr>
              <w:t>2004/</w:t>
            </w:r>
            <w:r w:rsidRPr="007E57AE">
              <w:rPr>
                <w:rFonts w:eastAsia="KaiTi_GB2312" w:hint="eastAsia"/>
                <w:snapToGrid/>
                <w:sz w:val="18"/>
                <w:szCs w:val="18"/>
                <w:lang w:val="en-GB"/>
              </w:rPr>
              <w:br/>
            </w:r>
            <w:r w:rsidRPr="007E57AE">
              <w:rPr>
                <w:rFonts w:eastAsia="KaiTi_GB2312"/>
                <w:snapToGrid/>
                <w:sz w:val="18"/>
                <w:szCs w:val="18"/>
                <w:lang w:val="en-GB"/>
              </w:rPr>
              <w:t>2005</w:t>
            </w:r>
            <w:r w:rsidRPr="007E57AE">
              <w:rPr>
                <w:rFonts w:eastAsia="KaiTi_GB2312"/>
                <w:snapToGrid/>
                <w:sz w:val="18"/>
                <w:szCs w:val="18"/>
                <w:lang w:val="en-GB"/>
              </w:rPr>
              <w:t>年</w:t>
            </w:r>
          </w:p>
        </w:tc>
        <w:tc>
          <w:tcPr>
            <w:tcW w:w="1026" w:type="dxa"/>
            <w:tcBorders>
              <w:top w:val="single" w:sz="4" w:space="0" w:color="auto"/>
              <w:bottom w:val="single" w:sz="12" w:space="0" w:color="auto"/>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KaiTi_GB2312"/>
                <w:snapToGrid/>
                <w:sz w:val="18"/>
                <w:szCs w:val="18"/>
                <w:lang w:val="en-GB"/>
              </w:rPr>
            </w:pPr>
            <w:r w:rsidRPr="007E57AE">
              <w:rPr>
                <w:rFonts w:eastAsia="KaiTi_GB2312"/>
                <w:snapToGrid/>
                <w:sz w:val="18"/>
                <w:szCs w:val="18"/>
                <w:lang w:val="en-GB"/>
              </w:rPr>
              <w:t>2005/</w:t>
            </w:r>
            <w:r w:rsidRPr="007E57AE">
              <w:rPr>
                <w:rFonts w:eastAsia="KaiTi_GB2312" w:hint="eastAsia"/>
                <w:snapToGrid/>
                <w:sz w:val="18"/>
                <w:szCs w:val="18"/>
                <w:lang w:val="en-GB"/>
              </w:rPr>
              <w:br/>
            </w:r>
            <w:r w:rsidRPr="007E57AE">
              <w:rPr>
                <w:rFonts w:eastAsia="KaiTi_GB2312"/>
                <w:snapToGrid/>
                <w:sz w:val="18"/>
                <w:szCs w:val="18"/>
                <w:lang w:val="en-GB"/>
              </w:rPr>
              <w:t>2006</w:t>
            </w:r>
            <w:r w:rsidRPr="007E57AE">
              <w:rPr>
                <w:rFonts w:eastAsia="KaiTi_GB2312"/>
                <w:snapToGrid/>
                <w:sz w:val="18"/>
                <w:szCs w:val="18"/>
                <w:lang w:val="en-GB"/>
              </w:rPr>
              <w:t>年</w:t>
            </w:r>
          </w:p>
        </w:tc>
        <w:tc>
          <w:tcPr>
            <w:tcW w:w="1026" w:type="dxa"/>
            <w:tcBorders>
              <w:top w:val="single" w:sz="4" w:space="0" w:color="auto"/>
              <w:bottom w:val="single" w:sz="12" w:space="0" w:color="auto"/>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KaiTi_GB2312"/>
                <w:snapToGrid/>
                <w:sz w:val="18"/>
                <w:szCs w:val="18"/>
                <w:lang w:val="en-GB"/>
              </w:rPr>
            </w:pPr>
            <w:r w:rsidRPr="007E57AE">
              <w:rPr>
                <w:rFonts w:eastAsia="KaiTi_GB2312"/>
                <w:snapToGrid/>
                <w:sz w:val="18"/>
                <w:szCs w:val="18"/>
                <w:lang w:val="en-GB"/>
              </w:rPr>
              <w:t>2006/</w:t>
            </w:r>
            <w:r w:rsidRPr="007E57AE">
              <w:rPr>
                <w:rFonts w:eastAsia="KaiTi_GB2312" w:hint="eastAsia"/>
                <w:snapToGrid/>
                <w:sz w:val="18"/>
                <w:szCs w:val="18"/>
                <w:lang w:val="en-GB"/>
              </w:rPr>
              <w:br/>
            </w:r>
            <w:r w:rsidRPr="007E57AE">
              <w:rPr>
                <w:rFonts w:eastAsia="KaiTi_GB2312"/>
                <w:snapToGrid/>
                <w:sz w:val="18"/>
                <w:szCs w:val="18"/>
                <w:lang w:val="en-GB"/>
              </w:rPr>
              <w:t>2007</w:t>
            </w:r>
            <w:r w:rsidRPr="007E57AE">
              <w:rPr>
                <w:rFonts w:eastAsia="KaiTi_GB2312"/>
                <w:snapToGrid/>
                <w:sz w:val="18"/>
                <w:szCs w:val="18"/>
                <w:lang w:val="en-GB"/>
              </w:rPr>
              <w:t>年</w:t>
            </w:r>
          </w:p>
        </w:tc>
        <w:tc>
          <w:tcPr>
            <w:tcW w:w="1012" w:type="dxa"/>
            <w:tcBorders>
              <w:top w:val="single" w:sz="4" w:space="0" w:color="auto"/>
              <w:bottom w:val="single" w:sz="12" w:space="0" w:color="auto"/>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KaiTi_GB2312"/>
                <w:snapToGrid/>
                <w:sz w:val="18"/>
                <w:szCs w:val="18"/>
                <w:lang w:val="en-GB"/>
              </w:rPr>
            </w:pPr>
            <w:r w:rsidRPr="007E57AE">
              <w:rPr>
                <w:rFonts w:eastAsia="KaiTi_GB2312"/>
                <w:snapToGrid/>
                <w:sz w:val="18"/>
                <w:szCs w:val="18"/>
                <w:lang w:val="en-GB"/>
              </w:rPr>
              <w:t>2007/</w:t>
            </w:r>
            <w:r w:rsidRPr="007E57AE">
              <w:rPr>
                <w:rFonts w:eastAsia="KaiTi_GB2312" w:hint="eastAsia"/>
                <w:snapToGrid/>
                <w:sz w:val="18"/>
                <w:szCs w:val="18"/>
                <w:lang w:val="en-GB"/>
              </w:rPr>
              <w:br/>
            </w:r>
            <w:r w:rsidRPr="007E57AE">
              <w:rPr>
                <w:rFonts w:eastAsia="KaiTi_GB2312"/>
                <w:snapToGrid/>
                <w:sz w:val="18"/>
                <w:szCs w:val="18"/>
                <w:lang w:val="en-GB"/>
              </w:rPr>
              <w:t>2008</w:t>
            </w:r>
            <w:r w:rsidRPr="007E57AE">
              <w:rPr>
                <w:rFonts w:eastAsia="KaiTi_GB2312"/>
                <w:snapToGrid/>
                <w:sz w:val="18"/>
                <w:szCs w:val="18"/>
                <w:lang w:val="en-GB"/>
              </w:rPr>
              <w:t>年</w:t>
            </w:r>
          </w:p>
        </w:tc>
      </w:tr>
      <w:tr w:rsidR="00A93F62">
        <w:trPr>
          <w:trHeight w:val="330"/>
        </w:trPr>
        <w:tc>
          <w:tcPr>
            <w:cnfStyle w:val="001000000000" w:firstRow="0" w:lastRow="0" w:firstColumn="1" w:lastColumn="0" w:oddVBand="0" w:evenVBand="0" w:oddHBand="0" w:evenHBand="0" w:firstRowFirstColumn="0" w:firstRowLastColumn="0" w:lastRowFirstColumn="0" w:lastRowLastColumn="0"/>
            <w:tcW w:w="1407" w:type="dxa"/>
            <w:tcBorders>
              <w:top w:val="single" w:sz="12" w:space="0" w:color="auto"/>
            </w:tcBorders>
          </w:tcPr>
          <w:p w:rsidR="00A93F62" w:rsidRPr="007E57AE" w:rsidRDefault="00A93F62">
            <w:pPr>
              <w:tabs>
                <w:tab w:val="clear" w:pos="431"/>
              </w:tabs>
              <w:suppressAutoHyphens/>
              <w:overflowPunct/>
              <w:adjustRightInd/>
              <w:snapToGrid/>
              <w:spacing w:before="0" w:after="0" w:line="240" w:lineRule="auto"/>
              <w:rPr>
                <w:b/>
                <w:snapToGrid/>
                <w:sz w:val="18"/>
                <w:szCs w:val="18"/>
                <w:lang w:val="en-GB"/>
              </w:rPr>
            </w:pPr>
            <w:r w:rsidRPr="007E57AE">
              <w:rPr>
                <w:rFonts w:eastAsia="SimHei"/>
                <w:snapToGrid/>
                <w:sz w:val="18"/>
                <w:szCs w:val="18"/>
                <w:lang w:val="en-GB"/>
              </w:rPr>
              <w:t>土库曼斯坦</w:t>
            </w:r>
          </w:p>
        </w:tc>
        <w:tc>
          <w:tcPr>
            <w:tcW w:w="1063" w:type="dxa"/>
            <w:tcBorders>
              <w:top w:val="single" w:sz="12" w:space="0" w:color="auto"/>
            </w:tcBorders>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922</w:t>
            </w:r>
          </w:p>
        </w:tc>
        <w:tc>
          <w:tcPr>
            <w:tcW w:w="1025" w:type="dxa"/>
            <w:tcBorders>
              <w:top w:val="single" w:sz="12" w:space="0" w:color="auto"/>
            </w:tcBorders>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700</w:t>
            </w:r>
          </w:p>
        </w:tc>
        <w:tc>
          <w:tcPr>
            <w:tcW w:w="1026" w:type="dxa"/>
            <w:tcBorders>
              <w:top w:val="single" w:sz="12" w:space="0" w:color="auto"/>
            </w:tcBorders>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701</w:t>
            </w:r>
          </w:p>
        </w:tc>
        <w:tc>
          <w:tcPr>
            <w:tcW w:w="1026" w:type="dxa"/>
            <w:tcBorders>
              <w:top w:val="single" w:sz="12" w:space="0" w:color="auto"/>
            </w:tcBorders>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705</w:t>
            </w:r>
          </w:p>
        </w:tc>
        <w:tc>
          <w:tcPr>
            <w:tcW w:w="1026" w:type="dxa"/>
            <w:tcBorders>
              <w:top w:val="single" w:sz="12" w:space="0" w:color="auto"/>
            </w:tcBorders>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704</w:t>
            </w:r>
          </w:p>
        </w:tc>
        <w:tc>
          <w:tcPr>
            <w:tcW w:w="1026" w:type="dxa"/>
            <w:tcBorders>
              <w:top w:val="single" w:sz="12" w:space="0" w:color="auto"/>
            </w:tcBorders>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710</w:t>
            </w:r>
          </w:p>
        </w:tc>
        <w:tc>
          <w:tcPr>
            <w:tcW w:w="1026" w:type="dxa"/>
            <w:tcBorders>
              <w:top w:val="single" w:sz="12" w:space="0" w:color="auto"/>
            </w:tcBorders>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708</w:t>
            </w:r>
          </w:p>
        </w:tc>
        <w:tc>
          <w:tcPr>
            <w:tcW w:w="1012" w:type="dxa"/>
            <w:tcBorders>
              <w:top w:val="single" w:sz="12" w:space="0" w:color="auto"/>
            </w:tcBorders>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711</w:t>
            </w:r>
          </w:p>
        </w:tc>
      </w:tr>
      <w:tr w:rsidR="00A93F62">
        <w:trPr>
          <w:trHeight w:val="330"/>
        </w:trPr>
        <w:tc>
          <w:tcPr>
            <w:cnfStyle w:val="001000000000" w:firstRow="0" w:lastRow="0" w:firstColumn="1" w:lastColumn="0" w:oddVBand="0" w:evenVBand="0" w:oddHBand="0" w:evenHBand="0" w:firstRowFirstColumn="0" w:firstRowLastColumn="0" w:lastRowFirstColumn="0" w:lastRowLastColumn="0"/>
            <w:tcW w:w="1407"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r w:rsidRPr="007E57AE">
              <w:rPr>
                <w:snapToGrid/>
                <w:sz w:val="18"/>
                <w:szCs w:val="18"/>
                <w:lang w:val="en-GB"/>
              </w:rPr>
              <w:t>阿什哈巴德市</w:t>
            </w:r>
          </w:p>
        </w:tc>
        <w:tc>
          <w:tcPr>
            <w:tcW w:w="1063"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89</w:t>
            </w:r>
          </w:p>
        </w:tc>
        <w:tc>
          <w:tcPr>
            <w:tcW w:w="1025"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89</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84</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86</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86</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86</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86</w:t>
            </w:r>
          </w:p>
        </w:tc>
        <w:tc>
          <w:tcPr>
            <w:tcW w:w="1012"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88</w:t>
            </w:r>
          </w:p>
        </w:tc>
      </w:tr>
      <w:tr w:rsidR="00A93F62">
        <w:trPr>
          <w:trHeight w:val="330"/>
        </w:trPr>
        <w:tc>
          <w:tcPr>
            <w:cnfStyle w:val="001000000000" w:firstRow="0" w:lastRow="0" w:firstColumn="1" w:lastColumn="0" w:oddVBand="0" w:evenVBand="0" w:oddHBand="0" w:evenHBand="0" w:firstRowFirstColumn="0" w:firstRowLastColumn="0" w:lastRowFirstColumn="0" w:lastRowLastColumn="0"/>
            <w:tcW w:w="1407"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r w:rsidRPr="007E57AE">
              <w:rPr>
                <w:snapToGrid/>
                <w:sz w:val="18"/>
                <w:szCs w:val="18"/>
                <w:lang w:val="en-GB"/>
              </w:rPr>
              <w:t>省区：</w:t>
            </w:r>
          </w:p>
        </w:tc>
        <w:tc>
          <w:tcPr>
            <w:tcW w:w="1063"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25"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12"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r>
      <w:tr w:rsidR="00A93F62">
        <w:trPr>
          <w:trHeight w:val="330"/>
        </w:trPr>
        <w:tc>
          <w:tcPr>
            <w:cnfStyle w:val="001000000000" w:firstRow="0" w:lastRow="0" w:firstColumn="1" w:lastColumn="0" w:oddVBand="0" w:evenVBand="0" w:oddHBand="0" w:evenHBand="0" w:firstRowFirstColumn="0" w:firstRowLastColumn="0" w:lastRowFirstColumn="0" w:lastRowLastColumn="0"/>
            <w:tcW w:w="1407"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rPr>
            </w:pPr>
            <w:r w:rsidRPr="007E57AE">
              <w:rPr>
                <w:snapToGrid/>
                <w:sz w:val="18"/>
                <w:szCs w:val="18"/>
                <w:lang w:val="en-GB"/>
              </w:rPr>
              <w:t>阿哈尔省</w:t>
            </w:r>
          </w:p>
        </w:tc>
        <w:tc>
          <w:tcPr>
            <w:tcW w:w="1063"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rPr>
              <w:t>28</w:t>
            </w:r>
            <w:r w:rsidRPr="007E57AE">
              <w:rPr>
                <w:snapToGrid/>
                <w:sz w:val="18"/>
                <w:szCs w:val="18"/>
                <w:lang w:val="en-GB" w:eastAsia="en-US"/>
              </w:rPr>
              <w:t>8</w:t>
            </w:r>
          </w:p>
        </w:tc>
        <w:tc>
          <w:tcPr>
            <w:tcW w:w="1025"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233</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239</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240</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239</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239</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239</w:t>
            </w:r>
          </w:p>
        </w:tc>
        <w:tc>
          <w:tcPr>
            <w:tcW w:w="1012"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240</w:t>
            </w:r>
          </w:p>
        </w:tc>
      </w:tr>
      <w:tr w:rsidR="00A93F62">
        <w:trPr>
          <w:trHeight w:val="330"/>
        </w:trPr>
        <w:tc>
          <w:tcPr>
            <w:cnfStyle w:val="001000000000" w:firstRow="0" w:lastRow="0" w:firstColumn="1" w:lastColumn="0" w:oddVBand="0" w:evenVBand="0" w:oddHBand="0" w:evenHBand="0" w:firstRowFirstColumn="0" w:firstRowLastColumn="0" w:lastRowFirstColumn="0" w:lastRowLastColumn="0"/>
            <w:tcW w:w="1407"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eastAsia="en-US"/>
              </w:rPr>
            </w:pPr>
            <w:r w:rsidRPr="007E57AE">
              <w:rPr>
                <w:snapToGrid/>
                <w:sz w:val="18"/>
                <w:szCs w:val="18"/>
                <w:lang w:val="en-GB"/>
              </w:rPr>
              <w:t>巴尔干省</w:t>
            </w:r>
          </w:p>
        </w:tc>
        <w:tc>
          <w:tcPr>
            <w:tcW w:w="1063"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190</w:t>
            </w:r>
          </w:p>
        </w:tc>
        <w:tc>
          <w:tcPr>
            <w:tcW w:w="1025"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144</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144</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144</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144</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144</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144</w:t>
            </w:r>
          </w:p>
        </w:tc>
        <w:tc>
          <w:tcPr>
            <w:tcW w:w="1012"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144</w:t>
            </w:r>
          </w:p>
        </w:tc>
      </w:tr>
      <w:tr w:rsidR="00A93F62">
        <w:trPr>
          <w:trHeight w:val="330"/>
        </w:trPr>
        <w:tc>
          <w:tcPr>
            <w:cnfStyle w:val="001000000000" w:firstRow="0" w:lastRow="0" w:firstColumn="1" w:lastColumn="0" w:oddVBand="0" w:evenVBand="0" w:oddHBand="0" w:evenHBand="0" w:firstRowFirstColumn="0" w:firstRowLastColumn="0" w:lastRowFirstColumn="0" w:lastRowLastColumn="0"/>
            <w:tcW w:w="1407"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eastAsia="en-US"/>
              </w:rPr>
            </w:pPr>
            <w:r w:rsidRPr="007E57AE">
              <w:rPr>
                <w:snapToGrid/>
                <w:sz w:val="18"/>
                <w:szCs w:val="18"/>
                <w:lang w:val="en-GB"/>
              </w:rPr>
              <w:t>达守古斯省</w:t>
            </w:r>
          </w:p>
        </w:tc>
        <w:tc>
          <w:tcPr>
            <w:tcW w:w="1063"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538</w:t>
            </w:r>
          </w:p>
        </w:tc>
        <w:tc>
          <w:tcPr>
            <w:tcW w:w="1025"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503</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503</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503</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503</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509</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507</w:t>
            </w:r>
          </w:p>
        </w:tc>
        <w:tc>
          <w:tcPr>
            <w:tcW w:w="1012"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507</w:t>
            </w:r>
          </w:p>
        </w:tc>
      </w:tr>
      <w:tr w:rsidR="00A93F62">
        <w:trPr>
          <w:trHeight w:val="330"/>
        </w:trPr>
        <w:tc>
          <w:tcPr>
            <w:cnfStyle w:val="001000000000" w:firstRow="0" w:lastRow="0" w:firstColumn="1" w:lastColumn="0" w:oddVBand="0" w:evenVBand="0" w:oddHBand="0" w:evenHBand="0" w:firstRowFirstColumn="0" w:firstRowLastColumn="0" w:lastRowFirstColumn="0" w:lastRowLastColumn="0"/>
            <w:tcW w:w="1407"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eastAsia="en-US"/>
              </w:rPr>
            </w:pPr>
            <w:r w:rsidRPr="007E57AE">
              <w:rPr>
                <w:snapToGrid/>
                <w:sz w:val="18"/>
                <w:szCs w:val="18"/>
                <w:lang w:val="en-GB"/>
              </w:rPr>
              <w:t>列巴普省</w:t>
            </w:r>
          </w:p>
        </w:tc>
        <w:tc>
          <w:tcPr>
            <w:tcW w:w="1063"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428</w:t>
            </w:r>
          </w:p>
        </w:tc>
        <w:tc>
          <w:tcPr>
            <w:tcW w:w="1025"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358</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358</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358</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358</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358</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358</w:t>
            </w:r>
          </w:p>
        </w:tc>
        <w:tc>
          <w:tcPr>
            <w:tcW w:w="1012"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358</w:t>
            </w:r>
          </w:p>
        </w:tc>
      </w:tr>
      <w:tr w:rsidR="00A93F62">
        <w:trPr>
          <w:trHeight w:val="330"/>
        </w:trPr>
        <w:tc>
          <w:tcPr>
            <w:cnfStyle w:val="001000000000" w:firstRow="0" w:lastRow="0" w:firstColumn="1" w:lastColumn="0" w:oddVBand="0" w:evenVBand="0" w:oddHBand="0" w:evenHBand="0" w:firstRowFirstColumn="0" w:firstRowLastColumn="0" w:lastRowFirstColumn="0" w:lastRowLastColumn="0"/>
            <w:tcW w:w="1407" w:type="dxa"/>
          </w:tcPr>
          <w:p w:rsidR="00A93F62" w:rsidRPr="007E57AE" w:rsidRDefault="00A93F62">
            <w:pPr>
              <w:tabs>
                <w:tab w:val="clear" w:pos="431"/>
              </w:tabs>
              <w:suppressAutoHyphens/>
              <w:overflowPunct/>
              <w:adjustRightInd/>
              <w:snapToGrid/>
              <w:spacing w:before="0" w:after="0" w:line="240" w:lineRule="auto"/>
              <w:rPr>
                <w:snapToGrid/>
                <w:sz w:val="18"/>
                <w:szCs w:val="18"/>
                <w:lang w:val="en-GB" w:eastAsia="en-US"/>
              </w:rPr>
            </w:pPr>
            <w:r w:rsidRPr="007E57AE">
              <w:rPr>
                <w:snapToGrid/>
                <w:sz w:val="18"/>
                <w:szCs w:val="18"/>
                <w:lang w:val="en-GB"/>
              </w:rPr>
              <w:t>马雷伊省</w:t>
            </w:r>
          </w:p>
        </w:tc>
        <w:tc>
          <w:tcPr>
            <w:tcW w:w="1063"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389</w:t>
            </w:r>
          </w:p>
        </w:tc>
        <w:tc>
          <w:tcPr>
            <w:tcW w:w="1025"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373</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373</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374</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374</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374</w:t>
            </w:r>
          </w:p>
        </w:tc>
        <w:tc>
          <w:tcPr>
            <w:tcW w:w="1026"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374</w:t>
            </w:r>
          </w:p>
        </w:tc>
        <w:tc>
          <w:tcPr>
            <w:tcW w:w="1012" w:type="dxa"/>
          </w:tcPr>
          <w:p w:rsidR="00A93F62" w:rsidRPr="007E57AE" w:rsidRDefault="00A93F62" w:rsidP="00365AE4">
            <w:pPr>
              <w:tabs>
                <w:tab w:val="clear" w:pos="431"/>
              </w:tabs>
              <w:suppressAutoHyphens/>
              <w:overflowPunct/>
              <w:adjustRightInd/>
              <w:snapToGrid/>
              <w:spacing w:before="0"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374</w:t>
            </w:r>
          </w:p>
        </w:tc>
      </w:tr>
    </w:tbl>
    <w:p w:rsidR="00A93F62" w:rsidRDefault="00A93F62">
      <w:pPr>
        <w:tabs>
          <w:tab w:val="clear" w:pos="431"/>
        </w:tabs>
        <w:suppressAutoHyphens/>
        <w:overflowPunct/>
        <w:adjustRightInd/>
        <w:snapToGrid/>
        <w:spacing w:beforeLines="100" w:before="326" w:after="120" w:line="320" w:lineRule="atLeast"/>
        <w:ind w:left="1134" w:right="1134"/>
        <w:rPr>
          <w:snapToGrid/>
          <w:szCs w:val="21"/>
          <w:lang w:val="en-GB"/>
        </w:rPr>
      </w:pPr>
      <w:r>
        <w:rPr>
          <w:snapToGrid/>
          <w:szCs w:val="21"/>
          <w:lang w:val="en-GB"/>
        </w:rPr>
        <w:t>293.</w:t>
      </w:r>
      <w:r>
        <w:rPr>
          <w:rFonts w:hint="eastAsia"/>
          <w:snapToGrid/>
          <w:szCs w:val="21"/>
          <w:lang w:val="en-GB"/>
        </w:rPr>
        <w:t xml:space="preserve">  </w:t>
      </w:r>
      <w:r>
        <w:rPr>
          <w:snapToGrid/>
          <w:szCs w:val="21"/>
          <w:lang w:val="en-GB"/>
        </w:rPr>
        <w:t>中学学生人数，千人</w:t>
      </w:r>
    </w:p>
    <w:tbl>
      <w:tblPr>
        <w:tblStyle w:val="TabNum"/>
        <w:tblW w:w="9637" w:type="dxa"/>
        <w:tblLayout w:type="fixed"/>
        <w:tblLook w:val="01E0" w:firstRow="1" w:lastRow="1" w:firstColumn="1" w:lastColumn="1" w:noHBand="0" w:noVBand="0"/>
      </w:tblPr>
      <w:tblGrid>
        <w:gridCol w:w="1412"/>
        <w:gridCol w:w="1029"/>
        <w:gridCol w:w="1028"/>
        <w:gridCol w:w="1028"/>
        <w:gridCol w:w="1052"/>
        <w:gridCol w:w="1004"/>
        <w:gridCol w:w="1028"/>
        <w:gridCol w:w="1028"/>
        <w:gridCol w:w="1028"/>
      </w:tblGrid>
      <w:tr w:rsidR="00A93F62">
        <w:trPr>
          <w:trHeight w:val="539"/>
          <w:tblHeader/>
        </w:trPr>
        <w:tc>
          <w:tcPr>
            <w:cnfStyle w:val="001000000000" w:firstRow="0" w:lastRow="0" w:firstColumn="1" w:lastColumn="0" w:oddVBand="0" w:evenVBand="0" w:oddHBand="0" w:evenHBand="0" w:firstRowFirstColumn="0" w:firstRowLastColumn="0" w:lastRowFirstColumn="0" w:lastRowLastColumn="0"/>
            <w:tcW w:w="1412" w:type="dxa"/>
            <w:tcBorders>
              <w:bottom w:val="single" w:sz="12" w:space="0" w:color="auto"/>
            </w:tcBorders>
            <w:shd w:val="clear" w:color="auto" w:fill="auto"/>
          </w:tcPr>
          <w:p w:rsidR="00A93F62" w:rsidRPr="007E57AE" w:rsidRDefault="00A93F62">
            <w:pPr>
              <w:tabs>
                <w:tab w:val="clear" w:pos="431"/>
              </w:tabs>
              <w:suppressAutoHyphens/>
              <w:overflowPunct/>
              <w:adjustRightInd/>
              <w:snapToGrid/>
              <w:spacing w:after="0" w:line="240" w:lineRule="atLeast"/>
              <w:rPr>
                <w:i/>
                <w:snapToGrid/>
                <w:sz w:val="18"/>
                <w:szCs w:val="18"/>
                <w:lang w:val="en-GB" w:eastAsia="en-US"/>
              </w:rPr>
            </w:pPr>
          </w:p>
        </w:tc>
        <w:tc>
          <w:tcPr>
            <w:tcW w:w="1029"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2000/</w:t>
            </w:r>
            <w:r w:rsidRPr="007E57AE">
              <w:rPr>
                <w:rFonts w:eastAsia="KaiTi_GB2312" w:hint="eastAsia"/>
                <w:snapToGrid/>
                <w:sz w:val="18"/>
                <w:szCs w:val="18"/>
                <w:lang w:val="en-GB"/>
              </w:rPr>
              <w:br/>
            </w:r>
            <w:r w:rsidRPr="007E57AE">
              <w:rPr>
                <w:rFonts w:eastAsia="KaiTi_GB2312"/>
                <w:snapToGrid/>
                <w:sz w:val="18"/>
                <w:szCs w:val="18"/>
                <w:lang w:val="en-GB"/>
              </w:rPr>
              <w:t>2001</w:t>
            </w:r>
            <w:r w:rsidRPr="007E57AE">
              <w:rPr>
                <w:rFonts w:eastAsia="KaiTi_GB2312"/>
                <w:snapToGrid/>
                <w:sz w:val="18"/>
                <w:szCs w:val="18"/>
                <w:lang w:val="en-GB"/>
              </w:rPr>
              <w:t>年</w:t>
            </w:r>
          </w:p>
        </w:tc>
        <w:tc>
          <w:tcPr>
            <w:tcW w:w="1028"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2001/</w:t>
            </w:r>
            <w:r w:rsidRPr="007E57AE">
              <w:rPr>
                <w:rFonts w:eastAsia="KaiTi_GB2312" w:hint="eastAsia"/>
                <w:snapToGrid/>
                <w:sz w:val="18"/>
                <w:szCs w:val="18"/>
                <w:lang w:val="en-GB"/>
              </w:rPr>
              <w:br/>
            </w:r>
            <w:r w:rsidRPr="007E57AE">
              <w:rPr>
                <w:rFonts w:eastAsia="KaiTi_GB2312"/>
                <w:snapToGrid/>
                <w:sz w:val="18"/>
                <w:szCs w:val="18"/>
                <w:lang w:val="en-GB"/>
              </w:rPr>
              <w:t>2002</w:t>
            </w:r>
            <w:r w:rsidRPr="007E57AE">
              <w:rPr>
                <w:rFonts w:eastAsia="KaiTi_GB2312"/>
                <w:snapToGrid/>
                <w:sz w:val="18"/>
                <w:szCs w:val="18"/>
                <w:lang w:val="en-GB"/>
              </w:rPr>
              <w:t>年</w:t>
            </w:r>
          </w:p>
        </w:tc>
        <w:tc>
          <w:tcPr>
            <w:tcW w:w="1028"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2002/</w:t>
            </w:r>
            <w:r w:rsidRPr="007E57AE">
              <w:rPr>
                <w:rFonts w:eastAsia="KaiTi_GB2312" w:hint="eastAsia"/>
                <w:snapToGrid/>
                <w:sz w:val="18"/>
                <w:szCs w:val="18"/>
                <w:lang w:val="en-GB"/>
              </w:rPr>
              <w:br/>
            </w:r>
            <w:r w:rsidRPr="007E57AE">
              <w:rPr>
                <w:rFonts w:eastAsia="KaiTi_GB2312"/>
                <w:snapToGrid/>
                <w:sz w:val="18"/>
                <w:szCs w:val="18"/>
                <w:lang w:val="en-GB"/>
              </w:rPr>
              <w:t>2003</w:t>
            </w:r>
            <w:r w:rsidRPr="007E57AE">
              <w:rPr>
                <w:rFonts w:eastAsia="KaiTi_GB2312"/>
                <w:snapToGrid/>
                <w:sz w:val="18"/>
                <w:szCs w:val="18"/>
                <w:lang w:val="en-GB"/>
              </w:rPr>
              <w:t>年</w:t>
            </w:r>
          </w:p>
        </w:tc>
        <w:tc>
          <w:tcPr>
            <w:tcW w:w="1052"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2003/</w:t>
            </w:r>
            <w:r w:rsidRPr="007E57AE">
              <w:rPr>
                <w:rFonts w:eastAsia="KaiTi_GB2312" w:hint="eastAsia"/>
                <w:snapToGrid/>
                <w:sz w:val="18"/>
                <w:szCs w:val="18"/>
                <w:lang w:val="en-GB"/>
              </w:rPr>
              <w:br/>
            </w:r>
            <w:r w:rsidRPr="007E57AE">
              <w:rPr>
                <w:rFonts w:eastAsia="KaiTi_GB2312"/>
                <w:snapToGrid/>
                <w:sz w:val="18"/>
                <w:szCs w:val="18"/>
                <w:lang w:val="en-GB"/>
              </w:rPr>
              <w:t>2004</w:t>
            </w:r>
            <w:r w:rsidRPr="007E57AE">
              <w:rPr>
                <w:rFonts w:eastAsia="KaiTi_GB2312"/>
                <w:snapToGrid/>
                <w:sz w:val="18"/>
                <w:szCs w:val="18"/>
                <w:lang w:val="en-GB"/>
              </w:rPr>
              <w:t>年</w:t>
            </w:r>
          </w:p>
        </w:tc>
        <w:tc>
          <w:tcPr>
            <w:tcW w:w="1004"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2004/</w:t>
            </w:r>
            <w:r w:rsidRPr="007E57AE">
              <w:rPr>
                <w:rFonts w:eastAsia="KaiTi_GB2312" w:hint="eastAsia"/>
                <w:snapToGrid/>
                <w:sz w:val="18"/>
                <w:szCs w:val="18"/>
                <w:lang w:val="en-GB"/>
              </w:rPr>
              <w:br/>
            </w:r>
            <w:r w:rsidRPr="007E57AE">
              <w:rPr>
                <w:rFonts w:eastAsia="KaiTi_GB2312"/>
                <w:snapToGrid/>
                <w:sz w:val="18"/>
                <w:szCs w:val="18"/>
                <w:lang w:val="en-GB"/>
              </w:rPr>
              <w:t>2005</w:t>
            </w:r>
            <w:r w:rsidRPr="007E57AE">
              <w:rPr>
                <w:rFonts w:eastAsia="KaiTi_GB2312"/>
                <w:snapToGrid/>
                <w:sz w:val="18"/>
                <w:szCs w:val="18"/>
                <w:lang w:val="en-GB"/>
              </w:rPr>
              <w:t>年</w:t>
            </w:r>
          </w:p>
        </w:tc>
        <w:tc>
          <w:tcPr>
            <w:tcW w:w="1028"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2005/</w:t>
            </w:r>
            <w:r w:rsidRPr="007E57AE">
              <w:rPr>
                <w:rFonts w:eastAsia="KaiTi_GB2312" w:hint="eastAsia"/>
                <w:snapToGrid/>
                <w:sz w:val="18"/>
                <w:szCs w:val="18"/>
                <w:lang w:val="en-GB"/>
              </w:rPr>
              <w:br/>
            </w:r>
            <w:r w:rsidRPr="007E57AE">
              <w:rPr>
                <w:rFonts w:eastAsia="KaiTi_GB2312"/>
                <w:snapToGrid/>
                <w:sz w:val="18"/>
                <w:szCs w:val="18"/>
                <w:lang w:val="en-GB"/>
              </w:rPr>
              <w:t>2006</w:t>
            </w:r>
            <w:r w:rsidRPr="007E57AE">
              <w:rPr>
                <w:rFonts w:eastAsia="KaiTi_GB2312"/>
                <w:snapToGrid/>
                <w:sz w:val="18"/>
                <w:szCs w:val="18"/>
                <w:lang w:val="en-GB"/>
              </w:rPr>
              <w:t>年</w:t>
            </w:r>
          </w:p>
        </w:tc>
        <w:tc>
          <w:tcPr>
            <w:tcW w:w="1028"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2006/</w:t>
            </w:r>
            <w:r w:rsidRPr="007E57AE">
              <w:rPr>
                <w:rFonts w:eastAsia="KaiTi_GB2312" w:hint="eastAsia"/>
                <w:snapToGrid/>
                <w:sz w:val="18"/>
                <w:szCs w:val="18"/>
                <w:lang w:val="en-GB"/>
              </w:rPr>
              <w:br/>
            </w:r>
            <w:r w:rsidRPr="007E57AE">
              <w:rPr>
                <w:rFonts w:eastAsia="KaiTi_GB2312"/>
                <w:snapToGrid/>
                <w:sz w:val="18"/>
                <w:szCs w:val="18"/>
                <w:lang w:val="en-GB"/>
              </w:rPr>
              <w:t>2007</w:t>
            </w:r>
            <w:r w:rsidRPr="007E57AE">
              <w:rPr>
                <w:rFonts w:eastAsia="KaiTi_GB2312"/>
                <w:snapToGrid/>
                <w:sz w:val="18"/>
                <w:szCs w:val="18"/>
                <w:lang w:val="en-GB"/>
              </w:rPr>
              <w:t>年</w:t>
            </w:r>
          </w:p>
        </w:tc>
        <w:tc>
          <w:tcPr>
            <w:tcW w:w="1028"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2007/</w:t>
            </w:r>
            <w:r w:rsidRPr="007E57AE">
              <w:rPr>
                <w:rFonts w:eastAsia="KaiTi_GB2312" w:hint="eastAsia"/>
                <w:snapToGrid/>
                <w:sz w:val="18"/>
                <w:szCs w:val="18"/>
                <w:lang w:val="en-GB"/>
              </w:rPr>
              <w:br/>
            </w:r>
            <w:r w:rsidRPr="007E57AE">
              <w:rPr>
                <w:rFonts w:eastAsia="KaiTi_GB2312"/>
                <w:snapToGrid/>
                <w:sz w:val="18"/>
                <w:szCs w:val="18"/>
                <w:lang w:val="en-GB"/>
              </w:rPr>
              <w:t>2008</w:t>
            </w:r>
            <w:r w:rsidRPr="007E57AE">
              <w:rPr>
                <w:rFonts w:eastAsia="KaiTi_GB2312"/>
                <w:snapToGrid/>
                <w:sz w:val="18"/>
                <w:szCs w:val="18"/>
                <w:lang w:val="en-GB"/>
              </w:rPr>
              <w:t>年</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Borders>
              <w:top w:val="single" w:sz="12" w:space="0" w:color="auto"/>
            </w:tcBorders>
          </w:tcPr>
          <w:p w:rsidR="00A93F62" w:rsidRPr="007E57AE" w:rsidRDefault="00A93F62">
            <w:pPr>
              <w:tabs>
                <w:tab w:val="clear" w:pos="431"/>
              </w:tabs>
              <w:suppressAutoHyphens/>
              <w:overflowPunct/>
              <w:adjustRightInd/>
              <w:snapToGrid/>
              <w:spacing w:after="120" w:line="240" w:lineRule="atLeast"/>
              <w:rPr>
                <w:b/>
                <w:snapToGrid/>
                <w:sz w:val="18"/>
                <w:szCs w:val="18"/>
                <w:lang w:val="en-GB"/>
              </w:rPr>
            </w:pPr>
            <w:r w:rsidRPr="007E57AE">
              <w:rPr>
                <w:rFonts w:eastAsia="SimHei"/>
                <w:snapToGrid/>
                <w:sz w:val="18"/>
                <w:szCs w:val="18"/>
                <w:lang w:val="en-GB"/>
              </w:rPr>
              <w:t>土库曼斯坦</w:t>
            </w:r>
          </w:p>
        </w:tc>
        <w:tc>
          <w:tcPr>
            <w:tcW w:w="1029"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017.1</w:t>
            </w:r>
          </w:p>
        </w:tc>
        <w:tc>
          <w:tcPr>
            <w:tcW w:w="1028"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035.1</w:t>
            </w:r>
          </w:p>
        </w:tc>
        <w:tc>
          <w:tcPr>
            <w:tcW w:w="1028"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029.2</w:t>
            </w:r>
          </w:p>
        </w:tc>
        <w:tc>
          <w:tcPr>
            <w:tcW w:w="1052"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018.6</w:t>
            </w:r>
          </w:p>
        </w:tc>
        <w:tc>
          <w:tcPr>
            <w:tcW w:w="1004"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001.2</w:t>
            </w:r>
          </w:p>
        </w:tc>
        <w:tc>
          <w:tcPr>
            <w:tcW w:w="1028"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981.9</w:t>
            </w:r>
          </w:p>
        </w:tc>
        <w:tc>
          <w:tcPr>
            <w:tcW w:w="1028"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957.9</w:t>
            </w:r>
          </w:p>
        </w:tc>
        <w:tc>
          <w:tcPr>
            <w:tcW w:w="1028"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040.0</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A93F62" w:rsidRPr="007E57AE" w:rsidRDefault="00A93F62">
            <w:pPr>
              <w:tabs>
                <w:tab w:val="clear" w:pos="431"/>
              </w:tabs>
              <w:suppressAutoHyphens/>
              <w:overflowPunct/>
              <w:adjustRightInd/>
              <w:snapToGrid/>
              <w:spacing w:after="120" w:line="240" w:lineRule="atLeast"/>
              <w:rPr>
                <w:snapToGrid/>
                <w:sz w:val="18"/>
                <w:szCs w:val="18"/>
                <w:lang w:val="en-GB"/>
              </w:rPr>
            </w:pPr>
            <w:r w:rsidRPr="007E57AE">
              <w:rPr>
                <w:snapToGrid/>
                <w:sz w:val="18"/>
                <w:szCs w:val="18"/>
                <w:lang w:val="en-GB"/>
              </w:rPr>
              <w:t>阿什哈巴德市</w:t>
            </w:r>
          </w:p>
        </w:tc>
        <w:tc>
          <w:tcPr>
            <w:tcW w:w="1029"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88.5</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90.7</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86.0</w:t>
            </w:r>
          </w:p>
        </w:tc>
        <w:tc>
          <w:tcPr>
            <w:tcW w:w="1052"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86.2</w:t>
            </w:r>
          </w:p>
        </w:tc>
        <w:tc>
          <w:tcPr>
            <w:tcW w:w="1004"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84.4</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82.6</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80.8</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87.9</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省区：</w:t>
            </w:r>
          </w:p>
        </w:tc>
        <w:tc>
          <w:tcPr>
            <w:tcW w:w="1029"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52"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04"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阿哈尔省</w:t>
            </w:r>
          </w:p>
        </w:tc>
        <w:tc>
          <w:tcPr>
            <w:tcW w:w="1029"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153.1</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156.7</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161.3</w:t>
            </w:r>
          </w:p>
        </w:tc>
        <w:tc>
          <w:tcPr>
            <w:tcW w:w="1052"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160.3</w:t>
            </w:r>
          </w:p>
        </w:tc>
        <w:tc>
          <w:tcPr>
            <w:tcW w:w="1004"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157.3</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153.0</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147.7</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159.5</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巴尔干省</w:t>
            </w:r>
          </w:p>
        </w:tc>
        <w:tc>
          <w:tcPr>
            <w:tcW w:w="1029"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75.9</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75.9</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74.3</w:t>
            </w:r>
          </w:p>
        </w:tc>
        <w:tc>
          <w:tcPr>
            <w:tcW w:w="1052"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72.9</w:t>
            </w:r>
          </w:p>
        </w:tc>
        <w:tc>
          <w:tcPr>
            <w:tcW w:w="1004"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70.9</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69.1</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67.8</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73.5</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达守古斯省</w:t>
            </w:r>
          </w:p>
        </w:tc>
        <w:tc>
          <w:tcPr>
            <w:tcW w:w="1029"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228.6</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230.4</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222.8</w:t>
            </w:r>
          </w:p>
        </w:tc>
        <w:tc>
          <w:tcPr>
            <w:tcW w:w="1052"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219.7</w:t>
            </w:r>
          </w:p>
        </w:tc>
        <w:tc>
          <w:tcPr>
            <w:tcW w:w="1004"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216.1</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213.8</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209.2</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228.2</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列巴普省</w:t>
            </w:r>
          </w:p>
        </w:tc>
        <w:tc>
          <w:tcPr>
            <w:tcW w:w="1029"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226.0</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230.5</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230.5</w:t>
            </w:r>
          </w:p>
        </w:tc>
        <w:tc>
          <w:tcPr>
            <w:tcW w:w="1052"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227.5</w:t>
            </w:r>
          </w:p>
        </w:tc>
        <w:tc>
          <w:tcPr>
            <w:tcW w:w="1004"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223.3</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218.5</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212.8</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231.2</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马雷伊省</w:t>
            </w:r>
          </w:p>
        </w:tc>
        <w:tc>
          <w:tcPr>
            <w:tcW w:w="1029"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245.0</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250.9</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254.3</w:t>
            </w:r>
          </w:p>
        </w:tc>
        <w:tc>
          <w:tcPr>
            <w:tcW w:w="1052"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252.0</w:t>
            </w:r>
          </w:p>
        </w:tc>
        <w:tc>
          <w:tcPr>
            <w:tcW w:w="1004"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249.2</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244.9</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239.6</w:t>
            </w:r>
          </w:p>
        </w:tc>
        <w:tc>
          <w:tcPr>
            <w:tcW w:w="1028"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259.7</w:t>
            </w:r>
          </w:p>
        </w:tc>
      </w:tr>
    </w:tbl>
    <w:p w:rsidR="00A93F62" w:rsidRDefault="00A93F62">
      <w:pPr>
        <w:tabs>
          <w:tab w:val="clear" w:pos="431"/>
        </w:tabs>
        <w:suppressAutoHyphens/>
        <w:overflowPunct/>
        <w:adjustRightInd/>
        <w:snapToGrid/>
        <w:spacing w:beforeLines="50" w:before="163" w:after="120" w:line="320" w:lineRule="atLeast"/>
        <w:ind w:left="1134" w:right="1134"/>
        <w:rPr>
          <w:snapToGrid/>
          <w:szCs w:val="21"/>
          <w:lang w:val="en-GB"/>
        </w:rPr>
      </w:pPr>
    </w:p>
    <w:p w:rsidR="00A93F62" w:rsidRDefault="00A93F62">
      <w:pPr>
        <w:tabs>
          <w:tab w:val="clear" w:pos="431"/>
        </w:tabs>
        <w:suppressAutoHyphens/>
        <w:overflowPunct/>
        <w:adjustRightInd/>
        <w:snapToGrid/>
        <w:spacing w:beforeLines="50" w:before="163" w:after="120" w:line="320" w:lineRule="atLeast"/>
        <w:ind w:left="1134" w:right="1134"/>
        <w:rPr>
          <w:snapToGrid/>
          <w:szCs w:val="21"/>
          <w:lang w:val="en-GB"/>
        </w:rPr>
      </w:pPr>
      <w:r>
        <w:rPr>
          <w:snapToGrid/>
          <w:szCs w:val="21"/>
          <w:lang w:val="en-GB"/>
        </w:rPr>
        <w:br w:type="page"/>
        <w:t>294.</w:t>
      </w:r>
      <w:r>
        <w:rPr>
          <w:rFonts w:hint="eastAsia"/>
          <w:snapToGrid/>
          <w:szCs w:val="21"/>
          <w:lang w:val="en-GB"/>
        </w:rPr>
        <w:t xml:space="preserve">  </w:t>
      </w:r>
      <w:r>
        <w:rPr>
          <w:snapToGrid/>
          <w:szCs w:val="21"/>
          <w:lang w:val="en-GB"/>
        </w:rPr>
        <w:t>中学教师人数，千人</w:t>
      </w:r>
    </w:p>
    <w:tbl>
      <w:tblPr>
        <w:tblStyle w:val="TabNum"/>
        <w:tblW w:w="9637" w:type="dxa"/>
        <w:tblLayout w:type="fixed"/>
        <w:tblLook w:val="01E0" w:firstRow="1" w:lastRow="1" w:firstColumn="1" w:lastColumn="1" w:noHBand="0" w:noVBand="0"/>
      </w:tblPr>
      <w:tblGrid>
        <w:gridCol w:w="1412"/>
        <w:gridCol w:w="1029"/>
        <w:gridCol w:w="1028"/>
        <w:gridCol w:w="1028"/>
        <w:gridCol w:w="1052"/>
        <w:gridCol w:w="1004"/>
        <w:gridCol w:w="1028"/>
        <w:gridCol w:w="1028"/>
        <w:gridCol w:w="1028"/>
      </w:tblGrid>
      <w:tr w:rsidR="00A93F62">
        <w:trPr>
          <w:trHeight w:hRule="exact" w:val="527"/>
          <w:tblHeader/>
        </w:trPr>
        <w:tc>
          <w:tcPr>
            <w:cnfStyle w:val="001000000000" w:firstRow="0" w:lastRow="0" w:firstColumn="1" w:lastColumn="0" w:oddVBand="0" w:evenVBand="0" w:oddHBand="0" w:evenHBand="0" w:firstRowFirstColumn="0" w:firstRowLastColumn="0" w:lastRowFirstColumn="0" w:lastRowLastColumn="0"/>
            <w:tcW w:w="1412" w:type="dxa"/>
            <w:tcBorders>
              <w:bottom w:val="single" w:sz="12" w:space="0" w:color="auto"/>
            </w:tcBorders>
            <w:shd w:val="clear" w:color="auto" w:fill="auto"/>
          </w:tcPr>
          <w:p w:rsidR="00A93F62" w:rsidRPr="007E57AE" w:rsidRDefault="00A93F62">
            <w:pPr>
              <w:tabs>
                <w:tab w:val="clear" w:pos="431"/>
              </w:tabs>
              <w:suppressAutoHyphens/>
              <w:overflowPunct/>
              <w:adjustRightInd/>
              <w:snapToGrid/>
              <w:spacing w:after="120" w:line="240" w:lineRule="atLeast"/>
              <w:rPr>
                <w:i/>
                <w:snapToGrid/>
                <w:sz w:val="18"/>
                <w:szCs w:val="18"/>
                <w:lang w:val="en-GB" w:eastAsia="en-US"/>
              </w:rPr>
            </w:pPr>
          </w:p>
        </w:tc>
        <w:tc>
          <w:tcPr>
            <w:tcW w:w="1029"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2000/</w:t>
            </w:r>
            <w:r w:rsidRPr="007E57AE">
              <w:rPr>
                <w:rFonts w:eastAsia="KaiTi_GB2312" w:hint="eastAsia"/>
                <w:snapToGrid/>
                <w:sz w:val="18"/>
                <w:szCs w:val="18"/>
                <w:lang w:val="en-GB"/>
              </w:rPr>
              <w:br/>
            </w:r>
            <w:r w:rsidRPr="007E57AE">
              <w:rPr>
                <w:rFonts w:eastAsia="KaiTi_GB2312"/>
                <w:snapToGrid/>
                <w:sz w:val="18"/>
                <w:szCs w:val="18"/>
                <w:lang w:val="en-GB"/>
              </w:rPr>
              <w:t>2001</w:t>
            </w:r>
            <w:r w:rsidRPr="007E57AE">
              <w:rPr>
                <w:rFonts w:eastAsia="KaiTi_GB2312"/>
                <w:snapToGrid/>
                <w:sz w:val="18"/>
                <w:szCs w:val="18"/>
                <w:lang w:val="en-GB"/>
              </w:rPr>
              <w:t>年</w:t>
            </w:r>
          </w:p>
        </w:tc>
        <w:tc>
          <w:tcPr>
            <w:tcW w:w="1028"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2001/</w:t>
            </w:r>
            <w:r w:rsidRPr="007E57AE">
              <w:rPr>
                <w:rFonts w:eastAsia="KaiTi_GB2312" w:hint="eastAsia"/>
                <w:snapToGrid/>
                <w:sz w:val="18"/>
                <w:szCs w:val="18"/>
                <w:lang w:val="en-GB"/>
              </w:rPr>
              <w:br/>
            </w:r>
            <w:r w:rsidRPr="007E57AE">
              <w:rPr>
                <w:rFonts w:eastAsia="KaiTi_GB2312"/>
                <w:snapToGrid/>
                <w:sz w:val="18"/>
                <w:szCs w:val="18"/>
                <w:lang w:val="en-GB"/>
              </w:rPr>
              <w:t>2002</w:t>
            </w:r>
            <w:r w:rsidRPr="007E57AE">
              <w:rPr>
                <w:rFonts w:eastAsia="KaiTi_GB2312"/>
                <w:snapToGrid/>
                <w:sz w:val="18"/>
                <w:szCs w:val="18"/>
                <w:lang w:val="en-GB"/>
              </w:rPr>
              <w:t>年</w:t>
            </w:r>
          </w:p>
        </w:tc>
        <w:tc>
          <w:tcPr>
            <w:tcW w:w="1028"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2002/</w:t>
            </w:r>
            <w:r w:rsidRPr="007E57AE">
              <w:rPr>
                <w:rFonts w:eastAsia="KaiTi_GB2312" w:hint="eastAsia"/>
                <w:snapToGrid/>
                <w:sz w:val="18"/>
                <w:szCs w:val="18"/>
                <w:lang w:val="en-GB"/>
              </w:rPr>
              <w:br/>
            </w:r>
            <w:r w:rsidRPr="007E57AE">
              <w:rPr>
                <w:rFonts w:eastAsia="KaiTi_GB2312"/>
                <w:snapToGrid/>
                <w:sz w:val="18"/>
                <w:szCs w:val="18"/>
                <w:lang w:val="en-GB"/>
              </w:rPr>
              <w:t>2003</w:t>
            </w:r>
            <w:r w:rsidRPr="007E57AE">
              <w:rPr>
                <w:rFonts w:eastAsia="KaiTi_GB2312"/>
                <w:snapToGrid/>
                <w:sz w:val="18"/>
                <w:szCs w:val="18"/>
                <w:lang w:val="en-GB"/>
              </w:rPr>
              <w:t>年</w:t>
            </w:r>
          </w:p>
        </w:tc>
        <w:tc>
          <w:tcPr>
            <w:tcW w:w="1052"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2003/</w:t>
            </w:r>
            <w:r w:rsidRPr="007E57AE">
              <w:rPr>
                <w:rFonts w:eastAsia="KaiTi_GB2312" w:hint="eastAsia"/>
                <w:snapToGrid/>
                <w:sz w:val="18"/>
                <w:szCs w:val="18"/>
                <w:lang w:val="en-GB"/>
              </w:rPr>
              <w:br/>
            </w:r>
            <w:r w:rsidRPr="007E57AE">
              <w:rPr>
                <w:rFonts w:eastAsia="KaiTi_GB2312"/>
                <w:snapToGrid/>
                <w:sz w:val="18"/>
                <w:szCs w:val="18"/>
                <w:lang w:val="en-GB"/>
              </w:rPr>
              <w:t>2004</w:t>
            </w:r>
            <w:r w:rsidRPr="007E57AE">
              <w:rPr>
                <w:rFonts w:eastAsia="KaiTi_GB2312"/>
                <w:snapToGrid/>
                <w:sz w:val="18"/>
                <w:szCs w:val="18"/>
                <w:lang w:val="en-GB"/>
              </w:rPr>
              <w:t>年</w:t>
            </w:r>
          </w:p>
        </w:tc>
        <w:tc>
          <w:tcPr>
            <w:tcW w:w="1004"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2004/</w:t>
            </w:r>
            <w:r w:rsidRPr="007E57AE">
              <w:rPr>
                <w:rFonts w:eastAsia="KaiTi_GB2312" w:hint="eastAsia"/>
                <w:snapToGrid/>
                <w:sz w:val="18"/>
                <w:szCs w:val="18"/>
                <w:lang w:val="en-GB"/>
              </w:rPr>
              <w:br/>
            </w:r>
            <w:r w:rsidRPr="007E57AE">
              <w:rPr>
                <w:rFonts w:eastAsia="KaiTi_GB2312"/>
                <w:snapToGrid/>
                <w:sz w:val="18"/>
                <w:szCs w:val="18"/>
                <w:lang w:val="en-GB"/>
              </w:rPr>
              <w:t>2005</w:t>
            </w:r>
            <w:r w:rsidRPr="007E57AE">
              <w:rPr>
                <w:rFonts w:eastAsia="KaiTi_GB2312"/>
                <w:snapToGrid/>
                <w:sz w:val="18"/>
                <w:szCs w:val="18"/>
                <w:lang w:val="en-GB"/>
              </w:rPr>
              <w:t>年</w:t>
            </w:r>
          </w:p>
        </w:tc>
        <w:tc>
          <w:tcPr>
            <w:tcW w:w="1028"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2005/</w:t>
            </w:r>
            <w:r w:rsidRPr="007E57AE">
              <w:rPr>
                <w:rFonts w:eastAsia="KaiTi_GB2312" w:hint="eastAsia"/>
                <w:snapToGrid/>
                <w:sz w:val="18"/>
                <w:szCs w:val="18"/>
                <w:lang w:val="en-GB"/>
              </w:rPr>
              <w:br/>
            </w:r>
            <w:r w:rsidRPr="007E57AE">
              <w:rPr>
                <w:rFonts w:eastAsia="KaiTi_GB2312"/>
                <w:snapToGrid/>
                <w:sz w:val="18"/>
                <w:szCs w:val="18"/>
                <w:lang w:val="en-GB"/>
              </w:rPr>
              <w:t>2006</w:t>
            </w:r>
            <w:r w:rsidRPr="007E57AE">
              <w:rPr>
                <w:rFonts w:eastAsia="KaiTi_GB2312"/>
                <w:snapToGrid/>
                <w:sz w:val="18"/>
                <w:szCs w:val="18"/>
                <w:lang w:val="en-GB"/>
              </w:rPr>
              <w:t>年</w:t>
            </w:r>
          </w:p>
        </w:tc>
        <w:tc>
          <w:tcPr>
            <w:tcW w:w="1028"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2006/</w:t>
            </w:r>
            <w:r w:rsidRPr="007E57AE">
              <w:rPr>
                <w:rFonts w:eastAsia="KaiTi_GB2312" w:hint="eastAsia"/>
                <w:snapToGrid/>
                <w:sz w:val="18"/>
                <w:szCs w:val="18"/>
                <w:lang w:val="en-GB"/>
              </w:rPr>
              <w:br/>
            </w:r>
            <w:r w:rsidRPr="007E57AE">
              <w:rPr>
                <w:rFonts w:eastAsia="KaiTi_GB2312"/>
                <w:snapToGrid/>
                <w:sz w:val="18"/>
                <w:szCs w:val="18"/>
                <w:lang w:val="en-GB"/>
              </w:rPr>
              <w:t>2007</w:t>
            </w:r>
            <w:r w:rsidRPr="007E57AE">
              <w:rPr>
                <w:rFonts w:eastAsia="KaiTi_GB2312"/>
                <w:snapToGrid/>
                <w:sz w:val="18"/>
                <w:szCs w:val="18"/>
                <w:lang w:val="en-GB"/>
              </w:rPr>
              <w:t>年</w:t>
            </w:r>
          </w:p>
        </w:tc>
        <w:tc>
          <w:tcPr>
            <w:tcW w:w="1028"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2007/</w:t>
            </w:r>
            <w:r w:rsidRPr="007E57AE">
              <w:rPr>
                <w:rFonts w:eastAsia="KaiTi_GB2312" w:hint="eastAsia"/>
                <w:snapToGrid/>
                <w:sz w:val="18"/>
                <w:szCs w:val="18"/>
                <w:lang w:val="en-GB"/>
              </w:rPr>
              <w:br/>
            </w:r>
            <w:r w:rsidRPr="007E57AE">
              <w:rPr>
                <w:rFonts w:eastAsia="KaiTi_GB2312"/>
                <w:snapToGrid/>
                <w:sz w:val="18"/>
                <w:szCs w:val="18"/>
                <w:lang w:val="en-GB"/>
              </w:rPr>
              <w:t>2008</w:t>
            </w:r>
            <w:r w:rsidRPr="007E57AE">
              <w:rPr>
                <w:rFonts w:eastAsia="KaiTi_GB2312"/>
                <w:snapToGrid/>
                <w:sz w:val="18"/>
                <w:szCs w:val="18"/>
                <w:lang w:val="en-GB"/>
              </w:rPr>
              <w:t>年</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Borders>
              <w:top w:val="single" w:sz="12" w:space="0" w:color="auto"/>
            </w:tcBorders>
          </w:tcPr>
          <w:p w:rsidR="00A93F62" w:rsidRPr="007E57AE" w:rsidRDefault="00A93F62">
            <w:pPr>
              <w:tabs>
                <w:tab w:val="clear" w:pos="431"/>
              </w:tabs>
              <w:suppressAutoHyphens/>
              <w:overflowPunct/>
              <w:adjustRightInd/>
              <w:snapToGrid/>
              <w:spacing w:after="120" w:line="240" w:lineRule="atLeast"/>
              <w:rPr>
                <w:b/>
                <w:snapToGrid/>
                <w:sz w:val="18"/>
                <w:szCs w:val="18"/>
                <w:lang w:val="en-GB"/>
              </w:rPr>
            </w:pPr>
            <w:r w:rsidRPr="007E57AE">
              <w:rPr>
                <w:rFonts w:eastAsia="SimHei"/>
                <w:snapToGrid/>
                <w:sz w:val="18"/>
                <w:szCs w:val="18"/>
                <w:lang w:val="en-GB"/>
              </w:rPr>
              <w:t>土库曼斯坦</w:t>
            </w:r>
          </w:p>
        </w:tc>
        <w:tc>
          <w:tcPr>
            <w:tcW w:w="1029" w:type="dxa"/>
            <w:tcBorders>
              <w:top w:val="single" w:sz="12" w:space="0" w:color="auto"/>
              <w:bottom w:val="nil"/>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74.7</w:t>
            </w:r>
          </w:p>
        </w:tc>
        <w:tc>
          <w:tcPr>
            <w:tcW w:w="1028" w:type="dxa"/>
            <w:tcBorders>
              <w:top w:val="single" w:sz="12" w:space="0" w:color="auto"/>
              <w:bottom w:val="nil"/>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72.3</w:t>
            </w:r>
          </w:p>
        </w:tc>
        <w:tc>
          <w:tcPr>
            <w:tcW w:w="1028" w:type="dxa"/>
            <w:tcBorders>
              <w:top w:val="single" w:sz="12" w:space="0" w:color="auto"/>
              <w:bottom w:val="nil"/>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72.7</w:t>
            </w:r>
          </w:p>
        </w:tc>
        <w:tc>
          <w:tcPr>
            <w:tcW w:w="1052" w:type="dxa"/>
            <w:tcBorders>
              <w:top w:val="single" w:sz="12" w:space="0" w:color="auto"/>
              <w:bottom w:val="nil"/>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65.1</w:t>
            </w:r>
          </w:p>
        </w:tc>
        <w:tc>
          <w:tcPr>
            <w:tcW w:w="1004" w:type="dxa"/>
            <w:tcBorders>
              <w:top w:val="single" w:sz="12" w:space="0" w:color="auto"/>
              <w:bottom w:val="nil"/>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64.7</w:t>
            </w:r>
          </w:p>
        </w:tc>
        <w:tc>
          <w:tcPr>
            <w:tcW w:w="1028" w:type="dxa"/>
            <w:tcBorders>
              <w:top w:val="single" w:sz="12" w:space="0" w:color="auto"/>
              <w:bottom w:val="nil"/>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64.6</w:t>
            </w:r>
          </w:p>
        </w:tc>
        <w:tc>
          <w:tcPr>
            <w:tcW w:w="1028" w:type="dxa"/>
            <w:tcBorders>
              <w:top w:val="single" w:sz="12" w:space="0" w:color="auto"/>
              <w:bottom w:val="nil"/>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62.2</w:t>
            </w:r>
          </w:p>
        </w:tc>
        <w:tc>
          <w:tcPr>
            <w:tcW w:w="1028" w:type="dxa"/>
            <w:tcBorders>
              <w:top w:val="single" w:sz="12" w:space="0" w:color="auto"/>
              <w:bottom w:val="nil"/>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66.8</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Borders>
              <w:top w:val="nil"/>
            </w:tcBorders>
          </w:tcPr>
          <w:p w:rsidR="00A93F62" w:rsidRPr="007E57AE" w:rsidRDefault="00A93F62">
            <w:pPr>
              <w:tabs>
                <w:tab w:val="clear" w:pos="431"/>
              </w:tabs>
              <w:suppressAutoHyphens/>
              <w:overflowPunct/>
              <w:adjustRightInd/>
              <w:spacing w:after="0" w:line="240" w:lineRule="auto"/>
              <w:rPr>
                <w:snapToGrid/>
                <w:sz w:val="18"/>
                <w:szCs w:val="18"/>
                <w:lang w:val="en-GB"/>
              </w:rPr>
            </w:pPr>
            <w:r w:rsidRPr="007E57AE">
              <w:rPr>
                <w:snapToGrid/>
                <w:sz w:val="18"/>
                <w:szCs w:val="18"/>
                <w:lang w:val="en-GB"/>
              </w:rPr>
              <w:t>阿什哈巴德市</w:t>
            </w:r>
          </w:p>
        </w:tc>
        <w:tc>
          <w:tcPr>
            <w:tcW w:w="1029"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4.6</w:t>
            </w:r>
          </w:p>
        </w:tc>
        <w:tc>
          <w:tcPr>
            <w:tcW w:w="1028"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4.2</w:t>
            </w:r>
          </w:p>
        </w:tc>
        <w:tc>
          <w:tcPr>
            <w:tcW w:w="1028"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4.0</w:t>
            </w:r>
          </w:p>
        </w:tc>
        <w:tc>
          <w:tcPr>
            <w:tcW w:w="1052"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3.7</w:t>
            </w:r>
          </w:p>
        </w:tc>
        <w:tc>
          <w:tcPr>
            <w:tcW w:w="1004"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3.5</w:t>
            </w:r>
          </w:p>
        </w:tc>
        <w:tc>
          <w:tcPr>
            <w:tcW w:w="1028"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3.6</w:t>
            </w:r>
          </w:p>
        </w:tc>
        <w:tc>
          <w:tcPr>
            <w:tcW w:w="1028"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3.6</w:t>
            </w:r>
          </w:p>
        </w:tc>
        <w:tc>
          <w:tcPr>
            <w:tcW w:w="1028"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4.5</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Borders>
              <w:top w:val="nil"/>
            </w:tcBorders>
          </w:tcPr>
          <w:p w:rsidR="00A93F62" w:rsidRPr="007E57AE" w:rsidRDefault="00A93F62">
            <w:pPr>
              <w:tabs>
                <w:tab w:val="clear" w:pos="431"/>
              </w:tabs>
              <w:suppressAutoHyphens/>
              <w:overflowPunct/>
              <w:adjustRightInd/>
              <w:spacing w:after="0" w:line="240" w:lineRule="auto"/>
              <w:rPr>
                <w:snapToGrid/>
                <w:sz w:val="18"/>
                <w:szCs w:val="18"/>
                <w:lang w:val="en-GB"/>
              </w:rPr>
            </w:pPr>
            <w:r w:rsidRPr="007E57AE">
              <w:rPr>
                <w:snapToGrid/>
                <w:sz w:val="18"/>
                <w:szCs w:val="18"/>
                <w:lang w:val="en-GB"/>
              </w:rPr>
              <w:t>省区：</w:t>
            </w:r>
          </w:p>
        </w:tc>
        <w:tc>
          <w:tcPr>
            <w:tcW w:w="1029"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28"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28"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52"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04"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28"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28"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28"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A93F62" w:rsidRPr="007E57AE" w:rsidRDefault="00A93F62">
            <w:pPr>
              <w:tabs>
                <w:tab w:val="clear" w:pos="431"/>
              </w:tabs>
              <w:suppressAutoHyphens/>
              <w:overflowPunct/>
              <w:adjustRightInd/>
              <w:spacing w:after="0" w:line="240" w:lineRule="auto"/>
              <w:rPr>
                <w:snapToGrid/>
                <w:sz w:val="18"/>
                <w:szCs w:val="18"/>
                <w:lang w:val="en-GB"/>
              </w:rPr>
            </w:pPr>
            <w:r w:rsidRPr="007E57AE">
              <w:rPr>
                <w:snapToGrid/>
                <w:sz w:val="18"/>
                <w:szCs w:val="18"/>
                <w:lang w:val="en-GB"/>
              </w:rPr>
              <w:t>阿哈尔省</w:t>
            </w:r>
          </w:p>
        </w:tc>
        <w:tc>
          <w:tcPr>
            <w:tcW w:w="1029" w:type="dxa"/>
            <w:tcBorders>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rPr>
              <w:t>8.</w:t>
            </w:r>
            <w:r w:rsidRPr="007E57AE">
              <w:rPr>
                <w:snapToGrid/>
                <w:sz w:val="18"/>
                <w:szCs w:val="18"/>
                <w:lang w:val="en-GB" w:eastAsia="en-US"/>
              </w:rPr>
              <w:t>7</w:t>
            </w:r>
          </w:p>
        </w:tc>
        <w:tc>
          <w:tcPr>
            <w:tcW w:w="1028" w:type="dxa"/>
            <w:tcBorders>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8.4</w:t>
            </w:r>
          </w:p>
        </w:tc>
        <w:tc>
          <w:tcPr>
            <w:tcW w:w="1028" w:type="dxa"/>
            <w:tcBorders>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8.7</w:t>
            </w:r>
          </w:p>
        </w:tc>
        <w:tc>
          <w:tcPr>
            <w:tcW w:w="1052" w:type="dxa"/>
            <w:tcBorders>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7.9</w:t>
            </w:r>
          </w:p>
        </w:tc>
        <w:tc>
          <w:tcPr>
            <w:tcW w:w="1004" w:type="dxa"/>
            <w:tcBorders>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8.0</w:t>
            </w:r>
          </w:p>
        </w:tc>
        <w:tc>
          <w:tcPr>
            <w:tcW w:w="1028" w:type="dxa"/>
            <w:tcBorders>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8.1</w:t>
            </w:r>
          </w:p>
        </w:tc>
        <w:tc>
          <w:tcPr>
            <w:tcW w:w="1028" w:type="dxa"/>
            <w:tcBorders>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8.0</w:t>
            </w:r>
          </w:p>
        </w:tc>
        <w:tc>
          <w:tcPr>
            <w:tcW w:w="1028" w:type="dxa"/>
            <w:tcBorders>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8.9</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A93F62" w:rsidRPr="007E57AE" w:rsidRDefault="00A93F62">
            <w:pPr>
              <w:tabs>
                <w:tab w:val="clear" w:pos="431"/>
              </w:tabs>
              <w:suppressAutoHyphens/>
              <w:overflowPunct/>
              <w:adjustRightInd/>
              <w:spacing w:after="0" w:line="240" w:lineRule="auto"/>
              <w:rPr>
                <w:snapToGrid/>
                <w:sz w:val="18"/>
                <w:szCs w:val="18"/>
                <w:lang w:val="en-GB" w:eastAsia="en-US"/>
              </w:rPr>
            </w:pPr>
            <w:r w:rsidRPr="007E57AE">
              <w:rPr>
                <w:snapToGrid/>
                <w:sz w:val="18"/>
                <w:szCs w:val="18"/>
                <w:lang w:val="en-GB"/>
              </w:rPr>
              <w:t>巴尔干省</w:t>
            </w:r>
          </w:p>
        </w:tc>
        <w:tc>
          <w:tcPr>
            <w:tcW w:w="1029"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5.1</w:t>
            </w:r>
          </w:p>
        </w:tc>
        <w:tc>
          <w:tcPr>
            <w:tcW w:w="1028"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4.9</w:t>
            </w:r>
          </w:p>
        </w:tc>
        <w:tc>
          <w:tcPr>
            <w:tcW w:w="1028"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4.9</w:t>
            </w:r>
          </w:p>
        </w:tc>
        <w:tc>
          <w:tcPr>
            <w:tcW w:w="1052"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4.4</w:t>
            </w:r>
          </w:p>
        </w:tc>
        <w:tc>
          <w:tcPr>
            <w:tcW w:w="1004"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4.2</w:t>
            </w:r>
          </w:p>
        </w:tc>
        <w:tc>
          <w:tcPr>
            <w:tcW w:w="1028"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4.2</w:t>
            </w:r>
          </w:p>
        </w:tc>
        <w:tc>
          <w:tcPr>
            <w:tcW w:w="1028"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4.1</w:t>
            </w:r>
          </w:p>
        </w:tc>
        <w:tc>
          <w:tcPr>
            <w:tcW w:w="1028" w:type="dxa"/>
            <w:tcBorders>
              <w:top w:val="nil"/>
              <w:bottom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4.5</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A93F62" w:rsidRPr="007E57AE" w:rsidRDefault="00A93F62">
            <w:pPr>
              <w:tabs>
                <w:tab w:val="clear" w:pos="431"/>
              </w:tabs>
              <w:suppressAutoHyphens/>
              <w:overflowPunct/>
              <w:adjustRightInd/>
              <w:spacing w:after="0" w:line="240" w:lineRule="auto"/>
              <w:rPr>
                <w:snapToGrid/>
                <w:sz w:val="18"/>
                <w:szCs w:val="18"/>
                <w:lang w:val="en-GB" w:eastAsia="en-US"/>
              </w:rPr>
            </w:pPr>
            <w:r w:rsidRPr="007E57AE">
              <w:rPr>
                <w:snapToGrid/>
                <w:sz w:val="18"/>
                <w:szCs w:val="18"/>
                <w:lang w:val="en-GB"/>
              </w:rPr>
              <w:t>达守古斯省</w:t>
            </w:r>
          </w:p>
        </w:tc>
        <w:tc>
          <w:tcPr>
            <w:tcW w:w="1029"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21.4</w:t>
            </w:r>
          </w:p>
        </w:tc>
        <w:tc>
          <w:tcPr>
            <w:tcW w:w="1028"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21.2</w:t>
            </w:r>
          </w:p>
        </w:tc>
        <w:tc>
          <w:tcPr>
            <w:tcW w:w="1028"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21.4</w:t>
            </w:r>
          </w:p>
        </w:tc>
        <w:tc>
          <w:tcPr>
            <w:tcW w:w="1052"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19.3</w:t>
            </w:r>
          </w:p>
        </w:tc>
        <w:tc>
          <w:tcPr>
            <w:tcW w:w="1004"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19.5</w:t>
            </w:r>
          </w:p>
        </w:tc>
        <w:tc>
          <w:tcPr>
            <w:tcW w:w="1028"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19.4</w:t>
            </w:r>
          </w:p>
        </w:tc>
        <w:tc>
          <w:tcPr>
            <w:tcW w:w="1028"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17.6</w:t>
            </w:r>
          </w:p>
        </w:tc>
        <w:tc>
          <w:tcPr>
            <w:tcW w:w="1028" w:type="dxa"/>
            <w:tcBorders>
              <w:top w:val="nil"/>
            </w:tcBorders>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18.1</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A93F62" w:rsidRPr="007E57AE" w:rsidRDefault="00A93F62">
            <w:pPr>
              <w:tabs>
                <w:tab w:val="clear" w:pos="431"/>
              </w:tabs>
              <w:suppressAutoHyphens/>
              <w:overflowPunct/>
              <w:adjustRightInd/>
              <w:spacing w:after="0" w:line="240" w:lineRule="auto"/>
              <w:rPr>
                <w:snapToGrid/>
                <w:sz w:val="18"/>
                <w:szCs w:val="18"/>
                <w:lang w:val="en-GB" w:eastAsia="en-US"/>
              </w:rPr>
            </w:pPr>
            <w:r w:rsidRPr="007E57AE">
              <w:rPr>
                <w:snapToGrid/>
                <w:sz w:val="18"/>
                <w:szCs w:val="18"/>
                <w:lang w:val="en-GB"/>
              </w:rPr>
              <w:t>列巴普省</w:t>
            </w:r>
          </w:p>
        </w:tc>
        <w:tc>
          <w:tcPr>
            <w:tcW w:w="1029" w:type="dxa"/>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17.0</w:t>
            </w:r>
          </w:p>
        </w:tc>
        <w:tc>
          <w:tcPr>
            <w:tcW w:w="1028" w:type="dxa"/>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16.6</w:t>
            </w:r>
          </w:p>
        </w:tc>
        <w:tc>
          <w:tcPr>
            <w:tcW w:w="1028" w:type="dxa"/>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16.5</w:t>
            </w:r>
          </w:p>
        </w:tc>
        <w:tc>
          <w:tcPr>
            <w:tcW w:w="1052" w:type="dxa"/>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14.2</w:t>
            </w:r>
          </w:p>
        </w:tc>
        <w:tc>
          <w:tcPr>
            <w:tcW w:w="1004" w:type="dxa"/>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13.9</w:t>
            </w:r>
          </w:p>
        </w:tc>
        <w:tc>
          <w:tcPr>
            <w:tcW w:w="1028" w:type="dxa"/>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13.7</w:t>
            </w:r>
          </w:p>
        </w:tc>
        <w:tc>
          <w:tcPr>
            <w:tcW w:w="1028" w:type="dxa"/>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13.4</w:t>
            </w:r>
          </w:p>
        </w:tc>
        <w:tc>
          <w:tcPr>
            <w:tcW w:w="1028" w:type="dxa"/>
          </w:tcPr>
          <w:p w:rsidR="00A93F62" w:rsidRPr="007E57AE" w:rsidRDefault="00A93F62" w:rsidP="00365AE4">
            <w:pPr>
              <w:tabs>
                <w:tab w:val="clear" w:pos="431"/>
              </w:tabs>
              <w:suppressAutoHyphens/>
              <w:overflowPunct/>
              <w:adjustRightInd/>
              <w:spacing w:after="0"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14.7</w:t>
            </w:r>
          </w:p>
        </w:tc>
      </w:tr>
      <w:tr w:rsidR="00A93F62">
        <w:trPr>
          <w:trHeight w:val="283"/>
        </w:trPr>
        <w:tc>
          <w:tcPr>
            <w:cnfStyle w:val="001000000000" w:firstRow="0" w:lastRow="0" w:firstColumn="1" w:lastColumn="0" w:oddVBand="0" w:evenVBand="0" w:oddHBand="0" w:evenHBand="0" w:firstRowFirstColumn="0" w:firstRowLastColumn="0" w:lastRowFirstColumn="0" w:lastRowLastColumn="0"/>
            <w:tcW w:w="1412" w:type="dxa"/>
          </w:tcPr>
          <w:p w:rsidR="00A93F62" w:rsidRPr="007E57AE" w:rsidRDefault="00A93F62">
            <w:pPr>
              <w:tabs>
                <w:tab w:val="clear" w:pos="431"/>
              </w:tabs>
              <w:suppressAutoHyphens/>
              <w:overflowPunct/>
              <w:adjustRightInd/>
              <w:spacing w:line="240" w:lineRule="auto"/>
              <w:rPr>
                <w:snapToGrid/>
                <w:sz w:val="18"/>
                <w:szCs w:val="18"/>
                <w:lang w:val="en-GB" w:eastAsia="en-US"/>
              </w:rPr>
            </w:pPr>
            <w:r w:rsidRPr="007E57AE">
              <w:rPr>
                <w:snapToGrid/>
                <w:sz w:val="18"/>
                <w:szCs w:val="18"/>
                <w:lang w:val="en-GB"/>
              </w:rPr>
              <w:t>马雷伊省</w:t>
            </w:r>
          </w:p>
        </w:tc>
        <w:tc>
          <w:tcPr>
            <w:tcW w:w="1029" w:type="dxa"/>
          </w:tcPr>
          <w:p w:rsidR="00A93F62" w:rsidRPr="007E57AE" w:rsidRDefault="00A93F62" w:rsidP="00365AE4">
            <w:pPr>
              <w:tabs>
                <w:tab w:val="clear" w:pos="431"/>
              </w:tabs>
              <w:suppressAutoHyphens/>
              <w:overflowPunct/>
              <w:adjustRightInd/>
              <w:spacing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17.9</w:t>
            </w:r>
          </w:p>
        </w:tc>
        <w:tc>
          <w:tcPr>
            <w:tcW w:w="1028" w:type="dxa"/>
          </w:tcPr>
          <w:p w:rsidR="00A93F62" w:rsidRPr="007E57AE" w:rsidRDefault="00A93F62" w:rsidP="00365AE4">
            <w:pPr>
              <w:tabs>
                <w:tab w:val="clear" w:pos="431"/>
              </w:tabs>
              <w:suppressAutoHyphens/>
              <w:overflowPunct/>
              <w:adjustRightInd/>
              <w:spacing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17.0</w:t>
            </w:r>
          </w:p>
        </w:tc>
        <w:tc>
          <w:tcPr>
            <w:tcW w:w="1028" w:type="dxa"/>
          </w:tcPr>
          <w:p w:rsidR="00A93F62" w:rsidRPr="007E57AE" w:rsidRDefault="00A93F62" w:rsidP="00365AE4">
            <w:pPr>
              <w:tabs>
                <w:tab w:val="clear" w:pos="431"/>
              </w:tabs>
              <w:suppressAutoHyphens/>
              <w:overflowPunct/>
              <w:adjustRightInd/>
              <w:spacing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17.2</w:t>
            </w:r>
          </w:p>
        </w:tc>
        <w:tc>
          <w:tcPr>
            <w:tcW w:w="1052" w:type="dxa"/>
          </w:tcPr>
          <w:p w:rsidR="00A93F62" w:rsidRPr="007E57AE" w:rsidRDefault="00A93F62" w:rsidP="00365AE4">
            <w:pPr>
              <w:tabs>
                <w:tab w:val="clear" w:pos="431"/>
              </w:tabs>
              <w:suppressAutoHyphens/>
              <w:overflowPunct/>
              <w:adjustRightInd/>
              <w:spacing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15.6</w:t>
            </w:r>
          </w:p>
        </w:tc>
        <w:tc>
          <w:tcPr>
            <w:tcW w:w="1004" w:type="dxa"/>
          </w:tcPr>
          <w:p w:rsidR="00A93F62" w:rsidRPr="007E57AE" w:rsidRDefault="00A93F62" w:rsidP="00365AE4">
            <w:pPr>
              <w:tabs>
                <w:tab w:val="clear" w:pos="431"/>
              </w:tabs>
              <w:suppressAutoHyphens/>
              <w:overflowPunct/>
              <w:adjustRightInd/>
              <w:spacing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15.6</w:t>
            </w:r>
          </w:p>
        </w:tc>
        <w:tc>
          <w:tcPr>
            <w:tcW w:w="1028" w:type="dxa"/>
          </w:tcPr>
          <w:p w:rsidR="00A93F62" w:rsidRPr="007E57AE" w:rsidRDefault="00A93F62" w:rsidP="00365AE4">
            <w:pPr>
              <w:tabs>
                <w:tab w:val="clear" w:pos="431"/>
              </w:tabs>
              <w:suppressAutoHyphens/>
              <w:overflowPunct/>
              <w:adjustRightInd/>
              <w:spacing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15.6</w:t>
            </w:r>
          </w:p>
        </w:tc>
        <w:tc>
          <w:tcPr>
            <w:tcW w:w="1028" w:type="dxa"/>
          </w:tcPr>
          <w:p w:rsidR="00A93F62" w:rsidRPr="007E57AE" w:rsidRDefault="00A93F62" w:rsidP="00365AE4">
            <w:pPr>
              <w:tabs>
                <w:tab w:val="clear" w:pos="431"/>
              </w:tabs>
              <w:suppressAutoHyphens/>
              <w:overflowPunct/>
              <w:adjustRightInd/>
              <w:spacing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15.5</w:t>
            </w:r>
          </w:p>
        </w:tc>
        <w:tc>
          <w:tcPr>
            <w:tcW w:w="1028" w:type="dxa"/>
          </w:tcPr>
          <w:p w:rsidR="00A93F62" w:rsidRPr="007E57AE" w:rsidRDefault="00A93F62" w:rsidP="00365AE4">
            <w:pPr>
              <w:tabs>
                <w:tab w:val="clear" w:pos="431"/>
              </w:tabs>
              <w:suppressAutoHyphens/>
              <w:overflowPunct/>
              <w:adjustRightInd/>
              <w:spacing w:line="240"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16.1</w:t>
            </w:r>
          </w:p>
        </w:tc>
      </w:tr>
    </w:tbl>
    <w:p w:rsidR="00A93F62" w:rsidRDefault="00A93F62">
      <w:pPr>
        <w:tabs>
          <w:tab w:val="clear" w:pos="431"/>
        </w:tabs>
        <w:suppressAutoHyphens/>
        <w:overflowPunct/>
        <w:adjustRightInd/>
        <w:snapToGrid/>
        <w:spacing w:beforeLines="50" w:before="163" w:after="120" w:line="320" w:lineRule="atLeast"/>
        <w:ind w:left="1134" w:right="1134"/>
        <w:rPr>
          <w:snapToGrid/>
          <w:szCs w:val="21"/>
          <w:lang w:val="en-GB"/>
        </w:rPr>
      </w:pPr>
      <w:r>
        <w:rPr>
          <w:snapToGrid/>
          <w:szCs w:val="21"/>
          <w:lang w:val="en-GB"/>
        </w:rPr>
        <w:t>295.</w:t>
      </w:r>
      <w:r>
        <w:rPr>
          <w:rFonts w:hint="eastAsia"/>
          <w:snapToGrid/>
          <w:szCs w:val="21"/>
          <w:lang w:val="en-GB"/>
        </w:rPr>
        <w:t xml:space="preserve">  </w:t>
      </w:r>
      <w:r>
        <w:rPr>
          <w:snapToGrid/>
          <w:spacing w:val="-4"/>
          <w:szCs w:val="21"/>
          <w:lang w:val="en-GB"/>
        </w:rPr>
        <w:t>职业教育保证土库曼斯坦公民根据其天赋、兴趣、才能获得职业</w:t>
      </w:r>
      <w:r>
        <w:rPr>
          <w:snapToGrid/>
          <w:spacing w:val="-4"/>
          <w:szCs w:val="21"/>
          <w:lang w:val="en-GB"/>
        </w:rPr>
        <w:t>(</w:t>
      </w:r>
      <w:r>
        <w:rPr>
          <w:snapToGrid/>
          <w:spacing w:val="-4"/>
          <w:szCs w:val="21"/>
          <w:lang w:val="en-GB"/>
        </w:rPr>
        <w:t>专业</w:t>
      </w:r>
      <w:r>
        <w:rPr>
          <w:snapToGrid/>
          <w:spacing w:val="-4"/>
          <w:szCs w:val="21"/>
          <w:lang w:val="en-GB"/>
        </w:rPr>
        <w:t>)</w:t>
      </w:r>
      <w:r>
        <w:rPr>
          <w:snapToGrid/>
          <w:spacing w:val="-4"/>
          <w:szCs w:val="21"/>
          <w:lang w:val="en-GB"/>
        </w:rPr>
        <w:t>教育。职业教育在以普通中等教育为基础的各类职业学校施行。土库曼斯坦部长内阁批准的职业教育机构章程对其相应活动予以规定</w:t>
      </w:r>
      <w:r>
        <w:rPr>
          <w:snapToGrid/>
          <w:spacing w:val="-4"/>
          <w:szCs w:val="21"/>
          <w:lang w:val="en-GB"/>
        </w:rPr>
        <w:t>(</w:t>
      </w:r>
      <w:r>
        <w:rPr>
          <w:snapToGrid/>
          <w:spacing w:val="-4"/>
          <w:szCs w:val="21"/>
          <w:lang w:val="en-GB"/>
        </w:rPr>
        <w:t>《土库曼斯坦教育法》第</w:t>
      </w:r>
      <w:r>
        <w:rPr>
          <w:snapToGrid/>
          <w:spacing w:val="-4"/>
          <w:szCs w:val="21"/>
          <w:lang w:val="en-GB"/>
        </w:rPr>
        <w:t>14</w:t>
      </w:r>
      <w:r>
        <w:rPr>
          <w:snapToGrid/>
          <w:spacing w:val="-4"/>
          <w:szCs w:val="21"/>
          <w:lang w:val="en-GB"/>
        </w:rPr>
        <w:t>条</w:t>
      </w:r>
      <w:r>
        <w:rPr>
          <w:snapToGrid/>
          <w:spacing w:val="-4"/>
          <w:szCs w:val="21"/>
          <w:lang w:val="en-GB"/>
        </w:rPr>
        <w:t>)</w:t>
      </w:r>
      <w:r>
        <w:rPr>
          <w:snapToGrid/>
          <w:spacing w:val="-4"/>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296.</w:t>
      </w:r>
      <w:r>
        <w:rPr>
          <w:rFonts w:hint="eastAsia"/>
          <w:snapToGrid/>
          <w:szCs w:val="21"/>
          <w:lang w:val="en-GB"/>
        </w:rPr>
        <w:t xml:space="preserve">  </w:t>
      </w:r>
      <w:r>
        <w:rPr>
          <w:snapToGrid/>
          <w:szCs w:val="21"/>
          <w:lang w:val="en-GB"/>
        </w:rPr>
        <w:t>学年初中等职业学校情况：</w:t>
      </w:r>
    </w:p>
    <w:p w:rsidR="00A93F62" w:rsidRDefault="00A93F62" w:rsidP="000D657E">
      <w:pPr>
        <w:tabs>
          <w:tab w:val="clear" w:pos="431"/>
        </w:tabs>
        <w:suppressAutoHyphens/>
        <w:overflowPunct/>
        <w:adjustRightInd/>
        <w:snapToGrid/>
        <w:spacing w:after="120" w:line="240" w:lineRule="atLeast"/>
        <w:ind w:leftChars="690" w:left="31680" w:right="1134" w:firstLineChars="130" w:firstLine="31680"/>
        <w:rPr>
          <w:rFonts w:eastAsia="SimHei"/>
          <w:snapToGrid/>
          <w:szCs w:val="21"/>
          <w:lang w:val="en-GB"/>
        </w:rPr>
      </w:pPr>
      <w:r>
        <w:rPr>
          <w:rFonts w:eastAsia="SimHei"/>
          <w:snapToGrid/>
          <w:szCs w:val="21"/>
          <w:lang w:val="en-GB"/>
        </w:rPr>
        <w:t>中等职业学校数量，所</w:t>
      </w:r>
    </w:p>
    <w:tbl>
      <w:tblPr>
        <w:tblStyle w:val="TabNum"/>
        <w:tblW w:w="9637" w:type="dxa"/>
        <w:tblLayout w:type="fixed"/>
        <w:tblLook w:val="01E0" w:firstRow="1" w:lastRow="1" w:firstColumn="1" w:lastColumn="1" w:noHBand="0" w:noVBand="0"/>
      </w:tblPr>
      <w:tblGrid>
        <w:gridCol w:w="1390"/>
        <w:gridCol w:w="1013"/>
        <w:gridCol w:w="1139"/>
        <w:gridCol w:w="1012"/>
        <w:gridCol w:w="1012"/>
        <w:gridCol w:w="1012"/>
        <w:gridCol w:w="1012"/>
        <w:gridCol w:w="1012"/>
        <w:gridCol w:w="1035"/>
      </w:tblGrid>
      <w:tr w:rsidR="00A93F62">
        <w:trPr>
          <w:trHeight w:hRule="exact" w:val="539"/>
          <w:tblHeader/>
        </w:trPr>
        <w:tc>
          <w:tcPr>
            <w:cnfStyle w:val="001000000000" w:firstRow="0" w:lastRow="0" w:firstColumn="1" w:lastColumn="0" w:oddVBand="0" w:evenVBand="0" w:oddHBand="0" w:evenHBand="0" w:firstRowFirstColumn="0" w:firstRowLastColumn="0" w:lastRowFirstColumn="0" w:lastRowLastColumn="0"/>
            <w:tcW w:w="1390" w:type="dxa"/>
            <w:tcBorders>
              <w:bottom w:val="single" w:sz="12" w:space="0" w:color="auto"/>
            </w:tcBorders>
            <w:shd w:val="clear" w:color="auto" w:fill="auto"/>
          </w:tcPr>
          <w:p w:rsidR="00A93F62" w:rsidRPr="007E57AE" w:rsidRDefault="00A93F62">
            <w:pPr>
              <w:tabs>
                <w:tab w:val="clear" w:pos="431"/>
              </w:tabs>
              <w:suppressAutoHyphens/>
              <w:overflowPunct/>
              <w:adjustRightInd/>
              <w:snapToGrid/>
              <w:spacing w:after="120" w:line="240" w:lineRule="atLeast"/>
              <w:rPr>
                <w:i/>
                <w:snapToGrid/>
                <w:sz w:val="18"/>
                <w:szCs w:val="18"/>
                <w:lang w:val="en-GB" w:eastAsia="en-US"/>
              </w:rPr>
            </w:pPr>
          </w:p>
        </w:tc>
        <w:tc>
          <w:tcPr>
            <w:tcW w:w="1013"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2000/</w:t>
            </w:r>
            <w:r w:rsidRPr="007E57AE">
              <w:rPr>
                <w:rFonts w:eastAsia="KaiTi_GB2312" w:hint="eastAsia"/>
                <w:snapToGrid/>
                <w:sz w:val="18"/>
                <w:szCs w:val="18"/>
                <w:lang w:val="en-GB"/>
              </w:rPr>
              <w:br/>
            </w:r>
            <w:r w:rsidRPr="007E57AE">
              <w:rPr>
                <w:rFonts w:eastAsia="KaiTi_GB2312"/>
                <w:snapToGrid/>
                <w:sz w:val="18"/>
                <w:szCs w:val="18"/>
                <w:lang w:val="en-GB"/>
              </w:rPr>
              <w:t>2001</w:t>
            </w:r>
            <w:r w:rsidRPr="007E57AE">
              <w:rPr>
                <w:rFonts w:eastAsia="KaiTi_GB2312"/>
                <w:snapToGrid/>
                <w:sz w:val="18"/>
                <w:szCs w:val="18"/>
                <w:lang w:val="en-GB"/>
              </w:rPr>
              <w:t>年</w:t>
            </w:r>
          </w:p>
        </w:tc>
        <w:tc>
          <w:tcPr>
            <w:tcW w:w="1139"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2001/</w:t>
            </w:r>
            <w:r w:rsidRPr="007E57AE">
              <w:rPr>
                <w:rFonts w:eastAsia="KaiTi_GB2312" w:hint="eastAsia"/>
                <w:snapToGrid/>
                <w:sz w:val="18"/>
                <w:szCs w:val="18"/>
                <w:lang w:val="en-GB"/>
              </w:rPr>
              <w:br/>
            </w:r>
            <w:r w:rsidRPr="007E57AE">
              <w:rPr>
                <w:rFonts w:eastAsia="KaiTi_GB2312"/>
                <w:snapToGrid/>
                <w:sz w:val="18"/>
                <w:szCs w:val="18"/>
                <w:lang w:val="en-GB"/>
              </w:rPr>
              <w:t>2002</w:t>
            </w:r>
            <w:r w:rsidRPr="007E57AE">
              <w:rPr>
                <w:rFonts w:eastAsia="KaiTi_GB2312"/>
                <w:snapToGrid/>
                <w:sz w:val="18"/>
                <w:szCs w:val="18"/>
                <w:lang w:val="en-GB"/>
              </w:rPr>
              <w:t>年</w:t>
            </w:r>
          </w:p>
        </w:tc>
        <w:tc>
          <w:tcPr>
            <w:tcW w:w="1012"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2002/</w:t>
            </w:r>
            <w:r w:rsidRPr="007E57AE">
              <w:rPr>
                <w:rFonts w:eastAsia="KaiTi_GB2312" w:hint="eastAsia"/>
                <w:snapToGrid/>
                <w:sz w:val="18"/>
                <w:szCs w:val="18"/>
                <w:lang w:val="en-GB"/>
              </w:rPr>
              <w:br/>
            </w:r>
            <w:r w:rsidRPr="007E57AE">
              <w:rPr>
                <w:rFonts w:eastAsia="KaiTi_GB2312"/>
                <w:snapToGrid/>
                <w:sz w:val="18"/>
                <w:szCs w:val="18"/>
                <w:lang w:val="en-GB"/>
              </w:rPr>
              <w:t>2003</w:t>
            </w:r>
            <w:r w:rsidRPr="007E57AE">
              <w:rPr>
                <w:rFonts w:eastAsia="KaiTi_GB2312"/>
                <w:snapToGrid/>
                <w:sz w:val="18"/>
                <w:szCs w:val="18"/>
                <w:lang w:val="en-GB"/>
              </w:rPr>
              <w:t>年</w:t>
            </w:r>
          </w:p>
        </w:tc>
        <w:tc>
          <w:tcPr>
            <w:tcW w:w="1012"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2003/</w:t>
            </w:r>
            <w:r w:rsidRPr="007E57AE">
              <w:rPr>
                <w:rFonts w:eastAsia="KaiTi_GB2312" w:hint="eastAsia"/>
                <w:snapToGrid/>
                <w:sz w:val="18"/>
                <w:szCs w:val="18"/>
                <w:lang w:val="en-GB"/>
              </w:rPr>
              <w:br/>
            </w:r>
            <w:r w:rsidRPr="007E57AE">
              <w:rPr>
                <w:rFonts w:eastAsia="KaiTi_GB2312"/>
                <w:snapToGrid/>
                <w:sz w:val="18"/>
                <w:szCs w:val="18"/>
                <w:lang w:val="en-GB"/>
              </w:rPr>
              <w:t>2004</w:t>
            </w:r>
            <w:r w:rsidRPr="007E57AE">
              <w:rPr>
                <w:rFonts w:eastAsia="KaiTi_GB2312"/>
                <w:snapToGrid/>
                <w:sz w:val="18"/>
                <w:szCs w:val="18"/>
                <w:lang w:val="en-GB"/>
              </w:rPr>
              <w:t>年</w:t>
            </w:r>
          </w:p>
        </w:tc>
        <w:tc>
          <w:tcPr>
            <w:tcW w:w="1012"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2004/</w:t>
            </w:r>
            <w:r w:rsidRPr="007E57AE">
              <w:rPr>
                <w:rFonts w:eastAsia="KaiTi_GB2312" w:hint="eastAsia"/>
                <w:snapToGrid/>
                <w:sz w:val="18"/>
                <w:szCs w:val="18"/>
                <w:lang w:val="en-GB"/>
              </w:rPr>
              <w:br/>
            </w:r>
            <w:r w:rsidRPr="007E57AE">
              <w:rPr>
                <w:rFonts w:eastAsia="KaiTi_GB2312"/>
                <w:snapToGrid/>
                <w:sz w:val="18"/>
                <w:szCs w:val="18"/>
                <w:lang w:val="en-GB"/>
              </w:rPr>
              <w:t>2005</w:t>
            </w:r>
            <w:r w:rsidRPr="007E57AE">
              <w:rPr>
                <w:rFonts w:eastAsia="KaiTi_GB2312"/>
                <w:snapToGrid/>
                <w:sz w:val="18"/>
                <w:szCs w:val="18"/>
                <w:lang w:val="en-GB"/>
              </w:rPr>
              <w:t>年</w:t>
            </w:r>
          </w:p>
        </w:tc>
        <w:tc>
          <w:tcPr>
            <w:tcW w:w="1012"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2005/</w:t>
            </w:r>
            <w:r w:rsidRPr="007E57AE">
              <w:rPr>
                <w:rFonts w:eastAsia="KaiTi_GB2312" w:hint="eastAsia"/>
                <w:snapToGrid/>
                <w:sz w:val="18"/>
                <w:szCs w:val="18"/>
                <w:lang w:val="en-GB"/>
              </w:rPr>
              <w:br/>
            </w:r>
            <w:r w:rsidRPr="007E57AE">
              <w:rPr>
                <w:rFonts w:eastAsia="KaiTi_GB2312"/>
                <w:snapToGrid/>
                <w:sz w:val="18"/>
                <w:szCs w:val="18"/>
                <w:lang w:val="en-GB"/>
              </w:rPr>
              <w:t>2006</w:t>
            </w:r>
            <w:r w:rsidRPr="007E57AE">
              <w:rPr>
                <w:rFonts w:eastAsia="KaiTi_GB2312"/>
                <w:snapToGrid/>
                <w:sz w:val="18"/>
                <w:szCs w:val="18"/>
                <w:lang w:val="en-GB"/>
              </w:rPr>
              <w:t>年</w:t>
            </w:r>
          </w:p>
        </w:tc>
        <w:tc>
          <w:tcPr>
            <w:tcW w:w="1012"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2006/</w:t>
            </w:r>
            <w:r w:rsidRPr="007E57AE">
              <w:rPr>
                <w:rFonts w:eastAsia="KaiTi_GB2312" w:hint="eastAsia"/>
                <w:snapToGrid/>
                <w:sz w:val="18"/>
                <w:szCs w:val="18"/>
                <w:lang w:val="en-GB"/>
              </w:rPr>
              <w:br/>
            </w:r>
            <w:r w:rsidRPr="007E57AE">
              <w:rPr>
                <w:rFonts w:eastAsia="KaiTi_GB2312"/>
                <w:snapToGrid/>
                <w:sz w:val="18"/>
                <w:szCs w:val="18"/>
                <w:lang w:val="en-GB"/>
              </w:rPr>
              <w:t>2007</w:t>
            </w:r>
            <w:r w:rsidRPr="007E57AE">
              <w:rPr>
                <w:rFonts w:eastAsia="KaiTi_GB2312"/>
                <w:snapToGrid/>
                <w:sz w:val="18"/>
                <w:szCs w:val="18"/>
                <w:lang w:val="en-GB"/>
              </w:rPr>
              <w:t>年</w:t>
            </w:r>
          </w:p>
        </w:tc>
        <w:tc>
          <w:tcPr>
            <w:tcW w:w="1035" w:type="dxa"/>
            <w:tcBorders>
              <w:top w:val="single" w:sz="4" w:space="0" w:color="auto"/>
              <w:bottom w:val="single" w:sz="12" w:space="0" w:color="auto"/>
            </w:tcBorders>
            <w:shd w:val="clear" w:color="auto" w:fill="auto"/>
          </w:tcPr>
          <w:p w:rsidR="00A93F62" w:rsidRPr="007E57AE" w:rsidRDefault="00A93F62" w:rsidP="00365AE4">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2007/</w:t>
            </w:r>
            <w:r w:rsidRPr="007E57AE">
              <w:rPr>
                <w:rFonts w:eastAsia="KaiTi_GB2312" w:hint="eastAsia"/>
                <w:snapToGrid/>
                <w:sz w:val="18"/>
                <w:szCs w:val="18"/>
                <w:lang w:val="en-GB"/>
              </w:rPr>
              <w:br/>
            </w:r>
            <w:r w:rsidRPr="007E57AE">
              <w:rPr>
                <w:rFonts w:eastAsia="KaiTi_GB2312"/>
                <w:snapToGrid/>
                <w:sz w:val="18"/>
                <w:szCs w:val="18"/>
                <w:lang w:val="en-GB"/>
              </w:rPr>
              <w:t>2008</w:t>
            </w:r>
            <w:r w:rsidRPr="007E57AE">
              <w:rPr>
                <w:rFonts w:eastAsia="KaiTi_GB2312"/>
                <w:snapToGrid/>
                <w:sz w:val="18"/>
                <w:szCs w:val="18"/>
                <w:lang w:val="en-GB"/>
              </w:rPr>
              <w:t>年</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Borders>
              <w:top w:val="single" w:sz="12" w:space="0" w:color="auto"/>
            </w:tcBorders>
          </w:tcPr>
          <w:p w:rsidR="00A93F62" w:rsidRPr="007E57AE" w:rsidRDefault="00A93F62">
            <w:pPr>
              <w:tabs>
                <w:tab w:val="clear" w:pos="431"/>
              </w:tabs>
              <w:suppressAutoHyphens/>
              <w:overflowPunct/>
              <w:adjustRightInd/>
              <w:snapToGrid/>
              <w:spacing w:after="120" w:line="240" w:lineRule="atLeast"/>
              <w:rPr>
                <w:b/>
                <w:snapToGrid/>
                <w:sz w:val="18"/>
                <w:szCs w:val="18"/>
                <w:lang w:val="en-GB" w:eastAsia="en-US"/>
              </w:rPr>
            </w:pPr>
            <w:r w:rsidRPr="007E57AE">
              <w:rPr>
                <w:rFonts w:eastAsia="SimHei"/>
                <w:snapToGrid/>
                <w:sz w:val="18"/>
                <w:szCs w:val="18"/>
                <w:lang w:val="en-GB"/>
              </w:rPr>
              <w:t>土库曼斯坦</w:t>
            </w:r>
          </w:p>
        </w:tc>
        <w:tc>
          <w:tcPr>
            <w:tcW w:w="1013"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16</w:t>
            </w:r>
          </w:p>
        </w:tc>
        <w:tc>
          <w:tcPr>
            <w:tcW w:w="1139"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15</w:t>
            </w:r>
          </w:p>
        </w:tc>
        <w:tc>
          <w:tcPr>
            <w:tcW w:w="1012"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15</w:t>
            </w:r>
          </w:p>
        </w:tc>
        <w:tc>
          <w:tcPr>
            <w:tcW w:w="1012"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15</w:t>
            </w:r>
          </w:p>
        </w:tc>
        <w:tc>
          <w:tcPr>
            <w:tcW w:w="1012"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16</w:t>
            </w:r>
          </w:p>
        </w:tc>
        <w:tc>
          <w:tcPr>
            <w:tcW w:w="1012"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16</w:t>
            </w:r>
          </w:p>
        </w:tc>
        <w:tc>
          <w:tcPr>
            <w:tcW w:w="1012"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16</w:t>
            </w:r>
          </w:p>
        </w:tc>
        <w:tc>
          <w:tcPr>
            <w:tcW w:w="1035" w:type="dxa"/>
            <w:tcBorders>
              <w:top w:val="single" w:sz="12" w:space="0" w:color="auto"/>
            </w:tcBorders>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17</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pacing w:before="0" w:after="0" w:line="240" w:lineRule="atLeast"/>
              <w:rPr>
                <w:snapToGrid/>
                <w:sz w:val="18"/>
                <w:szCs w:val="18"/>
                <w:lang w:val="en-GB" w:eastAsia="en-US"/>
              </w:rPr>
            </w:pPr>
            <w:r w:rsidRPr="007E57AE">
              <w:rPr>
                <w:snapToGrid/>
                <w:sz w:val="18"/>
                <w:szCs w:val="18"/>
                <w:lang w:val="en-GB"/>
              </w:rPr>
              <w:t>阿什哈巴德市</w:t>
            </w:r>
          </w:p>
        </w:tc>
        <w:tc>
          <w:tcPr>
            <w:tcW w:w="1013"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w:t>
            </w:r>
          </w:p>
        </w:tc>
        <w:tc>
          <w:tcPr>
            <w:tcW w:w="1139"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w:t>
            </w:r>
          </w:p>
        </w:tc>
        <w:tc>
          <w:tcPr>
            <w:tcW w:w="1035"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w:t>
            </w:r>
          </w:p>
        </w:tc>
      </w:tr>
      <w:tr w:rsidR="00A93F62">
        <w:trPr>
          <w:trHeight w:val="284"/>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pacing w:before="0" w:after="0" w:line="240" w:lineRule="atLeast"/>
              <w:rPr>
                <w:snapToGrid/>
                <w:sz w:val="18"/>
                <w:szCs w:val="18"/>
                <w:lang w:val="en-GB" w:eastAsia="en-US"/>
              </w:rPr>
            </w:pPr>
            <w:r w:rsidRPr="007E57AE">
              <w:rPr>
                <w:snapToGrid/>
                <w:sz w:val="18"/>
                <w:szCs w:val="18"/>
                <w:lang w:val="en-GB"/>
              </w:rPr>
              <w:t>省区：</w:t>
            </w:r>
          </w:p>
        </w:tc>
        <w:tc>
          <w:tcPr>
            <w:tcW w:w="1013"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139"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35"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r>
      <w:tr w:rsidR="00A93F62">
        <w:trPr>
          <w:trHeight w:val="297"/>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pacing w:before="0" w:after="0" w:line="240" w:lineRule="atLeast"/>
              <w:rPr>
                <w:snapToGrid/>
                <w:sz w:val="18"/>
                <w:szCs w:val="18"/>
                <w:lang w:val="en-GB" w:eastAsia="en-US"/>
              </w:rPr>
            </w:pPr>
            <w:r w:rsidRPr="007E57AE">
              <w:rPr>
                <w:snapToGrid/>
                <w:sz w:val="18"/>
                <w:szCs w:val="18"/>
                <w:lang w:val="en-GB"/>
              </w:rPr>
              <w:t>阿哈尔省</w:t>
            </w:r>
          </w:p>
        </w:tc>
        <w:tc>
          <w:tcPr>
            <w:tcW w:w="1013"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w:t>
            </w:r>
          </w:p>
        </w:tc>
        <w:tc>
          <w:tcPr>
            <w:tcW w:w="1139"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w:t>
            </w:r>
          </w:p>
        </w:tc>
        <w:tc>
          <w:tcPr>
            <w:tcW w:w="1035"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pacing w:before="0" w:after="0" w:line="240" w:lineRule="atLeast"/>
              <w:rPr>
                <w:snapToGrid/>
                <w:sz w:val="18"/>
                <w:szCs w:val="18"/>
                <w:lang w:val="en-GB" w:eastAsia="en-US"/>
              </w:rPr>
            </w:pPr>
            <w:r w:rsidRPr="007E57AE">
              <w:rPr>
                <w:snapToGrid/>
                <w:sz w:val="18"/>
                <w:szCs w:val="18"/>
                <w:lang w:val="en-GB"/>
              </w:rPr>
              <w:t>巴尔干省</w:t>
            </w:r>
          </w:p>
        </w:tc>
        <w:tc>
          <w:tcPr>
            <w:tcW w:w="1013"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w:t>
            </w:r>
          </w:p>
        </w:tc>
        <w:tc>
          <w:tcPr>
            <w:tcW w:w="1139"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35"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pacing w:before="0" w:after="0" w:line="240" w:lineRule="atLeast"/>
              <w:rPr>
                <w:snapToGrid/>
                <w:sz w:val="18"/>
                <w:szCs w:val="18"/>
                <w:lang w:val="en-GB" w:eastAsia="en-US"/>
              </w:rPr>
            </w:pPr>
            <w:r w:rsidRPr="007E57AE">
              <w:rPr>
                <w:snapToGrid/>
                <w:sz w:val="18"/>
                <w:szCs w:val="18"/>
                <w:lang w:val="en-GB"/>
              </w:rPr>
              <w:t>达守古斯省</w:t>
            </w:r>
          </w:p>
        </w:tc>
        <w:tc>
          <w:tcPr>
            <w:tcW w:w="1013"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c>
          <w:tcPr>
            <w:tcW w:w="1139"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c>
          <w:tcPr>
            <w:tcW w:w="1035"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r>
      <w:tr w:rsidR="00A93F62">
        <w:trPr>
          <w:trHeight w:val="297"/>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pacing w:before="0" w:after="0" w:line="240" w:lineRule="atLeast"/>
              <w:rPr>
                <w:snapToGrid/>
                <w:sz w:val="18"/>
                <w:szCs w:val="18"/>
                <w:lang w:val="en-GB" w:eastAsia="en-US"/>
              </w:rPr>
            </w:pPr>
            <w:r w:rsidRPr="007E57AE">
              <w:rPr>
                <w:snapToGrid/>
                <w:sz w:val="18"/>
                <w:szCs w:val="18"/>
                <w:lang w:val="en-GB"/>
              </w:rPr>
              <w:t>列巴普省</w:t>
            </w:r>
          </w:p>
        </w:tc>
        <w:tc>
          <w:tcPr>
            <w:tcW w:w="1013"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w:t>
            </w:r>
          </w:p>
        </w:tc>
        <w:tc>
          <w:tcPr>
            <w:tcW w:w="1139"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w:t>
            </w:r>
          </w:p>
        </w:tc>
        <w:tc>
          <w:tcPr>
            <w:tcW w:w="1012"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w:t>
            </w:r>
          </w:p>
        </w:tc>
        <w:tc>
          <w:tcPr>
            <w:tcW w:w="1035" w:type="dxa"/>
          </w:tcPr>
          <w:p w:rsidR="00A93F62" w:rsidRPr="007E57AE" w:rsidRDefault="00A93F62" w:rsidP="00365AE4">
            <w:pPr>
              <w:tabs>
                <w:tab w:val="clear" w:pos="431"/>
              </w:tabs>
              <w:suppressAutoHyphens/>
              <w:overflowPunct/>
              <w:adjustRightInd/>
              <w:spacing w:before="0" w:after="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马雷伊省</w:t>
            </w:r>
          </w:p>
        </w:tc>
        <w:tc>
          <w:tcPr>
            <w:tcW w:w="1013"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c>
          <w:tcPr>
            <w:tcW w:w="1139"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c>
          <w:tcPr>
            <w:tcW w:w="1012"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c>
          <w:tcPr>
            <w:tcW w:w="1012"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c>
          <w:tcPr>
            <w:tcW w:w="1012"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c>
          <w:tcPr>
            <w:tcW w:w="1012"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c>
          <w:tcPr>
            <w:tcW w:w="1012"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c>
          <w:tcPr>
            <w:tcW w:w="1035" w:type="dxa"/>
          </w:tcPr>
          <w:p w:rsidR="00A93F62" w:rsidRPr="007E57AE" w:rsidRDefault="00A93F62" w:rsidP="00365AE4">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w:t>
            </w:r>
          </w:p>
        </w:tc>
      </w:tr>
    </w:tbl>
    <w:p w:rsidR="00A93F62" w:rsidRDefault="00A93F62">
      <w:pPr>
        <w:tabs>
          <w:tab w:val="clear" w:pos="431"/>
        </w:tabs>
        <w:suppressAutoHyphens/>
        <w:overflowPunct/>
        <w:adjustRightInd/>
        <w:snapToGrid/>
        <w:spacing w:beforeLines="50" w:before="163" w:after="120" w:line="240" w:lineRule="atLeast"/>
        <w:ind w:left="1449" w:right="1134" w:firstLine="126"/>
        <w:rPr>
          <w:rFonts w:eastAsia="SimHei"/>
          <w:snapToGrid/>
          <w:szCs w:val="21"/>
          <w:lang w:val="en-GB"/>
        </w:rPr>
      </w:pPr>
      <w:r>
        <w:rPr>
          <w:rFonts w:eastAsia="SimHei"/>
          <w:snapToGrid/>
          <w:szCs w:val="21"/>
          <w:lang w:val="en-GB"/>
        </w:rPr>
        <w:t>在校学生人数，千人</w:t>
      </w:r>
    </w:p>
    <w:tbl>
      <w:tblPr>
        <w:tblStyle w:val="TabNum"/>
        <w:tblW w:w="9637" w:type="dxa"/>
        <w:tblLayout w:type="fixed"/>
        <w:tblLook w:val="01E0" w:firstRow="1" w:lastRow="1" w:firstColumn="1" w:lastColumn="1" w:noHBand="0" w:noVBand="0"/>
      </w:tblPr>
      <w:tblGrid>
        <w:gridCol w:w="1390"/>
        <w:gridCol w:w="1128"/>
        <w:gridCol w:w="1024"/>
        <w:gridCol w:w="1012"/>
        <w:gridCol w:w="1012"/>
        <w:gridCol w:w="1012"/>
        <w:gridCol w:w="1012"/>
        <w:gridCol w:w="1012"/>
        <w:gridCol w:w="1035"/>
      </w:tblGrid>
      <w:tr w:rsidR="00A93F62">
        <w:trPr>
          <w:trHeight w:hRule="exact" w:val="527"/>
        </w:trPr>
        <w:tc>
          <w:tcPr>
            <w:cnfStyle w:val="001000000000" w:firstRow="0" w:lastRow="0" w:firstColumn="1" w:lastColumn="0" w:oddVBand="0" w:evenVBand="0" w:oddHBand="0" w:evenHBand="0" w:firstRowFirstColumn="0" w:firstRowLastColumn="0" w:lastRowFirstColumn="0" w:lastRowLastColumn="0"/>
            <w:tcW w:w="1390" w:type="dxa"/>
            <w:tcBorders>
              <w:bottom w:val="single" w:sz="12" w:space="0" w:color="auto"/>
            </w:tcBorders>
            <w:shd w:val="clear" w:color="auto" w:fill="auto"/>
          </w:tcPr>
          <w:p w:rsidR="00A93F62" w:rsidRPr="007E57AE" w:rsidRDefault="00A93F62">
            <w:pPr>
              <w:tabs>
                <w:tab w:val="clear" w:pos="431"/>
              </w:tabs>
              <w:suppressAutoHyphens/>
              <w:overflowPunct/>
              <w:adjustRightInd/>
              <w:snapToGrid/>
              <w:spacing w:after="120" w:line="240" w:lineRule="atLeast"/>
              <w:rPr>
                <w:i/>
                <w:snapToGrid/>
                <w:sz w:val="18"/>
                <w:szCs w:val="18"/>
                <w:lang w:val="en-GB" w:eastAsia="en-US"/>
              </w:rPr>
            </w:pPr>
          </w:p>
        </w:tc>
        <w:tc>
          <w:tcPr>
            <w:tcW w:w="1128"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2000/</w:t>
            </w:r>
            <w:r w:rsidRPr="007E57AE">
              <w:rPr>
                <w:rFonts w:eastAsia="KaiTi_GB2312" w:hint="eastAsia"/>
                <w:snapToGrid/>
                <w:sz w:val="18"/>
                <w:szCs w:val="18"/>
                <w:lang w:val="en-GB"/>
              </w:rPr>
              <w:br/>
            </w:r>
            <w:r w:rsidRPr="007E57AE">
              <w:rPr>
                <w:rFonts w:eastAsia="KaiTi_GB2312"/>
                <w:snapToGrid/>
                <w:sz w:val="18"/>
                <w:szCs w:val="18"/>
                <w:lang w:val="en-GB"/>
              </w:rPr>
              <w:t>2001</w:t>
            </w:r>
            <w:r w:rsidRPr="007E57AE">
              <w:rPr>
                <w:rFonts w:eastAsia="KaiTi_GB2312"/>
                <w:snapToGrid/>
                <w:sz w:val="18"/>
                <w:szCs w:val="18"/>
                <w:lang w:val="en-GB"/>
              </w:rPr>
              <w:t>年</w:t>
            </w:r>
          </w:p>
        </w:tc>
        <w:tc>
          <w:tcPr>
            <w:tcW w:w="1024"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2001/</w:t>
            </w:r>
            <w:r w:rsidRPr="007E57AE">
              <w:rPr>
                <w:rFonts w:eastAsia="KaiTi_GB2312" w:hint="eastAsia"/>
                <w:snapToGrid/>
                <w:sz w:val="18"/>
                <w:szCs w:val="18"/>
                <w:lang w:val="en-GB"/>
              </w:rPr>
              <w:br/>
            </w:r>
            <w:r w:rsidRPr="007E57AE">
              <w:rPr>
                <w:rFonts w:eastAsia="KaiTi_GB2312"/>
                <w:snapToGrid/>
                <w:sz w:val="18"/>
                <w:szCs w:val="18"/>
                <w:lang w:val="en-GB"/>
              </w:rPr>
              <w:t>2002</w:t>
            </w:r>
            <w:r w:rsidRPr="007E57AE">
              <w:rPr>
                <w:rFonts w:eastAsia="KaiTi_GB2312"/>
                <w:snapToGrid/>
                <w:sz w:val="18"/>
                <w:szCs w:val="18"/>
                <w:lang w:val="en-GB"/>
              </w:rPr>
              <w:t>年</w:t>
            </w:r>
          </w:p>
        </w:tc>
        <w:tc>
          <w:tcPr>
            <w:tcW w:w="1012"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2002/</w:t>
            </w:r>
            <w:r w:rsidRPr="007E57AE">
              <w:rPr>
                <w:rFonts w:eastAsia="KaiTi_GB2312" w:hint="eastAsia"/>
                <w:snapToGrid/>
                <w:sz w:val="18"/>
                <w:szCs w:val="18"/>
                <w:lang w:val="en-GB"/>
              </w:rPr>
              <w:br/>
            </w:r>
            <w:r w:rsidRPr="007E57AE">
              <w:rPr>
                <w:rFonts w:eastAsia="KaiTi_GB2312"/>
                <w:snapToGrid/>
                <w:sz w:val="18"/>
                <w:szCs w:val="18"/>
                <w:lang w:val="en-GB"/>
              </w:rPr>
              <w:t>2003</w:t>
            </w:r>
            <w:r w:rsidRPr="007E57AE">
              <w:rPr>
                <w:rFonts w:eastAsia="KaiTi_GB2312"/>
                <w:snapToGrid/>
                <w:sz w:val="18"/>
                <w:szCs w:val="18"/>
                <w:lang w:val="en-GB"/>
              </w:rPr>
              <w:t>年</w:t>
            </w:r>
          </w:p>
        </w:tc>
        <w:tc>
          <w:tcPr>
            <w:tcW w:w="1012"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2003/</w:t>
            </w:r>
            <w:r w:rsidRPr="007E57AE">
              <w:rPr>
                <w:rFonts w:eastAsia="KaiTi_GB2312" w:hint="eastAsia"/>
                <w:snapToGrid/>
                <w:sz w:val="18"/>
                <w:szCs w:val="18"/>
                <w:lang w:val="en-GB"/>
              </w:rPr>
              <w:br/>
            </w:r>
            <w:r w:rsidRPr="007E57AE">
              <w:rPr>
                <w:rFonts w:eastAsia="KaiTi_GB2312"/>
                <w:snapToGrid/>
                <w:sz w:val="18"/>
                <w:szCs w:val="18"/>
                <w:lang w:val="en-GB"/>
              </w:rPr>
              <w:t>2004</w:t>
            </w:r>
            <w:r w:rsidRPr="007E57AE">
              <w:rPr>
                <w:rFonts w:eastAsia="KaiTi_GB2312"/>
                <w:snapToGrid/>
                <w:sz w:val="18"/>
                <w:szCs w:val="18"/>
                <w:lang w:val="en-GB"/>
              </w:rPr>
              <w:t>年</w:t>
            </w:r>
          </w:p>
        </w:tc>
        <w:tc>
          <w:tcPr>
            <w:tcW w:w="1012"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2004/</w:t>
            </w:r>
            <w:r w:rsidRPr="007E57AE">
              <w:rPr>
                <w:rFonts w:eastAsia="KaiTi_GB2312" w:hint="eastAsia"/>
                <w:snapToGrid/>
                <w:sz w:val="18"/>
                <w:szCs w:val="18"/>
                <w:lang w:val="en-GB"/>
              </w:rPr>
              <w:br/>
            </w:r>
            <w:r w:rsidRPr="007E57AE">
              <w:rPr>
                <w:rFonts w:eastAsia="KaiTi_GB2312"/>
                <w:snapToGrid/>
                <w:sz w:val="18"/>
                <w:szCs w:val="18"/>
                <w:lang w:val="en-GB"/>
              </w:rPr>
              <w:t>2005</w:t>
            </w:r>
            <w:r w:rsidRPr="007E57AE">
              <w:rPr>
                <w:rFonts w:eastAsia="KaiTi_GB2312"/>
                <w:snapToGrid/>
                <w:sz w:val="18"/>
                <w:szCs w:val="18"/>
                <w:lang w:val="en-GB"/>
              </w:rPr>
              <w:t>年</w:t>
            </w:r>
          </w:p>
        </w:tc>
        <w:tc>
          <w:tcPr>
            <w:tcW w:w="1012"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2005/</w:t>
            </w:r>
            <w:r w:rsidRPr="007E57AE">
              <w:rPr>
                <w:rFonts w:eastAsia="KaiTi_GB2312" w:hint="eastAsia"/>
                <w:snapToGrid/>
                <w:sz w:val="18"/>
                <w:szCs w:val="18"/>
                <w:lang w:val="en-GB"/>
              </w:rPr>
              <w:br/>
            </w:r>
            <w:r w:rsidRPr="007E57AE">
              <w:rPr>
                <w:rFonts w:eastAsia="KaiTi_GB2312"/>
                <w:snapToGrid/>
                <w:sz w:val="18"/>
                <w:szCs w:val="18"/>
                <w:lang w:val="en-GB"/>
              </w:rPr>
              <w:t>2006</w:t>
            </w:r>
            <w:r w:rsidRPr="007E57AE">
              <w:rPr>
                <w:rFonts w:eastAsia="KaiTi_GB2312"/>
                <w:snapToGrid/>
                <w:sz w:val="18"/>
                <w:szCs w:val="18"/>
                <w:lang w:val="en-GB"/>
              </w:rPr>
              <w:t>年</w:t>
            </w:r>
          </w:p>
        </w:tc>
        <w:tc>
          <w:tcPr>
            <w:tcW w:w="1012"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2006/</w:t>
            </w:r>
            <w:r w:rsidRPr="007E57AE">
              <w:rPr>
                <w:rFonts w:eastAsia="KaiTi_GB2312" w:hint="eastAsia"/>
                <w:snapToGrid/>
                <w:sz w:val="18"/>
                <w:szCs w:val="18"/>
                <w:lang w:val="en-GB"/>
              </w:rPr>
              <w:br/>
            </w:r>
            <w:r w:rsidRPr="007E57AE">
              <w:rPr>
                <w:rFonts w:eastAsia="KaiTi_GB2312"/>
                <w:snapToGrid/>
                <w:sz w:val="18"/>
                <w:szCs w:val="18"/>
                <w:lang w:val="en-GB"/>
              </w:rPr>
              <w:t>2007</w:t>
            </w:r>
            <w:r w:rsidRPr="007E57AE">
              <w:rPr>
                <w:rFonts w:eastAsia="KaiTi_GB2312"/>
                <w:snapToGrid/>
                <w:sz w:val="18"/>
                <w:szCs w:val="18"/>
                <w:lang w:val="en-GB"/>
              </w:rPr>
              <w:t>年</w:t>
            </w:r>
          </w:p>
        </w:tc>
        <w:tc>
          <w:tcPr>
            <w:tcW w:w="103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2007/</w:t>
            </w:r>
            <w:r w:rsidRPr="007E57AE">
              <w:rPr>
                <w:rFonts w:eastAsia="KaiTi_GB2312" w:hint="eastAsia"/>
                <w:snapToGrid/>
                <w:sz w:val="18"/>
                <w:szCs w:val="18"/>
                <w:lang w:val="en-GB"/>
              </w:rPr>
              <w:br/>
            </w:r>
            <w:r w:rsidRPr="007E57AE">
              <w:rPr>
                <w:rFonts w:eastAsia="KaiTi_GB2312"/>
                <w:snapToGrid/>
                <w:sz w:val="18"/>
                <w:szCs w:val="18"/>
                <w:lang w:val="en-GB"/>
              </w:rPr>
              <w:t>2008</w:t>
            </w:r>
            <w:r w:rsidRPr="007E57AE">
              <w:rPr>
                <w:rFonts w:eastAsia="KaiTi_GB2312"/>
                <w:snapToGrid/>
                <w:sz w:val="18"/>
                <w:szCs w:val="18"/>
                <w:lang w:val="en-GB"/>
              </w:rPr>
              <w:t>年</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Borders>
              <w:top w:val="single" w:sz="12" w:space="0" w:color="auto"/>
            </w:tcBorders>
          </w:tcPr>
          <w:p w:rsidR="00A93F62" w:rsidRPr="007E57AE" w:rsidRDefault="00A93F62">
            <w:pPr>
              <w:tabs>
                <w:tab w:val="clear" w:pos="431"/>
              </w:tabs>
              <w:suppressAutoHyphens/>
              <w:overflowPunct/>
              <w:adjustRightInd/>
              <w:spacing w:after="120" w:line="240" w:lineRule="atLeast"/>
              <w:rPr>
                <w:b/>
                <w:snapToGrid/>
                <w:sz w:val="18"/>
                <w:szCs w:val="18"/>
                <w:lang w:val="en-GB" w:eastAsia="en-US"/>
              </w:rPr>
            </w:pPr>
            <w:r w:rsidRPr="007E57AE">
              <w:rPr>
                <w:rFonts w:eastAsia="SimHei"/>
                <w:snapToGrid/>
                <w:sz w:val="18"/>
                <w:szCs w:val="18"/>
                <w:lang w:val="en-GB"/>
              </w:rPr>
              <w:t>土库曼斯坦</w:t>
            </w:r>
          </w:p>
        </w:tc>
        <w:tc>
          <w:tcPr>
            <w:tcW w:w="1128" w:type="dxa"/>
            <w:tcBorders>
              <w:top w:val="single" w:sz="12" w:space="0" w:color="auto"/>
            </w:tcBorders>
          </w:tcPr>
          <w:p w:rsidR="00A93F62" w:rsidRPr="007E57AE" w:rsidRDefault="00A93F62" w:rsidP="006B4551">
            <w:pPr>
              <w:tabs>
                <w:tab w:val="clear" w:pos="431"/>
              </w:tabs>
              <w:suppressAutoHyphens/>
              <w:overflowPunct/>
              <w:adjustRightIn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4.3</w:t>
            </w:r>
          </w:p>
        </w:tc>
        <w:tc>
          <w:tcPr>
            <w:tcW w:w="1024" w:type="dxa"/>
            <w:tcBorders>
              <w:top w:val="single" w:sz="12" w:space="0" w:color="auto"/>
            </w:tcBorders>
          </w:tcPr>
          <w:p w:rsidR="00A93F62" w:rsidRPr="007E57AE" w:rsidRDefault="00A93F62" w:rsidP="006B4551">
            <w:pPr>
              <w:tabs>
                <w:tab w:val="clear" w:pos="431"/>
              </w:tabs>
              <w:suppressAutoHyphens/>
              <w:overflowPunct/>
              <w:adjustRightIn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4.0</w:t>
            </w:r>
          </w:p>
        </w:tc>
        <w:tc>
          <w:tcPr>
            <w:tcW w:w="1012" w:type="dxa"/>
            <w:tcBorders>
              <w:top w:val="single" w:sz="12" w:space="0" w:color="auto"/>
            </w:tcBorders>
          </w:tcPr>
          <w:p w:rsidR="00A93F62" w:rsidRPr="007E57AE" w:rsidRDefault="00A93F62" w:rsidP="006B4551">
            <w:pPr>
              <w:tabs>
                <w:tab w:val="clear" w:pos="431"/>
              </w:tabs>
              <w:suppressAutoHyphens/>
              <w:overflowPunct/>
              <w:adjustRightIn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4.0</w:t>
            </w:r>
          </w:p>
        </w:tc>
        <w:tc>
          <w:tcPr>
            <w:tcW w:w="1012" w:type="dxa"/>
            <w:tcBorders>
              <w:top w:val="single" w:sz="12" w:space="0" w:color="auto"/>
            </w:tcBorders>
          </w:tcPr>
          <w:p w:rsidR="00A93F62" w:rsidRPr="007E57AE" w:rsidRDefault="00A93F62" w:rsidP="006B4551">
            <w:pPr>
              <w:tabs>
                <w:tab w:val="clear" w:pos="431"/>
              </w:tabs>
              <w:suppressAutoHyphens/>
              <w:overflowPunct/>
              <w:adjustRightIn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4.0</w:t>
            </w:r>
          </w:p>
        </w:tc>
        <w:tc>
          <w:tcPr>
            <w:tcW w:w="1012" w:type="dxa"/>
            <w:tcBorders>
              <w:top w:val="single" w:sz="12" w:space="0" w:color="auto"/>
            </w:tcBorders>
          </w:tcPr>
          <w:p w:rsidR="00A93F62" w:rsidRPr="007E57AE" w:rsidRDefault="00A93F62" w:rsidP="006B4551">
            <w:pPr>
              <w:tabs>
                <w:tab w:val="clear" w:pos="431"/>
              </w:tabs>
              <w:suppressAutoHyphens/>
              <w:overflowPunct/>
              <w:adjustRightIn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4.1</w:t>
            </w:r>
          </w:p>
        </w:tc>
        <w:tc>
          <w:tcPr>
            <w:tcW w:w="1012" w:type="dxa"/>
            <w:tcBorders>
              <w:top w:val="single" w:sz="12" w:space="0" w:color="auto"/>
            </w:tcBorders>
          </w:tcPr>
          <w:p w:rsidR="00A93F62" w:rsidRPr="007E57AE" w:rsidRDefault="00A93F62" w:rsidP="006B4551">
            <w:pPr>
              <w:tabs>
                <w:tab w:val="clear" w:pos="431"/>
              </w:tabs>
              <w:suppressAutoHyphens/>
              <w:overflowPunct/>
              <w:adjustRightIn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4.1</w:t>
            </w:r>
          </w:p>
        </w:tc>
        <w:tc>
          <w:tcPr>
            <w:tcW w:w="1012" w:type="dxa"/>
            <w:tcBorders>
              <w:top w:val="single" w:sz="12" w:space="0" w:color="auto"/>
            </w:tcBorders>
          </w:tcPr>
          <w:p w:rsidR="00A93F62" w:rsidRPr="007E57AE" w:rsidRDefault="00A93F62" w:rsidP="006B4551">
            <w:pPr>
              <w:tabs>
                <w:tab w:val="clear" w:pos="431"/>
              </w:tabs>
              <w:suppressAutoHyphens/>
              <w:overflowPunct/>
              <w:adjustRightIn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3.8</w:t>
            </w:r>
          </w:p>
        </w:tc>
        <w:tc>
          <w:tcPr>
            <w:tcW w:w="1035" w:type="dxa"/>
            <w:tcBorders>
              <w:top w:val="single" w:sz="12" w:space="0" w:color="auto"/>
            </w:tcBorders>
          </w:tcPr>
          <w:p w:rsidR="00A93F62" w:rsidRPr="007E57AE" w:rsidRDefault="00A93F62" w:rsidP="006B4551">
            <w:pPr>
              <w:tabs>
                <w:tab w:val="clear" w:pos="431"/>
              </w:tabs>
              <w:suppressAutoHyphens/>
              <w:overflowPunct/>
              <w:adjustRightIn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3.8</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pacing w:before="0" w:after="0" w:line="228" w:lineRule="auto"/>
              <w:rPr>
                <w:snapToGrid/>
                <w:sz w:val="18"/>
                <w:szCs w:val="18"/>
                <w:lang w:val="en-GB" w:eastAsia="en-US"/>
              </w:rPr>
            </w:pPr>
            <w:r w:rsidRPr="007E57AE">
              <w:rPr>
                <w:snapToGrid/>
                <w:sz w:val="18"/>
                <w:szCs w:val="18"/>
                <w:lang w:val="en-GB"/>
              </w:rPr>
              <w:t>阿什哈巴德市</w:t>
            </w:r>
          </w:p>
        </w:tc>
        <w:tc>
          <w:tcPr>
            <w:tcW w:w="1128" w:type="dxa"/>
            <w:tcBorders>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w:t>
            </w:r>
          </w:p>
        </w:tc>
        <w:tc>
          <w:tcPr>
            <w:tcW w:w="1024" w:type="dxa"/>
            <w:tcBorders>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w:t>
            </w:r>
          </w:p>
        </w:tc>
        <w:tc>
          <w:tcPr>
            <w:tcW w:w="1012" w:type="dxa"/>
            <w:tcBorders>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w:t>
            </w:r>
          </w:p>
        </w:tc>
        <w:tc>
          <w:tcPr>
            <w:tcW w:w="1012" w:type="dxa"/>
            <w:tcBorders>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w:t>
            </w:r>
          </w:p>
        </w:tc>
        <w:tc>
          <w:tcPr>
            <w:tcW w:w="1012" w:type="dxa"/>
            <w:tcBorders>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2.4</w:t>
            </w:r>
          </w:p>
        </w:tc>
        <w:tc>
          <w:tcPr>
            <w:tcW w:w="1012" w:type="dxa"/>
            <w:tcBorders>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2.3</w:t>
            </w:r>
          </w:p>
        </w:tc>
        <w:tc>
          <w:tcPr>
            <w:tcW w:w="1012" w:type="dxa"/>
            <w:tcBorders>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2.0</w:t>
            </w:r>
          </w:p>
        </w:tc>
        <w:tc>
          <w:tcPr>
            <w:tcW w:w="1035" w:type="dxa"/>
            <w:tcBorders>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2.0</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Borders>
              <w:top w:val="nil"/>
            </w:tcBorders>
          </w:tcPr>
          <w:p w:rsidR="00A93F62" w:rsidRPr="007E57AE" w:rsidRDefault="00A93F62">
            <w:pPr>
              <w:tabs>
                <w:tab w:val="clear" w:pos="431"/>
              </w:tabs>
              <w:suppressAutoHyphens/>
              <w:overflowPunct/>
              <w:adjustRightInd/>
              <w:spacing w:before="0" w:after="0" w:line="228" w:lineRule="auto"/>
              <w:rPr>
                <w:snapToGrid/>
                <w:sz w:val="18"/>
                <w:szCs w:val="18"/>
                <w:lang w:val="en-GB" w:eastAsia="en-US"/>
              </w:rPr>
            </w:pPr>
            <w:r w:rsidRPr="007E57AE">
              <w:rPr>
                <w:snapToGrid/>
                <w:sz w:val="18"/>
                <w:szCs w:val="18"/>
                <w:lang w:val="en-GB"/>
              </w:rPr>
              <w:t>省区：</w:t>
            </w:r>
          </w:p>
        </w:tc>
        <w:tc>
          <w:tcPr>
            <w:tcW w:w="1128" w:type="dxa"/>
            <w:tcBorders>
              <w:top w:val="nil"/>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24" w:type="dxa"/>
            <w:tcBorders>
              <w:top w:val="nil"/>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35" w:type="dxa"/>
            <w:tcBorders>
              <w:top w:val="nil"/>
              <w:bottom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r>
      <w:tr w:rsidR="00A93F62">
        <w:trPr>
          <w:trHeight w:val="269"/>
        </w:trPr>
        <w:tc>
          <w:tcPr>
            <w:cnfStyle w:val="001000000000" w:firstRow="0" w:lastRow="0" w:firstColumn="1" w:lastColumn="0" w:oddVBand="0" w:evenVBand="0" w:oddHBand="0" w:evenHBand="0" w:firstRowFirstColumn="0" w:firstRowLastColumn="0" w:lastRowFirstColumn="0" w:lastRowLastColumn="0"/>
            <w:tcW w:w="1390" w:type="dxa"/>
            <w:tcBorders>
              <w:top w:val="nil"/>
            </w:tcBorders>
          </w:tcPr>
          <w:p w:rsidR="00A93F62" w:rsidRPr="007E57AE" w:rsidRDefault="00A93F62">
            <w:pPr>
              <w:tabs>
                <w:tab w:val="clear" w:pos="431"/>
              </w:tabs>
              <w:suppressAutoHyphens/>
              <w:overflowPunct/>
              <w:adjustRightInd/>
              <w:spacing w:before="0" w:after="0" w:line="228" w:lineRule="auto"/>
              <w:rPr>
                <w:snapToGrid/>
                <w:sz w:val="18"/>
                <w:szCs w:val="18"/>
                <w:lang w:val="en-GB" w:eastAsia="en-US"/>
              </w:rPr>
            </w:pPr>
            <w:r w:rsidRPr="007E57AE">
              <w:rPr>
                <w:snapToGrid/>
                <w:sz w:val="18"/>
                <w:szCs w:val="18"/>
                <w:lang w:val="en-GB"/>
              </w:rPr>
              <w:t>阿哈尔省</w:t>
            </w:r>
          </w:p>
        </w:tc>
        <w:tc>
          <w:tcPr>
            <w:tcW w:w="1128" w:type="dxa"/>
            <w:tcBorders>
              <w:top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24" w:type="dxa"/>
            <w:tcBorders>
              <w:top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35" w:type="dxa"/>
            <w:tcBorders>
              <w:top w:val="nil"/>
            </w:tcBorders>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0.04</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pacing w:before="0" w:after="0" w:line="228" w:lineRule="auto"/>
              <w:rPr>
                <w:snapToGrid/>
                <w:sz w:val="18"/>
                <w:szCs w:val="18"/>
                <w:lang w:val="en-GB" w:eastAsia="en-US"/>
              </w:rPr>
            </w:pPr>
            <w:r w:rsidRPr="007E57AE">
              <w:rPr>
                <w:snapToGrid/>
                <w:sz w:val="18"/>
                <w:szCs w:val="18"/>
                <w:lang w:val="en-GB"/>
              </w:rPr>
              <w:t>巴尔干省</w:t>
            </w:r>
          </w:p>
        </w:tc>
        <w:tc>
          <w:tcPr>
            <w:tcW w:w="1128"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0.6</w:t>
            </w:r>
          </w:p>
        </w:tc>
        <w:tc>
          <w:tcPr>
            <w:tcW w:w="1024"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0.3</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0.1</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0.1</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0.1</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0.1</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0.1</w:t>
            </w:r>
          </w:p>
        </w:tc>
        <w:tc>
          <w:tcPr>
            <w:tcW w:w="1035"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0.2</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pacing w:before="0" w:after="0" w:line="228" w:lineRule="auto"/>
              <w:rPr>
                <w:snapToGrid/>
                <w:sz w:val="18"/>
                <w:szCs w:val="18"/>
                <w:lang w:val="en-GB" w:eastAsia="en-US"/>
              </w:rPr>
            </w:pPr>
            <w:r w:rsidRPr="007E57AE">
              <w:rPr>
                <w:snapToGrid/>
                <w:sz w:val="18"/>
                <w:szCs w:val="18"/>
                <w:lang w:val="en-GB"/>
              </w:rPr>
              <w:t>达守古斯省</w:t>
            </w:r>
          </w:p>
        </w:tc>
        <w:tc>
          <w:tcPr>
            <w:tcW w:w="1128"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0.6</w:t>
            </w:r>
          </w:p>
        </w:tc>
        <w:tc>
          <w:tcPr>
            <w:tcW w:w="1024"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0.6</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0.6</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0.6</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0.6</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0.6</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0.6</w:t>
            </w:r>
          </w:p>
        </w:tc>
        <w:tc>
          <w:tcPr>
            <w:tcW w:w="1035"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0.6</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pacing w:before="0" w:after="0" w:line="228" w:lineRule="auto"/>
              <w:rPr>
                <w:snapToGrid/>
                <w:sz w:val="18"/>
                <w:szCs w:val="18"/>
                <w:lang w:val="en-GB" w:eastAsia="en-US"/>
              </w:rPr>
            </w:pPr>
            <w:r w:rsidRPr="007E57AE">
              <w:rPr>
                <w:snapToGrid/>
                <w:sz w:val="18"/>
                <w:szCs w:val="18"/>
                <w:lang w:val="en-GB"/>
              </w:rPr>
              <w:t>列巴普省</w:t>
            </w:r>
          </w:p>
        </w:tc>
        <w:tc>
          <w:tcPr>
            <w:tcW w:w="1128"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0.3</w:t>
            </w:r>
          </w:p>
        </w:tc>
        <w:tc>
          <w:tcPr>
            <w:tcW w:w="1024"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0.3</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0.3</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0.3</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0.3</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0.3</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0.3</w:t>
            </w:r>
          </w:p>
        </w:tc>
        <w:tc>
          <w:tcPr>
            <w:tcW w:w="1035"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0.3</w:t>
            </w:r>
          </w:p>
        </w:tc>
      </w:tr>
      <w:tr w:rsidR="00A93F62">
        <w:trPr>
          <w:trHeight w:val="242"/>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pacing w:before="0" w:after="0" w:line="228" w:lineRule="auto"/>
              <w:rPr>
                <w:snapToGrid/>
                <w:sz w:val="18"/>
                <w:szCs w:val="18"/>
                <w:lang w:val="en-GB" w:eastAsia="en-US"/>
              </w:rPr>
            </w:pPr>
            <w:r w:rsidRPr="007E57AE">
              <w:rPr>
                <w:snapToGrid/>
                <w:sz w:val="18"/>
                <w:szCs w:val="18"/>
                <w:lang w:val="en-GB"/>
              </w:rPr>
              <w:t>马雷伊省</w:t>
            </w:r>
          </w:p>
        </w:tc>
        <w:tc>
          <w:tcPr>
            <w:tcW w:w="1128"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c>
          <w:tcPr>
            <w:tcW w:w="1024"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c>
          <w:tcPr>
            <w:tcW w:w="1012"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c>
          <w:tcPr>
            <w:tcW w:w="1035" w:type="dxa"/>
          </w:tcPr>
          <w:p w:rsidR="00A93F62" w:rsidRPr="007E57AE" w:rsidRDefault="00A93F62" w:rsidP="006B4551">
            <w:pPr>
              <w:tabs>
                <w:tab w:val="clear" w:pos="431"/>
              </w:tabs>
              <w:suppressAutoHyphens/>
              <w:overflowPunct/>
              <w:adjustRightInd/>
              <w:spacing w:before="0" w:after="0" w:line="228" w:lineRule="auto"/>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r>
    </w:tbl>
    <w:p w:rsidR="00A93F62" w:rsidRDefault="00A93F62">
      <w:pPr>
        <w:tabs>
          <w:tab w:val="clear" w:pos="431"/>
        </w:tabs>
        <w:suppressAutoHyphens/>
        <w:overflowPunct/>
        <w:adjustRightInd/>
        <w:snapToGrid/>
        <w:spacing w:beforeLines="50" w:before="163" w:after="120" w:line="240" w:lineRule="atLeast"/>
        <w:ind w:left="1134" w:right="1134" w:firstLine="126"/>
        <w:rPr>
          <w:rFonts w:eastAsia="SimHei"/>
          <w:snapToGrid/>
          <w:szCs w:val="21"/>
          <w:lang w:val="en-GB"/>
        </w:rPr>
      </w:pPr>
      <w:r>
        <w:rPr>
          <w:rFonts w:eastAsia="SimHei"/>
          <w:snapToGrid/>
          <w:szCs w:val="21"/>
          <w:lang w:val="en-GB"/>
        </w:rPr>
        <w:t>在校教师人数，人</w:t>
      </w:r>
    </w:p>
    <w:tbl>
      <w:tblPr>
        <w:tblStyle w:val="TabNum"/>
        <w:tblW w:w="9637" w:type="dxa"/>
        <w:tblLayout w:type="fixed"/>
        <w:tblLook w:val="01E0" w:firstRow="1" w:lastRow="1" w:firstColumn="1" w:lastColumn="1" w:noHBand="0" w:noVBand="0"/>
      </w:tblPr>
      <w:tblGrid>
        <w:gridCol w:w="1390"/>
        <w:gridCol w:w="1128"/>
        <w:gridCol w:w="1024"/>
        <w:gridCol w:w="1012"/>
        <w:gridCol w:w="1012"/>
        <w:gridCol w:w="1012"/>
        <w:gridCol w:w="1012"/>
        <w:gridCol w:w="1012"/>
        <w:gridCol w:w="1035"/>
      </w:tblGrid>
      <w:tr w:rsidR="00A93F62">
        <w:trPr>
          <w:trHeight w:val="390"/>
          <w:tblHeader/>
        </w:trPr>
        <w:tc>
          <w:tcPr>
            <w:cnfStyle w:val="001000000000" w:firstRow="0" w:lastRow="0" w:firstColumn="1" w:lastColumn="0" w:oddVBand="0" w:evenVBand="0" w:oddHBand="0" w:evenHBand="0" w:firstRowFirstColumn="0" w:firstRowLastColumn="0" w:lastRowFirstColumn="0" w:lastRowLastColumn="0"/>
            <w:tcW w:w="1390" w:type="dxa"/>
            <w:tcBorders>
              <w:bottom w:val="single" w:sz="12" w:space="0" w:color="auto"/>
            </w:tcBorders>
            <w:shd w:val="clear" w:color="auto" w:fill="auto"/>
          </w:tcPr>
          <w:p w:rsidR="00A93F62" w:rsidRPr="007E57AE" w:rsidRDefault="00A93F62">
            <w:pPr>
              <w:tabs>
                <w:tab w:val="clear" w:pos="431"/>
              </w:tabs>
              <w:suppressAutoHyphens/>
              <w:overflowPunct/>
              <w:adjustRightInd/>
              <w:snapToGrid/>
              <w:spacing w:after="120" w:line="240" w:lineRule="atLeast"/>
              <w:rPr>
                <w:i/>
                <w:snapToGrid/>
                <w:sz w:val="18"/>
                <w:szCs w:val="18"/>
                <w:lang w:val="en-GB" w:eastAsia="en-US"/>
              </w:rPr>
            </w:pPr>
          </w:p>
        </w:tc>
        <w:tc>
          <w:tcPr>
            <w:tcW w:w="1128"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2000/</w:t>
            </w:r>
            <w:r w:rsidRPr="007E57AE">
              <w:rPr>
                <w:rFonts w:eastAsia="KaiTi_GB2312" w:hint="eastAsia"/>
                <w:snapToGrid/>
                <w:sz w:val="18"/>
                <w:szCs w:val="18"/>
                <w:lang w:val="en-GB"/>
              </w:rPr>
              <w:br/>
            </w:r>
            <w:r w:rsidRPr="007E57AE">
              <w:rPr>
                <w:rFonts w:eastAsia="KaiTi_GB2312"/>
                <w:snapToGrid/>
                <w:sz w:val="18"/>
                <w:szCs w:val="18"/>
                <w:lang w:val="en-GB"/>
              </w:rPr>
              <w:t>2001</w:t>
            </w:r>
            <w:r w:rsidRPr="007E57AE">
              <w:rPr>
                <w:rFonts w:eastAsia="KaiTi_GB2312"/>
                <w:snapToGrid/>
                <w:sz w:val="18"/>
                <w:szCs w:val="18"/>
                <w:lang w:val="en-GB"/>
              </w:rPr>
              <w:t>年</w:t>
            </w:r>
          </w:p>
        </w:tc>
        <w:tc>
          <w:tcPr>
            <w:tcW w:w="1024"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2001/</w:t>
            </w:r>
            <w:r w:rsidRPr="007E57AE">
              <w:rPr>
                <w:rFonts w:eastAsia="KaiTi_GB2312" w:hint="eastAsia"/>
                <w:snapToGrid/>
                <w:sz w:val="18"/>
                <w:szCs w:val="18"/>
                <w:lang w:val="en-GB"/>
              </w:rPr>
              <w:br/>
            </w:r>
            <w:r w:rsidRPr="007E57AE">
              <w:rPr>
                <w:rFonts w:eastAsia="KaiTi_GB2312"/>
                <w:snapToGrid/>
                <w:sz w:val="18"/>
                <w:szCs w:val="18"/>
                <w:lang w:val="en-GB"/>
              </w:rPr>
              <w:t>2002</w:t>
            </w:r>
            <w:r w:rsidRPr="007E57AE">
              <w:rPr>
                <w:rFonts w:eastAsia="KaiTi_GB2312"/>
                <w:snapToGrid/>
                <w:sz w:val="18"/>
                <w:szCs w:val="18"/>
                <w:lang w:val="en-GB"/>
              </w:rPr>
              <w:t>年</w:t>
            </w:r>
          </w:p>
        </w:tc>
        <w:tc>
          <w:tcPr>
            <w:tcW w:w="1012"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2002/</w:t>
            </w:r>
            <w:r w:rsidRPr="007E57AE">
              <w:rPr>
                <w:rFonts w:eastAsia="KaiTi_GB2312" w:hint="eastAsia"/>
                <w:snapToGrid/>
                <w:sz w:val="18"/>
                <w:szCs w:val="18"/>
                <w:lang w:val="en-GB"/>
              </w:rPr>
              <w:br/>
            </w:r>
            <w:r w:rsidRPr="007E57AE">
              <w:rPr>
                <w:rFonts w:eastAsia="KaiTi_GB2312"/>
                <w:snapToGrid/>
                <w:sz w:val="18"/>
                <w:szCs w:val="18"/>
                <w:lang w:val="en-GB"/>
              </w:rPr>
              <w:t>2003</w:t>
            </w:r>
            <w:r w:rsidRPr="007E57AE">
              <w:rPr>
                <w:rFonts w:eastAsia="KaiTi_GB2312"/>
                <w:snapToGrid/>
                <w:sz w:val="18"/>
                <w:szCs w:val="18"/>
                <w:lang w:val="en-GB"/>
              </w:rPr>
              <w:t>年</w:t>
            </w:r>
          </w:p>
        </w:tc>
        <w:tc>
          <w:tcPr>
            <w:tcW w:w="1012"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2003/</w:t>
            </w:r>
            <w:r w:rsidRPr="007E57AE">
              <w:rPr>
                <w:rFonts w:eastAsia="KaiTi_GB2312" w:hint="eastAsia"/>
                <w:snapToGrid/>
                <w:sz w:val="18"/>
                <w:szCs w:val="18"/>
                <w:lang w:val="en-GB"/>
              </w:rPr>
              <w:br/>
            </w:r>
            <w:r w:rsidRPr="007E57AE">
              <w:rPr>
                <w:rFonts w:eastAsia="KaiTi_GB2312"/>
                <w:snapToGrid/>
                <w:sz w:val="18"/>
                <w:szCs w:val="18"/>
                <w:lang w:val="en-GB"/>
              </w:rPr>
              <w:t>2004</w:t>
            </w:r>
            <w:r w:rsidRPr="007E57AE">
              <w:rPr>
                <w:rFonts w:eastAsia="KaiTi_GB2312"/>
                <w:snapToGrid/>
                <w:sz w:val="18"/>
                <w:szCs w:val="18"/>
                <w:lang w:val="en-GB"/>
              </w:rPr>
              <w:t>年</w:t>
            </w:r>
          </w:p>
        </w:tc>
        <w:tc>
          <w:tcPr>
            <w:tcW w:w="1012"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2004/</w:t>
            </w:r>
            <w:r w:rsidRPr="007E57AE">
              <w:rPr>
                <w:rFonts w:eastAsia="KaiTi_GB2312" w:hint="eastAsia"/>
                <w:snapToGrid/>
                <w:sz w:val="18"/>
                <w:szCs w:val="18"/>
                <w:lang w:val="en-GB"/>
              </w:rPr>
              <w:br/>
            </w:r>
            <w:r w:rsidRPr="007E57AE">
              <w:rPr>
                <w:rFonts w:eastAsia="KaiTi_GB2312"/>
                <w:snapToGrid/>
                <w:sz w:val="18"/>
                <w:szCs w:val="18"/>
                <w:lang w:val="en-GB"/>
              </w:rPr>
              <w:t>2005</w:t>
            </w:r>
            <w:r w:rsidRPr="007E57AE">
              <w:rPr>
                <w:rFonts w:eastAsia="KaiTi_GB2312"/>
                <w:snapToGrid/>
                <w:sz w:val="18"/>
                <w:szCs w:val="18"/>
                <w:lang w:val="en-GB"/>
              </w:rPr>
              <w:t>年</w:t>
            </w:r>
          </w:p>
        </w:tc>
        <w:tc>
          <w:tcPr>
            <w:tcW w:w="1012"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2005/</w:t>
            </w:r>
            <w:r w:rsidRPr="007E57AE">
              <w:rPr>
                <w:rFonts w:eastAsia="KaiTi_GB2312" w:hint="eastAsia"/>
                <w:snapToGrid/>
                <w:sz w:val="18"/>
                <w:szCs w:val="18"/>
                <w:lang w:val="en-GB"/>
              </w:rPr>
              <w:br/>
            </w:r>
            <w:r w:rsidRPr="007E57AE">
              <w:rPr>
                <w:rFonts w:eastAsia="KaiTi_GB2312"/>
                <w:snapToGrid/>
                <w:sz w:val="18"/>
                <w:szCs w:val="18"/>
                <w:lang w:val="en-GB"/>
              </w:rPr>
              <w:t>2006</w:t>
            </w:r>
            <w:r w:rsidRPr="007E57AE">
              <w:rPr>
                <w:rFonts w:eastAsia="KaiTi_GB2312"/>
                <w:snapToGrid/>
                <w:sz w:val="18"/>
                <w:szCs w:val="18"/>
                <w:lang w:val="en-GB"/>
              </w:rPr>
              <w:t>年</w:t>
            </w:r>
          </w:p>
        </w:tc>
        <w:tc>
          <w:tcPr>
            <w:tcW w:w="1012"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2006/</w:t>
            </w:r>
            <w:r w:rsidRPr="007E57AE">
              <w:rPr>
                <w:rFonts w:eastAsia="KaiTi_GB2312" w:hint="eastAsia"/>
                <w:snapToGrid/>
                <w:sz w:val="18"/>
                <w:szCs w:val="18"/>
                <w:lang w:val="en-GB"/>
              </w:rPr>
              <w:br/>
            </w:r>
            <w:r w:rsidRPr="007E57AE">
              <w:rPr>
                <w:rFonts w:eastAsia="KaiTi_GB2312"/>
                <w:snapToGrid/>
                <w:sz w:val="18"/>
                <w:szCs w:val="18"/>
                <w:lang w:val="en-GB"/>
              </w:rPr>
              <w:t>2007</w:t>
            </w:r>
            <w:r w:rsidRPr="007E57AE">
              <w:rPr>
                <w:rFonts w:eastAsia="KaiTi_GB2312"/>
                <w:snapToGrid/>
                <w:sz w:val="18"/>
                <w:szCs w:val="18"/>
                <w:lang w:val="en-GB"/>
              </w:rPr>
              <w:t>年</w:t>
            </w:r>
          </w:p>
        </w:tc>
        <w:tc>
          <w:tcPr>
            <w:tcW w:w="103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2007/</w:t>
            </w:r>
            <w:r w:rsidRPr="007E57AE">
              <w:rPr>
                <w:rFonts w:eastAsia="KaiTi_GB2312" w:hint="eastAsia"/>
                <w:snapToGrid/>
                <w:sz w:val="18"/>
                <w:szCs w:val="18"/>
                <w:lang w:val="en-GB"/>
              </w:rPr>
              <w:br/>
            </w:r>
            <w:r w:rsidRPr="007E57AE">
              <w:rPr>
                <w:rFonts w:eastAsia="KaiTi_GB2312"/>
                <w:snapToGrid/>
                <w:sz w:val="18"/>
                <w:szCs w:val="18"/>
                <w:lang w:val="en-GB"/>
              </w:rPr>
              <w:t>2008</w:t>
            </w:r>
            <w:r w:rsidRPr="007E57AE">
              <w:rPr>
                <w:rFonts w:eastAsia="KaiTi_GB2312"/>
                <w:snapToGrid/>
                <w:sz w:val="18"/>
                <w:szCs w:val="18"/>
                <w:lang w:val="en-GB"/>
              </w:rPr>
              <w:t>年</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Borders>
              <w:top w:val="single" w:sz="12" w:space="0" w:color="auto"/>
            </w:tcBorders>
          </w:tcPr>
          <w:p w:rsidR="00A93F62" w:rsidRPr="007E57AE" w:rsidRDefault="00A93F62">
            <w:pPr>
              <w:tabs>
                <w:tab w:val="clear" w:pos="431"/>
              </w:tabs>
              <w:suppressAutoHyphens/>
              <w:overflowPunct/>
              <w:adjustRightInd/>
              <w:snapToGrid/>
              <w:spacing w:after="120" w:line="240" w:lineRule="atLeast"/>
              <w:rPr>
                <w:b/>
                <w:snapToGrid/>
                <w:sz w:val="18"/>
                <w:szCs w:val="18"/>
                <w:lang w:val="en-GB" w:eastAsia="en-US"/>
              </w:rPr>
            </w:pPr>
            <w:r w:rsidRPr="007E57AE">
              <w:rPr>
                <w:rFonts w:eastAsia="SimHei"/>
                <w:snapToGrid/>
                <w:sz w:val="18"/>
                <w:szCs w:val="18"/>
                <w:lang w:val="en-GB"/>
              </w:rPr>
              <w:t>土库曼斯坦</w:t>
            </w:r>
          </w:p>
        </w:tc>
        <w:tc>
          <w:tcPr>
            <w:tcW w:w="1128"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730</w:t>
            </w:r>
          </w:p>
        </w:tc>
        <w:tc>
          <w:tcPr>
            <w:tcW w:w="1024"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610</w:t>
            </w:r>
          </w:p>
        </w:tc>
        <w:tc>
          <w:tcPr>
            <w:tcW w:w="1012"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540</w:t>
            </w:r>
          </w:p>
        </w:tc>
        <w:tc>
          <w:tcPr>
            <w:tcW w:w="1012"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521</w:t>
            </w:r>
          </w:p>
        </w:tc>
        <w:tc>
          <w:tcPr>
            <w:tcW w:w="1012"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498</w:t>
            </w:r>
          </w:p>
        </w:tc>
        <w:tc>
          <w:tcPr>
            <w:tcW w:w="1012"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497</w:t>
            </w:r>
          </w:p>
        </w:tc>
        <w:tc>
          <w:tcPr>
            <w:tcW w:w="1012"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489</w:t>
            </w:r>
          </w:p>
        </w:tc>
        <w:tc>
          <w:tcPr>
            <w:tcW w:w="1035"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595</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阿什哈巴德市</w:t>
            </w:r>
          </w:p>
        </w:tc>
        <w:tc>
          <w:tcPr>
            <w:tcW w:w="1128"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256</w:t>
            </w:r>
          </w:p>
        </w:tc>
        <w:tc>
          <w:tcPr>
            <w:tcW w:w="1024"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264</w:t>
            </w:r>
          </w:p>
        </w:tc>
        <w:tc>
          <w:tcPr>
            <w:tcW w:w="1012"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208</w:t>
            </w:r>
          </w:p>
        </w:tc>
        <w:tc>
          <w:tcPr>
            <w:tcW w:w="1012"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216</w:t>
            </w:r>
          </w:p>
        </w:tc>
        <w:tc>
          <w:tcPr>
            <w:tcW w:w="1012"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201</w:t>
            </w:r>
          </w:p>
        </w:tc>
        <w:tc>
          <w:tcPr>
            <w:tcW w:w="1012"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194</w:t>
            </w:r>
          </w:p>
        </w:tc>
        <w:tc>
          <w:tcPr>
            <w:tcW w:w="1012"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184</w:t>
            </w:r>
          </w:p>
        </w:tc>
        <w:tc>
          <w:tcPr>
            <w:tcW w:w="1035"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214</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省区：</w:t>
            </w:r>
          </w:p>
        </w:tc>
        <w:tc>
          <w:tcPr>
            <w:tcW w:w="1128"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24"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35"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阿哈尔省</w:t>
            </w:r>
          </w:p>
        </w:tc>
        <w:tc>
          <w:tcPr>
            <w:tcW w:w="1128"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24"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2"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35"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巴尔干省</w:t>
            </w:r>
          </w:p>
        </w:tc>
        <w:tc>
          <w:tcPr>
            <w:tcW w:w="1128"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72</w:t>
            </w:r>
          </w:p>
        </w:tc>
        <w:tc>
          <w:tcPr>
            <w:tcW w:w="1024"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50</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25</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w:t>
            </w:r>
          </w:p>
        </w:tc>
        <w:tc>
          <w:tcPr>
            <w:tcW w:w="103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40</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达守古斯省</w:t>
            </w:r>
          </w:p>
        </w:tc>
        <w:tc>
          <w:tcPr>
            <w:tcW w:w="1128"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149</w:t>
            </w:r>
          </w:p>
        </w:tc>
        <w:tc>
          <w:tcPr>
            <w:tcW w:w="1024"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103</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101</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95</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92</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93</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90</w:t>
            </w:r>
          </w:p>
        </w:tc>
        <w:tc>
          <w:tcPr>
            <w:tcW w:w="103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107</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列巴普省</w:t>
            </w:r>
          </w:p>
        </w:tc>
        <w:tc>
          <w:tcPr>
            <w:tcW w:w="1128"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101</w:t>
            </w:r>
          </w:p>
        </w:tc>
        <w:tc>
          <w:tcPr>
            <w:tcW w:w="1024"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73</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77</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67</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67</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68</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70</w:t>
            </w:r>
          </w:p>
        </w:tc>
        <w:tc>
          <w:tcPr>
            <w:tcW w:w="103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79</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马雷伊省</w:t>
            </w:r>
          </w:p>
        </w:tc>
        <w:tc>
          <w:tcPr>
            <w:tcW w:w="1128"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152</w:t>
            </w:r>
          </w:p>
        </w:tc>
        <w:tc>
          <w:tcPr>
            <w:tcW w:w="1024"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120</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129</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125</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122</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123</w:t>
            </w:r>
          </w:p>
        </w:tc>
        <w:tc>
          <w:tcPr>
            <w:tcW w:w="1012"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131</w:t>
            </w:r>
          </w:p>
        </w:tc>
        <w:tc>
          <w:tcPr>
            <w:tcW w:w="103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140</w:t>
            </w:r>
          </w:p>
        </w:tc>
      </w:tr>
    </w:tbl>
    <w:p w:rsidR="00A93F62" w:rsidRDefault="00A93F62">
      <w:pPr>
        <w:tabs>
          <w:tab w:val="clear" w:pos="431"/>
        </w:tabs>
        <w:suppressAutoHyphens/>
        <w:overflowPunct/>
        <w:adjustRightInd/>
        <w:snapToGrid/>
        <w:spacing w:beforeLines="50" w:before="163" w:after="120" w:line="320" w:lineRule="atLeast"/>
        <w:ind w:left="1134" w:right="1134"/>
        <w:rPr>
          <w:snapToGrid/>
          <w:szCs w:val="21"/>
          <w:lang w:val="en-GB"/>
        </w:rPr>
      </w:pPr>
      <w:r>
        <w:rPr>
          <w:snapToGrid/>
          <w:szCs w:val="21"/>
          <w:lang w:val="en-GB"/>
        </w:rPr>
        <w:t>297.</w:t>
      </w:r>
      <w:r>
        <w:rPr>
          <w:rFonts w:hint="eastAsia"/>
          <w:snapToGrid/>
          <w:szCs w:val="21"/>
          <w:lang w:val="en-GB"/>
        </w:rPr>
        <w:t xml:space="preserve">  </w:t>
      </w:r>
      <w:r>
        <w:rPr>
          <w:snapToGrid/>
          <w:szCs w:val="21"/>
          <w:lang w:val="en-GB"/>
        </w:rPr>
        <w:t>根据《土库曼斯坦教育法》第</w:t>
      </w:r>
      <w:r>
        <w:rPr>
          <w:snapToGrid/>
          <w:szCs w:val="21"/>
          <w:lang w:val="en-GB"/>
        </w:rPr>
        <w:t>15</w:t>
      </w:r>
      <w:r>
        <w:rPr>
          <w:snapToGrid/>
          <w:szCs w:val="21"/>
          <w:lang w:val="en-GB"/>
        </w:rPr>
        <w:t>条规定，高等教育保证土库曼斯坦公民获得主要的科学知识和实践训练，根据其天赋、兴趣、才能掌握专业知识，提高其技能，完善作为科学工作者、科学教育工作者的职业修养、并保证其有进修、培训的可能性。专业人员在高等学校进行脱产学习。土库曼斯坦的高校包括科学院、综合性大学、学院、音乐学院等。向高等学校的毕业生授予某职业方向或专业的专业证书，根据教学大纲内容的不同，证书有各种级别。</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298. </w:t>
      </w:r>
      <w:r>
        <w:rPr>
          <w:rFonts w:hint="eastAsia"/>
          <w:snapToGrid/>
          <w:szCs w:val="21"/>
          <w:lang w:val="en-GB"/>
        </w:rPr>
        <w:t xml:space="preserve"> </w:t>
      </w:r>
      <w:r>
        <w:rPr>
          <w:snapToGrid/>
          <w:szCs w:val="21"/>
          <w:lang w:val="en-GB"/>
        </w:rPr>
        <w:t>土库曼斯坦的每个人，在达到</w:t>
      </w:r>
      <w:r>
        <w:rPr>
          <w:snapToGrid/>
          <w:szCs w:val="21"/>
          <w:lang w:val="en-GB"/>
        </w:rPr>
        <w:t>17-18</w:t>
      </w:r>
      <w:r>
        <w:rPr>
          <w:snapToGrid/>
          <w:szCs w:val="21"/>
          <w:lang w:val="en-GB"/>
        </w:rPr>
        <w:t>岁时</w:t>
      </w:r>
      <w:r>
        <w:rPr>
          <w:snapToGrid/>
          <w:szCs w:val="21"/>
          <w:lang w:val="en-GB"/>
        </w:rPr>
        <w:t>(</w:t>
      </w:r>
      <w:r>
        <w:rPr>
          <w:snapToGrid/>
          <w:szCs w:val="21"/>
          <w:lang w:val="en-GB"/>
        </w:rPr>
        <w:t>受过中等教育</w:t>
      </w:r>
      <w:r>
        <w:rPr>
          <w:snapToGrid/>
          <w:szCs w:val="21"/>
          <w:lang w:val="en-GB"/>
        </w:rPr>
        <w:t>)</w:t>
      </w:r>
      <w:r>
        <w:rPr>
          <w:snapToGrid/>
          <w:szCs w:val="21"/>
          <w:lang w:val="en-GB"/>
        </w:rPr>
        <w:t>都可以通过入学考试的选拔接受高等教育，直至</w:t>
      </w:r>
      <w:r>
        <w:rPr>
          <w:snapToGrid/>
          <w:szCs w:val="21"/>
          <w:lang w:val="en-GB"/>
        </w:rPr>
        <w:t>35</w:t>
      </w:r>
      <w:r>
        <w:rPr>
          <w:snapToGrid/>
          <w:szCs w:val="21"/>
          <w:lang w:val="en-GB"/>
        </w:rPr>
        <w:t>岁。高等教育是免费的。出国学习的男女青年可享受正常的往返路费补贴。</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299.</w:t>
      </w:r>
      <w:r>
        <w:rPr>
          <w:rFonts w:hint="eastAsia"/>
          <w:snapToGrid/>
          <w:szCs w:val="21"/>
          <w:lang w:val="en-GB"/>
        </w:rPr>
        <w:t xml:space="preserve">  </w:t>
      </w:r>
      <w:r>
        <w:rPr>
          <w:snapToGrid/>
          <w:szCs w:val="21"/>
          <w:lang w:val="en-GB"/>
        </w:rPr>
        <w:t>高等学校数量，所</w:t>
      </w:r>
    </w:p>
    <w:tbl>
      <w:tblPr>
        <w:tblStyle w:val="TabNum"/>
        <w:tblW w:w="9637" w:type="dxa"/>
        <w:tblLayout w:type="fixed"/>
        <w:tblLook w:val="01E0" w:firstRow="1" w:lastRow="1" w:firstColumn="1" w:lastColumn="1" w:noHBand="0" w:noVBand="0"/>
      </w:tblPr>
      <w:tblGrid>
        <w:gridCol w:w="1531"/>
        <w:gridCol w:w="1015"/>
        <w:gridCol w:w="1015"/>
        <w:gridCol w:w="1015"/>
        <w:gridCol w:w="1015"/>
        <w:gridCol w:w="1015"/>
        <w:gridCol w:w="1015"/>
        <w:gridCol w:w="1015"/>
        <w:gridCol w:w="1001"/>
      </w:tblGrid>
      <w:tr w:rsidR="00A93F62">
        <w:trPr>
          <w:trHeight w:hRule="exact" w:val="623"/>
          <w:tblHeader/>
        </w:trPr>
        <w:tc>
          <w:tcPr>
            <w:cnfStyle w:val="001000000000" w:firstRow="0" w:lastRow="0" w:firstColumn="1" w:lastColumn="0" w:oddVBand="0" w:evenVBand="0" w:oddHBand="0" w:evenHBand="0" w:firstRowFirstColumn="0" w:firstRowLastColumn="0" w:lastRowFirstColumn="0" w:lastRowLastColumn="0"/>
            <w:tcW w:w="1531" w:type="dxa"/>
            <w:tcBorders>
              <w:bottom w:val="single" w:sz="12" w:space="0" w:color="auto"/>
            </w:tcBorders>
            <w:shd w:val="clear" w:color="auto" w:fill="auto"/>
          </w:tcPr>
          <w:p w:rsidR="00A93F62" w:rsidRPr="007E57AE" w:rsidRDefault="00A93F62">
            <w:pPr>
              <w:tabs>
                <w:tab w:val="clear" w:pos="431"/>
              </w:tabs>
              <w:suppressAutoHyphens/>
              <w:overflowPunct/>
              <w:adjustRightInd/>
              <w:snapToGrid/>
              <w:spacing w:after="120" w:line="240" w:lineRule="atLeast"/>
              <w:rPr>
                <w:i/>
                <w:snapToGrid/>
                <w:sz w:val="18"/>
                <w:szCs w:val="18"/>
                <w:lang w:val="en-GB"/>
              </w:rPr>
            </w:pP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2000/</w:t>
            </w:r>
            <w:r w:rsidRPr="007E57AE">
              <w:rPr>
                <w:rFonts w:eastAsia="KaiTi_GB2312" w:hint="eastAsia"/>
                <w:snapToGrid/>
                <w:sz w:val="18"/>
                <w:szCs w:val="18"/>
                <w:lang w:val="en-GB"/>
              </w:rPr>
              <w:br/>
            </w:r>
            <w:r w:rsidRPr="007E57AE">
              <w:rPr>
                <w:rFonts w:eastAsia="KaiTi_GB2312"/>
                <w:snapToGrid/>
                <w:sz w:val="18"/>
                <w:szCs w:val="18"/>
                <w:lang w:val="en-GB"/>
              </w:rPr>
              <w:t>2001</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2001/</w:t>
            </w:r>
            <w:r w:rsidRPr="007E57AE">
              <w:rPr>
                <w:rFonts w:eastAsia="KaiTi_GB2312" w:hint="eastAsia"/>
                <w:snapToGrid/>
                <w:sz w:val="18"/>
                <w:szCs w:val="18"/>
                <w:lang w:val="en-GB"/>
              </w:rPr>
              <w:br/>
            </w:r>
            <w:r w:rsidRPr="007E57AE">
              <w:rPr>
                <w:rFonts w:eastAsia="KaiTi_GB2312"/>
                <w:snapToGrid/>
                <w:sz w:val="18"/>
                <w:szCs w:val="18"/>
                <w:lang w:val="en-GB"/>
              </w:rPr>
              <w:t>2002</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2002/</w:t>
            </w:r>
            <w:r w:rsidRPr="007E57AE">
              <w:rPr>
                <w:rFonts w:eastAsia="KaiTi_GB2312" w:hint="eastAsia"/>
                <w:snapToGrid/>
                <w:sz w:val="18"/>
                <w:szCs w:val="18"/>
                <w:lang w:val="en-GB"/>
              </w:rPr>
              <w:br/>
            </w:r>
            <w:r w:rsidRPr="007E57AE">
              <w:rPr>
                <w:rFonts w:eastAsia="KaiTi_GB2312"/>
                <w:snapToGrid/>
                <w:sz w:val="18"/>
                <w:szCs w:val="18"/>
                <w:lang w:val="en-GB"/>
              </w:rPr>
              <w:t>2003</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2003/</w:t>
            </w:r>
            <w:r w:rsidRPr="007E57AE">
              <w:rPr>
                <w:rFonts w:eastAsia="KaiTi_GB2312" w:hint="eastAsia"/>
                <w:snapToGrid/>
                <w:sz w:val="18"/>
                <w:szCs w:val="18"/>
                <w:lang w:val="en-GB"/>
              </w:rPr>
              <w:br/>
            </w:r>
            <w:r w:rsidRPr="007E57AE">
              <w:rPr>
                <w:rFonts w:eastAsia="KaiTi_GB2312"/>
                <w:snapToGrid/>
                <w:sz w:val="18"/>
                <w:szCs w:val="18"/>
                <w:lang w:val="en-GB"/>
              </w:rPr>
              <w:t>2004</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2004/</w:t>
            </w:r>
            <w:r w:rsidRPr="007E57AE">
              <w:rPr>
                <w:rFonts w:eastAsia="KaiTi_GB2312" w:hint="eastAsia"/>
                <w:snapToGrid/>
                <w:sz w:val="18"/>
                <w:szCs w:val="18"/>
                <w:lang w:val="en-GB"/>
              </w:rPr>
              <w:br/>
            </w:r>
            <w:r w:rsidRPr="007E57AE">
              <w:rPr>
                <w:rFonts w:eastAsia="KaiTi_GB2312"/>
                <w:snapToGrid/>
                <w:sz w:val="18"/>
                <w:szCs w:val="18"/>
                <w:lang w:val="en-GB"/>
              </w:rPr>
              <w:t>2005</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2005/</w:t>
            </w:r>
            <w:r w:rsidRPr="007E57AE">
              <w:rPr>
                <w:rFonts w:eastAsia="KaiTi_GB2312" w:hint="eastAsia"/>
                <w:snapToGrid/>
                <w:sz w:val="18"/>
                <w:szCs w:val="18"/>
                <w:lang w:val="en-GB"/>
              </w:rPr>
              <w:br/>
            </w:r>
            <w:r w:rsidRPr="007E57AE">
              <w:rPr>
                <w:rFonts w:eastAsia="KaiTi_GB2312"/>
                <w:snapToGrid/>
                <w:sz w:val="18"/>
                <w:szCs w:val="18"/>
                <w:lang w:val="en-GB"/>
              </w:rPr>
              <w:t>2006</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2006/</w:t>
            </w:r>
            <w:r w:rsidRPr="007E57AE">
              <w:rPr>
                <w:rFonts w:eastAsia="KaiTi_GB2312" w:hint="eastAsia"/>
                <w:snapToGrid/>
                <w:sz w:val="18"/>
                <w:szCs w:val="18"/>
                <w:lang w:val="en-GB"/>
              </w:rPr>
              <w:br/>
            </w:r>
            <w:r w:rsidRPr="007E57AE">
              <w:rPr>
                <w:rFonts w:eastAsia="KaiTi_GB2312"/>
                <w:snapToGrid/>
                <w:sz w:val="18"/>
                <w:szCs w:val="18"/>
                <w:lang w:val="en-GB"/>
              </w:rPr>
              <w:t>2007</w:t>
            </w:r>
            <w:r w:rsidRPr="007E57AE">
              <w:rPr>
                <w:rFonts w:eastAsia="KaiTi_GB2312"/>
                <w:snapToGrid/>
                <w:sz w:val="18"/>
                <w:szCs w:val="18"/>
                <w:lang w:val="en-GB"/>
              </w:rPr>
              <w:t>年</w:t>
            </w:r>
          </w:p>
        </w:tc>
        <w:tc>
          <w:tcPr>
            <w:tcW w:w="1001"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2007/</w:t>
            </w:r>
            <w:r w:rsidRPr="007E57AE">
              <w:rPr>
                <w:rFonts w:eastAsia="KaiTi_GB2312" w:hint="eastAsia"/>
                <w:snapToGrid/>
                <w:sz w:val="18"/>
                <w:szCs w:val="18"/>
                <w:lang w:val="en-GB"/>
              </w:rPr>
              <w:br/>
            </w:r>
            <w:r w:rsidRPr="007E57AE">
              <w:rPr>
                <w:rFonts w:eastAsia="KaiTi_GB2312"/>
                <w:snapToGrid/>
                <w:sz w:val="18"/>
                <w:szCs w:val="18"/>
                <w:lang w:val="en-GB"/>
              </w:rPr>
              <w:t>2008</w:t>
            </w:r>
            <w:r w:rsidRPr="007E57AE">
              <w:rPr>
                <w:rFonts w:eastAsia="KaiTi_GB2312"/>
                <w:snapToGrid/>
                <w:sz w:val="18"/>
                <w:szCs w:val="18"/>
                <w:lang w:val="en-GB"/>
              </w:rPr>
              <w:t>年</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531" w:type="dxa"/>
            <w:tcBorders>
              <w:top w:val="single" w:sz="12" w:space="0" w:color="auto"/>
            </w:tcBorders>
          </w:tcPr>
          <w:p w:rsidR="00A93F62" w:rsidRPr="007E57AE" w:rsidRDefault="00A93F62">
            <w:pPr>
              <w:tabs>
                <w:tab w:val="clear" w:pos="431"/>
              </w:tabs>
              <w:suppressAutoHyphens/>
              <w:overflowPunct/>
              <w:adjustRightInd/>
              <w:snapToGrid/>
              <w:spacing w:after="120" w:line="240" w:lineRule="atLeast"/>
              <w:rPr>
                <w:b/>
                <w:snapToGrid/>
                <w:sz w:val="18"/>
                <w:szCs w:val="18"/>
                <w:lang w:val="en-GB" w:eastAsia="en-US"/>
              </w:rPr>
            </w:pPr>
            <w:r w:rsidRPr="007E57AE">
              <w:rPr>
                <w:rFonts w:eastAsia="SimHei"/>
                <w:snapToGrid/>
                <w:sz w:val="18"/>
                <w:szCs w:val="18"/>
                <w:lang w:val="en-GB"/>
              </w:rPr>
              <w:t>土库曼斯坦</w:t>
            </w:r>
          </w:p>
        </w:tc>
        <w:tc>
          <w:tcPr>
            <w:tcW w:w="1015"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16</w:t>
            </w:r>
          </w:p>
        </w:tc>
        <w:tc>
          <w:tcPr>
            <w:tcW w:w="1015"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16</w:t>
            </w:r>
          </w:p>
        </w:tc>
        <w:tc>
          <w:tcPr>
            <w:tcW w:w="1015"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16</w:t>
            </w:r>
          </w:p>
        </w:tc>
        <w:tc>
          <w:tcPr>
            <w:tcW w:w="1015"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16</w:t>
            </w:r>
          </w:p>
        </w:tc>
        <w:tc>
          <w:tcPr>
            <w:tcW w:w="1015"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16</w:t>
            </w:r>
          </w:p>
        </w:tc>
        <w:tc>
          <w:tcPr>
            <w:tcW w:w="1015"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16</w:t>
            </w:r>
          </w:p>
        </w:tc>
        <w:tc>
          <w:tcPr>
            <w:tcW w:w="1015"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16</w:t>
            </w:r>
          </w:p>
        </w:tc>
        <w:tc>
          <w:tcPr>
            <w:tcW w:w="1001" w:type="dxa"/>
            <w:tcBorders>
              <w:top w:val="single" w:sz="12"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17</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531"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阿什哈巴德市</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w:t>
            </w:r>
          </w:p>
        </w:tc>
        <w:tc>
          <w:tcPr>
            <w:tcW w:w="1001"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531"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省区：</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01"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531"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列巴普省</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01"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531"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马雷伊省</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c>
          <w:tcPr>
            <w:tcW w:w="1001"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p>
        </w:tc>
      </w:tr>
    </w:tbl>
    <w:p w:rsidR="00A93F62" w:rsidRDefault="00A93F62">
      <w:pPr>
        <w:tabs>
          <w:tab w:val="clear" w:pos="431"/>
        </w:tabs>
        <w:suppressAutoHyphens/>
        <w:overflowPunct/>
        <w:adjustRightInd/>
        <w:snapToGrid/>
        <w:spacing w:beforeLines="50" w:before="163" w:after="120" w:line="320" w:lineRule="atLeast"/>
        <w:ind w:left="1134" w:right="1134"/>
        <w:rPr>
          <w:snapToGrid/>
          <w:szCs w:val="21"/>
          <w:lang w:val="en-GB"/>
        </w:rPr>
      </w:pPr>
      <w:r>
        <w:rPr>
          <w:snapToGrid/>
          <w:szCs w:val="21"/>
          <w:lang w:val="en-GB"/>
        </w:rPr>
        <w:t>300.</w:t>
      </w:r>
      <w:r>
        <w:rPr>
          <w:rFonts w:hint="eastAsia"/>
          <w:snapToGrid/>
          <w:szCs w:val="21"/>
          <w:lang w:val="en-GB"/>
        </w:rPr>
        <w:t xml:space="preserve">  </w:t>
      </w:r>
      <w:r>
        <w:rPr>
          <w:snapToGrid/>
          <w:szCs w:val="21"/>
          <w:lang w:val="en-GB"/>
        </w:rPr>
        <w:t>在校大学生人数，千人</w:t>
      </w:r>
    </w:p>
    <w:tbl>
      <w:tblPr>
        <w:tblStyle w:val="TabNum"/>
        <w:tblW w:w="9637" w:type="dxa"/>
        <w:tblLayout w:type="fixed"/>
        <w:tblLook w:val="01E0" w:firstRow="1" w:lastRow="1" w:firstColumn="1" w:lastColumn="1" w:noHBand="0" w:noVBand="0"/>
      </w:tblPr>
      <w:tblGrid>
        <w:gridCol w:w="1531"/>
        <w:gridCol w:w="1015"/>
        <w:gridCol w:w="1015"/>
        <w:gridCol w:w="1015"/>
        <w:gridCol w:w="1015"/>
        <w:gridCol w:w="1015"/>
        <w:gridCol w:w="1015"/>
        <w:gridCol w:w="1015"/>
        <w:gridCol w:w="1001"/>
      </w:tblGrid>
      <w:tr w:rsidR="00A93F62">
        <w:trPr>
          <w:trHeight w:hRule="exact" w:val="553"/>
          <w:tblHeader/>
        </w:trPr>
        <w:tc>
          <w:tcPr>
            <w:cnfStyle w:val="001000000000" w:firstRow="0" w:lastRow="0" w:firstColumn="1" w:lastColumn="0" w:oddVBand="0" w:evenVBand="0" w:oddHBand="0" w:evenHBand="0" w:firstRowFirstColumn="0" w:firstRowLastColumn="0" w:lastRowFirstColumn="0" w:lastRowLastColumn="0"/>
            <w:tcW w:w="1531" w:type="dxa"/>
            <w:tcBorders>
              <w:bottom w:val="single" w:sz="12" w:space="0" w:color="auto"/>
            </w:tcBorders>
            <w:shd w:val="clear" w:color="auto" w:fill="auto"/>
          </w:tcPr>
          <w:p w:rsidR="00A93F62" w:rsidRPr="007E57AE" w:rsidRDefault="00A93F62">
            <w:pPr>
              <w:tabs>
                <w:tab w:val="clear" w:pos="431"/>
              </w:tabs>
              <w:suppressAutoHyphens/>
              <w:overflowPunct/>
              <w:adjustRightInd/>
              <w:snapToGrid/>
              <w:spacing w:after="120" w:line="240" w:lineRule="atLeast"/>
              <w:rPr>
                <w:i/>
                <w:snapToGrid/>
                <w:sz w:val="18"/>
                <w:szCs w:val="18"/>
                <w:lang w:val="en-GB"/>
              </w:rPr>
            </w:pP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2000/</w:t>
            </w:r>
            <w:r w:rsidRPr="007E57AE">
              <w:rPr>
                <w:rFonts w:eastAsia="KaiTi_GB2312" w:hint="eastAsia"/>
                <w:snapToGrid/>
                <w:sz w:val="18"/>
                <w:szCs w:val="18"/>
                <w:lang w:val="en-GB"/>
              </w:rPr>
              <w:br/>
            </w:r>
            <w:r w:rsidRPr="007E57AE">
              <w:rPr>
                <w:rFonts w:eastAsia="KaiTi_GB2312"/>
                <w:snapToGrid/>
                <w:sz w:val="18"/>
                <w:szCs w:val="18"/>
                <w:lang w:val="en-GB"/>
              </w:rPr>
              <w:t>2001</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2001/</w:t>
            </w:r>
            <w:r w:rsidRPr="007E57AE">
              <w:rPr>
                <w:rFonts w:eastAsia="KaiTi_GB2312" w:hint="eastAsia"/>
                <w:snapToGrid/>
                <w:sz w:val="18"/>
                <w:szCs w:val="18"/>
                <w:lang w:val="en-GB"/>
              </w:rPr>
              <w:br/>
            </w:r>
            <w:r w:rsidRPr="007E57AE">
              <w:rPr>
                <w:rFonts w:eastAsia="KaiTi_GB2312"/>
                <w:snapToGrid/>
                <w:sz w:val="18"/>
                <w:szCs w:val="18"/>
                <w:lang w:val="en-GB"/>
              </w:rPr>
              <w:t>2002</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2002/</w:t>
            </w:r>
            <w:r w:rsidRPr="007E57AE">
              <w:rPr>
                <w:rFonts w:eastAsia="KaiTi_GB2312" w:hint="eastAsia"/>
                <w:snapToGrid/>
                <w:sz w:val="18"/>
                <w:szCs w:val="18"/>
                <w:lang w:val="en-GB"/>
              </w:rPr>
              <w:br/>
            </w:r>
            <w:r w:rsidRPr="007E57AE">
              <w:rPr>
                <w:rFonts w:eastAsia="KaiTi_GB2312"/>
                <w:snapToGrid/>
                <w:sz w:val="18"/>
                <w:szCs w:val="18"/>
                <w:lang w:val="en-GB"/>
              </w:rPr>
              <w:t>2003</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2003/</w:t>
            </w:r>
            <w:r w:rsidRPr="007E57AE">
              <w:rPr>
                <w:rFonts w:eastAsia="KaiTi_GB2312" w:hint="eastAsia"/>
                <w:snapToGrid/>
                <w:sz w:val="18"/>
                <w:szCs w:val="18"/>
                <w:lang w:val="en-GB"/>
              </w:rPr>
              <w:br/>
            </w:r>
            <w:r w:rsidRPr="007E57AE">
              <w:rPr>
                <w:rFonts w:eastAsia="KaiTi_GB2312"/>
                <w:snapToGrid/>
                <w:sz w:val="18"/>
                <w:szCs w:val="18"/>
                <w:lang w:val="en-GB"/>
              </w:rPr>
              <w:t>2004</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2004/</w:t>
            </w:r>
            <w:r w:rsidRPr="007E57AE">
              <w:rPr>
                <w:rFonts w:eastAsia="KaiTi_GB2312" w:hint="eastAsia"/>
                <w:snapToGrid/>
                <w:sz w:val="18"/>
                <w:szCs w:val="18"/>
                <w:lang w:val="en-GB"/>
              </w:rPr>
              <w:br/>
            </w:r>
            <w:r w:rsidRPr="007E57AE">
              <w:rPr>
                <w:rFonts w:eastAsia="KaiTi_GB2312"/>
                <w:snapToGrid/>
                <w:sz w:val="18"/>
                <w:szCs w:val="18"/>
                <w:lang w:val="en-GB"/>
              </w:rPr>
              <w:t>2005</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2005/</w:t>
            </w:r>
            <w:r w:rsidRPr="007E57AE">
              <w:rPr>
                <w:rFonts w:eastAsia="KaiTi_GB2312" w:hint="eastAsia"/>
                <w:snapToGrid/>
                <w:sz w:val="18"/>
                <w:szCs w:val="18"/>
                <w:lang w:val="en-GB"/>
              </w:rPr>
              <w:br/>
            </w:r>
            <w:r w:rsidRPr="007E57AE">
              <w:rPr>
                <w:rFonts w:eastAsia="KaiTi_GB2312"/>
                <w:snapToGrid/>
                <w:sz w:val="18"/>
                <w:szCs w:val="18"/>
                <w:lang w:val="en-GB"/>
              </w:rPr>
              <w:t>2006</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2006/</w:t>
            </w:r>
            <w:r w:rsidRPr="007E57AE">
              <w:rPr>
                <w:rFonts w:eastAsia="KaiTi_GB2312" w:hint="eastAsia"/>
                <w:snapToGrid/>
                <w:sz w:val="18"/>
                <w:szCs w:val="18"/>
                <w:lang w:val="en-GB"/>
              </w:rPr>
              <w:br/>
            </w:r>
            <w:r w:rsidRPr="007E57AE">
              <w:rPr>
                <w:rFonts w:eastAsia="KaiTi_GB2312"/>
                <w:snapToGrid/>
                <w:sz w:val="18"/>
                <w:szCs w:val="18"/>
                <w:lang w:val="en-GB"/>
              </w:rPr>
              <w:t>2007</w:t>
            </w:r>
            <w:r w:rsidRPr="007E57AE">
              <w:rPr>
                <w:rFonts w:eastAsia="KaiTi_GB2312"/>
                <w:snapToGrid/>
                <w:sz w:val="18"/>
                <w:szCs w:val="18"/>
                <w:lang w:val="en-GB"/>
              </w:rPr>
              <w:t>年</w:t>
            </w:r>
          </w:p>
        </w:tc>
        <w:tc>
          <w:tcPr>
            <w:tcW w:w="1001"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2007/</w:t>
            </w:r>
            <w:r w:rsidRPr="007E57AE">
              <w:rPr>
                <w:rFonts w:eastAsia="KaiTi_GB2312" w:hint="eastAsia"/>
                <w:snapToGrid/>
                <w:sz w:val="18"/>
                <w:szCs w:val="18"/>
                <w:lang w:val="en-GB"/>
              </w:rPr>
              <w:br/>
            </w:r>
            <w:r w:rsidRPr="007E57AE">
              <w:rPr>
                <w:rFonts w:eastAsia="KaiTi_GB2312"/>
                <w:snapToGrid/>
                <w:sz w:val="18"/>
                <w:szCs w:val="18"/>
                <w:lang w:val="en-GB"/>
              </w:rPr>
              <w:t>2008</w:t>
            </w:r>
            <w:r w:rsidRPr="007E57AE">
              <w:rPr>
                <w:rFonts w:eastAsia="KaiTi_GB2312"/>
                <w:snapToGrid/>
                <w:sz w:val="18"/>
                <w:szCs w:val="18"/>
                <w:lang w:val="en-GB"/>
              </w:rPr>
              <w:t>年</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531" w:type="dxa"/>
            <w:tcBorders>
              <w:top w:val="single" w:sz="12" w:space="0" w:color="auto"/>
            </w:tcBorders>
          </w:tcPr>
          <w:tbl>
            <w:tblPr>
              <w:tblStyle w:val="TabNum"/>
              <w:tblpPr w:leftFromText="180" w:rightFromText="180" w:vertAnchor="text" w:horzAnchor="margin" w:tblpY="226"/>
              <w:tblW w:w="9500" w:type="dxa"/>
              <w:tblLayout w:type="fixed"/>
              <w:tblLook w:val="01E0" w:firstRow="1" w:lastRow="1" w:firstColumn="1" w:lastColumn="1" w:noHBand="0" w:noVBand="0"/>
            </w:tblPr>
            <w:tblGrid>
              <w:gridCol w:w="2540"/>
              <w:gridCol w:w="1070"/>
              <w:gridCol w:w="999"/>
              <w:gridCol w:w="996"/>
              <w:gridCol w:w="998"/>
              <w:gridCol w:w="998"/>
              <w:gridCol w:w="998"/>
              <w:gridCol w:w="901"/>
            </w:tblGrid>
            <w:tr w:rsidR="00A93F62" w:rsidRPr="007E57AE">
              <w:trPr>
                <w:trHeight w:val="384"/>
                <w:tblHeader/>
              </w:trPr>
              <w:tc>
                <w:tcPr>
                  <w:cnfStyle w:val="001000000000" w:firstRow="0" w:lastRow="0" w:firstColumn="1" w:lastColumn="0" w:oddVBand="0" w:evenVBand="0" w:oddHBand="0" w:evenHBand="0" w:firstRowFirstColumn="0" w:firstRowLastColumn="0" w:lastRowFirstColumn="0" w:lastRowLastColumn="0"/>
                  <w:tcW w:w="1337" w:type="pct"/>
                  <w:tcBorders>
                    <w:top w:val="nil"/>
                    <w:bottom w:val="single" w:sz="12" w:space="0" w:color="auto"/>
                  </w:tcBorders>
                  <w:shd w:val="clear" w:color="auto" w:fill="auto"/>
                </w:tcPr>
                <w:p w:rsidR="00A93F62" w:rsidRPr="007E57AE" w:rsidRDefault="00A93F62">
                  <w:pPr>
                    <w:tabs>
                      <w:tab w:val="clear" w:pos="431"/>
                    </w:tabs>
                    <w:suppressAutoHyphens/>
                    <w:overflowPunct/>
                    <w:adjustRightInd/>
                    <w:spacing w:line="240" w:lineRule="atLeast"/>
                    <w:rPr>
                      <w:snapToGrid/>
                      <w:sz w:val="18"/>
                      <w:szCs w:val="18"/>
                      <w:lang w:val="en-GB" w:eastAsia="en-US"/>
                    </w:rPr>
                  </w:pPr>
                  <w:r w:rsidRPr="007E57AE">
                    <w:rPr>
                      <w:rFonts w:eastAsia="SimHei"/>
                      <w:snapToGrid/>
                      <w:sz w:val="18"/>
                      <w:szCs w:val="18"/>
                      <w:lang w:val="en-GB"/>
                    </w:rPr>
                    <w:t>土库曼斯坦</w:t>
                  </w:r>
                </w:p>
              </w:tc>
              <w:tc>
                <w:tcPr>
                  <w:tcW w:w="563" w:type="pct"/>
                  <w:tcBorders>
                    <w:top w:val="single" w:sz="4" w:space="0" w:color="auto"/>
                    <w:bottom w:val="single" w:sz="12" w:space="0" w:color="auto"/>
                  </w:tcBorders>
                  <w:shd w:val="clear" w:color="auto" w:fill="auto"/>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2000</w:t>
                  </w:r>
                  <w:r w:rsidRPr="007E57AE">
                    <w:rPr>
                      <w:rFonts w:eastAsia="KaiTi_GB2312"/>
                      <w:snapToGrid/>
                      <w:sz w:val="18"/>
                      <w:szCs w:val="18"/>
                      <w:lang w:val="en-GB"/>
                    </w:rPr>
                    <w:t>年</w:t>
                  </w:r>
                </w:p>
              </w:tc>
              <w:tc>
                <w:tcPr>
                  <w:tcW w:w="526" w:type="pct"/>
                  <w:tcBorders>
                    <w:top w:val="single" w:sz="4" w:space="0" w:color="auto"/>
                    <w:bottom w:val="single" w:sz="12" w:space="0" w:color="auto"/>
                  </w:tcBorders>
                  <w:shd w:val="clear" w:color="auto" w:fill="auto"/>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2001</w:t>
                  </w:r>
                  <w:r w:rsidRPr="007E57AE">
                    <w:rPr>
                      <w:rFonts w:eastAsia="KaiTi_GB2312"/>
                      <w:snapToGrid/>
                      <w:sz w:val="18"/>
                      <w:szCs w:val="18"/>
                      <w:lang w:val="en-GB"/>
                    </w:rPr>
                    <w:t>年</w:t>
                  </w:r>
                </w:p>
              </w:tc>
              <w:tc>
                <w:tcPr>
                  <w:tcW w:w="524" w:type="pct"/>
                  <w:tcBorders>
                    <w:top w:val="single" w:sz="4" w:space="0" w:color="auto"/>
                    <w:bottom w:val="single" w:sz="12" w:space="0" w:color="auto"/>
                  </w:tcBorders>
                  <w:shd w:val="clear" w:color="auto" w:fill="auto"/>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2002</w:t>
                  </w:r>
                  <w:r w:rsidRPr="007E57AE">
                    <w:rPr>
                      <w:rFonts w:eastAsia="KaiTi_GB2312"/>
                      <w:snapToGrid/>
                      <w:sz w:val="18"/>
                      <w:szCs w:val="18"/>
                      <w:lang w:val="en-GB"/>
                    </w:rPr>
                    <w:t>年</w:t>
                  </w:r>
                </w:p>
              </w:tc>
              <w:tc>
                <w:tcPr>
                  <w:tcW w:w="525" w:type="pct"/>
                  <w:tcBorders>
                    <w:top w:val="single" w:sz="4" w:space="0" w:color="auto"/>
                    <w:bottom w:val="single" w:sz="12" w:space="0" w:color="auto"/>
                  </w:tcBorders>
                  <w:shd w:val="clear" w:color="auto" w:fill="auto"/>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2003</w:t>
                  </w:r>
                  <w:r w:rsidRPr="007E57AE">
                    <w:rPr>
                      <w:rFonts w:eastAsia="KaiTi_GB2312"/>
                      <w:snapToGrid/>
                      <w:sz w:val="18"/>
                      <w:szCs w:val="18"/>
                      <w:lang w:val="en-GB"/>
                    </w:rPr>
                    <w:t>年</w:t>
                  </w:r>
                </w:p>
              </w:tc>
              <w:tc>
                <w:tcPr>
                  <w:tcW w:w="525" w:type="pct"/>
                  <w:tcBorders>
                    <w:top w:val="single" w:sz="4" w:space="0" w:color="auto"/>
                    <w:bottom w:val="single" w:sz="12" w:space="0" w:color="auto"/>
                  </w:tcBorders>
                  <w:shd w:val="clear" w:color="auto" w:fill="auto"/>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2004</w:t>
                  </w:r>
                  <w:r w:rsidRPr="007E57AE">
                    <w:rPr>
                      <w:rFonts w:eastAsia="KaiTi_GB2312"/>
                      <w:snapToGrid/>
                      <w:sz w:val="18"/>
                      <w:szCs w:val="18"/>
                      <w:lang w:val="en-GB"/>
                    </w:rPr>
                    <w:t>年</w:t>
                  </w:r>
                </w:p>
              </w:tc>
              <w:tc>
                <w:tcPr>
                  <w:tcW w:w="525" w:type="pct"/>
                  <w:tcBorders>
                    <w:top w:val="single" w:sz="4" w:space="0" w:color="auto"/>
                    <w:bottom w:val="single" w:sz="12" w:space="0" w:color="auto"/>
                  </w:tcBorders>
                  <w:shd w:val="clear" w:color="auto" w:fill="auto"/>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2005</w:t>
                  </w:r>
                  <w:r w:rsidRPr="007E57AE">
                    <w:rPr>
                      <w:rFonts w:eastAsia="KaiTi_GB2312"/>
                      <w:snapToGrid/>
                      <w:sz w:val="18"/>
                      <w:szCs w:val="18"/>
                      <w:lang w:val="en-GB"/>
                    </w:rPr>
                    <w:t>年</w:t>
                  </w:r>
                </w:p>
              </w:tc>
              <w:tc>
                <w:tcPr>
                  <w:tcW w:w="474" w:type="pct"/>
                  <w:tcBorders>
                    <w:top w:val="single" w:sz="4" w:space="0" w:color="auto"/>
                    <w:bottom w:val="single" w:sz="12" w:space="0" w:color="auto"/>
                  </w:tcBorders>
                  <w:shd w:val="clear" w:color="auto" w:fill="auto"/>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2006</w:t>
                  </w:r>
                  <w:r w:rsidRPr="007E57AE">
                    <w:rPr>
                      <w:rFonts w:eastAsia="KaiTi_GB2312"/>
                      <w:snapToGrid/>
                      <w:sz w:val="18"/>
                      <w:szCs w:val="18"/>
                      <w:lang w:val="en-GB"/>
                    </w:rPr>
                    <w:t>年</w:t>
                  </w:r>
                </w:p>
              </w:tc>
            </w:tr>
            <w:tr w:rsidR="00A93F62" w:rsidRPr="007E57AE">
              <w:trPr>
                <w:trHeight w:hRule="exact" w:val="429"/>
              </w:trPr>
              <w:tc>
                <w:tcPr>
                  <w:cnfStyle w:val="001000000000" w:firstRow="0" w:lastRow="0" w:firstColumn="1" w:lastColumn="0" w:oddVBand="0" w:evenVBand="0" w:oddHBand="0" w:evenHBand="0" w:firstRowFirstColumn="0" w:firstRowLastColumn="0" w:lastRowFirstColumn="0" w:lastRowLastColumn="0"/>
                  <w:tcW w:w="1337" w:type="pct"/>
                  <w:tcBorders>
                    <w:top w:val="single" w:sz="12" w:space="0" w:color="auto"/>
                  </w:tcBorders>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学前机构数量，所</w:t>
                  </w:r>
                </w:p>
              </w:tc>
              <w:tc>
                <w:tcPr>
                  <w:tcW w:w="563" w:type="pct"/>
                  <w:tcBorders>
                    <w:top w:val="single" w:sz="12" w:space="0" w:color="auto"/>
                  </w:tcBorders>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891</w:t>
                  </w:r>
                </w:p>
              </w:tc>
              <w:tc>
                <w:tcPr>
                  <w:tcW w:w="526" w:type="pct"/>
                  <w:tcBorders>
                    <w:top w:val="single" w:sz="12" w:space="0" w:color="auto"/>
                  </w:tcBorders>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1051</w:t>
                  </w:r>
                </w:p>
              </w:tc>
              <w:tc>
                <w:tcPr>
                  <w:tcW w:w="524" w:type="pct"/>
                  <w:tcBorders>
                    <w:top w:val="single" w:sz="12" w:space="0" w:color="auto"/>
                  </w:tcBorders>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1003</w:t>
                  </w:r>
                </w:p>
              </w:tc>
              <w:tc>
                <w:tcPr>
                  <w:tcW w:w="525" w:type="pct"/>
                  <w:tcBorders>
                    <w:top w:val="single" w:sz="12" w:space="0" w:color="auto"/>
                  </w:tcBorders>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944</w:t>
                  </w:r>
                </w:p>
              </w:tc>
              <w:tc>
                <w:tcPr>
                  <w:tcW w:w="525" w:type="pct"/>
                  <w:tcBorders>
                    <w:top w:val="single" w:sz="12" w:space="0" w:color="auto"/>
                  </w:tcBorders>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900</w:t>
                  </w:r>
                </w:p>
              </w:tc>
              <w:tc>
                <w:tcPr>
                  <w:tcW w:w="525" w:type="pct"/>
                  <w:tcBorders>
                    <w:top w:val="single" w:sz="12" w:space="0" w:color="auto"/>
                  </w:tcBorders>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835</w:t>
                  </w:r>
                </w:p>
              </w:tc>
              <w:tc>
                <w:tcPr>
                  <w:tcW w:w="474" w:type="pct"/>
                  <w:tcBorders>
                    <w:top w:val="single" w:sz="12" w:space="0" w:color="auto"/>
                  </w:tcBorders>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819</w:t>
                  </w:r>
                </w:p>
              </w:tc>
            </w:tr>
            <w:tr w:rsidR="00A93F62" w:rsidRPr="007E57AE">
              <w:trPr>
                <w:trHeight w:hRule="exact" w:val="390"/>
              </w:trPr>
              <w:tc>
                <w:tcPr>
                  <w:cnfStyle w:val="001000000000" w:firstRow="0" w:lastRow="0" w:firstColumn="1" w:lastColumn="0" w:oddVBand="0" w:evenVBand="0" w:oddHBand="0" w:evenHBand="0" w:firstRowFirstColumn="0" w:firstRowLastColumn="0" w:lastRowFirstColumn="0" w:lastRowLastColumn="0"/>
                  <w:tcW w:w="1337" w:type="pct"/>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在校孩子数量，千人</w:t>
                  </w: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123.3</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127.2</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125.8</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129</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133.4</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134.6</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137.3</w:t>
                  </w:r>
                </w:p>
              </w:tc>
            </w:tr>
            <w:tr w:rsidR="00A93F62" w:rsidRPr="007E57AE">
              <w:trPr>
                <w:trHeight w:hRule="exact" w:val="308"/>
              </w:trPr>
              <w:tc>
                <w:tcPr>
                  <w:cnfStyle w:val="001000000000" w:firstRow="0" w:lastRow="0" w:firstColumn="1" w:lastColumn="0" w:oddVBand="0" w:evenVBand="0" w:oddHBand="0" w:evenHBand="0" w:firstRowFirstColumn="0" w:firstRowLastColumn="0" w:lastRowFirstColumn="0" w:lastRowLastColumn="0"/>
                  <w:tcW w:w="1337" w:type="pct"/>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中学数量，所</w:t>
                  </w: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1922</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1700</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1701</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1705</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1704</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1710</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1 708</w:t>
                  </w:r>
                </w:p>
              </w:tc>
            </w:tr>
            <w:tr w:rsidR="00A93F62" w:rsidRPr="007E57AE">
              <w:trPr>
                <w:trHeight w:hRule="exact" w:val="657"/>
              </w:trPr>
              <w:tc>
                <w:tcPr>
                  <w:cnfStyle w:val="001000000000" w:firstRow="0" w:lastRow="0" w:firstColumn="1" w:lastColumn="0" w:oddVBand="0" w:evenVBand="0" w:oddHBand="0" w:evenHBand="0" w:firstRowFirstColumn="0" w:firstRowLastColumn="0" w:lastRowFirstColumn="0" w:lastRowLastColumn="0"/>
                  <w:tcW w:w="1337" w:type="pct"/>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其中：</w:t>
                  </w:r>
                </w:p>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城市</w:t>
                  </w: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506</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480</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478</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482</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482</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482</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482</w:t>
                  </w:r>
                </w:p>
              </w:tc>
            </w:tr>
            <w:tr w:rsidR="00A93F62" w:rsidRPr="007E57AE">
              <w:trPr>
                <w:trHeight w:hRule="exact" w:val="390"/>
              </w:trPr>
              <w:tc>
                <w:tcPr>
                  <w:cnfStyle w:val="001000000000" w:firstRow="0" w:lastRow="0" w:firstColumn="1" w:lastColumn="0" w:oddVBand="0" w:evenVBand="0" w:oddHBand="0" w:evenHBand="0" w:firstRowFirstColumn="0" w:firstRowLastColumn="0" w:lastRowFirstColumn="0" w:lastRowLastColumn="0"/>
                  <w:tcW w:w="1337" w:type="pct"/>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农村</w:t>
                  </w: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1416</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1220</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1223</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1223</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1222</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1228</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1226</w:t>
                  </w:r>
                </w:p>
              </w:tc>
            </w:tr>
            <w:tr w:rsidR="00A93F62" w:rsidRPr="007E57AE">
              <w:trPr>
                <w:trHeight w:hRule="exact" w:val="390"/>
              </w:trPr>
              <w:tc>
                <w:tcPr>
                  <w:cnfStyle w:val="001000000000" w:firstRow="0" w:lastRow="0" w:firstColumn="1" w:lastColumn="0" w:oddVBand="0" w:evenVBand="0" w:oddHBand="0" w:evenHBand="0" w:firstRowFirstColumn="0" w:firstRowLastColumn="0" w:lastRowFirstColumn="0" w:lastRowLastColumn="0"/>
                  <w:tcW w:w="1337" w:type="pct"/>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在校学生人数，千人</w:t>
                  </w: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1017.1</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1035.1</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1029.2</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1018.6</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1001.2</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981.9</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957.9</w:t>
                  </w:r>
                </w:p>
              </w:tc>
            </w:tr>
            <w:tr w:rsidR="00A93F62" w:rsidRPr="007E57AE">
              <w:trPr>
                <w:trHeight w:hRule="exact" w:val="661"/>
              </w:trPr>
              <w:tc>
                <w:tcPr>
                  <w:cnfStyle w:val="001000000000" w:firstRow="0" w:lastRow="0" w:firstColumn="1" w:lastColumn="0" w:oddVBand="0" w:evenVBand="0" w:oddHBand="0" w:evenHBand="0" w:firstRowFirstColumn="0" w:firstRowLastColumn="0" w:lastRowFirstColumn="0" w:lastRowLastColumn="0"/>
                  <w:tcW w:w="1337" w:type="pct"/>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其中：</w:t>
                  </w:r>
                </w:p>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城市</w:t>
                  </w: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412.5</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419.3</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410.5</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407.1</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399.8</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390.8</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380.4</w:t>
                  </w:r>
                </w:p>
              </w:tc>
            </w:tr>
            <w:tr w:rsidR="00A93F62" w:rsidRPr="007E57AE">
              <w:trPr>
                <w:trHeight w:hRule="exact" w:val="390"/>
              </w:trPr>
              <w:tc>
                <w:tcPr>
                  <w:cnfStyle w:val="001000000000" w:firstRow="0" w:lastRow="0" w:firstColumn="1" w:lastColumn="0" w:oddVBand="0" w:evenVBand="0" w:oddHBand="0" w:evenHBand="0" w:firstRowFirstColumn="0" w:firstRowLastColumn="0" w:lastRowFirstColumn="0" w:lastRowLastColumn="0"/>
                  <w:tcW w:w="1337" w:type="pct"/>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农村</w:t>
                  </w: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604.6</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615.8</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618.7</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611.5</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601.4</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591.1</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577.5</w:t>
                  </w:r>
                </w:p>
              </w:tc>
            </w:tr>
            <w:tr w:rsidR="00A93F62" w:rsidRPr="007E57AE">
              <w:trPr>
                <w:trHeight w:val="399"/>
              </w:trPr>
              <w:tc>
                <w:tcPr>
                  <w:cnfStyle w:val="001000000000" w:firstRow="0" w:lastRow="0" w:firstColumn="1" w:lastColumn="0" w:oddVBand="0" w:evenVBand="0" w:oddHBand="0" w:evenHBand="0" w:firstRowFirstColumn="0" w:firstRowLastColumn="0" w:lastRowFirstColumn="0" w:lastRowLastColumn="0"/>
                  <w:tcW w:w="1337" w:type="pct"/>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中等职业学校数量，所</w:t>
                  </w: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r>
            <w:tr w:rsidR="00A93F62" w:rsidRPr="007E57AE">
              <w:trPr>
                <w:trHeight w:hRule="exact" w:val="390"/>
              </w:trPr>
              <w:tc>
                <w:tcPr>
                  <w:cnfStyle w:val="001000000000" w:firstRow="0" w:lastRow="0" w:firstColumn="1" w:lastColumn="0" w:oddVBand="0" w:evenVBand="0" w:oddHBand="0" w:evenHBand="0" w:firstRowFirstColumn="0" w:firstRowLastColumn="0" w:lastRowFirstColumn="0" w:lastRowLastColumn="0"/>
                  <w:tcW w:w="1337" w:type="pct"/>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在校学生人数，千人</w:t>
                  </w: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4.5</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4.0</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4.0</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4.0</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4.1</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4.1</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3.8</w:t>
                  </w:r>
                </w:p>
              </w:tc>
            </w:tr>
            <w:tr w:rsidR="00A93F62" w:rsidRPr="007E57AE">
              <w:trPr>
                <w:trHeight w:hRule="exact" w:val="320"/>
              </w:trPr>
              <w:tc>
                <w:tcPr>
                  <w:cnfStyle w:val="001000000000" w:firstRow="0" w:lastRow="0" w:firstColumn="1" w:lastColumn="0" w:oddVBand="0" w:evenVBand="0" w:oddHBand="0" w:evenHBand="0" w:firstRowFirstColumn="0" w:firstRowLastColumn="0" w:lastRowFirstColumn="0" w:lastRowLastColumn="0"/>
                  <w:tcW w:w="1337" w:type="pct"/>
                  <w:vMerge w:val="restart"/>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高等学校数量，所</w:t>
                  </w:r>
                </w:p>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在校大学生数量，千人</w:t>
                  </w: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r>
            <w:tr w:rsidR="00A93F62" w:rsidRPr="007E57AE">
              <w:trPr>
                <w:trHeight w:val="176"/>
              </w:trPr>
              <w:tc>
                <w:tcPr>
                  <w:cnfStyle w:val="001000000000" w:firstRow="0" w:lastRow="0" w:firstColumn="1" w:lastColumn="0" w:oddVBand="0" w:evenVBand="0" w:oddHBand="0" w:evenHBand="0" w:firstRowFirstColumn="0" w:firstRowLastColumn="0" w:lastRowFirstColumn="0" w:lastRowLastColumn="0"/>
                  <w:tcW w:w="1337" w:type="pct"/>
                  <w:vMerge/>
                </w:tcPr>
                <w:p w:rsidR="00A93F62" w:rsidRPr="007E57AE" w:rsidRDefault="00A93F62">
                  <w:pPr>
                    <w:tabs>
                      <w:tab w:val="clear" w:pos="431"/>
                    </w:tabs>
                    <w:suppressAutoHyphens/>
                    <w:overflowPunct/>
                    <w:adjustRightInd/>
                    <w:spacing w:line="240" w:lineRule="atLeast"/>
                    <w:rPr>
                      <w:snapToGrid/>
                      <w:sz w:val="18"/>
                      <w:szCs w:val="18"/>
                      <w:lang w:val="en-GB" w:eastAsia="en-US"/>
                    </w:rPr>
                  </w:pP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16.6</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15.1</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14.7</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14.9</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15.3</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16.1</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16.5</w:t>
                  </w:r>
                </w:p>
              </w:tc>
            </w:tr>
            <w:tr w:rsidR="00A93F62" w:rsidRPr="007E57AE">
              <w:trPr>
                <w:trHeight w:hRule="exact" w:val="390"/>
              </w:trPr>
              <w:tc>
                <w:tcPr>
                  <w:cnfStyle w:val="001000000000" w:firstRow="0" w:lastRow="0" w:firstColumn="1" w:lastColumn="0" w:oddVBand="0" w:evenVBand="0" w:oddHBand="0" w:evenHBand="0" w:firstRowFirstColumn="0" w:firstRowLastColumn="0" w:lastRowFirstColumn="0" w:lastRowLastColumn="0"/>
                  <w:tcW w:w="1337" w:type="pct"/>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剧院，家</w:t>
                  </w: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w:t>
                  </w:r>
                </w:p>
              </w:tc>
            </w:tr>
            <w:tr w:rsidR="00A93F62" w:rsidRPr="007E57AE">
              <w:trPr>
                <w:trHeight w:hRule="exact" w:val="390"/>
              </w:trPr>
              <w:tc>
                <w:tcPr>
                  <w:cnfStyle w:val="001000000000" w:firstRow="0" w:lastRow="0" w:firstColumn="1" w:lastColumn="0" w:oddVBand="0" w:evenVBand="0" w:oddHBand="0" w:evenHBand="0" w:firstRowFirstColumn="0" w:firstRowLastColumn="0" w:lastRowFirstColumn="0" w:lastRowLastColumn="0"/>
                  <w:tcW w:w="1337" w:type="pct"/>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博物馆，家</w:t>
                  </w: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28</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27</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27</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27</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27</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29</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30</w:t>
                  </w:r>
                </w:p>
              </w:tc>
            </w:tr>
            <w:tr w:rsidR="00A93F62" w:rsidRPr="007E57AE">
              <w:trPr>
                <w:trHeight w:hRule="exact" w:val="331"/>
              </w:trPr>
              <w:tc>
                <w:tcPr>
                  <w:cnfStyle w:val="001000000000" w:firstRow="0" w:lastRow="0" w:firstColumn="1" w:lastColumn="0" w:oddVBand="0" w:evenVBand="0" w:oddHBand="0" w:evenHBand="0" w:firstRowFirstColumn="0" w:firstRowLastColumn="0" w:lastRowFirstColumn="0" w:lastRowLastColumn="0"/>
                  <w:tcW w:w="1337" w:type="pct"/>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医疗机构数量，家</w:t>
                  </w: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114</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120</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119</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125</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124</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122</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121</w:t>
                  </w:r>
                </w:p>
              </w:tc>
            </w:tr>
            <w:tr w:rsidR="00A93F62" w:rsidRPr="007E57AE">
              <w:trPr>
                <w:trHeight w:hRule="exact" w:val="390"/>
              </w:trPr>
              <w:tc>
                <w:tcPr>
                  <w:cnfStyle w:val="001000000000" w:firstRow="0" w:lastRow="0" w:firstColumn="1" w:lastColumn="0" w:oddVBand="0" w:evenVBand="0" w:oddHBand="0" w:evenHBand="0" w:firstRowFirstColumn="0" w:firstRowLastColumn="0" w:lastRowFirstColumn="0" w:lastRowLastColumn="0"/>
                  <w:tcW w:w="1337" w:type="pct"/>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保健机构数量，家</w:t>
                  </w: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32</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30</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30</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30</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30</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30</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30</w:t>
                  </w:r>
                </w:p>
              </w:tc>
            </w:tr>
            <w:tr w:rsidR="00A93F62" w:rsidRPr="007E57AE">
              <w:trPr>
                <w:trHeight w:hRule="exact" w:val="1016"/>
              </w:trPr>
              <w:tc>
                <w:tcPr>
                  <w:cnfStyle w:val="001000000000" w:firstRow="0" w:lastRow="0" w:firstColumn="1" w:lastColumn="0" w:oddVBand="0" w:evenVBand="0" w:oddHBand="0" w:evenHBand="0" w:firstRowFirstColumn="0" w:firstRowLastColumn="0" w:lastRowFirstColumn="0" w:lastRowLastColumn="0"/>
                  <w:tcW w:w="1337" w:type="pct"/>
                </w:tcPr>
                <w:p w:rsidR="00A93F62" w:rsidRPr="007E57AE" w:rsidRDefault="00A93F62">
                  <w:pPr>
                    <w:tabs>
                      <w:tab w:val="clear" w:pos="431"/>
                    </w:tabs>
                    <w:suppressAutoHyphens/>
                    <w:overflowPunct/>
                    <w:adjustRightInd/>
                    <w:spacing w:line="240" w:lineRule="atLeast"/>
                    <w:rPr>
                      <w:snapToGrid/>
                      <w:sz w:val="18"/>
                      <w:szCs w:val="18"/>
                      <w:lang w:val="en-GB"/>
                    </w:rPr>
                  </w:pPr>
                  <w:r w:rsidRPr="007E57AE">
                    <w:rPr>
                      <w:snapToGrid/>
                      <w:sz w:val="18"/>
                      <w:szCs w:val="18"/>
                      <w:lang w:val="en-GB"/>
                    </w:rPr>
                    <w:t>居民住房总面积保障情况</w:t>
                  </w:r>
                  <w:r w:rsidRPr="007E57AE">
                    <w:rPr>
                      <w:snapToGrid/>
                      <w:sz w:val="18"/>
                      <w:szCs w:val="18"/>
                      <w:lang w:val="en-GB"/>
                    </w:rPr>
                    <w:t>(</w:t>
                  </w:r>
                  <w:r w:rsidRPr="007E57AE">
                    <w:rPr>
                      <w:snapToGrid/>
                      <w:sz w:val="18"/>
                      <w:szCs w:val="18"/>
                      <w:lang w:val="en-GB"/>
                    </w:rPr>
                    <w:t>包括津贴</w:t>
                  </w:r>
                  <w:r w:rsidRPr="007E57AE">
                    <w:rPr>
                      <w:snapToGrid/>
                      <w:sz w:val="18"/>
                      <w:szCs w:val="18"/>
                      <w:lang w:val="en-GB"/>
                    </w:rPr>
                    <w:t>)</w:t>
                  </w:r>
                  <w:r w:rsidRPr="007E57AE">
                    <w:rPr>
                      <w:snapToGrid/>
                      <w:sz w:val="18"/>
                      <w:szCs w:val="18"/>
                      <w:lang w:val="en-GB"/>
                    </w:rPr>
                    <w:t>，平方米</w:t>
                  </w:r>
                  <w:r w:rsidRPr="007E57AE">
                    <w:rPr>
                      <w:snapToGrid/>
                      <w:sz w:val="18"/>
                      <w:szCs w:val="18"/>
                      <w:lang w:val="en-GB"/>
                    </w:rPr>
                    <w:t>/</w:t>
                  </w:r>
                  <w:r w:rsidRPr="007E57AE">
                    <w:rPr>
                      <w:snapToGrid/>
                      <w:sz w:val="18"/>
                      <w:szCs w:val="18"/>
                      <w:lang w:val="en-GB"/>
                    </w:rPr>
                    <w:t>每人</w:t>
                  </w:r>
                </w:p>
              </w:tc>
              <w:tc>
                <w:tcPr>
                  <w:tcW w:w="563"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17.8</w:t>
                  </w:r>
                </w:p>
              </w:tc>
              <w:tc>
                <w:tcPr>
                  <w:tcW w:w="526"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18.3</w:t>
                  </w:r>
                </w:p>
              </w:tc>
              <w:tc>
                <w:tcPr>
                  <w:tcW w:w="52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19.2</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19.4</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19.6</w:t>
                  </w:r>
                </w:p>
              </w:tc>
              <w:tc>
                <w:tcPr>
                  <w:tcW w:w="525"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19.7</w:t>
                  </w:r>
                </w:p>
              </w:tc>
              <w:tc>
                <w:tcPr>
                  <w:tcW w:w="474" w:type="pct"/>
                </w:tcPr>
                <w:p w:rsidR="00A93F62" w:rsidRPr="007E57AE" w:rsidRDefault="00A93F62">
                  <w:pPr>
                    <w:tabs>
                      <w:tab w:val="clear" w:pos="431"/>
                    </w:tabs>
                    <w:suppressAutoHyphens/>
                    <w:overflowPunct/>
                    <w:adjustRightInd/>
                    <w:spacing w:line="240" w:lineRule="atLeas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19.8</w:t>
                  </w:r>
                </w:p>
              </w:tc>
            </w:tr>
          </w:tbl>
          <w:p w:rsidR="00A93F62" w:rsidRPr="007E57AE" w:rsidRDefault="00A93F62">
            <w:pPr>
              <w:tabs>
                <w:tab w:val="clear" w:pos="431"/>
              </w:tabs>
              <w:suppressAutoHyphens/>
              <w:overflowPunct/>
              <w:adjustRightInd/>
              <w:spacing w:line="240" w:lineRule="atLeast"/>
              <w:rPr>
                <w:b/>
                <w:snapToGrid/>
                <w:sz w:val="18"/>
                <w:szCs w:val="18"/>
                <w:lang w:val="en-GB" w:eastAsia="en-US"/>
              </w:rPr>
            </w:pPr>
            <w:r w:rsidRPr="007E57AE">
              <w:rPr>
                <w:rFonts w:eastAsia="SimHei"/>
                <w:snapToGrid/>
                <w:sz w:val="18"/>
                <w:szCs w:val="18"/>
                <w:lang w:val="en-GB"/>
              </w:rPr>
              <w:t>土库曼斯坦</w:t>
            </w:r>
          </w:p>
        </w:tc>
        <w:tc>
          <w:tcPr>
            <w:tcW w:w="1015" w:type="dxa"/>
            <w:tcBorders>
              <w:top w:val="single" w:sz="12" w:space="0" w:color="auto"/>
            </w:tcBorders>
          </w:tcPr>
          <w:p w:rsidR="00A93F62" w:rsidRPr="007E57AE" w:rsidRDefault="00A93F62" w:rsidP="006B4551">
            <w:pPr>
              <w:tabs>
                <w:tab w:val="clear" w:pos="431"/>
              </w:tabs>
              <w:suppressAutoHyphens/>
              <w:overflowPunct/>
              <w:adjustRightInd/>
              <w:spacing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16.6</w:t>
            </w:r>
          </w:p>
        </w:tc>
        <w:tc>
          <w:tcPr>
            <w:tcW w:w="1015" w:type="dxa"/>
            <w:tcBorders>
              <w:top w:val="single" w:sz="12" w:space="0" w:color="auto"/>
            </w:tcBorders>
          </w:tcPr>
          <w:p w:rsidR="00A93F62" w:rsidRPr="007E57AE" w:rsidRDefault="00A93F62" w:rsidP="006B4551">
            <w:pPr>
              <w:tabs>
                <w:tab w:val="clear" w:pos="431"/>
              </w:tabs>
              <w:suppressAutoHyphens/>
              <w:overflowPunct/>
              <w:adjustRightInd/>
              <w:spacing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15.1</w:t>
            </w:r>
          </w:p>
        </w:tc>
        <w:tc>
          <w:tcPr>
            <w:tcW w:w="1015" w:type="dxa"/>
            <w:tcBorders>
              <w:top w:val="single" w:sz="12" w:space="0" w:color="auto"/>
            </w:tcBorders>
          </w:tcPr>
          <w:p w:rsidR="00A93F62" w:rsidRPr="007E57AE" w:rsidRDefault="00A93F62" w:rsidP="006B4551">
            <w:pPr>
              <w:tabs>
                <w:tab w:val="clear" w:pos="431"/>
              </w:tabs>
              <w:suppressAutoHyphens/>
              <w:overflowPunct/>
              <w:adjustRightInd/>
              <w:spacing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14.7</w:t>
            </w:r>
          </w:p>
        </w:tc>
        <w:tc>
          <w:tcPr>
            <w:tcW w:w="1015" w:type="dxa"/>
            <w:tcBorders>
              <w:top w:val="single" w:sz="12" w:space="0" w:color="auto"/>
            </w:tcBorders>
          </w:tcPr>
          <w:p w:rsidR="00A93F62" w:rsidRPr="007E57AE" w:rsidRDefault="00A93F62" w:rsidP="006B4551">
            <w:pPr>
              <w:tabs>
                <w:tab w:val="clear" w:pos="431"/>
              </w:tabs>
              <w:suppressAutoHyphens/>
              <w:overflowPunct/>
              <w:adjustRightInd/>
              <w:spacing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14.9</w:t>
            </w:r>
          </w:p>
        </w:tc>
        <w:tc>
          <w:tcPr>
            <w:tcW w:w="1015" w:type="dxa"/>
            <w:tcBorders>
              <w:top w:val="single" w:sz="12" w:space="0" w:color="auto"/>
            </w:tcBorders>
          </w:tcPr>
          <w:p w:rsidR="00A93F62" w:rsidRPr="007E57AE" w:rsidRDefault="00A93F62" w:rsidP="006B4551">
            <w:pPr>
              <w:tabs>
                <w:tab w:val="clear" w:pos="431"/>
              </w:tabs>
              <w:suppressAutoHyphens/>
              <w:overflowPunct/>
              <w:adjustRightInd/>
              <w:spacing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15.3</w:t>
            </w:r>
          </w:p>
        </w:tc>
        <w:tc>
          <w:tcPr>
            <w:tcW w:w="1015" w:type="dxa"/>
            <w:tcBorders>
              <w:top w:val="single" w:sz="12" w:space="0" w:color="auto"/>
            </w:tcBorders>
          </w:tcPr>
          <w:p w:rsidR="00A93F62" w:rsidRPr="007E57AE" w:rsidRDefault="00A93F62" w:rsidP="006B4551">
            <w:pPr>
              <w:tabs>
                <w:tab w:val="clear" w:pos="431"/>
              </w:tabs>
              <w:suppressAutoHyphens/>
              <w:overflowPunct/>
              <w:adjustRightInd/>
              <w:spacing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16.1</w:t>
            </w:r>
          </w:p>
        </w:tc>
        <w:tc>
          <w:tcPr>
            <w:tcW w:w="1015" w:type="dxa"/>
            <w:tcBorders>
              <w:top w:val="single" w:sz="12" w:space="0" w:color="auto"/>
            </w:tcBorders>
          </w:tcPr>
          <w:p w:rsidR="00A93F62" w:rsidRPr="007E57AE" w:rsidRDefault="00A93F62" w:rsidP="006B4551">
            <w:pPr>
              <w:tabs>
                <w:tab w:val="clear" w:pos="431"/>
              </w:tabs>
              <w:suppressAutoHyphens/>
              <w:overflowPunct/>
              <w:adjustRightInd/>
              <w:spacing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16.5</w:t>
            </w:r>
          </w:p>
        </w:tc>
        <w:tc>
          <w:tcPr>
            <w:tcW w:w="1001" w:type="dxa"/>
            <w:tcBorders>
              <w:top w:val="single" w:sz="12" w:space="0" w:color="auto"/>
            </w:tcBorders>
          </w:tcPr>
          <w:p w:rsidR="00A93F62" w:rsidRPr="007E57AE" w:rsidRDefault="00A93F62" w:rsidP="006B4551">
            <w:pPr>
              <w:tabs>
                <w:tab w:val="clear" w:pos="431"/>
              </w:tabs>
              <w:suppressAutoHyphens/>
              <w:overflowPunct/>
              <w:adjustRightInd/>
              <w:spacing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eastAsia="en-US"/>
              </w:rPr>
            </w:pPr>
            <w:r w:rsidRPr="007E57AE">
              <w:rPr>
                <w:rFonts w:eastAsia="SimHei"/>
                <w:b/>
                <w:snapToGrid/>
                <w:sz w:val="18"/>
                <w:szCs w:val="18"/>
                <w:lang w:val="en-GB" w:eastAsia="en-US"/>
              </w:rPr>
              <w:t>17</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531"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阿什哈巴德市</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15.1</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13.7</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13.5</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13.7</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14.7</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15.1</w:t>
            </w:r>
          </w:p>
        </w:tc>
        <w:tc>
          <w:tcPr>
            <w:tcW w:w="1001"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15.6</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531"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省区：</w:t>
            </w:r>
          </w:p>
        </w:tc>
        <w:tc>
          <w:tcPr>
            <w:tcW w:w="1015"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5"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5"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5"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5"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5"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15"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c>
          <w:tcPr>
            <w:tcW w:w="1001" w:type="dxa"/>
            <w:tcBorders>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 xml:space="preserve"> </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531" w:type="dxa"/>
            <w:tcBorders>
              <w:top w:val="nil"/>
              <w:bottom w:val="single" w:sz="4" w:space="0" w:color="auto"/>
            </w:tcBorders>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列巴普省</w:t>
            </w:r>
          </w:p>
        </w:tc>
        <w:tc>
          <w:tcPr>
            <w:tcW w:w="1015" w:type="dxa"/>
            <w:tcBorders>
              <w:top w:val="nil"/>
              <w:bottom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1.1</w:t>
            </w:r>
          </w:p>
        </w:tc>
        <w:tc>
          <w:tcPr>
            <w:tcW w:w="1015" w:type="dxa"/>
            <w:tcBorders>
              <w:top w:val="nil"/>
              <w:bottom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w:t>
            </w:r>
          </w:p>
        </w:tc>
        <w:tc>
          <w:tcPr>
            <w:tcW w:w="1015" w:type="dxa"/>
            <w:tcBorders>
              <w:top w:val="nil"/>
              <w:bottom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0.9</w:t>
            </w:r>
          </w:p>
        </w:tc>
        <w:tc>
          <w:tcPr>
            <w:tcW w:w="1015" w:type="dxa"/>
            <w:tcBorders>
              <w:top w:val="nil"/>
              <w:bottom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c>
          <w:tcPr>
            <w:tcW w:w="1015" w:type="dxa"/>
            <w:tcBorders>
              <w:top w:val="nil"/>
              <w:bottom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c>
          <w:tcPr>
            <w:tcW w:w="1015" w:type="dxa"/>
            <w:tcBorders>
              <w:top w:val="nil"/>
              <w:bottom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c>
          <w:tcPr>
            <w:tcW w:w="1015" w:type="dxa"/>
            <w:tcBorders>
              <w:top w:val="nil"/>
              <w:bottom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c>
          <w:tcPr>
            <w:tcW w:w="1001" w:type="dxa"/>
            <w:tcBorders>
              <w:top w:val="nil"/>
              <w:bottom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531" w:type="dxa"/>
            <w:tcBorders>
              <w:top w:val="single" w:sz="4" w:space="0" w:color="auto"/>
            </w:tcBorders>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马雷伊省</w:t>
            </w:r>
          </w:p>
        </w:tc>
        <w:tc>
          <w:tcPr>
            <w:tcW w:w="1015" w:type="dxa"/>
            <w:tcBorders>
              <w:top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0.3</w:t>
            </w:r>
          </w:p>
        </w:tc>
        <w:tc>
          <w:tcPr>
            <w:tcW w:w="1015" w:type="dxa"/>
            <w:tcBorders>
              <w:top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0.3</w:t>
            </w:r>
          </w:p>
        </w:tc>
        <w:tc>
          <w:tcPr>
            <w:tcW w:w="1015" w:type="dxa"/>
            <w:tcBorders>
              <w:top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0.4</w:t>
            </w:r>
          </w:p>
        </w:tc>
        <w:tc>
          <w:tcPr>
            <w:tcW w:w="1015" w:type="dxa"/>
            <w:tcBorders>
              <w:top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0.5</w:t>
            </w:r>
          </w:p>
        </w:tc>
        <w:tc>
          <w:tcPr>
            <w:tcW w:w="1015" w:type="dxa"/>
            <w:tcBorders>
              <w:top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0.6</w:t>
            </w:r>
          </w:p>
        </w:tc>
        <w:tc>
          <w:tcPr>
            <w:tcW w:w="1015" w:type="dxa"/>
            <w:tcBorders>
              <w:top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c>
          <w:tcPr>
            <w:tcW w:w="1015" w:type="dxa"/>
            <w:tcBorders>
              <w:top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c>
          <w:tcPr>
            <w:tcW w:w="1001" w:type="dxa"/>
            <w:tcBorders>
              <w:top w:val="single" w:sz="4" w:space="0" w:color="auto"/>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0.7</w:t>
            </w:r>
          </w:p>
        </w:tc>
      </w:tr>
    </w:tbl>
    <w:p w:rsidR="00A93F62" w:rsidRDefault="00A93F62">
      <w:pPr>
        <w:tabs>
          <w:tab w:val="clear" w:pos="431"/>
        </w:tabs>
        <w:suppressAutoHyphens/>
        <w:overflowPunct/>
        <w:adjustRightInd/>
        <w:snapToGrid/>
        <w:spacing w:beforeLines="20" w:before="65" w:line="320" w:lineRule="atLeast"/>
        <w:ind w:left="1134" w:right="1134"/>
        <w:rPr>
          <w:snapToGrid/>
          <w:szCs w:val="21"/>
          <w:lang w:val="en-GB"/>
        </w:rPr>
      </w:pPr>
      <w:r>
        <w:rPr>
          <w:snapToGrid/>
          <w:szCs w:val="21"/>
          <w:lang w:val="en-GB"/>
        </w:rPr>
        <w:t>301.</w:t>
      </w:r>
      <w:r>
        <w:rPr>
          <w:rFonts w:hint="eastAsia"/>
          <w:snapToGrid/>
          <w:szCs w:val="21"/>
          <w:lang w:val="en-GB"/>
        </w:rPr>
        <w:t xml:space="preserve">  </w:t>
      </w:r>
      <w:r>
        <w:rPr>
          <w:snapToGrid/>
          <w:szCs w:val="21"/>
          <w:lang w:val="en-GB"/>
        </w:rPr>
        <w:t>在校教师人数，人</w:t>
      </w:r>
    </w:p>
    <w:tbl>
      <w:tblPr>
        <w:tblStyle w:val="TabNum"/>
        <w:tblW w:w="9637" w:type="dxa"/>
        <w:tblLayout w:type="fixed"/>
        <w:tblLook w:val="01E0" w:firstRow="1" w:lastRow="1" w:firstColumn="1" w:lastColumn="1" w:noHBand="0" w:noVBand="0"/>
      </w:tblPr>
      <w:tblGrid>
        <w:gridCol w:w="1531"/>
        <w:gridCol w:w="1015"/>
        <w:gridCol w:w="1015"/>
        <w:gridCol w:w="1015"/>
        <w:gridCol w:w="1015"/>
        <w:gridCol w:w="1015"/>
        <w:gridCol w:w="1015"/>
        <w:gridCol w:w="1015"/>
        <w:gridCol w:w="1001"/>
      </w:tblGrid>
      <w:tr w:rsidR="00A93F62">
        <w:trPr>
          <w:trHeight w:hRule="exact" w:val="621"/>
          <w:tblHeader/>
        </w:trPr>
        <w:tc>
          <w:tcPr>
            <w:cnfStyle w:val="001000000000" w:firstRow="0" w:lastRow="0" w:firstColumn="1" w:lastColumn="0" w:oddVBand="0" w:evenVBand="0" w:oddHBand="0" w:evenHBand="0" w:firstRowFirstColumn="0" w:firstRowLastColumn="0" w:lastRowFirstColumn="0" w:lastRowLastColumn="0"/>
            <w:tcW w:w="1531" w:type="dxa"/>
            <w:tcBorders>
              <w:bottom w:val="single" w:sz="12" w:space="0" w:color="auto"/>
            </w:tcBorders>
            <w:shd w:val="clear" w:color="auto" w:fill="auto"/>
          </w:tcPr>
          <w:p w:rsidR="00A93F62" w:rsidRPr="007E57AE" w:rsidRDefault="00A93F62">
            <w:pPr>
              <w:tabs>
                <w:tab w:val="clear" w:pos="431"/>
              </w:tabs>
              <w:suppressAutoHyphens/>
              <w:overflowPunct/>
              <w:adjustRightInd/>
              <w:snapToGrid/>
              <w:spacing w:after="120" w:line="240" w:lineRule="atLeast"/>
              <w:rPr>
                <w:i/>
                <w:snapToGrid/>
                <w:sz w:val="18"/>
                <w:szCs w:val="18"/>
                <w:lang w:val="en-GB" w:eastAsia="en-US"/>
              </w:rPr>
            </w:pP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2000/</w:t>
            </w:r>
            <w:r w:rsidRPr="007E57AE">
              <w:rPr>
                <w:rFonts w:eastAsia="KaiTi_GB2312" w:hint="eastAsia"/>
                <w:snapToGrid/>
                <w:sz w:val="18"/>
                <w:szCs w:val="18"/>
                <w:lang w:val="en-GB"/>
              </w:rPr>
              <w:br/>
            </w:r>
            <w:r w:rsidRPr="007E57AE">
              <w:rPr>
                <w:rFonts w:eastAsia="KaiTi_GB2312"/>
                <w:snapToGrid/>
                <w:sz w:val="18"/>
                <w:szCs w:val="18"/>
                <w:lang w:val="en-GB"/>
              </w:rPr>
              <w:t>2001</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2001/</w:t>
            </w:r>
            <w:r w:rsidRPr="007E57AE">
              <w:rPr>
                <w:rFonts w:eastAsia="KaiTi_GB2312" w:hint="eastAsia"/>
                <w:snapToGrid/>
                <w:sz w:val="18"/>
                <w:szCs w:val="18"/>
                <w:lang w:val="en-GB"/>
              </w:rPr>
              <w:br/>
            </w:r>
            <w:r w:rsidRPr="007E57AE">
              <w:rPr>
                <w:rFonts w:eastAsia="KaiTi_GB2312"/>
                <w:snapToGrid/>
                <w:sz w:val="18"/>
                <w:szCs w:val="18"/>
                <w:lang w:val="en-GB"/>
              </w:rPr>
              <w:t>2002</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2002/</w:t>
            </w:r>
            <w:r w:rsidRPr="007E57AE">
              <w:rPr>
                <w:rFonts w:eastAsia="KaiTi_GB2312" w:hint="eastAsia"/>
                <w:snapToGrid/>
                <w:sz w:val="18"/>
                <w:szCs w:val="18"/>
                <w:lang w:val="en-GB"/>
              </w:rPr>
              <w:br/>
            </w:r>
            <w:r w:rsidRPr="007E57AE">
              <w:rPr>
                <w:rFonts w:eastAsia="KaiTi_GB2312"/>
                <w:snapToGrid/>
                <w:sz w:val="18"/>
                <w:szCs w:val="18"/>
                <w:lang w:val="en-GB"/>
              </w:rPr>
              <w:t>2003</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2003/</w:t>
            </w:r>
            <w:r w:rsidRPr="007E57AE">
              <w:rPr>
                <w:rFonts w:eastAsia="KaiTi_GB2312" w:hint="eastAsia"/>
                <w:snapToGrid/>
                <w:sz w:val="18"/>
                <w:szCs w:val="18"/>
                <w:lang w:val="en-GB"/>
              </w:rPr>
              <w:br/>
            </w:r>
            <w:r w:rsidRPr="007E57AE">
              <w:rPr>
                <w:rFonts w:eastAsia="KaiTi_GB2312"/>
                <w:snapToGrid/>
                <w:sz w:val="18"/>
                <w:szCs w:val="18"/>
                <w:lang w:val="en-GB"/>
              </w:rPr>
              <w:t>2004</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2004/</w:t>
            </w:r>
            <w:r w:rsidRPr="007E57AE">
              <w:rPr>
                <w:rFonts w:eastAsia="KaiTi_GB2312" w:hint="eastAsia"/>
                <w:snapToGrid/>
                <w:sz w:val="18"/>
                <w:szCs w:val="18"/>
                <w:lang w:val="en-GB"/>
              </w:rPr>
              <w:br/>
            </w:r>
            <w:r w:rsidRPr="007E57AE">
              <w:rPr>
                <w:rFonts w:eastAsia="KaiTi_GB2312"/>
                <w:snapToGrid/>
                <w:sz w:val="18"/>
                <w:szCs w:val="18"/>
                <w:lang w:val="en-GB"/>
              </w:rPr>
              <w:t>2005</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2005/</w:t>
            </w:r>
            <w:r w:rsidRPr="007E57AE">
              <w:rPr>
                <w:rFonts w:eastAsia="KaiTi_GB2312" w:hint="eastAsia"/>
                <w:snapToGrid/>
                <w:sz w:val="18"/>
                <w:szCs w:val="18"/>
                <w:lang w:val="en-GB"/>
              </w:rPr>
              <w:br/>
            </w:r>
            <w:r w:rsidRPr="007E57AE">
              <w:rPr>
                <w:rFonts w:eastAsia="KaiTi_GB2312"/>
                <w:snapToGrid/>
                <w:sz w:val="18"/>
                <w:szCs w:val="18"/>
                <w:lang w:val="en-GB"/>
              </w:rPr>
              <w:t>2006</w:t>
            </w:r>
            <w:r w:rsidRPr="007E57AE">
              <w:rPr>
                <w:rFonts w:eastAsia="KaiTi_GB2312"/>
                <w:snapToGrid/>
                <w:sz w:val="18"/>
                <w:szCs w:val="18"/>
                <w:lang w:val="en-GB"/>
              </w:rPr>
              <w:t>年</w:t>
            </w:r>
          </w:p>
        </w:tc>
        <w:tc>
          <w:tcPr>
            <w:tcW w:w="1015"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2006/</w:t>
            </w:r>
            <w:r w:rsidRPr="007E57AE">
              <w:rPr>
                <w:rFonts w:eastAsia="KaiTi_GB2312" w:hint="eastAsia"/>
                <w:snapToGrid/>
                <w:sz w:val="18"/>
                <w:szCs w:val="18"/>
                <w:lang w:val="en-GB"/>
              </w:rPr>
              <w:br/>
            </w:r>
            <w:r w:rsidRPr="007E57AE">
              <w:rPr>
                <w:rFonts w:eastAsia="KaiTi_GB2312"/>
                <w:snapToGrid/>
                <w:sz w:val="18"/>
                <w:szCs w:val="18"/>
                <w:lang w:val="en-GB"/>
              </w:rPr>
              <w:t>2007</w:t>
            </w:r>
            <w:r w:rsidRPr="007E57AE">
              <w:rPr>
                <w:rFonts w:eastAsia="KaiTi_GB2312"/>
                <w:snapToGrid/>
                <w:sz w:val="18"/>
                <w:szCs w:val="18"/>
                <w:lang w:val="en-GB"/>
              </w:rPr>
              <w:t>年</w:t>
            </w:r>
          </w:p>
        </w:tc>
        <w:tc>
          <w:tcPr>
            <w:tcW w:w="1001" w:type="dxa"/>
            <w:tcBorders>
              <w:top w:val="single" w:sz="4" w:space="0" w:color="auto"/>
              <w:bottom w:val="single" w:sz="12" w:space="0" w:color="auto"/>
            </w:tcBorders>
            <w:shd w:val="clear" w:color="auto" w:fill="auto"/>
          </w:tcPr>
          <w:p w:rsidR="00A93F62" w:rsidRPr="007E57AE" w:rsidRDefault="00A93F62" w:rsidP="006B4551">
            <w:pPr>
              <w:tabs>
                <w:tab w:val="clear" w:pos="431"/>
              </w:tabs>
              <w:suppressAutoHyphens/>
              <w:overflowPunct/>
              <w:adjustRightInd/>
              <w:spacing w:after="0" w:line="24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rPr>
            </w:pPr>
            <w:r w:rsidRPr="007E57AE">
              <w:rPr>
                <w:rFonts w:eastAsia="KaiTi_GB2312"/>
                <w:snapToGrid/>
                <w:sz w:val="18"/>
                <w:szCs w:val="18"/>
                <w:lang w:val="en-GB"/>
              </w:rPr>
              <w:t>2007/</w:t>
            </w:r>
            <w:r w:rsidRPr="007E57AE">
              <w:rPr>
                <w:rFonts w:eastAsia="KaiTi_GB2312" w:hint="eastAsia"/>
                <w:snapToGrid/>
                <w:sz w:val="18"/>
                <w:szCs w:val="18"/>
                <w:lang w:val="en-GB"/>
              </w:rPr>
              <w:br/>
            </w:r>
            <w:r w:rsidRPr="007E57AE">
              <w:rPr>
                <w:rFonts w:eastAsia="KaiTi_GB2312"/>
                <w:snapToGrid/>
                <w:sz w:val="18"/>
                <w:szCs w:val="18"/>
                <w:lang w:val="en-GB"/>
              </w:rPr>
              <w:t>2008</w:t>
            </w:r>
            <w:r w:rsidRPr="007E57AE">
              <w:rPr>
                <w:rFonts w:eastAsia="KaiTi_GB2312"/>
                <w:snapToGrid/>
                <w:sz w:val="18"/>
                <w:szCs w:val="18"/>
                <w:lang w:val="en-GB"/>
              </w:rPr>
              <w:t>年</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531" w:type="dxa"/>
            <w:tcBorders>
              <w:top w:val="single" w:sz="12" w:space="0" w:color="auto"/>
            </w:tcBorders>
          </w:tcPr>
          <w:p w:rsidR="00A93F62" w:rsidRPr="007E57AE" w:rsidRDefault="00A93F62">
            <w:pPr>
              <w:tabs>
                <w:tab w:val="clear" w:pos="431"/>
              </w:tabs>
              <w:suppressAutoHyphens/>
              <w:overflowPunct/>
              <w:adjustRightInd/>
              <w:snapToGrid/>
              <w:spacing w:after="120" w:line="240" w:lineRule="atLeast"/>
              <w:rPr>
                <w:b/>
                <w:snapToGrid/>
                <w:sz w:val="18"/>
                <w:szCs w:val="18"/>
                <w:lang w:val="en-GB"/>
              </w:rPr>
            </w:pPr>
            <w:r w:rsidRPr="007E57AE">
              <w:rPr>
                <w:rFonts w:eastAsia="SimHei"/>
                <w:snapToGrid/>
                <w:sz w:val="18"/>
                <w:szCs w:val="18"/>
                <w:lang w:val="en-GB"/>
              </w:rPr>
              <w:t>土库曼斯坦</w:t>
            </w:r>
          </w:p>
        </w:tc>
        <w:tc>
          <w:tcPr>
            <w:tcW w:w="1015" w:type="dxa"/>
            <w:tcBorders>
              <w:top w:val="single" w:sz="12" w:space="0" w:color="auto"/>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2</w:t>
            </w:r>
            <w:r w:rsidRPr="007E57AE">
              <w:rPr>
                <w:rFonts w:eastAsia="SimHei" w:hint="eastAsia"/>
                <w:b/>
                <w:snapToGrid/>
                <w:sz w:val="18"/>
                <w:szCs w:val="18"/>
                <w:lang w:val="en-GB"/>
              </w:rPr>
              <w:t xml:space="preserve"> </w:t>
            </w:r>
            <w:r w:rsidRPr="007E57AE">
              <w:rPr>
                <w:rFonts w:eastAsia="SimHei"/>
                <w:b/>
                <w:snapToGrid/>
                <w:sz w:val="18"/>
                <w:szCs w:val="18"/>
                <w:lang w:val="en-GB"/>
              </w:rPr>
              <w:t>342</w:t>
            </w:r>
          </w:p>
        </w:tc>
        <w:tc>
          <w:tcPr>
            <w:tcW w:w="1015" w:type="dxa"/>
            <w:tcBorders>
              <w:top w:val="single" w:sz="12" w:space="0" w:color="auto"/>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2</w:t>
            </w:r>
            <w:r w:rsidRPr="007E57AE">
              <w:rPr>
                <w:rFonts w:eastAsia="SimHei" w:hint="eastAsia"/>
                <w:b/>
                <w:snapToGrid/>
                <w:sz w:val="18"/>
                <w:szCs w:val="18"/>
                <w:lang w:val="en-GB"/>
              </w:rPr>
              <w:t xml:space="preserve"> </w:t>
            </w:r>
            <w:r w:rsidRPr="007E57AE">
              <w:rPr>
                <w:rFonts w:eastAsia="SimHei"/>
                <w:b/>
                <w:snapToGrid/>
                <w:sz w:val="18"/>
                <w:szCs w:val="18"/>
                <w:lang w:val="en-GB"/>
              </w:rPr>
              <w:t>260</w:t>
            </w:r>
          </w:p>
        </w:tc>
        <w:tc>
          <w:tcPr>
            <w:tcW w:w="1015" w:type="dxa"/>
            <w:tcBorders>
              <w:top w:val="single" w:sz="12" w:space="0" w:color="auto"/>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2</w:t>
            </w:r>
            <w:r w:rsidRPr="007E57AE">
              <w:rPr>
                <w:rFonts w:eastAsia="SimHei" w:hint="eastAsia"/>
                <w:b/>
                <w:snapToGrid/>
                <w:sz w:val="18"/>
                <w:szCs w:val="18"/>
                <w:lang w:val="en-GB"/>
              </w:rPr>
              <w:t xml:space="preserve"> </w:t>
            </w:r>
            <w:r w:rsidRPr="007E57AE">
              <w:rPr>
                <w:rFonts w:eastAsia="SimHei"/>
                <w:b/>
                <w:snapToGrid/>
                <w:sz w:val="18"/>
                <w:szCs w:val="18"/>
                <w:lang w:val="en-GB"/>
              </w:rPr>
              <w:t>069</w:t>
            </w:r>
          </w:p>
        </w:tc>
        <w:tc>
          <w:tcPr>
            <w:tcW w:w="1015" w:type="dxa"/>
            <w:tcBorders>
              <w:top w:val="single" w:sz="12" w:space="0" w:color="auto"/>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2</w:t>
            </w:r>
            <w:r w:rsidRPr="007E57AE">
              <w:rPr>
                <w:rFonts w:eastAsia="SimHei" w:hint="eastAsia"/>
                <w:b/>
                <w:snapToGrid/>
                <w:sz w:val="18"/>
                <w:szCs w:val="18"/>
                <w:lang w:val="en-GB"/>
              </w:rPr>
              <w:t xml:space="preserve"> </w:t>
            </w:r>
            <w:r w:rsidRPr="007E57AE">
              <w:rPr>
                <w:rFonts w:eastAsia="SimHei"/>
                <w:b/>
                <w:snapToGrid/>
                <w:sz w:val="18"/>
                <w:szCs w:val="18"/>
                <w:lang w:val="en-GB"/>
              </w:rPr>
              <w:t>153</w:t>
            </w:r>
          </w:p>
        </w:tc>
        <w:tc>
          <w:tcPr>
            <w:tcW w:w="1015" w:type="dxa"/>
            <w:tcBorders>
              <w:top w:val="single" w:sz="12" w:space="0" w:color="auto"/>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879</w:t>
            </w:r>
          </w:p>
        </w:tc>
        <w:tc>
          <w:tcPr>
            <w:tcW w:w="1015" w:type="dxa"/>
            <w:tcBorders>
              <w:top w:val="single" w:sz="12" w:space="0" w:color="auto"/>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879</w:t>
            </w:r>
          </w:p>
        </w:tc>
        <w:tc>
          <w:tcPr>
            <w:tcW w:w="1015" w:type="dxa"/>
            <w:tcBorders>
              <w:top w:val="single" w:sz="12" w:space="0" w:color="auto"/>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1</w:t>
            </w:r>
            <w:r w:rsidRPr="007E57AE">
              <w:rPr>
                <w:rFonts w:eastAsia="SimHei" w:hint="eastAsia"/>
                <w:b/>
                <w:snapToGrid/>
                <w:sz w:val="18"/>
                <w:szCs w:val="18"/>
                <w:lang w:val="en-GB"/>
              </w:rPr>
              <w:t xml:space="preserve"> </w:t>
            </w:r>
            <w:r w:rsidRPr="007E57AE">
              <w:rPr>
                <w:rFonts w:eastAsia="SimHei"/>
                <w:b/>
                <w:snapToGrid/>
                <w:sz w:val="18"/>
                <w:szCs w:val="18"/>
                <w:lang w:val="en-GB"/>
              </w:rPr>
              <w:t>854</w:t>
            </w:r>
          </w:p>
        </w:tc>
        <w:tc>
          <w:tcPr>
            <w:tcW w:w="1001" w:type="dxa"/>
            <w:tcBorders>
              <w:top w:val="single" w:sz="12" w:space="0" w:color="auto"/>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b/>
                <w:snapToGrid/>
                <w:sz w:val="18"/>
                <w:szCs w:val="18"/>
                <w:lang w:val="en-GB"/>
              </w:rPr>
            </w:pPr>
            <w:r w:rsidRPr="007E57AE">
              <w:rPr>
                <w:rFonts w:eastAsia="SimHei"/>
                <w:b/>
                <w:snapToGrid/>
                <w:sz w:val="18"/>
                <w:szCs w:val="18"/>
                <w:lang w:val="en-GB"/>
              </w:rPr>
              <w:t>2</w:t>
            </w:r>
            <w:r w:rsidRPr="007E57AE">
              <w:rPr>
                <w:rFonts w:eastAsia="SimHei" w:hint="eastAsia"/>
                <w:b/>
                <w:snapToGrid/>
                <w:sz w:val="18"/>
                <w:szCs w:val="18"/>
                <w:lang w:val="en-GB"/>
              </w:rPr>
              <w:t xml:space="preserve"> </w:t>
            </w:r>
            <w:r w:rsidRPr="007E57AE">
              <w:rPr>
                <w:rFonts w:eastAsia="SimHei"/>
                <w:b/>
                <w:snapToGrid/>
                <w:sz w:val="18"/>
                <w:szCs w:val="18"/>
                <w:lang w:val="en-GB"/>
              </w:rPr>
              <w:t>260</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531" w:type="dxa"/>
          </w:tcPr>
          <w:p w:rsidR="00A93F62" w:rsidRPr="007E57AE" w:rsidRDefault="00A93F62">
            <w:pPr>
              <w:tabs>
                <w:tab w:val="clear" w:pos="431"/>
              </w:tabs>
              <w:suppressAutoHyphens/>
              <w:overflowPunct/>
              <w:adjustRightInd/>
              <w:snapToGrid/>
              <w:spacing w:after="120" w:line="240" w:lineRule="atLeast"/>
              <w:rPr>
                <w:snapToGrid/>
                <w:sz w:val="18"/>
                <w:szCs w:val="18"/>
                <w:lang w:val="en-GB"/>
              </w:rPr>
            </w:pPr>
            <w:r w:rsidRPr="007E57AE">
              <w:rPr>
                <w:snapToGrid/>
                <w:sz w:val="18"/>
                <w:szCs w:val="18"/>
                <w:lang w:val="en-GB"/>
              </w:rPr>
              <w:t>阿什哈巴德市</w:t>
            </w:r>
          </w:p>
        </w:tc>
        <w:tc>
          <w:tcPr>
            <w:tcW w:w="1015"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2</w:t>
            </w:r>
            <w:r w:rsidRPr="007E57AE">
              <w:rPr>
                <w:rFonts w:hint="eastAsia"/>
                <w:snapToGrid/>
                <w:sz w:val="18"/>
                <w:szCs w:val="18"/>
                <w:lang w:val="en-GB"/>
              </w:rPr>
              <w:t xml:space="preserve"> </w:t>
            </w:r>
            <w:r w:rsidRPr="007E57AE">
              <w:rPr>
                <w:snapToGrid/>
                <w:sz w:val="18"/>
                <w:szCs w:val="18"/>
                <w:lang w:val="en-GB"/>
              </w:rPr>
              <w:t>122</w:t>
            </w:r>
          </w:p>
        </w:tc>
        <w:tc>
          <w:tcPr>
            <w:tcW w:w="1015"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2</w:t>
            </w:r>
            <w:r w:rsidRPr="007E57AE">
              <w:rPr>
                <w:rFonts w:hint="eastAsia"/>
                <w:snapToGrid/>
                <w:sz w:val="18"/>
                <w:szCs w:val="18"/>
                <w:lang w:val="en-GB"/>
              </w:rPr>
              <w:t xml:space="preserve"> </w:t>
            </w:r>
            <w:r w:rsidRPr="007E57AE">
              <w:rPr>
                <w:snapToGrid/>
                <w:sz w:val="18"/>
                <w:szCs w:val="18"/>
                <w:lang w:val="en-GB"/>
              </w:rPr>
              <w:t>062</w:t>
            </w:r>
          </w:p>
        </w:tc>
        <w:tc>
          <w:tcPr>
            <w:tcW w:w="1015"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1</w:t>
            </w:r>
            <w:r w:rsidRPr="007E57AE">
              <w:rPr>
                <w:rFonts w:hint="eastAsia"/>
                <w:snapToGrid/>
                <w:sz w:val="18"/>
                <w:szCs w:val="18"/>
                <w:lang w:val="en-GB"/>
              </w:rPr>
              <w:t xml:space="preserve"> </w:t>
            </w:r>
            <w:r w:rsidRPr="007E57AE">
              <w:rPr>
                <w:snapToGrid/>
                <w:sz w:val="18"/>
                <w:szCs w:val="18"/>
                <w:lang w:val="en-GB"/>
              </w:rPr>
              <w:t>897</w:t>
            </w:r>
          </w:p>
        </w:tc>
        <w:tc>
          <w:tcPr>
            <w:tcW w:w="1015"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1</w:t>
            </w:r>
            <w:r w:rsidRPr="007E57AE">
              <w:rPr>
                <w:rFonts w:hint="eastAsia"/>
                <w:snapToGrid/>
                <w:sz w:val="18"/>
                <w:szCs w:val="18"/>
                <w:lang w:val="en-GB"/>
              </w:rPr>
              <w:t xml:space="preserve"> </w:t>
            </w:r>
            <w:r w:rsidRPr="007E57AE">
              <w:rPr>
                <w:snapToGrid/>
                <w:sz w:val="18"/>
                <w:szCs w:val="18"/>
                <w:lang w:val="en-GB"/>
              </w:rPr>
              <w:t>988</w:t>
            </w:r>
          </w:p>
        </w:tc>
        <w:tc>
          <w:tcPr>
            <w:tcW w:w="1015"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1</w:t>
            </w:r>
            <w:r w:rsidRPr="007E57AE">
              <w:rPr>
                <w:rFonts w:hint="eastAsia"/>
                <w:snapToGrid/>
                <w:sz w:val="18"/>
                <w:szCs w:val="18"/>
                <w:lang w:val="en-GB"/>
              </w:rPr>
              <w:t xml:space="preserve"> </w:t>
            </w:r>
            <w:r w:rsidRPr="007E57AE">
              <w:rPr>
                <w:snapToGrid/>
                <w:sz w:val="18"/>
                <w:szCs w:val="18"/>
                <w:lang w:val="en-GB"/>
              </w:rPr>
              <w:t>728</w:t>
            </w:r>
          </w:p>
        </w:tc>
        <w:tc>
          <w:tcPr>
            <w:tcW w:w="1015"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1</w:t>
            </w:r>
            <w:r w:rsidRPr="007E57AE">
              <w:rPr>
                <w:rFonts w:hint="eastAsia"/>
                <w:snapToGrid/>
                <w:sz w:val="18"/>
                <w:szCs w:val="18"/>
                <w:lang w:val="en-GB"/>
              </w:rPr>
              <w:t xml:space="preserve"> </w:t>
            </w:r>
            <w:r w:rsidRPr="007E57AE">
              <w:rPr>
                <w:snapToGrid/>
                <w:sz w:val="18"/>
                <w:szCs w:val="18"/>
                <w:lang w:val="en-GB"/>
              </w:rPr>
              <w:t>742</w:t>
            </w:r>
          </w:p>
        </w:tc>
        <w:tc>
          <w:tcPr>
            <w:tcW w:w="1015"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1</w:t>
            </w:r>
            <w:r w:rsidRPr="007E57AE">
              <w:rPr>
                <w:rFonts w:hint="eastAsia"/>
                <w:snapToGrid/>
                <w:sz w:val="18"/>
                <w:szCs w:val="18"/>
                <w:lang w:val="en-GB"/>
              </w:rPr>
              <w:t xml:space="preserve"> </w:t>
            </w:r>
            <w:r w:rsidRPr="007E57AE">
              <w:rPr>
                <w:snapToGrid/>
                <w:sz w:val="18"/>
                <w:szCs w:val="18"/>
                <w:lang w:val="en-GB"/>
              </w:rPr>
              <w:t>715</w:t>
            </w:r>
          </w:p>
        </w:tc>
        <w:tc>
          <w:tcPr>
            <w:tcW w:w="1001" w:type="dxa"/>
            <w:tcBorders>
              <w:top w:val="nil"/>
              <w:bottom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2</w:t>
            </w:r>
            <w:r w:rsidRPr="007E57AE">
              <w:rPr>
                <w:rFonts w:hint="eastAsia"/>
                <w:snapToGrid/>
                <w:sz w:val="18"/>
                <w:szCs w:val="18"/>
                <w:lang w:val="en-GB"/>
              </w:rPr>
              <w:t xml:space="preserve"> </w:t>
            </w:r>
            <w:r w:rsidRPr="007E57AE">
              <w:rPr>
                <w:snapToGrid/>
                <w:sz w:val="18"/>
                <w:szCs w:val="18"/>
                <w:lang w:val="en-GB"/>
              </w:rPr>
              <w:t>106</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531" w:type="dxa"/>
          </w:tcPr>
          <w:p w:rsidR="00A93F62" w:rsidRPr="007E57AE" w:rsidRDefault="00A93F62">
            <w:pPr>
              <w:tabs>
                <w:tab w:val="clear" w:pos="431"/>
              </w:tabs>
              <w:suppressAutoHyphens/>
              <w:overflowPunct/>
              <w:adjustRightInd/>
              <w:snapToGrid/>
              <w:spacing w:after="120" w:line="240" w:lineRule="atLeast"/>
              <w:rPr>
                <w:snapToGrid/>
                <w:sz w:val="18"/>
                <w:szCs w:val="18"/>
                <w:lang w:val="en-GB"/>
              </w:rPr>
            </w:pPr>
            <w:r w:rsidRPr="007E57AE">
              <w:rPr>
                <w:snapToGrid/>
                <w:sz w:val="18"/>
                <w:szCs w:val="18"/>
                <w:lang w:val="en-GB"/>
              </w:rPr>
              <w:t>省区：</w:t>
            </w:r>
          </w:p>
        </w:tc>
        <w:tc>
          <w:tcPr>
            <w:tcW w:w="1015"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15"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15"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15"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15"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15"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15"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c>
          <w:tcPr>
            <w:tcW w:w="1001" w:type="dxa"/>
            <w:tcBorders>
              <w:top w:val="nil"/>
            </w:tcBorders>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rPr>
            </w:pPr>
            <w:r w:rsidRPr="007E57AE">
              <w:rPr>
                <w:snapToGrid/>
                <w:sz w:val="18"/>
                <w:szCs w:val="18"/>
                <w:lang w:val="en-GB"/>
              </w:rPr>
              <w:t xml:space="preserve"> </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531"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列巴普省</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176</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157</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135</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123</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100</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90</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88</w:t>
            </w:r>
          </w:p>
        </w:tc>
        <w:tc>
          <w:tcPr>
            <w:tcW w:w="1001"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101</w:t>
            </w:r>
          </w:p>
        </w:tc>
      </w:tr>
      <w:tr w:rsidR="00A93F62">
        <w:trPr>
          <w:trHeight w:hRule="exact" w:val="330"/>
        </w:trPr>
        <w:tc>
          <w:tcPr>
            <w:cnfStyle w:val="001000000000" w:firstRow="0" w:lastRow="0" w:firstColumn="1" w:lastColumn="0" w:oddVBand="0" w:evenVBand="0" w:oddHBand="0" w:evenHBand="0" w:firstRowFirstColumn="0" w:firstRowLastColumn="0" w:lastRowFirstColumn="0" w:lastRowLastColumn="0"/>
            <w:tcW w:w="1531" w:type="dxa"/>
          </w:tcPr>
          <w:p w:rsidR="00A93F62" w:rsidRPr="007E57AE" w:rsidRDefault="00A93F62">
            <w:pPr>
              <w:tabs>
                <w:tab w:val="clear" w:pos="431"/>
              </w:tabs>
              <w:suppressAutoHyphens/>
              <w:overflowPunct/>
              <w:adjustRightInd/>
              <w:snapToGrid/>
              <w:spacing w:after="120" w:line="240" w:lineRule="atLeast"/>
              <w:rPr>
                <w:snapToGrid/>
                <w:sz w:val="18"/>
                <w:szCs w:val="18"/>
                <w:lang w:val="en-GB" w:eastAsia="en-US"/>
              </w:rPr>
            </w:pPr>
            <w:r w:rsidRPr="007E57AE">
              <w:rPr>
                <w:snapToGrid/>
                <w:sz w:val="18"/>
                <w:szCs w:val="18"/>
                <w:lang w:val="en-GB"/>
              </w:rPr>
              <w:t>马雷伊省</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44</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41</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37</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42</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51</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47</w:t>
            </w:r>
          </w:p>
        </w:tc>
        <w:tc>
          <w:tcPr>
            <w:tcW w:w="1015"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51</w:t>
            </w:r>
          </w:p>
        </w:tc>
        <w:tc>
          <w:tcPr>
            <w:tcW w:w="1001" w:type="dxa"/>
          </w:tcPr>
          <w:p w:rsidR="00A93F62" w:rsidRPr="007E57AE" w:rsidRDefault="00A93F62" w:rsidP="006B4551">
            <w:pPr>
              <w:tabs>
                <w:tab w:val="clear" w:pos="431"/>
              </w:tabs>
              <w:suppressAutoHyphens/>
              <w:overflowPunct/>
              <w:adjustRightInd/>
              <w:snapToGrid/>
              <w:spacing w:after="120" w:line="24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53</w:t>
            </w:r>
          </w:p>
        </w:tc>
      </w:tr>
    </w:tbl>
    <w:p w:rsidR="00A93F62" w:rsidRDefault="00A93F62">
      <w:pPr>
        <w:tabs>
          <w:tab w:val="clear" w:pos="431"/>
        </w:tabs>
        <w:suppressAutoHyphens/>
        <w:overflowPunct/>
        <w:adjustRightInd/>
        <w:snapToGrid/>
        <w:spacing w:beforeLines="50" w:before="163" w:after="120" w:line="320" w:lineRule="atLeast"/>
        <w:ind w:left="1134" w:right="1134"/>
        <w:rPr>
          <w:rFonts w:hint="eastAsia"/>
          <w:snapToGrid/>
          <w:szCs w:val="21"/>
          <w:lang w:val="en-GB"/>
        </w:rPr>
      </w:pPr>
      <w:r>
        <w:rPr>
          <w:snapToGrid/>
          <w:szCs w:val="21"/>
          <w:lang w:val="en-GB"/>
        </w:rPr>
        <w:t>302.</w:t>
      </w:r>
      <w:r>
        <w:rPr>
          <w:rFonts w:hint="eastAsia"/>
          <w:snapToGrid/>
          <w:szCs w:val="21"/>
          <w:lang w:val="en-GB"/>
        </w:rPr>
        <w:t xml:space="preserve">  </w:t>
      </w:r>
      <w:r>
        <w:rPr>
          <w:snapToGrid/>
          <w:szCs w:val="21"/>
          <w:lang w:val="en-GB"/>
        </w:rPr>
        <w:t>主要社会经济指标</w:t>
      </w:r>
    </w:p>
    <w:tbl>
      <w:tblPr>
        <w:tblStyle w:val="TabNum2"/>
        <w:tblW w:w="9500" w:type="dxa"/>
        <w:tblLook w:val="01E0" w:firstRow="1" w:lastRow="1" w:firstColumn="1" w:lastColumn="1" w:noHBand="0" w:noVBand="0"/>
      </w:tblPr>
      <w:tblGrid>
        <w:gridCol w:w="3611"/>
        <w:gridCol w:w="841"/>
        <w:gridCol w:w="842"/>
        <w:gridCol w:w="842"/>
        <w:gridCol w:w="842"/>
        <w:gridCol w:w="842"/>
        <w:gridCol w:w="842"/>
        <w:gridCol w:w="838"/>
      </w:tblGrid>
      <w:tr w:rsidR="00A93F62">
        <w:trPr>
          <w:trHeight w:val="384"/>
          <w:tblHeader/>
        </w:trPr>
        <w:tc>
          <w:tcPr>
            <w:cnfStyle w:val="001000000000" w:firstRow="0" w:lastRow="0" w:firstColumn="1" w:lastColumn="0" w:oddVBand="0" w:evenVBand="0" w:oddHBand="0" w:evenHBand="0" w:firstRowFirstColumn="0" w:firstRowLastColumn="0" w:lastRowFirstColumn="0" w:lastRowLastColumn="0"/>
            <w:tcW w:w="1901" w:type="pct"/>
            <w:tcBorders>
              <w:bottom w:val="single" w:sz="12" w:space="0" w:color="auto"/>
            </w:tcBorders>
            <w:shd w:val="clear" w:color="auto" w:fill="auto"/>
          </w:tcPr>
          <w:p w:rsidR="00A93F62" w:rsidRPr="007E57AE" w:rsidRDefault="00A93F62">
            <w:pPr>
              <w:tabs>
                <w:tab w:val="clear" w:pos="431"/>
              </w:tabs>
              <w:overflowPunct/>
              <w:adjustRightInd/>
              <w:snapToGrid/>
              <w:spacing w:before="0" w:after="0" w:line="180" w:lineRule="atLeast"/>
              <w:rPr>
                <w:i/>
                <w:snapToGrid/>
                <w:sz w:val="18"/>
                <w:szCs w:val="18"/>
                <w:lang w:val="en-GB" w:eastAsia="en-US"/>
              </w:rPr>
            </w:pPr>
          </w:p>
        </w:tc>
        <w:tc>
          <w:tcPr>
            <w:tcW w:w="443" w:type="pct"/>
            <w:tcBorders>
              <w:top w:val="single" w:sz="4" w:space="0" w:color="auto"/>
              <w:bottom w:val="single" w:sz="12" w:space="0" w:color="auto"/>
            </w:tcBorders>
            <w:shd w:val="clear" w:color="auto" w:fill="auto"/>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2000</w:t>
            </w:r>
            <w:r w:rsidRPr="007E57AE">
              <w:rPr>
                <w:rFonts w:eastAsia="KaiTi_GB2312" w:hint="eastAsia"/>
                <w:snapToGrid/>
                <w:sz w:val="18"/>
                <w:szCs w:val="18"/>
                <w:lang w:val="en-GB"/>
              </w:rPr>
              <w:t>年</w:t>
            </w:r>
          </w:p>
        </w:tc>
        <w:tc>
          <w:tcPr>
            <w:tcW w:w="443" w:type="pct"/>
            <w:tcBorders>
              <w:top w:val="single" w:sz="4" w:space="0" w:color="auto"/>
              <w:bottom w:val="single" w:sz="12" w:space="0" w:color="auto"/>
            </w:tcBorders>
            <w:shd w:val="clear" w:color="auto" w:fill="auto"/>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2001</w:t>
            </w:r>
            <w:r w:rsidRPr="007E57AE">
              <w:rPr>
                <w:rFonts w:eastAsia="KaiTi_GB2312" w:hint="eastAsia"/>
                <w:snapToGrid/>
                <w:sz w:val="18"/>
                <w:szCs w:val="18"/>
                <w:lang w:val="en-GB"/>
              </w:rPr>
              <w:t>年</w:t>
            </w:r>
          </w:p>
        </w:tc>
        <w:tc>
          <w:tcPr>
            <w:tcW w:w="443" w:type="pct"/>
            <w:tcBorders>
              <w:top w:val="single" w:sz="4" w:space="0" w:color="auto"/>
              <w:bottom w:val="single" w:sz="12" w:space="0" w:color="auto"/>
            </w:tcBorders>
            <w:shd w:val="clear" w:color="auto" w:fill="auto"/>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2002</w:t>
            </w:r>
            <w:r w:rsidRPr="007E57AE">
              <w:rPr>
                <w:rFonts w:eastAsia="KaiTi_GB2312" w:hint="eastAsia"/>
                <w:snapToGrid/>
                <w:sz w:val="18"/>
                <w:szCs w:val="18"/>
                <w:lang w:val="en-GB"/>
              </w:rPr>
              <w:t>年</w:t>
            </w:r>
          </w:p>
        </w:tc>
        <w:tc>
          <w:tcPr>
            <w:tcW w:w="443" w:type="pct"/>
            <w:tcBorders>
              <w:top w:val="single" w:sz="4" w:space="0" w:color="auto"/>
              <w:bottom w:val="single" w:sz="12" w:space="0" w:color="auto"/>
            </w:tcBorders>
            <w:shd w:val="clear" w:color="auto" w:fill="auto"/>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2003</w:t>
            </w:r>
            <w:r w:rsidRPr="007E57AE">
              <w:rPr>
                <w:rFonts w:eastAsia="KaiTi_GB2312" w:hint="eastAsia"/>
                <w:snapToGrid/>
                <w:sz w:val="18"/>
                <w:szCs w:val="18"/>
                <w:lang w:val="en-GB"/>
              </w:rPr>
              <w:t>年</w:t>
            </w:r>
          </w:p>
        </w:tc>
        <w:tc>
          <w:tcPr>
            <w:tcW w:w="443" w:type="pct"/>
            <w:tcBorders>
              <w:top w:val="single" w:sz="4" w:space="0" w:color="auto"/>
              <w:bottom w:val="single" w:sz="12" w:space="0" w:color="auto"/>
            </w:tcBorders>
            <w:shd w:val="clear" w:color="auto" w:fill="auto"/>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2004</w:t>
            </w:r>
            <w:r w:rsidRPr="007E57AE">
              <w:rPr>
                <w:rFonts w:eastAsia="KaiTi_GB2312" w:hint="eastAsia"/>
                <w:snapToGrid/>
                <w:sz w:val="18"/>
                <w:szCs w:val="18"/>
                <w:lang w:val="en-GB"/>
              </w:rPr>
              <w:t>年</w:t>
            </w:r>
          </w:p>
        </w:tc>
        <w:tc>
          <w:tcPr>
            <w:tcW w:w="443" w:type="pct"/>
            <w:tcBorders>
              <w:top w:val="single" w:sz="4" w:space="0" w:color="auto"/>
              <w:bottom w:val="single" w:sz="12" w:space="0" w:color="auto"/>
            </w:tcBorders>
            <w:shd w:val="clear" w:color="auto" w:fill="auto"/>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2005</w:t>
            </w:r>
            <w:r w:rsidRPr="007E57AE">
              <w:rPr>
                <w:rFonts w:eastAsia="KaiTi_GB2312" w:hint="eastAsia"/>
                <w:snapToGrid/>
                <w:sz w:val="18"/>
                <w:szCs w:val="18"/>
                <w:lang w:val="en-GB"/>
              </w:rPr>
              <w:t>年</w:t>
            </w:r>
          </w:p>
        </w:tc>
        <w:tc>
          <w:tcPr>
            <w:tcW w:w="443" w:type="pct"/>
            <w:tcBorders>
              <w:top w:val="single" w:sz="4" w:space="0" w:color="auto"/>
              <w:bottom w:val="single" w:sz="12" w:space="0" w:color="auto"/>
            </w:tcBorders>
            <w:shd w:val="clear" w:color="auto" w:fill="auto"/>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i/>
                <w:snapToGrid/>
                <w:sz w:val="18"/>
                <w:szCs w:val="18"/>
                <w:lang w:val="en-GB" w:eastAsia="en-US"/>
              </w:rPr>
            </w:pPr>
            <w:r w:rsidRPr="007E57AE">
              <w:rPr>
                <w:rFonts w:eastAsia="KaiTi_GB2312"/>
                <w:snapToGrid/>
                <w:sz w:val="18"/>
                <w:szCs w:val="18"/>
                <w:lang w:val="en-GB" w:eastAsia="en-US"/>
              </w:rPr>
              <w:t>2006</w:t>
            </w:r>
            <w:r w:rsidRPr="007E57AE">
              <w:rPr>
                <w:rFonts w:eastAsia="KaiTi_GB2312" w:hint="eastAsia"/>
                <w:snapToGrid/>
                <w:sz w:val="18"/>
                <w:szCs w:val="18"/>
                <w:lang w:val="en-GB"/>
              </w:rPr>
              <w:t>年</w:t>
            </w:r>
          </w:p>
        </w:tc>
      </w:tr>
      <w:tr w:rsidR="00A93F62">
        <w:trPr>
          <w:trHeight w:hRule="exact" w:val="429"/>
        </w:trPr>
        <w:tc>
          <w:tcPr>
            <w:cnfStyle w:val="001000000000" w:firstRow="0" w:lastRow="0" w:firstColumn="1" w:lastColumn="0" w:oddVBand="0" w:evenVBand="0" w:oddHBand="0" w:evenHBand="0" w:firstRowFirstColumn="0" w:firstRowLastColumn="0" w:lastRowFirstColumn="0" w:lastRowLastColumn="0"/>
            <w:tcW w:w="1901" w:type="pct"/>
            <w:tcBorders>
              <w:top w:val="single" w:sz="12" w:space="0" w:color="auto"/>
            </w:tcBorders>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学前机构数量，所</w:t>
            </w:r>
          </w:p>
        </w:tc>
        <w:tc>
          <w:tcPr>
            <w:tcW w:w="443" w:type="pct"/>
            <w:tcBorders>
              <w:top w:val="single" w:sz="12" w:space="0" w:color="auto"/>
            </w:tcBorders>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891</w:t>
            </w:r>
          </w:p>
        </w:tc>
        <w:tc>
          <w:tcPr>
            <w:tcW w:w="443" w:type="pct"/>
            <w:tcBorders>
              <w:top w:val="single" w:sz="12" w:space="0" w:color="auto"/>
            </w:tcBorders>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1051</w:t>
            </w:r>
          </w:p>
        </w:tc>
        <w:tc>
          <w:tcPr>
            <w:tcW w:w="443" w:type="pct"/>
            <w:tcBorders>
              <w:top w:val="single" w:sz="12" w:space="0" w:color="auto"/>
            </w:tcBorders>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1003</w:t>
            </w:r>
          </w:p>
        </w:tc>
        <w:tc>
          <w:tcPr>
            <w:tcW w:w="443" w:type="pct"/>
            <w:tcBorders>
              <w:top w:val="single" w:sz="12" w:space="0" w:color="auto"/>
            </w:tcBorders>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944</w:t>
            </w:r>
          </w:p>
        </w:tc>
        <w:tc>
          <w:tcPr>
            <w:tcW w:w="443" w:type="pct"/>
            <w:tcBorders>
              <w:top w:val="single" w:sz="12" w:space="0" w:color="auto"/>
            </w:tcBorders>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900</w:t>
            </w:r>
          </w:p>
        </w:tc>
        <w:tc>
          <w:tcPr>
            <w:tcW w:w="443" w:type="pct"/>
            <w:tcBorders>
              <w:top w:val="single" w:sz="12" w:space="0" w:color="auto"/>
            </w:tcBorders>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835</w:t>
            </w:r>
          </w:p>
        </w:tc>
        <w:tc>
          <w:tcPr>
            <w:tcW w:w="443" w:type="pct"/>
            <w:tcBorders>
              <w:top w:val="single" w:sz="12" w:space="0" w:color="auto"/>
            </w:tcBorders>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819</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901" w:type="pct"/>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在校孩子数量，千人</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123.3</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127.2</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125.8</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129</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133.4</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134.6</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137.3</w:t>
            </w:r>
          </w:p>
        </w:tc>
      </w:tr>
      <w:tr w:rsidR="00A93F62">
        <w:trPr>
          <w:trHeight w:hRule="exact" w:val="308"/>
        </w:trPr>
        <w:tc>
          <w:tcPr>
            <w:cnfStyle w:val="001000000000" w:firstRow="0" w:lastRow="0" w:firstColumn="1" w:lastColumn="0" w:oddVBand="0" w:evenVBand="0" w:oddHBand="0" w:evenHBand="0" w:firstRowFirstColumn="0" w:firstRowLastColumn="0" w:lastRowFirstColumn="0" w:lastRowLastColumn="0"/>
            <w:tcW w:w="1901" w:type="pct"/>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中学数量，所</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1922</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1700</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1701</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1705</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1704</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1710</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1 708</w:t>
            </w:r>
          </w:p>
        </w:tc>
      </w:tr>
      <w:tr w:rsidR="00A93F62">
        <w:trPr>
          <w:trHeight w:hRule="exact" w:val="657"/>
        </w:trPr>
        <w:tc>
          <w:tcPr>
            <w:cnfStyle w:val="001000000000" w:firstRow="0" w:lastRow="0" w:firstColumn="1" w:lastColumn="0" w:oddVBand="0" w:evenVBand="0" w:oddHBand="0" w:evenHBand="0" w:firstRowFirstColumn="0" w:firstRowLastColumn="0" w:lastRowFirstColumn="0" w:lastRowLastColumn="0"/>
            <w:tcW w:w="1901" w:type="pct"/>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其中：</w:t>
            </w:r>
          </w:p>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城市</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506</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480</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478</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482</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482</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482</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482</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901" w:type="pct"/>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农村</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r w:rsidRPr="007E57AE">
              <w:rPr>
                <w:rFonts w:hint="eastAsia"/>
                <w:snapToGrid/>
                <w:sz w:val="18"/>
                <w:szCs w:val="18"/>
                <w:lang w:val="en-GB"/>
              </w:rPr>
              <w:t xml:space="preserve"> </w:t>
            </w:r>
            <w:r w:rsidRPr="007E57AE">
              <w:rPr>
                <w:snapToGrid/>
                <w:sz w:val="18"/>
                <w:szCs w:val="18"/>
                <w:lang w:val="en-GB" w:eastAsia="en-US"/>
              </w:rPr>
              <w:t>416</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r w:rsidRPr="007E57AE">
              <w:rPr>
                <w:rFonts w:hint="eastAsia"/>
                <w:snapToGrid/>
                <w:sz w:val="18"/>
                <w:szCs w:val="18"/>
                <w:lang w:val="en-GB"/>
              </w:rPr>
              <w:t xml:space="preserve"> </w:t>
            </w:r>
            <w:r w:rsidRPr="007E57AE">
              <w:rPr>
                <w:snapToGrid/>
                <w:sz w:val="18"/>
                <w:szCs w:val="18"/>
                <w:lang w:val="en-GB" w:eastAsia="en-US"/>
              </w:rPr>
              <w:t>220</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r w:rsidRPr="007E57AE">
              <w:rPr>
                <w:rFonts w:hint="eastAsia"/>
                <w:snapToGrid/>
                <w:sz w:val="18"/>
                <w:szCs w:val="18"/>
                <w:lang w:val="en-GB"/>
              </w:rPr>
              <w:t xml:space="preserve"> </w:t>
            </w:r>
            <w:r w:rsidRPr="007E57AE">
              <w:rPr>
                <w:snapToGrid/>
                <w:sz w:val="18"/>
                <w:szCs w:val="18"/>
                <w:lang w:val="en-GB" w:eastAsia="en-US"/>
              </w:rPr>
              <w:t>223</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r w:rsidRPr="007E57AE">
              <w:rPr>
                <w:rFonts w:hint="eastAsia"/>
                <w:snapToGrid/>
                <w:sz w:val="18"/>
                <w:szCs w:val="18"/>
                <w:lang w:val="en-GB"/>
              </w:rPr>
              <w:t xml:space="preserve"> </w:t>
            </w:r>
            <w:r w:rsidRPr="007E57AE">
              <w:rPr>
                <w:snapToGrid/>
                <w:sz w:val="18"/>
                <w:szCs w:val="18"/>
                <w:lang w:val="en-GB" w:eastAsia="en-US"/>
              </w:rPr>
              <w:t>223</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r w:rsidRPr="007E57AE">
              <w:rPr>
                <w:rFonts w:hint="eastAsia"/>
                <w:snapToGrid/>
                <w:sz w:val="18"/>
                <w:szCs w:val="18"/>
                <w:lang w:val="en-GB"/>
              </w:rPr>
              <w:t xml:space="preserve"> </w:t>
            </w:r>
            <w:r w:rsidRPr="007E57AE">
              <w:rPr>
                <w:snapToGrid/>
                <w:sz w:val="18"/>
                <w:szCs w:val="18"/>
                <w:lang w:val="en-GB" w:eastAsia="en-US"/>
              </w:rPr>
              <w:t>222</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r w:rsidRPr="007E57AE">
              <w:rPr>
                <w:rFonts w:hint="eastAsia"/>
                <w:snapToGrid/>
                <w:sz w:val="18"/>
                <w:szCs w:val="18"/>
                <w:lang w:val="en-GB"/>
              </w:rPr>
              <w:t xml:space="preserve"> </w:t>
            </w:r>
            <w:r w:rsidRPr="007E57AE">
              <w:rPr>
                <w:snapToGrid/>
                <w:sz w:val="18"/>
                <w:szCs w:val="18"/>
                <w:lang w:val="en-GB" w:eastAsia="en-US"/>
              </w:rPr>
              <w:t>228</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r w:rsidRPr="007E57AE">
              <w:rPr>
                <w:rFonts w:hint="eastAsia"/>
                <w:snapToGrid/>
                <w:sz w:val="18"/>
                <w:szCs w:val="18"/>
                <w:lang w:val="en-GB"/>
              </w:rPr>
              <w:t xml:space="preserve"> </w:t>
            </w:r>
            <w:r w:rsidRPr="007E57AE">
              <w:rPr>
                <w:snapToGrid/>
                <w:sz w:val="18"/>
                <w:szCs w:val="18"/>
                <w:lang w:val="en-GB" w:eastAsia="en-US"/>
              </w:rPr>
              <w:t>226</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901" w:type="pct"/>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在校学生人数，千人</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r w:rsidRPr="007E57AE">
              <w:rPr>
                <w:rFonts w:hint="eastAsia"/>
                <w:snapToGrid/>
                <w:sz w:val="18"/>
                <w:szCs w:val="18"/>
                <w:lang w:val="en-GB"/>
              </w:rPr>
              <w:t xml:space="preserve"> </w:t>
            </w:r>
            <w:r w:rsidRPr="007E57AE">
              <w:rPr>
                <w:snapToGrid/>
                <w:sz w:val="18"/>
                <w:szCs w:val="18"/>
                <w:lang w:val="en-GB" w:eastAsia="en-US"/>
              </w:rPr>
              <w:t>017.1</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r w:rsidRPr="007E57AE">
              <w:rPr>
                <w:rFonts w:hint="eastAsia"/>
                <w:snapToGrid/>
                <w:sz w:val="18"/>
                <w:szCs w:val="18"/>
                <w:lang w:val="en-GB"/>
              </w:rPr>
              <w:t xml:space="preserve"> </w:t>
            </w:r>
            <w:r w:rsidRPr="007E57AE">
              <w:rPr>
                <w:snapToGrid/>
                <w:sz w:val="18"/>
                <w:szCs w:val="18"/>
                <w:lang w:val="en-GB" w:eastAsia="en-US"/>
              </w:rPr>
              <w:t>035.1</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r w:rsidRPr="007E57AE">
              <w:rPr>
                <w:rFonts w:hint="eastAsia"/>
                <w:snapToGrid/>
                <w:sz w:val="18"/>
                <w:szCs w:val="18"/>
                <w:lang w:val="en-GB"/>
              </w:rPr>
              <w:t xml:space="preserve"> </w:t>
            </w:r>
            <w:r w:rsidRPr="007E57AE">
              <w:rPr>
                <w:snapToGrid/>
                <w:sz w:val="18"/>
                <w:szCs w:val="18"/>
                <w:lang w:val="en-GB" w:eastAsia="en-US"/>
              </w:rPr>
              <w:t>029.2</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r w:rsidRPr="007E57AE">
              <w:rPr>
                <w:rFonts w:hint="eastAsia"/>
                <w:snapToGrid/>
                <w:sz w:val="18"/>
                <w:szCs w:val="18"/>
                <w:lang w:val="en-GB"/>
              </w:rPr>
              <w:t xml:space="preserve"> </w:t>
            </w:r>
            <w:r w:rsidRPr="007E57AE">
              <w:rPr>
                <w:snapToGrid/>
                <w:sz w:val="18"/>
                <w:szCs w:val="18"/>
                <w:lang w:val="en-GB" w:eastAsia="en-US"/>
              </w:rPr>
              <w:t>018.6</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w:t>
            </w:r>
            <w:r w:rsidRPr="007E57AE">
              <w:rPr>
                <w:rFonts w:hint="eastAsia"/>
                <w:snapToGrid/>
                <w:sz w:val="18"/>
                <w:szCs w:val="18"/>
                <w:lang w:val="en-GB"/>
              </w:rPr>
              <w:t xml:space="preserve"> </w:t>
            </w:r>
            <w:r w:rsidRPr="007E57AE">
              <w:rPr>
                <w:snapToGrid/>
                <w:sz w:val="18"/>
                <w:szCs w:val="18"/>
                <w:lang w:val="en-GB" w:eastAsia="en-US"/>
              </w:rPr>
              <w:t>001.2</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981.9</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957.9</w:t>
            </w:r>
          </w:p>
        </w:tc>
      </w:tr>
      <w:tr w:rsidR="00A93F62">
        <w:trPr>
          <w:trHeight w:hRule="exact" w:val="661"/>
        </w:trPr>
        <w:tc>
          <w:tcPr>
            <w:cnfStyle w:val="001000000000" w:firstRow="0" w:lastRow="0" w:firstColumn="1" w:lastColumn="0" w:oddVBand="0" w:evenVBand="0" w:oddHBand="0" w:evenHBand="0" w:firstRowFirstColumn="0" w:firstRowLastColumn="0" w:lastRowFirstColumn="0" w:lastRowLastColumn="0"/>
            <w:tcW w:w="1901" w:type="pct"/>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其中：</w:t>
            </w:r>
          </w:p>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城市</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412.5</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419.3</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410.5</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407.1</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399.8</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390.8</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p>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380.4</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901" w:type="pct"/>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农村</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604.6</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615.8</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618.7</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611.5</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601.4</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591.1</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577.5</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901" w:type="pct"/>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中等职业学校数量，所</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rFonts w:hint="eastAsia"/>
                <w:snapToGrid/>
                <w:sz w:val="18"/>
                <w:szCs w:val="18"/>
                <w:lang w:val="en-GB"/>
              </w:rPr>
            </w:pPr>
            <w:r w:rsidRPr="007E57AE">
              <w:rPr>
                <w:rFonts w:hint="eastAsia"/>
                <w:snapToGrid/>
                <w:sz w:val="18"/>
                <w:szCs w:val="18"/>
                <w:lang w:val="en-GB"/>
              </w:rPr>
              <w:t>16</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rFonts w:hint="eastAsia"/>
                <w:snapToGrid/>
                <w:sz w:val="18"/>
                <w:szCs w:val="18"/>
                <w:lang w:val="en-GB"/>
              </w:rPr>
            </w:pPr>
            <w:r w:rsidRPr="007E57AE">
              <w:rPr>
                <w:rFonts w:hint="eastAsia"/>
                <w:snapToGrid/>
                <w:sz w:val="18"/>
                <w:szCs w:val="18"/>
                <w:lang w:val="en-GB"/>
              </w:rPr>
              <w:t>15</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rFonts w:hint="eastAsia"/>
                <w:snapToGrid/>
                <w:sz w:val="18"/>
                <w:szCs w:val="18"/>
                <w:lang w:val="en-GB"/>
              </w:rPr>
              <w:t>15</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rFonts w:hint="eastAsia"/>
                <w:snapToGrid/>
                <w:sz w:val="18"/>
                <w:szCs w:val="18"/>
                <w:lang w:val="en-GB"/>
              </w:rPr>
              <w:t>15</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rFonts w:hint="eastAsia"/>
                <w:snapToGrid/>
                <w:sz w:val="18"/>
                <w:szCs w:val="18"/>
                <w:lang w:val="en-GB"/>
              </w:rPr>
              <w:t>16</w:t>
            </w:r>
          </w:p>
        </w:tc>
        <w:tc>
          <w:tcPr>
            <w:tcW w:w="443" w:type="pct"/>
            <w:vAlign w:val="top"/>
          </w:tcPr>
          <w:p w:rsidR="00A93F62" w:rsidRPr="007E57AE" w:rsidRDefault="00A93F62" w:rsidP="006B4551">
            <w:pPr>
              <w:spacing w:before="0" w:after="0" w:line="180" w:lineRule="atLeast"/>
              <w:jc w:val="right"/>
              <w:cnfStyle w:val="000000000000" w:firstRow="0" w:lastRow="0" w:firstColumn="0" w:lastColumn="0" w:oddVBand="0" w:evenVBand="0" w:oddHBand="0" w:evenHBand="0" w:firstRowFirstColumn="0" w:firstRowLastColumn="0" w:lastRowFirstColumn="0" w:lastRowLastColumn="0"/>
              <w:rPr>
                <w:sz w:val="18"/>
                <w:szCs w:val="18"/>
              </w:rPr>
            </w:pPr>
            <w:r w:rsidRPr="007E57AE">
              <w:rPr>
                <w:rFonts w:hint="eastAsia"/>
                <w:snapToGrid/>
                <w:sz w:val="18"/>
                <w:szCs w:val="18"/>
                <w:lang w:val="en-GB"/>
              </w:rPr>
              <w:t>16</w:t>
            </w:r>
          </w:p>
        </w:tc>
        <w:tc>
          <w:tcPr>
            <w:tcW w:w="443" w:type="pct"/>
            <w:vAlign w:val="top"/>
          </w:tcPr>
          <w:p w:rsidR="00A93F62" w:rsidRPr="007E57AE" w:rsidRDefault="00A93F62" w:rsidP="006B4551">
            <w:pPr>
              <w:spacing w:before="0" w:after="0" w:line="180" w:lineRule="atLeast"/>
              <w:jc w:val="right"/>
              <w:cnfStyle w:val="000000000000" w:firstRow="0" w:lastRow="0" w:firstColumn="0" w:lastColumn="0" w:oddVBand="0" w:evenVBand="0" w:oddHBand="0" w:evenHBand="0" w:firstRowFirstColumn="0" w:firstRowLastColumn="0" w:lastRowFirstColumn="0" w:lastRowLastColumn="0"/>
              <w:rPr>
                <w:sz w:val="18"/>
                <w:szCs w:val="18"/>
              </w:rPr>
            </w:pPr>
            <w:r w:rsidRPr="007E57AE">
              <w:rPr>
                <w:rFonts w:hint="eastAsia"/>
                <w:snapToGrid/>
                <w:sz w:val="18"/>
                <w:szCs w:val="18"/>
                <w:lang w:val="en-GB"/>
              </w:rPr>
              <w:t>16</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901" w:type="pct"/>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在校学生人数，千人</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4.5</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4.0</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4.0</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4.0</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4.1</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4.1</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3.8</w:t>
            </w:r>
          </w:p>
        </w:tc>
      </w:tr>
      <w:tr w:rsidR="00A93F62">
        <w:trPr>
          <w:trHeight w:hRule="exact" w:val="320"/>
        </w:trPr>
        <w:tc>
          <w:tcPr>
            <w:cnfStyle w:val="001000000000" w:firstRow="0" w:lastRow="0" w:firstColumn="1" w:lastColumn="0" w:oddVBand="0" w:evenVBand="0" w:oddHBand="0" w:evenHBand="0" w:firstRowFirstColumn="0" w:firstRowLastColumn="0" w:lastRowFirstColumn="0" w:lastRowLastColumn="0"/>
            <w:tcW w:w="1901" w:type="pct"/>
            <w:vMerge w:val="restart"/>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高等学校数量，所</w:t>
            </w:r>
          </w:p>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在校大学生数量，千人</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w:t>
            </w:r>
          </w:p>
        </w:tc>
      </w:tr>
      <w:tr w:rsidR="00A93F62">
        <w:trPr>
          <w:trHeight w:val="176"/>
        </w:trPr>
        <w:tc>
          <w:tcPr>
            <w:cnfStyle w:val="001000000000" w:firstRow="0" w:lastRow="0" w:firstColumn="1" w:lastColumn="0" w:oddVBand="0" w:evenVBand="0" w:oddHBand="0" w:evenHBand="0" w:firstRowFirstColumn="0" w:firstRowLastColumn="0" w:lastRowFirstColumn="0" w:lastRowLastColumn="0"/>
            <w:tcW w:w="1901" w:type="pct"/>
            <w:vMerge/>
          </w:tcPr>
          <w:p w:rsidR="00A93F62" w:rsidRPr="007E57AE" w:rsidRDefault="00A93F62">
            <w:pPr>
              <w:tabs>
                <w:tab w:val="clear" w:pos="431"/>
              </w:tabs>
              <w:overflowPunct/>
              <w:adjustRightInd/>
              <w:snapToGrid/>
              <w:spacing w:before="0" w:after="0" w:line="180" w:lineRule="atLeast"/>
              <w:rPr>
                <w:snapToGrid/>
                <w:sz w:val="18"/>
                <w:szCs w:val="18"/>
                <w:lang w:val="en-GB" w:eastAsia="en-US"/>
              </w:rPr>
            </w:pP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16.6</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15.1</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14.7</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14.9</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15.3</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16.1</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16.5</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901" w:type="pct"/>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剧院，家</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9</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901" w:type="pct"/>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博物馆，家</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28</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27</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27</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27</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27</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29</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30</w:t>
            </w:r>
          </w:p>
        </w:tc>
      </w:tr>
      <w:tr w:rsidR="00A93F62">
        <w:trPr>
          <w:trHeight w:hRule="exact" w:val="331"/>
        </w:trPr>
        <w:tc>
          <w:tcPr>
            <w:cnfStyle w:val="001000000000" w:firstRow="0" w:lastRow="0" w:firstColumn="1" w:lastColumn="0" w:oddVBand="0" w:evenVBand="0" w:oddHBand="0" w:evenHBand="0" w:firstRowFirstColumn="0" w:firstRowLastColumn="0" w:lastRowFirstColumn="0" w:lastRowLastColumn="0"/>
            <w:tcW w:w="1901" w:type="pct"/>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医疗机构数量，家</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114</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120</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119</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125</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124</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122</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121</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901" w:type="pct"/>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z w:val="18"/>
                <w:szCs w:val="18"/>
                <w:lang w:val="en-GB"/>
              </w:rPr>
              <w:t>保健机构数量，家</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32</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30</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30</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30</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30</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30</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30</w:t>
            </w:r>
          </w:p>
        </w:tc>
      </w:tr>
      <w:tr w:rsidR="00A93F62">
        <w:trPr>
          <w:trHeight w:hRule="exact" w:val="390"/>
        </w:trPr>
        <w:tc>
          <w:tcPr>
            <w:cnfStyle w:val="001000000000" w:firstRow="0" w:lastRow="0" w:firstColumn="1" w:lastColumn="0" w:oddVBand="0" w:evenVBand="0" w:oddHBand="0" w:evenHBand="0" w:firstRowFirstColumn="0" w:firstRowLastColumn="0" w:lastRowFirstColumn="0" w:lastRowLastColumn="0"/>
            <w:tcW w:w="1901" w:type="pct"/>
          </w:tcPr>
          <w:p w:rsidR="00A93F62" w:rsidRPr="007E57AE" w:rsidRDefault="00A93F62">
            <w:pPr>
              <w:tabs>
                <w:tab w:val="clear" w:pos="431"/>
              </w:tabs>
              <w:overflowPunct/>
              <w:adjustRightInd/>
              <w:snapToGrid/>
              <w:spacing w:before="0" w:after="0" w:line="180" w:lineRule="atLeast"/>
              <w:rPr>
                <w:rFonts w:hint="eastAsia"/>
                <w:snapToGrid/>
                <w:sz w:val="18"/>
                <w:szCs w:val="18"/>
                <w:lang w:val="en-GB"/>
              </w:rPr>
            </w:pPr>
            <w:r w:rsidRPr="007E57AE">
              <w:rPr>
                <w:rFonts w:hint="eastAsia"/>
                <w:snapToGrid/>
                <w:spacing w:val="-10"/>
                <w:sz w:val="18"/>
                <w:szCs w:val="18"/>
                <w:lang w:val="en-GB"/>
              </w:rPr>
              <w:t>居民住房总面积保障情况（包括津</w:t>
            </w:r>
            <w:r w:rsidRPr="007E57AE">
              <w:rPr>
                <w:rFonts w:hint="eastAsia"/>
                <w:snapToGrid/>
                <w:sz w:val="18"/>
                <w:szCs w:val="18"/>
                <w:lang w:val="en-GB"/>
              </w:rPr>
              <w:t>贴），平方米</w:t>
            </w:r>
            <w:r w:rsidRPr="007E57AE">
              <w:rPr>
                <w:snapToGrid/>
                <w:sz w:val="18"/>
                <w:szCs w:val="18"/>
                <w:lang w:val="en-GB"/>
              </w:rPr>
              <w:t>/</w:t>
            </w:r>
            <w:r w:rsidRPr="007E57AE">
              <w:rPr>
                <w:rFonts w:hint="eastAsia"/>
                <w:snapToGrid/>
                <w:sz w:val="18"/>
                <w:szCs w:val="18"/>
                <w:lang w:val="en-GB"/>
              </w:rPr>
              <w:t>每人</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17.8</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18.3</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19.2</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19.4</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19.6</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19.7</w:t>
            </w:r>
          </w:p>
        </w:tc>
        <w:tc>
          <w:tcPr>
            <w:tcW w:w="443" w:type="pct"/>
          </w:tcPr>
          <w:p w:rsidR="00A93F62" w:rsidRPr="007E57AE" w:rsidRDefault="00A93F62" w:rsidP="006B4551">
            <w:pPr>
              <w:tabs>
                <w:tab w:val="clear" w:pos="431"/>
              </w:tabs>
              <w:overflowPunct/>
              <w:adjustRightInd/>
              <w:snapToGrid/>
              <w:spacing w:before="0" w:after="0" w:line="180" w:lineRule="atLeast"/>
              <w:jc w:val="right"/>
              <w:cnfStyle w:val="000000000000" w:firstRow="0" w:lastRow="0" w:firstColumn="0" w:lastColumn="0" w:oddVBand="0" w:evenVBand="0" w:oddHBand="0" w:evenHBand="0" w:firstRowFirstColumn="0" w:firstRowLastColumn="0" w:lastRowFirstColumn="0" w:lastRowLastColumn="0"/>
              <w:rPr>
                <w:snapToGrid/>
                <w:sz w:val="18"/>
                <w:szCs w:val="18"/>
                <w:lang w:val="en-GB" w:eastAsia="en-US"/>
              </w:rPr>
            </w:pPr>
            <w:r w:rsidRPr="007E57AE">
              <w:rPr>
                <w:snapToGrid/>
                <w:sz w:val="18"/>
                <w:szCs w:val="18"/>
                <w:lang w:val="en-GB" w:eastAsia="en-US"/>
              </w:rPr>
              <w:t>19.8</w:t>
            </w:r>
          </w:p>
        </w:tc>
      </w:tr>
    </w:tbl>
    <w:p w:rsidR="00A93F62" w:rsidRDefault="00A93F62">
      <w:pPr>
        <w:tabs>
          <w:tab w:val="clear" w:pos="431"/>
        </w:tabs>
        <w:suppressAutoHyphens/>
        <w:overflowPunct/>
        <w:adjustRightInd/>
        <w:snapToGrid/>
        <w:spacing w:beforeLines="50" w:before="163" w:after="120" w:line="320" w:lineRule="atLeast"/>
        <w:ind w:left="1134" w:right="1134"/>
        <w:rPr>
          <w:snapToGrid/>
          <w:szCs w:val="21"/>
          <w:lang w:val="en-GB"/>
        </w:rPr>
      </w:pPr>
      <w:r>
        <w:rPr>
          <w:snapToGrid/>
          <w:szCs w:val="21"/>
          <w:lang w:val="en-GB"/>
        </w:rPr>
        <w:t xml:space="preserve">303. </w:t>
      </w:r>
      <w:r>
        <w:rPr>
          <w:rFonts w:hint="eastAsia"/>
          <w:snapToGrid/>
          <w:szCs w:val="21"/>
          <w:lang w:val="en-GB"/>
        </w:rPr>
        <w:t xml:space="preserve"> </w:t>
      </w:r>
      <w:r>
        <w:rPr>
          <w:snapToGrid/>
          <w:szCs w:val="21"/>
          <w:lang w:val="en-GB"/>
        </w:rPr>
        <w:t>免费教育和全民教育保证土库曼斯坦有很高的教育水平和百姓受教育程度。根据</w:t>
      </w:r>
      <w:r>
        <w:rPr>
          <w:snapToGrid/>
          <w:szCs w:val="21"/>
          <w:lang w:val="en-GB"/>
        </w:rPr>
        <w:t>1995</w:t>
      </w:r>
      <w:r>
        <w:rPr>
          <w:snapToGrid/>
          <w:szCs w:val="21"/>
          <w:lang w:val="en-GB"/>
        </w:rPr>
        <w:t>年人口普查结果，</w:t>
      </w:r>
      <w:r>
        <w:rPr>
          <w:snapToGrid/>
          <w:szCs w:val="21"/>
          <w:lang w:val="en-GB"/>
        </w:rPr>
        <w:t>15</w:t>
      </w:r>
      <w:r>
        <w:rPr>
          <w:snapToGrid/>
          <w:szCs w:val="21"/>
          <w:lang w:val="en-GB"/>
        </w:rPr>
        <w:t>岁及以上人口的受教育程度达到</w:t>
      </w:r>
      <w:r>
        <w:rPr>
          <w:snapToGrid/>
          <w:szCs w:val="21"/>
          <w:lang w:val="en-GB"/>
        </w:rPr>
        <w:t>98.8%</w:t>
      </w:r>
      <w:r>
        <w:rPr>
          <w:snapToGrid/>
          <w:szCs w:val="21"/>
          <w:lang w:val="en-GB"/>
        </w:rPr>
        <w:t>。在</w:t>
      </w:r>
      <w:r>
        <w:rPr>
          <w:snapToGrid/>
          <w:szCs w:val="21"/>
          <w:lang w:val="en-GB"/>
        </w:rPr>
        <w:t>1 000</w:t>
      </w:r>
      <w:r>
        <w:rPr>
          <w:snapToGrid/>
          <w:szCs w:val="21"/>
          <w:lang w:val="en-GB"/>
        </w:rPr>
        <w:t>名</w:t>
      </w:r>
      <w:r>
        <w:rPr>
          <w:snapToGrid/>
          <w:szCs w:val="21"/>
          <w:lang w:val="en-GB"/>
        </w:rPr>
        <w:t>15</w:t>
      </w:r>
      <w:r>
        <w:rPr>
          <w:snapToGrid/>
          <w:szCs w:val="21"/>
          <w:lang w:val="en-GB"/>
        </w:rPr>
        <w:t>岁及以上人口当中，受高等教育的有</w:t>
      </w:r>
      <w:r>
        <w:rPr>
          <w:snapToGrid/>
          <w:szCs w:val="21"/>
          <w:lang w:val="en-GB"/>
        </w:rPr>
        <w:t>92</w:t>
      </w:r>
      <w:r>
        <w:rPr>
          <w:snapToGrid/>
          <w:szCs w:val="21"/>
          <w:lang w:val="en-GB"/>
        </w:rPr>
        <w:t>人，未完成高等教育</w:t>
      </w:r>
      <w:r>
        <w:rPr>
          <w:rFonts w:hint="eastAsia"/>
          <w:snapToGrid/>
          <w:spacing w:val="-50"/>
          <w:szCs w:val="21"/>
          <w:lang w:val="en-GB"/>
        </w:rPr>
        <w:t>―</w:t>
      </w:r>
      <w:r>
        <w:rPr>
          <w:rFonts w:hint="eastAsia"/>
          <w:snapToGrid/>
          <w:szCs w:val="21"/>
          <w:lang w:val="en-GB"/>
        </w:rPr>
        <w:t>―</w:t>
      </w:r>
      <w:r>
        <w:rPr>
          <w:snapToGrid/>
          <w:szCs w:val="21"/>
          <w:lang w:val="en-GB"/>
        </w:rPr>
        <w:t>9</w:t>
      </w:r>
      <w:r>
        <w:rPr>
          <w:snapToGrid/>
          <w:szCs w:val="21"/>
          <w:lang w:val="en-GB"/>
        </w:rPr>
        <w:t>人，中等专业教育</w:t>
      </w:r>
      <w:r>
        <w:rPr>
          <w:rFonts w:hint="eastAsia"/>
          <w:snapToGrid/>
          <w:spacing w:val="-50"/>
          <w:szCs w:val="21"/>
          <w:lang w:val="en-GB"/>
        </w:rPr>
        <w:t>―</w:t>
      </w:r>
      <w:r>
        <w:rPr>
          <w:rFonts w:hint="eastAsia"/>
          <w:snapToGrid/>
          <w:szCs w:val="21"/>
          <w:lang w:val="en-GB"/>
        </w:rPr>
        <w:t>―</w:t>
      </w:r>
      <w:r>
        <w:rPr>
          <w:snapToGrid/>
          <w:szCs w:val="21"/>
          <w:lang w:val="en-GB"/>
        </w:rPr>
        <w:t>166</w:t>
      </w:r>
      <w:r>
        <w:rPr>
          <w:snapToGrid/>
          <w:szCs w:val="21"/>
          <w:lang w:val="en-GB"/>
        </w:rPr>
        <w:t>人，中等普通教育</w:t>
      </w:r>
      <w:r>
        <w:rPr>
          <w:rFonts w:hint="eastAsia"/>
          <w:snapToGrid/>
          <w:spacing w:val="-50"/>
          <w:szCs w:val="21"/>
          <w:lang w:val="en-GB"/>
        </w:rPr>
        <w:t>―</w:t>
      </w:r>
      <w:r>
        <w:rPr>
          <w:rFonts w:hint="eastAsia"/>
          <w:snapToGrid/>
          <w:szCs w:val="21"/>
          <w:lang w:val="en-GB"/>
        </w:rPr>
        <w:t>―</w:t>
      </w:r>
      <w:r>
        <w:rPr>
          <w:snapToGrid/>
          <w:szCs w:val="21"/>
          <w:lang w:val="en-GB"/>
        </w:rPr>
        <w:t>477</w:t>
      </w:r>
      <w:r>
        <w:rPr>
          <w:snapToGrid/>
          <w:szCs w:val="21"/>
          <w:lang w:val="en-GB"/>
        </w:rPr>
        <w:t>人，未完成中等教育</w:t>
      </w:r>
      <w:r>
        <w:rPr>
          <w:rFonts w:hint="eastAsia"/>
          <w:snapToGrid/>
          <w:spacing w:val="-50"/>
          <w:szCs w:val="21"/>
          <w:lang w:val="en-GB"/>
        </w:rPr>
        <w:t>―</w:t>
      </w:r>
      <w:r>
        <w:rPr>
          <w:rFonts w:hint="eastAsia"/>
          <w:snapToGrid/>
          <w:szCs w:val="21"/>
          <w:lang w:val="en-GB"/>
        </w:rPr>
        <w:t>―</w:t>
      </w:r>
      <w:r>
        <w:rPr>
          <w:snapToGrid/>
          <w:szCs w:val="21"/>
          <w:lang w:val="en-GB"/>
        </w:rPr>
        <w:t>183</w:t>
      </w:r>
      <w:r>
        <w:rPr>
          <w:snapToGrid/>
          <w:szCs w:val="21"/>
          <w:lang w:val="en-GB"/>
        </w:rPr>
        <w:t>人，初等教育</w:t>
      </w:r>
      <w:r>
        <w:rPr>
          <w:rFonts w:hint="eastAsia"/>
          <w:snapToGrid/>
          <w:spacing w:val="-50"/>
          <w:szCs w:val="21"/>
          <w:lang w:val="en-GB"/>
        </w:rPr>
        <w:t>―</w:t>
      </w:r>
      <w:r>
        <w:rPr>
          <w:rFonts w:hint="eastAsia"/>
          <w:snapToGrid/>
          <w:szCs w:val="21"/>
          <w:lang w:val="en-GB"/>
        </w:rPr>
        <w:t>―</w:t>
      </w:r>
      <w:r>
        <w:rPr>
          <w:snapToGrid/>
          <w:szCs w:val="21"/>
          <w:lang w:val="en-GB"/>
        </w:rPr>
        <w:t>48</w:t>
      </w:r>
      <w:r>
        <w:rPr>
          <w:snapToGrid/>
          <w:szCs w:val="21"/>
          <w:lang w:val="en-GB"/>
        </w:rPr>
        <w:t>人。</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304.</w:t>
      </w:r>
      <w:r>
        <w:rPr>
          <w:rFonts w:hint="eastAsia"/>
          <w:snapToGrid/>
          <w:szCs w:val="21"/>
          <w:lang w:val="en-GB"/>
        </w:rPr>
        <w:t xml:space="preserve">  </w:t>
      </w:r>
      <w:r>
        <w:rPr>
          <w:snapToGrid/>
          <w:szCs w:val="21"/>
          <w:lang w:val="en-GB"/>
        </w:rPr>
        <w:t>从</w:t>
      </w:r>
      <w:r>
        <w:rPr>
          <w:snapToGrid/>
          <w:szCs w:val="21"/>
          <w:lang w:val="en-GB"/>
        </w:rPr>
        <w:t>2007-2008</w:t>
      </w:r>
      <w:r>
        <w:rPr>
          <w:snapToGrid/>
          <w:szCs w:val="21"/>
          <w:lang w:val="en-GB"/>
        </w:rPr>
        <w:t>学年开始，国家开始实行十年制普通中等教育。十年普通中等教育作为教育的基石，给土库曼斯坦的公民提供深入掌握知识的可能性以适应时代的要求。教学大纲中增加了新的研究社会发展的规律以及法律、道德、经济、政治、生态文化基本理论的科目。教育改革是整个国家现代化战略的优先方向。为了落实既定的目标，土库曼斯坦总统首先颁布的法令有：</w:t>
      </w:r>
      <w:smartTag w:uri="urn:schemas-microsoft-com:office:smarttags" w:element="chsdate">
        <w:smartTagPr>
          <w:attr w:name="IsROCDate" w:val="False"/>
          <w:attr w:name="IsLunarDate" w:val="False"/>
          <w:attr w:name="Day" w:val="15"/>
          <w:attr w:name="Month" w:val="2"/>
          <w:attr w:name="Year" w:val="2007"/>
        </w:smartTagPr>
        <w:r>
          <w:rPr>
            <w:snapToGrid/>
            <w:szCs w:val="21"/>
            <w:lang w:val="en-GB"/>
          </w:rPr>
          <w:t>2007</w:t>
        </w:r>
        <w:r>
          <w:rPr>
            <w:snapToGrid/>
            <w:szCs w:val="21"/>
            <w:lang w:val="en-GB"/>
          </w:rPr>
          <w:t>年</w:t>
        </w:r>
        <w:r>
          <w:rPr>
            <w:snapToGrid/>
            <w:szCs w:val="21"/>
            <w:lang w:val="en-GB"/>
          </w:rPr>
          <w:t>2</w:t>
        </w:r>
        <w:r>
          <w:rPr>
            <w:snapToGrid/>
            <w:szCs w:val="21"/>
            <w:lang w:val="en-GB"/>
          </w:rPr>
          <w:t>月</w:t>
        </w:r>
        <w:r>
          <w:rPr>
            <w:snapToGrid/>
            <w:szCs w:val="21"/>
            <w:lang w:val="en-GB"/>
          </w:rPr>
          <w:t>15</w:t>
        </w:r>
        <w:r>
          <w:rPr>
            <w:snapToGrid/>
            <w:szCs w:val="21"/>
            <w:lang w:val="en-GB"/>
          </w:rPr>
          <w:t>日</w:t>
        </w:r>
      </w:smartTag>
      <w:r>
        <w:rPr>
          <w:snapToGrid/>
          <w:szCs w:val="21"/>
          <w:lang w:val="en-GB"/>
        </w:rPr>
        <w:t>的《关于完善土库曼斯坦的教育体制》，</w:t>
      </w:r>
      <w:smartTag w:uri="urn:schemas-microsoft-com:office:smarttags" w:element="chsdate">
        <w:smartTagPr>
          <w:attr w:name="IsROCDate" w:val="False"/>
          <w:attr w:name="IsLunarDate" w:val="False"/>
          <w:attr w:name="Day" w:val="4"/>
          <w:attr w:name="Month" w:val="3"/>
          <w:attr w:name="Year" w:val="2007"/>
        </w:smartTagPr>
        <w:r>
          <w:rPr>
            <w:snapToGrid/>
            <w:szCs w:val="21"/>
            <w:lang w:val="en-GB"/>
          </w:rPr>
          <w:t>2007</w:t>
        </w:r>
        <w:r>
          <w:rPr>
            <w:snapToGrid/>
            <w:szCs w:val="21"/>
            <w:lang w:val="en-GB"/>
          </w:rPr>
          <w:t>年</w:t>
        </w:r>
        <w:r>
          <w:rPr>
            <w:snapToGrid/>
            <w:szCs w:val="21"/>
            <w:lang w:val="en-GB"/>
          </w:rPr>
          <w:t>3</w:t>
        </w:r>
        <w:r>
          <w:rPr>
            <w:snapToGrid/>
            <w:szCs w:val="21"/>
            <w:lang w:val="en-GB"/>
          </w:rPr>
          <w:t>月</w:t>
        </w:r>
        <w:r>
          <w:rPr>
            <w:snapToGrid/>
            <w:szCs w:val="21"/>
            <w:lang w:val="en-GB"/>
          </w:rPr>
          <w:t>4</w:t>
        </w:r>
        <w:r>
          <w:rPr>
            <w:snapToGrid/>
            <w:szCs w:val="21"/>
            <w:lang w:val="en-GB"/>
          </w:rPr>
          <w:t>日</w:t>
        </w:r>
      </w:smartTag>
      <w:r>
        <w:rPr>
          <w:snapToGrid/>
          <w:szCs w:val="21"/>
          <w:lang w:val="en-GB"/>
        </w:rPr>
        <w:t>的《关于改善教学教育机构的工作》，</w:t>
      </w:r>
      <w:smartTag w:uri="urn:schemas-microsoft-com:office:smarttags" w:element="chsdate">
        <w:smartTagPr>
          <w:attr w:name="IsROCDate" w:val="False"/>
          <w:attr w:name="IsLunarDate" w:val="False"/>
          <w:attr w:name="Day" w:val="30"/>
          <w:attr w:name="Month" w:val="3"/>
          <w:attr w:name="Year" w:val="2007"/>
        </w:smartTagPr>
        <w:r>
          <w:rPr>
            <w:snapToGrid/>
            <w:szCs w:val="21"/>
            <w:lang w:val="en-GB"/>
          </w:rPr>
          <w:t>2007</w:t>
        </w:r>
        <w:r>
          <w:rPr>
            <w:snapToGrid/>
            <w:szCs w:val="21"/>
            <w:lang w:val="en-GB"/>
          </w:rPr>
          <w:t>年</w:t>
        </w:r>
        <w:r>
          <w:rPr>
            <w:snapToGrid/>
            <w:szCs w:val="21"/>
            <w:lang w:val="en-GB"/>
          </w:rPr>
          <w:t>3</w:t>
        </w:r>
        <w:r>
          <w:rPr>
            <w:snapToGrid/>
            <w:szCs w:val="21"/>
            <w:lang w:val="en-GB"/>
          </w:rPr>
          <w:t>月</w:t>
        </w:r>
        <w:r>
          <w:rPr>
            <w:snapToGrid/>
            <w:szCs w:val="21"/>
            <w:lang w:val="en-GB"/>
          </w:rPr>
          <w:t>30</w:t>
        </w:r>
        <w:r>
          <w:rPr>
            <w:snapToGrid/>
            <w:szCs w:val="21"/>
            <w:lang w:val="en-GB"/>
          </w:rPr>
          <w:t>日</w:t>
        </w:r>
      </w:smartTag>
      <w:r>
        <w:rPr>
          <w:snapToGrid/>
          <w:szCs w:val="21"/>
          <w:lang w:val="en-GB"/>
        </w:rPr>
        <w:t>的《关于提高教育工作者的工资及大学生的奖学金》。这些文件致力于建立普通、职业和高等教育的新的、完整的国家模式，使其同世界标准接轨。</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305.</w:t>
      </w:r>
      <w:r>
        <w:rPr>
          <w:rFonts w:hint="eastAsia"/>
          <w:snapToGrid/>
          <w:szCs w:val="21"/>
          <w:lang w:val="en-GB"/>
        </w:rPr>
        <w:t xml:space="preserve">  </w:t>
      </w:r>
      <w:r>
        <w:rPr>
          <w:snapToGrid/>
          <w:szCs w:val="21"/>
          <w:lang w:val="en-GB"/>
        </w:rPr>
        <w:t>高等学校的教学过程发生了根本改变。大学生数量增加，学习时间变为五年和六年，是高等教育体系完善的主要方向之一。中等普通学校的学生毕业后，他们有权进入高等学校继续学习。大学生的理论学习时间增多，同时生产实践的时间缩短。中学和大学装备有现代化的多媒体和电脑技术，利用最先进的教学方法以使土库曼斯坦的青年获得世界水平的教育，丰富自己的内心世界，开阔视野，了解科学界取得的新成就。修订了大学的教学大纲，增加了新的科目，修改了入学条例，开设了新的系别和</w:t>
      </w:r>
      <w:r>
        <w:rPr>
          <w:snapToGrid/>
          <w:szCs w:val="21"/>
          <w:lang w:val="en-GB"/>
        </w:rPr>
        <w:t>18</w:t>
      </w:r>
      <w:r>
        <w:rPr>
          <w:snapToGrid/>
          <w:szCs w:val="21"/>
          <w:lang w:val="en-GB"/>
        </w:rPr>
        <w:t>个新专业，增加了大学生的数量。这一年在国家许多高校开设的新专业可接收</w:t>
      </w:r>
      <w:r>
        <w:rPr>
          <w:snapToGrid/>
          <w:szCs w:val="21"/>
          <w:lang w:val="en-GB"/>
        </w:rPr>
        <w:t>4 000</w:t>
      </w:r>
      <w:r>
        <w:rPr>
          <w:snapToGrid/>
          <w:szCs w:val="21"/>
          <w:lang w:val="en-GB"/>
        </w:rPr>
        <w:t>名大学生，比</w:t>
      </w:r>
      <w:r>
        <w:rPr>
          <w:snapToGrid/>
          <w:szCs w:val="21"/>
          <w:lang w:val="en-GB"/>
        </w:rPr>
        <w:t>2007</w:t>
      </w:r>
      <w:r>
        <w:rPr>
          <w:snapToGrid/>
          <w:szCs w:val="21"/>
          <w:lang w:val="en-GB"/>
        </w:rPr>
        <w:t>学年增加了</w:t>
      </w:r>
      <w:r>
        <w:rPr>
          <w:snapToGrid/>
          <w:szCs w:val="21"/>
          <w:lang w:val="en-GB"/>
        </w:rPr>
        <w:t>385</w:t>
      </w:r>
      <w:r>
        <w:rPr>
          <w:snapToGrid/>
          <w:szCs w:val="21"/>
          <w:lang w:val="en-GB"/>
        </w:rPr>
        <w:t>人。在阿什哈巴德市设立了著名的俄罗斯国立古布金石油天然气大学分院，成为立足于有效的协作机制，面向国际合作，实施新教育政策的关键举措。</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306. </w:t>
      </w:r>
      <w:r>
        <w:rPr>
          <w:rFonts w:hint="eastAsia"/>
          <w:snapToGrid/>
          <w:szCs w:val="21"/>
          <w:lang w:val="en-GB"/>
        </w:rPr>
        <w:t xml:space="preserve"> </w:t>
      </w:r>
      <w:r>
        <w:rPr>
          <w:snapToGrid/>
          <w:szCs w:val="21"/>
          <w:lang w:val="en-GB"/>
        </w:rPr>
        <w:t>众所周知，土库曼斯坦总统古尔邦古雷</w:t>
      </w:r>
      <w:r>
        <w:rPr>
          <w:snapToGrid/>
          <w:szCs w:val="21"/>
          <w:lang w:val="en-GB"/>
        </w:rPr>
        <w:t>·</w:t>
      </w:r>
      <w:r>
        <w:rPr>
          <w:snapToGrid/>
          <w:szCs w:val="21"/>
          <w:lang w:val="en-GB"/>
        </w:rPr>
        <w:t>别尔德穆哈梅多夫</w:t>
      </w:r>
      <w:r>
        <w:rPr>
          <w:snapToGrid/>
          <w:color w:val="000000"/>
          <w:szCs w:val="21"/>
          <w:lang w:val="en-GB"/>
        </w:rPr>
        <w:t>倡导的</w:t>
      </w:r>
      <w:r>
        <w:rPr>
          <w:snapToGrid/>
          <w:szCs w:val="21"/>
          <w:lang w:val="en-GB"/>
        </w:rPr>
        <w:t>国家科学变革的主要目的之一是在国内建立完善的科学人才</w:t>
      </w:r>
      <w:r>
        <w:rPr>
          <w:rFonts w:hint="eastAsia"/>
          <w:snapToGrid/>
          <w:spacing w:val="-50"/>
          <w:szCs w:val="21"/>
          <w:lang w:val="en-GB"/>
        </w:rPr>
        <w:t>―</w:t>
      </w:r>
      <w:r>
        <w:rPr>
          <w:rFonts w:hint="eastAsia"/>
          <w:snapToGrid/>
          <w:szCs w:val="21"/>
          <w:lang w:val="en-GB"/>
        </w:rPr>
        <w:t>―</w:t>
      </w:r>
      <w:r>
        <w:rPr>
          <w:snapToGrid/>
          <w:szCs w:val="21"/>
          <w:lang w:val="en-GB"/>
        </w:rPr>
        <w:t>新型学者的培养体系。该体系应解决国家在第三个千年面临的许多问题。</w:t>
      </w:r>
      <w:r>
        <w:rPr>
          <w:snapToGrid/>
          <w:szCs w:val="21"/>
          <w:lang w:val="en-GB"/>
        </w:rPr>
        <w:t>“</w:t>
      </w:r>
      <w:r>
        <w:rPr>
          <w:snapToGrid/>
          <w:szCs w:val="21"/>
          <w:lang w:val="en-GB"/>
        </w:rPr>
        <w:t>在一个强大的国家里，科学占有重要地位，我们应与最新科学成果步调一致</w:t>
      </w:r>
      <w:r>
        <w:rPr>
          <w:snapToGrid/>
          <w:szCs w:val="21"/>
          <w:lang w:val="en-GB"/>
        </w:rPr>
        <w:t>”</w:t>
      </w:r>
      <w:r>
        <w:rPr>
          <w:snapToGrid/>
          <w:szCs w:val="21"/>
          <w:lang w:val="en-GB"/>
        </w:rPr>
        <w:t>，为此，土库曼斯坦总统签署了一系列重要文件，这些文件成为他这句话的有力印证。这些文件包括：</w:t>
      </w:r>
      <w:r>
        <w:rPr>
          <w:snapToGrid/>
          <w:szCs w:val="21"/>
          <w:lang w:val="en-GB"/>
        </w:rPr>
        <w:t>“</w:t>
      </w:r>
      <w:r>
        <w:rPr>
          <w:snapToGrid/>
          <w:szCs w:val="21"/>
          <w:lang w:val="en-GB"/>
        </w:rPr>
        <w:t>土库曼斯坦科学院活动决议</w:t>
      </w:r>
      <w:r>
        <w:rPr>
          <w:snapToGrid/>
          <w:szCs w:val="21"/>
          <w:lang w:val="en-GB"/>
        </w:rPr>
        <w:t>”</w:t>
      </w:r>
      <w:r>
        <w:rPr>
          <w:snapToGrid/>
          <w:szCs w:val="21"/>
          <w:lang w:val="en-GB"/>
        </w:rPr>
        <w:t>、</w:t>
      </w:r>
      <w:r>
        <w:rPr>
          <w:snapToGrid/>
          <w:szCs w:val="21"/>
          <w:lang w:val="en-GB"/>
        </w:rPr>
        <w:t>“</w:t>
      </w:r>
      <w:r>
        <w:rPr>
          <w:snapToGrid/>
          <w:szCs w:val="21"/>
          <w:lang w:val="en-GB"/>
        </w:rPr>
        <w:t>完善土库曼斯坦科学体系决议</w:t>
      </w:r>
      <w:r>
        <w:rPr>
          <w:snapToGrid/>
          <w:szCs w:val="21"/>
          <w:lang w:val="en-GB"/>
        </w:rPr>
        <w:t>”</w:t>
      </w:r>
      <w:r>
        <w:rPr>
          <w:snapToGrid/>
          <w:szCs w:val="21"/>
          <w:lang w:val="en-GB"/>
        </w:rPr>
        <w:t>，以及有关土库曼斯坦保障培养优秀专家和科学工作者，以及国家支持科学研究的特别决议。在对国家科技政策予以规定的同时，这些文件明确了一整套的具体措施，为培养科学人才、建立必要条件以充分发挥国家智能潜力提供了坚实的基础。在国内建立完善的科学人才培养体系是总统倡导的科学改革的主要目的之一。为此设立了研究生班、博士生研究生班。在优秀科学工作者、科学教育工作者工作的</w:t>
      </w:r>
      <w:r>
        <w:rPr>
          <w:snapToGrid/>
          <w:szCs w:val="21"/>
          <w:lang w:val="en-GB"/>
        </w:rPr>
        <w:t>22</w:t>
      </w:r>
      <w:r>
        <w:rPr>
          <w:snapToGrid/>
          <w:szCs w:val="21"/>
          <w:lang w:val="en-GB"/>
        </w:rPr>
        <w:t>个科研机构和高校中实行奖学金或学位申请制度。国家给予资金支持。国家社会文化系统内，共有</w:t>
      </w:r>
      <w:r>
        <w:rPr>
          <w:snapToGrid/>
          <w:szCs w:val="21"/>
          <w:lang w:val="en-GB"/>
        </w:rPr>
        <w:t>13</w:t>
      </w:r>
      <w:r>
        <w:rPr>
          <w:snapToGrid/>
          <w:szCs w:val="21"/>
          <w:lang w:val="en-GB"/>
        </w:rPr>
        <w:t>家享受土库曼斯坦国家预算内资金拨款的科研机构。科学领域</w:t>
      </w:r>
      <w:r>
        <w:rPr>
          <w:snapToGrid/>
          <w:szCs w:val="21"/>
          <w:lang w:val="en-GB"/>
        </w:rPr>
        <w:t>2009</w:t>
      </w:r>
      <w:r>
        <w:rPr>
          <w:snapToGrid/>
          <w:szCs w:val="21"/>
          <w:lang w:val="en-GB"/>
        </w:rPr>
        <w:t>年预算内拨款计划为</w:t>
      </w:r>
      <w:r>
        <w:rPr>
          <w:snapToGrid/>
          <w:szCs w:val="21"/>
          <w:lang w:val="en-GB"/>
        </w:rPr>
        <w:t>1117</w:t>
      </w:r>
      <w:r>
        <w:rPr>
          <w:snapToGrid/>
          <w:szCs w:val="21"/>
          <w:lang w:val="en-GB"/>
        </w:rPr>
        <w:t>亿未改值的马纳特。学术著作评选预算内拨款计划为</w:t>
      </w:r>
      <w:r>
        <w:rPr>
          <w:snapToGrid/>
          <w:szCs w:val="21"/>
          <w:lang w:val="en-GB"/>
        </w:rPr>
        <w:t>196</w:t>
      </w:r>
      <w:r>
        <w:rPr>
          <w:snapToGrid/>
          <w:szCs w:val="21"/>
          <w:lang w:val="en-GB"/>
        </w:rPr>
        <w:t>亿未改值的马纳特。</w:t>
      </w:r>
      <w:r>
        <w:rPr>
          <w:snapToGrid/>
          <w:szCs w:val="21"/>
          <w:lang w:val="en-GB"/>
        </w:rPr>
        <w:t>2008</w:t>
      </w:r>
      <w:r>
        <w:rPr>
          <w:snapToGrid/>
          <w:szCs w:val="21"/>
          <w:lang w:val="en-GB"/>
        </w:rPr>
        <w:t>年，举办了</w:t>
      </w:r>
      <w:r>
        <w:rPr>
          <w:snapToGrid/>
          <w:szCs w:val="21"/>
          <w:lang w:val="en-GB"/>
        </w:rPr>
        <w:t>6</w:t>
      </w:r>
      <w:r>
        <w:rPr>
          <w:snapToGrid/>
          <w:szCs w:val="21"/>
          <w:lang w:val="en-GB"/>
        </w:rPr>
        <w:t>次科学大会，拨付款项为</w:t>
      </w:r>
      <w:r>
        <w:rPr>
          <w:snapToGrid/>
          <w:szCs w:val="21"/>
          <w:lang w:val="en-GB"/>
        </w:rPr>
        <w:t>105</w:t>
      </w:r>
      <w:r>
        <w:rPr>
          <w:snapToGrid/>
          <w:szCs w:val="21"/>
          <w:lang w:val="en-GB"/>
        </w:rPr>
        <w:t>亿马纳特。</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307. </w:t>
      </w:r>
      <w:r>
        <w:rPr>
          <w:rFonts w:hint="eastAsia"/>
          <w:snapToGrid/>
          <w:szCs w:val="21"/>
          <w:lang w:val="en-GB"/>
        </w:rPr>
        <w:t xml:space="preserve"> </w:t>
      </w:r>
      <w:r>
        <w:rPr>
          <w:snapToGrid/>
          <w:szCs w:val="21"/>
          <w:lang w:val="en-GB"/>
        </w:rPr>
        <w:t>保证年轻公民得到教育、培养、智力发展、职业培训的机会，保障国家各种教育服务的普及性和免费性。年轻公民有权选择就学院校、所学习的语言、专业和学习方式。在国家教育机构学习的土库曼斯坦年轻公民有权享受优惠的用餐和医疗服务，免费使用教材和教学参考书。在学习过程中，免费使用院校的教学生产、科学、文化和体育基地。获得助学金、津贴和补偿金，加入院校管理机构。院校设立的社会援助基金会向需要资助的大学生和学生提供必要的帮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308. </w:t>
      </w:r>
      <w:r>
        <w:rPr>
          <w:rFonts w:hint="eastAsia"/>
          <w:snapToGrid/>
          <w:szCs w:val="21"/>
          <w:lang w:val="en-GB"/>
        </w:rPr>
        <w:t xml:space="preserve"> </w:t>
      </w:r>
      <w:r>
        <w:rPr>
          <w:snapToGrid/>
          <w:szCs w:val="21"/>
          <w:lang w:val="en-GB"/>
        </w:rPr>
        <w:t>根据《土库曼斯坦教育法》第</w:t>
      </w:r>
      <w:r>
        <w:rPr>
          <w:snapToGrid/>
          <w:szCs w:val="21"/>
          <w:lang w:val="en-GB"/>
        </w:rPr>
        <w:t>24</w:t>
      </w:r>
      <w:r>
        <w:rPr>
          <w:snapToGrid/>
          <w:szCs w:val="21"/>
          <w:lang w:val="en-GB"/>
        </w:rPr>
        <w:t>条规定，教育工作者有权：</w:t>
      </w:r>
    </w:p>
    <w:p w:rsidR="00A93F62" w:rsidRDefault="00A93F62">
      <w:pPr>
        <w:pStyle w:val="Bullet1GC"/>
        <w:numPr>
          <w:ilvl w:val="0"/>
          <w:numId w:val="14"/>
        </w:numPr>
        <w:rPr>
          <w:snapToGrid/>
          <w:lang w:val="en-GB"/>
        </w:rPr>
      </w:pPr>
      <w:r>
        <w:rPr>
          <w:snapToGrid/>
          <w:lang w:val="en-GB"/>
        </w:rPr>
        <w:t>自己的工作条件得到保障；</w:t>
      </w:r>
    </w:p>
    <w:p w:rsidR="00A93F62" w:rsidRDefault="00A93F62">
      <w:pPr>
        <w:pStyle w:val="Bullet1GC"/>
        <w:numPr>
          <w:ilvl w:val="0"/>
          <w:numId w:val="14"/>
        </w:numPr>
        <w:rPr>
          <w:snapToGrid/>
          <w:lang w:val="en-GB"/>
        </w:rPr>
      </w:pPr>
      <w:r>
        <w:rPr>
          <w:snapToGrid/>
          <w:lang w:val="en-GB"/>
        </w:rPr>
        <w:t>进行独立的教学活动；</w:t>
      </w:r>
    </w:p>
    <w:p w:rsidR="00A93F62" w:rsidRDefault="00A93F62">
      <w:pPr>
        <w:pStyle w:val="Bullet1GC"/>
        <w:numPr>
          <w:ilvl w:val="0"/>
          <w:numId w:val="14"/>
        </w:numPr>
        <w:rPr>
          <w:snapToGrid/>
          <w:lang w:val="en-GB"/>
        </w:rPr>
      </w:pPr>
      <w:r>
        <w:rPr>
          <w:snapToGrid/>
          <w:lang w:val="en-GB"/>
        </w:rPr>
        <w:t>维护职业人格与尊严；</w:t>
      </w:r>
    </w:p>
    <w:p w:rsidR="00A93F62" w:rsidRDefault="00A93F62">
      <w:pPr>
        <w:pStyle w:val="Bullet1GC"/>
        <w:numPr>
          <w:ilvl w:val="0"/>
          <w:numId w:val="14"/>
        </w:numPr>
        <w:rPr>
          <w:snapToGrid/>
          <w:lang w:val="en-GB"/>
        </w:rPr>
      </w:pPr>
      <w:r>
        <w:rPr>
          <w:snapToGrid/>
          <w:lang w:val="en-GB"/>
        </w:rPr>
        <w:t>提高业务水平；</w:t>
      </w:r>
    </w:p>
    <w:p w:rsidR="00A93F62" w:rsidRDefault="00A93F62">
      <w:pPr>
        <w:pStyle w:val="Bullet1GC"/>
        <w:numPr>
          <w:ilvl w:val="0"/>
          <w:numId w:val="14"/>
        </w:numPr>
        <w:rPr>
          <w:snapToGrid/>
          <w:lang w:val="en-GB"/>
        </w:rPr>
      </w:pPr>
      <w:r>
        <w:rPr>
          <w:snapToGrid/>
          <w:lang w:val="en-GB"/>
        </w:rPr>
        <w:t>教学法和科学文献资料获取优惠；</w:t>
      </w:r>
    </w:p>
    <w:p w:rsidR="00A93F62" w:rsidRDefault="00A93F62">
      <w:pPr>
        <w:pStyle w:val="Bullet1GC"/>
        <w:numPr>
          <w:ilvl w:val="0"/>
          <w:numId w:val="14"/>
        </w:numPr>
        <w:rPr>
          <w:snapToGrid/>
          <w:lang w:val="en-GB"/>
        </w:rPr>
      </w:pPr>
      <w:r>
        <w:rPr>
          <w:snapToGrid/>
          <w:lang w:val="en-GB"/>
        </w:rPr>
        <w:t>因教学活动和青少年教育方面的成就，获得物质奖励和精神表彰，被颁发勋章和奖章，授予荣誉称号。</w:t>
      </w:r>
    </w:p>
    <w:p w:rsidR="00A93F62" w:rsidRDefault="00A93F62">
      <w:pPr>
        <w:pStyle w:val="SingleTxtGC"/>
        <w:rPr>
          <w:snapToGrid/>
          <w:lang w:val="en-GB"/>
        </w:rPr>
      </w:pPr>
      <w:r>
        <w:rPr>
          <w:snapToGrid/>
          <w:lang w:val="en-GB"/>
        </w:rPr>
        <w:t>在农村、城镇教育机构工作的教学人员，可以优先得到免费住房，并免除个人住房和个人副业用地的税金。</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309. </w:t>
      </w:r>
      <w:r>
        <w:rPr>
          <w:rFonts w:hint="eastAsia"/>
          <w:snapToGrid/>
          <w:szCs w:val="21"/>
          <w:lang w:val="en-GB"/>
        </w:rPr>
        <w:t xml:space="preserve"> </w:t>
      </w:r>
      <w:r>
        <w:rPr>
          <w:snapToGrid/>
          <w:szCs w:val="21"/>
          <w:lang w:val="en-GB"/>
        </w:rPr>
        <w:t>地方当局应尽职落实国家教育政策。地方当局在此领域的职权范围包括：</w:t>
      </w:r>
    </w:p>
    <w:p w:rsidR="00A93F62" w:rsidRDefault="00A93F62">
      <w:pPr>
        <w:pStyle w:val="Bullet1GC"/>
        <w:numPr>
          <w:ilvl w:val="0"/>
          <w:numId w:val="14"/>
        </w:numPr>
        <w:rPr>
          <w:snapToGrid/>
          <w:lang w:val="en-GB"/>
        </w:rPr>
      </w:pPr>
      <w:r>
        <w:rPr>
          <w:snapToGrid/>
          <w:lang w:val="en-GB"/>
        </w:rPr>
        <w:t>制定标准拨款预算；</w:t>
      </w:r>
    </w:p>
    <w:p w:rsidR="00A93F62" w:rsidRDefault="00A93F62">
      <w:pPr>
        <w:pStyle w:val="Bullet1GC"/>
        <w:numPr>
          <w:ilvl w:val="0"/>
          <w:numId w:val="14"/>
        </w:numPr>
        <w:rPr>
          <w:snapToGrid/>
          <w:lang w:val="en-GB"/>
        </w:rPr>
      </w:pPr>
      <w:r>
        <w:rPr>
          <w:snapToGrid/>
          <w:lang w:val="en-GB"/>
        </w:rPr>
        <w:t>继续设立教育机构网点，巩固其物质基础，提供经济保障；</w:t>
      </w:r>
    </w:p>
    <w:p w:rsidR="00A93F62" w:rsidRDefault="00A93F62">
      <w:pPr>
        <w:pStyle w:val="Bullet1GC"/>
        <w:numPr>
          <w:ilvl w:val="0"/>
          <w:numId w:val="14"/>
        </w:numPr>
        <w:rPr>
          <w:snapToGrid/>
          <w:lang w:val="en-GB"/>
        </w:rPr>
      </w:pPr>
      <w:r>
        <w:rPr>
          <w:snapToGrid/>
          <w:lang w:val="en-GB"/>
        </w:rPr>
        <w:t>向教育工作者、儿童、学生提供社会保护，根据物质技术和财政保障标准，建立相应的教育、学习和工作条件；</w:t>
      </w:r>
    </w:p>
    <w:p w:rsidR="00A93F62" w:rsidRDefault="00A93F62">
      <w:pPr>
        <w:pStyle w:val="Bullet1GC"/>
        <w:numPr>
          <w:ilvl w:val="0"/>
          <w:numId w:val="14"/>
        </w:numPr>
        <w:rPr>
          <w:snapToGrid/>
          <w:lang w:val="en-GB"/>
        </w:rPr>
      </w:pPr>
      <w:r>
        <w:rPr>
          <w:snapToGrid/>
          <w:lang w:val="en-GB"/>
        </w:rPr>
        <w:t>保障定期免费向农村学校运送食品，安排学生饮食</w:t>
      </w:r>
      <w:r>
        <w:rPr>
          <w:snapToGrid/>
          <w:lang w:val="en-GB"/>
        </w:rPr>
        <w:t>(</w:t>
      </w:r>
      <w:r>
        <w:rPr>
          <w:snapToGrid/>
          <w:lang w:val="en-GB"/>
        </w:rPr>
        <w:t>《土库曼斯坦教育法》第</w:t>
      </w:r>
      <w:r>
        <w:rPr>
          <w:snapToGrid/>
          <w:lang w:val="en-GB"/>
        </w:rPr>
        <w:t>29</w:t>
      </w:r>
      <w:r>
        <w:rPr>
          <w:snapToGrid/>
          <w:lang w:val="en-GB"/>
        </w:rPr>
        <w:t>条</w:t>
      </w:r>
      <w:r>
        <w:rPr>
          <w:snapToGrid/>
          <w:lang w:val="en-GB"/>
        </w:rPr>
        <w:t>)</w:t>
      </w:r>
      <w:r>
        <w:rPr>
          <w:snapToGrid/>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310.</w:t>
      </w:r>
      <w:r>
        <w:rPr>
          <w:rFonts w:hint="eastAsia"/>
          <w:snapToGrid/>
          <w:szCs w:val="21"/>
          <w:lang w:val="en-GB"/>
        </w:rPr>
        <w:t xml:space="preserve">  </w:t>
      </w:r>
      <w:r>
        <w:rPr>
          <w:snapToGrid/>
          <w:szCs w:val="21"/>
          <w:lang w:val="en-GB"/>
        </w:rPr>
        <w:t>教育系统的物质基础包括用于教学、教育和其它教育用途的楼房、设施、技术装备和设备、运输工具和某些物资。物质基础可以成为学院和教育机构的财产，他们有权租赁或他用。根据土库曼斯坦法律，构成教育系统物质基础，或发展教育的物质和社会基础或保障生产实践与教学的企业与单位的物质基础的事物，免缴税金。</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311.</w:t>
      </w:r>
      <w:r>
        <w:rPr>
          <w:rFonts w:hint="eastAsia"/>
          <w:snapToGrid/>
          <w:szCs w:val="21"/>
          <w:lang w:val="en-GB"/>
        </w:rPr>
        <w:t xml:space="preserve">  </w:t>
      </w:r>
      <w:r>
        <w:rPr>
          <w:snapToGrid/>
          <w:szCs w:val="21"/>
          <w:lang w:val="en-GB"/>
        </w:rPr>
        <w:t>根据</w:t>
      </w:r>
      <w:smartTag w:uri="urn:schemas-microsoft-com:office:smarttags" w:element="chsdate">
        <w:smartTagPr>
          <w:attr w:name="IsROCDate" w:val="False"/>
          <w:attr w:name="IsLunarDate" w:val="False"/>
          <w:attr w:name="Day" w:val="21"/>
          <w:attr w:name="Month" w:val="10"/>
          <w:attr w:name="Year" w:val="2003"/>
        </w:smartTagPr>
        <w:r>
          <w:rPr>
            <w:snapToGrid/>
            <w:szCs w:val="21"/>
            <w:lang w:val="en-GB"/>
          </w:rPr>
          <w:t>2003</w:t>
        </w:r>
        <w:r>
          <w:rPr>
            <w:snapToGrid/>
            <w:szCs w:val="21"/>
            <w:lang w:val="en-GB"/>
          </w:rPr>
          <w:t>年</w:t>
        </w:r>
        <w:r>
          <w:rPr>
            <w:snapToGrid/>
            <w:szCs w:val="21"/>
            <w:lang w:val="en-GB"/>
          </w:rPr>
          <w:t>10</w:t>
        </w:r>
        <w:r>
          <w:rPr>
            <w:snapToGrid/>
            <w:szCs w:val="21"/>
            <w:lang w:val="en-GB"/>
          </w:rPr>
          <w:t>月</w:t>
        </w:r>
        <w:r>
          <w:rPr>
            <w:snapToGrid/>
            <w:szCs w:val="21"/>
            <w:lang w:val="en-GB"/>
          </w:rPr>
          <w:t>21</w:t>
        </w:r>
        <w:r>
          <w:rPr>
            <w:snapToGrid/>
            <w:szCs w:val="21"/>
            <w:lang w:val="en-GB"/>
          </w:rPr>
          <w:t>日</w:t>
        </w:r>
      </w:smartTag>
      <w:r>
        <w:rPr>
          <w:snapToGrid/>
          <w:szCs w:val="21"/>
          <w:lang w:val="en-GB"/>
        </w:rPr>
        <w:t>颁布的《土库曼斯坦宗教信仰自由与宗教组织法》第</w:t>
      </w:r>
      <w:r>
        <w:rPr>
          <w:snapToGrid/>
          <w:szCs w:val="21"/>
          <w:lang w:val="en-GB"/>
        </w:rPr>
        <w:t>6</w:t>
      </w:r>
      <w:r>
        <w:rPr>
          <w:snapToGrid/>
          <w:szCs w:val="21"/>
          <w:lang w:val="en-GB"/>
        </w:rPr>
        <w:t>条规定，土库曼斯坦的教育系统脱离宗教组织，具有世俗特点。不论是否有宗教信仰，土库曼斯坦公民享有世俗教育权。土库曼斯坦公民有权学习教义，选择单独或和其他人一起接受宗教教育。经清真寺内土库曼斯坦总统下属的宗教事务局允许，经父母、代为监护人士、合法代表和儿童本人同意，可以在课余时间学习教义，每周不超过四小时。由土库曼斯坦总统下属的宗教事务局许可的神学院毕业生可以教授教义。禁止个人传授教义，否则将以土库曼斯坦法律规定的方式追究相应责任。</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312.</w:t>
      </w:r>
      <w:r>
        <w:rPr>
          <w:rFonts w:hint="eastAsia"/>
          <w:snapToGrid/>
          <w:szCs w:val="21"/>
          <w:lang w:val="en-GB"/>
        </w:rPr>
        <w:t xml:space="preserve"> </w:t>
      </w:r>
      <w:r>
        <w:rPr>
          <w:snapToGrid/>
          <w:szCs w:val="21"/>
          <w:lang w:val="en-GB"/>
        </w:rPr>
        <w:t xml:space="preserve"> </w:t>
      </w:r>
      <w:r>
        <w:rPr>
          <w:snapToGrid/>
          <w:szCs w:val="21"/>
          <w:lang w:val="en-GB"/>
        </w:rPr>
        <w:t>根据《土库曼斯坦教育法》，获得普通中等义务教育的公民，可以进入神学院学习。在神学院学习的土库曼斯坦公民，可以在土库曼斯坦马赫图姆库里国立大学神学系接受宗教教育。依照土库曼斯坦法律为国立学院学生规定的程序，他们享有延期服兵役、纳税优惠、学习时间计入工龄的权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313.</w:t>
      </w:r>
      <w:r>
        <w:rPr>
          <w:rFonts w:hint="eastAsia"/>
          <w:snapToGrid/>
          <w:szCs w:val="21"/>
          <w:lang w:val="en-GB"/>
        </w:rPr>
        <w:t xml:space="preserve">  </w:t>
      </w:r>
      <w:r>
        <w:rPr>
          <w:snapToGrid/>
          <w:szCs w:val="21"/>
          <w:lang w:val="en-GB"/>
        </w:rPr>
        <w:t>父母和代为监护人士有权：</w:t>
      </w:r>
    </w:p>
    <w:p w:rsidR="00A93F62" w:rsidRDefault="00A93F62">
      <w:pPr>
        <w:pStyle w:val="Bullet1GC"/>
        <w:numPr>
          <w:ilvl w:val="0"/>
          <w:numId w:val="14"/>
        </w:numPr>
        <w:rPr>
          <w:snapToGrid/>
          <w:lang w:val="en-GB"/>
        </w:rPr>
      </w:pPr>
      <w:r>
        <w:rPr>
          <w:snapToGrid/>
          <w:lang w:val="en-GB"/>
        </w:rPr>
        <w:t>根据儿童的愿望、个人爱好与才能，选择教育机构；</w:t>
      </w:r>
    </w:p>
    <w:p w:rsidR="00A93F62" w:rsidRDefault="00A93F62">
      <w:pPr>
        <w:pStyle w:val="Bullet1GC"/>
        <w:numPr>
          <w:ilvl w:val="0"/>
          <w:numId w:val="14"/>
        </w:numPr>
        <w:rPr>
          <w:snapToGrid/>
          <w:lang w:val="en-GB"/>
        </w:rPr>
      </w:pPr>
      <w:r>
        <w:rPr>
          <w:snapToGrid/>
          <w:lang w:val="en-GB"/>
        </w:rPr>
        <w:t>要求尊重儿童个性，保护其合法权益，使儿童获得符合其个性和才华的全面教育与培养；</w:t>
      </w:r>
    </w:p>
    <w:p w:rsidR="00A93F62" w:rsidRDefault="00A93F62">
      <w:pPr>
        <w:pStyle w:val="Bullet1GC"/>
        <w:numPr>
          <w:ilvl w:val="0"/>
          <w:numId w:val="14"/>
        </w:numPr>
        <w:rPr>
          <w:snapToGrid/>
          <w:lang w:val="en-GB"/>
        </w:rPr>
      </w:pPr>
      <w:r>
        <w:rPr>
          <w:snapToGrid/>
          <w:lang w:val="en-GB"/>
        </w:rPr>
        <w:t>参加教学教育工作之外的儿童教育和培养的相关讨论。</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szCs w:val="21"/>
          <w:lang w:val="en-GB"/>
        </w:rPr>
        <w:t>父母</w:t>
      </w:r>
      <w:r>
        <w:rPr>
          <w:snapToGrid/>
          <w:szCs w:val="21"/>
          <w:lang w:val="en-GB"/>
        </w:rPr>
        <w:t>(</w:t>
      </w:r>
      <w:r>
        <w:rPr>
          <w:snapToGrid/>
          <w:szCs w:val="21"/>
          <w:lang w:val="en-GB"/>
        </w:rPr>
        <w:t>代为监护人士</w:t>
      </w:r>
      <w:r>
        <w:rPr>
          <w:snapToGrid/>
          <w:szCs w:val="21"/>
          <w:lang w:val="en-GB"/>
        </w:rPr>
        <w:t>)</w:t>
      </w:r>
      <w:r>
        <w:rPr>
          <w:snapToGrid/>
          <w:szCs w:val="21"/>
          <w:lang w:val="en-GB"/>
        </w:rPr>
        <w:t>承担培养儿童的责任，他们应：</w:t>
      </w:r>
    </w:p>
    <w:p w:rsidR="00A93F62" w:rsidRDefault="00A93F62">
      <w:pPr>
        <w:pStyle w:val="Bullet1GC"/>
        <w:numPr>
          <w:ilvl w:val="0"/>
          <w:numId w:val="14"/>
        </w:numPr>
        <w:rPr>
          <w:snapToGrid/>
          <w:lang w:val="en-GB"/>
        </w:rPr>
      </w:pPr>
      <w:r>
        <w:rPr>
          <w:snapToGrid/>
          <w:lang w:val="en-GB"/>
        </w:rPr>
        <w:t>帮助儿童全面发展；</w:t>
      </w:r>
    </w:p>
    <w:p w:rsidR="00A93F62" w:rsidRDefault="00A93F62">
      <w:pPr>
        <w:pStyle w:val="Bullet1GC"/>
        <w:numPr>
          <w:ilvl w:val="0"/>
          <w:numId w:val="14"/>
        </w:numPr>
        <w:rPr>
          <w:snapToGrid/>
          <w:lang w:val="en-GB"/>
        </w:rPr>
      </w:pPr>
      <w:r>
        <w:rPr>
          <w:snapToGrid/>
          <w:lang w:val="en-GB"/>
        </w:rPr>
        <w:t>保障他们接受普通中等教育；</w:t>
      </w:r>
    </w:p>
    <w:p w:rsidR="00A93F62" w:rsidRDefault="00A93F62">
      <w:pPr>
        <w:pStyle w:val="Bullet1GC"/>
        <w:numPr>
          <w:ilvl w:val="0"/>
          <w:numId w:val="14"/>
        </w:numPr>
        <w:rPr>
          <w:snapToGrid/>
          <w:lang w:val="en-GB"/>
        </w:rPr>
      </w:pPr>
      <w:r>
        <w:rPr>
          <w:snapToGrid/>
          <w:lang w:val="en-GB"/>
        </w:rPr>
        <w:t>建立必要的生活和学习条件，强健儿童体魄；</w:t>
      </w:r>
    </w:p>
    <w:p w:rsidR="00A93F62" w:rsidRDefault="00A93F62">
      <w:pPr>
        <w:pStyle w:val="Bullet1GC"/>
        <w:numPr>
          <w:ilvl w:val="0"/>
          <w:numId w:val="14"/>
        </w:numPr>
        <w:rPr>
          <w:snapToGrid/>
          <w:lang w:val="en-GB"/>
        </w:rPr>
      </w:pPr>
      <w:r>
        <w:rPr>
          <w:snapToGrid/>
          <w:lang w:val="en-GB"/>
        </w:rPr>
        <w:t>保障儿童精神和身体的成长，道德观念的形成。</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314.</w:t>
      </w:r>
      <w:r>
        <w:rPr>
          <w:rFonts w:hint="eastAsia"/>
          <w:snapToGrid/>
          <w:szCs w:val="21"/>
          <w:lang w:val="en-GB"/>
        </w:rPr>
        <w:t xml:space="preserve">  </w:t>
      </w:r>
      <w:r>
        <w:rPr>
          <w:snapToGrid/>
          <w:szCs w:val="21"/>
          <w:lang w:val="en-GB"/>
        </w:rPr>
        <w:t>土库曼斯坦制定了国家教育标准，对各类教育机构的毕业生提出了必要要求。土库曼斯坦部长内阁规定了国家标准制订和批准的方式。</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315.</w:t>
      </w:r>
      <w:r>
        <w:rPr>
          <w:rFonts w:hint="eastAsia"/>
          <w:snapToGrid/>
          <w:szCs w:val="21"/>
          <w:lang w:val="en-GB"/>
        </w:rPr>
        <w:t xml:space="preserve">  </w:t>
      </w:r>
      <w:r>
        <w:rPr>
          <w:snapToGrid/>
          <w:szCs w:val="21"/>
          <w:lang w:val="en-GB"/>
        </w:rPr>
        <w:t>在土库曼斯坦，实施国家《教育纲要》具有重要意义。自有预算内资金、国家拨给企事业单位和地方的补助金构成地方行政当局的预算。教育拨款很受重视，每年的预算内拨款都在增长。土库曼斯坦部长内阁</w:t>
      </w:r>
      <w:r>
        <w:rPr>
          <w:snapToGrid/>
          <w:szCs w:val="21"/>
          <w:lang w:val="en-GB"/>
        </w:rPr>
        <w:t>(</w:t>
      </w:r>
      <w:r>
        <w:rPr>
          <w:snapToGrid/>
          <w:szCs w:val="21"/>
          <w:lang w:val="en-GB"/>
        </w:rPr>
        <w:t>政府</w:t>
      </w:r>
      <w:r>
        <w:rPr>
          <w:snapToGrid/>
          <w:szCs w:val="21"/>
          <w:lang w:val="en-GB"/>
        </w:rPr>
        <w:t>)</w:t>
      </w:r>
      <w:r>
        <w:rPr>
          <w:snapToGrid/>
          <w:szCs w:val="21"/>
          <w:lang w:val="en-GB"/>
        </w:rPr>
        <w:t>协调各区的预算内拨款，不允许分配不平衡</w:t>
      </w:r>
      <w:r>
        <w:rPr>
          <w:snapToGrid/>
          <w:szCs w:val="21"/>
          <w:lang w:val="en-GB"/>
        </w:rPr>
        <w:t>(</w:t>
      </w:r>
      <w:r>
        <w:rPr>
          <w:snapToGrid/>
          <w:szCs w:val="21"/>
          <w:lang w:val="en-GB"/>
        </w:rPr>
        <w:t>《土库曼斯坦预算法》第</w:t>
      </w:r>
      <w:r>
        <w:rPr>
          <w:snapToGrid/>
          <w:szCs w:val="21"/>
          <w:lang w:val="en-GB"/>
        </w:rPr>
        <w:t>12</w:t>
      </w:r>
      <w:r>
        <w:rPr>
          <w:snapToGrid/>
          <w:szCs w:val="21"/>
          <w:lang w:val="en-GB"/>
        </w:rPr>
        <w:t>条</w:t>
      </w:r>
      <w:r>
        <w:rPr>
          <w:snapToGrid/>
          <w:szCs w:val="21"/>
          <w:lang w:val="en-GB"/>
        </w:rPr>
        <w:t>)</w:t>
      </w:r>
      <w:r>
        <w:rPr>
          <w:snapToGrid/>
          <w:szCs w:val="21"/>
          <w:lang w:val="en-GB"/>
        </w:rPr>
        <w:t>。划拨到各部门的预算内资金，每年都在增加，这体现在居民收入增加，教师工资、大学生助学金额度的稳步提高。</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316.</w:t>
      </w:r>
      <w:r>
        <w:rPr>
          <w:rFonts w:hint="eastAsia"/>
          <w:snapToGrid/>
          <w:szCs w:val="21"/>
          <w:lang w:val="en-GB"/>
        </w:rPr>
        <w:t xml:space="preserve">  </w:t>
      </w:r>
      <w:r>
        <w:rPr>
          <w:snapToGrid/>
          <w:szCs w:val="21"/>
          <w:lang w:val="en-GB"/>
        </w:rPr>
        <w:t>国家《教育纲要》、《新农村纲要》等，规定继续扩大和兴建学前教育机构，学校，体育、教育和文化设施。</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317. </w:t>
      </w:r>
      <w:r>
        <w:rPr>
          <w:rFonts w:hint="eastAsia"/>
          <w:snapToGrid/>
          <w:szCs w:val="21"/>
          <w:lang w:val="en-GB"/>
        </w:rPr>
        <w:t xml:space="preserve"> </w:t>
      </w:r>
      <w:r>
        <w:rPr>
          <w:snapToGrid/>
          <w:szCs w:val="21"/>
          <w:lang w:val="en-GB"/>
        </w:rPr>
        <w:t>为了使残疾儿童得到社会援助和机体适应，国家开办教学机构、治疗和康复中心以使他们获得教育、适合其健康状况的专业技能培训和培养</w:t>
      </w:r>
      <w:r>
        <w:rPr>
          <w:snapToGrid/>
          <w:szCs w:val="21"/>
          <w:lang w:val="en-GB"/>
        </w:rPr>
        <w:t>(</w:t>
      </w:r>
      <w:r>
        <w:rPr>
          <w:snapToGrid/>
          <w:szCs w:val="21"/>
          <w:lang w:val="en-GB"/>
        </w:rPr>
        <w:t>见《土库曼斯坦儿童权利保障法》第</w:t>
      </w:r>
      <w:r>
        <w:rPr>
          <w:snapToGrid/>
          <w:szCs w:val="21"/>
          <w:lang w:val="en-GB"/>
        </w:rPr>
        <w:t>31</w:t>
      </w:r>
      <w:r>
        <w:rPr>
          <w:snapToGrid/>
          <w:szCs w:val="21"/>
          <w:lang w:val="en-GB"/>
        </w:rPr>
        <w:t>条</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318.</w:t>
      </w:r>
      <w:r>
        <w:rPr>
          <w:rFonts w:hint="eastAsia"/>
          <w:snapToGrid/>
          <w:szCs w:val="21"/>
          <w:lang w:val="en-GB"/>
        </w:rPr>
        <w:t xml:space="preserve">  </w:t>
      </w:r>
      <w:r>
        <w:rPr>
          <w:snapToGrid/>
          <w:szCs w:val="21"/>
          <w:lang w:val="en-GB"/>
        </w:rPr>
        <w:t>根据</w:t>
      </w:r>
      <w:smartTag w:uri="urn:schemas-microsoft-com:office:smarttags" w:element="chsdate">
        <w:smartTagPr>
          <w:attr w:name="IsROCDate" w:val="False"/>
          <w:attr w:name="IsLunarDate" w:val="False"/>
          <w:attr w:name="Day" w:val="4"/>
          <w:attr w:name="Month" w:val="3"/>
          <w:attr w:name="Year" w:val="2007"/>
        </w:smartTagPr>
        <w:r>
          <w:rPr>
            <w:snapToGrid/>
            <w:szCs w:val="21"/>
            <w:lang w:val="en-GB"/>
          </w:rPr>
          <w:t>2007</w:t>
        </w:r>
        <w:r>
          <w:rPr>
            <w:snapToGrid/>
            <w:szCs w:val="21"/>
            <w:lang w:val="en-GB"/>
          </w:rPr>
          <w:t>年</w:t>
        </w:r>
        <w:r>
          <w:rPr>
            <w:snapToGrid/>
            <w:szCs w:val="21"/>
            <w:lang w:val="en-GB"/>
          </w:rPr>
          <w:t>3</w:t>
        </w:r>
        <w:r>
          <w:rPr>
            <w:snapToGrid/>
            <w:szCs w:val="21"/>
            <w:lang w:val="en-GB"/>
          </w:rPr>
          <w:t>月</w:t>
        </w:r>
        <w:r>
          <w:rPr>
            <w:snapToGrid/>
            <w:szCs w:val="21"/>
            <w:lang w:val="en-GB"/>
          </w:rPr>
          <w:t>4</w:t>
        </w:r>
        <w:r>
          <w:rPr>
            <w:snapToGrid/>
            <w:szCs w:val="21"/>
            <w:lang w:val="en-GB"/>
          </w:rPr>
          <w:t>日</w:t>
        </w:r>
      </w:smartTag>
      <w:r>
        <w:rPr>
          <w:snapToGrid/>
          <w:szCs w:val="21"/>
          <w:lang w:val="en-GB"/>
        </w:rPr>
        <w:t>土库曼斯坦</w:t>
      </w:r>
      <w:r>
        <w:rPr>
          <w:snapToGrid/>
          <w:szCs w:val="21"/>
          <w:lang w:val="en-GB"/>
        </w:rPr>
        <w:t>“</w:t>
      </w:r>
      <w:r>
        <w:rPr>
          <w:snapToGrid/>
          <w:szCs w:val="21"/>
          <w:lang w:val="en-GB"/>
        </w:rPr>
        <w:t>关于健全土库曼斯坦教育体系</w:t>
      </w:r>
      <w:r>
        <w:rPr>
          <w:snapToGrid/>
          <w:szCs w:val="21"/>
          <w:lang w:val="en-GB"/>
        </w:rPr>
        <w:t>”</w:t>
      </w:r>
      <w:r>
        <w:rPr>
          <w:snapToGrid/>
          <w:szCs w:val="21"/>
          <w:lang w:val="en-GB"/>
        </w:rPr>
        <w:t>的总统令，在区里为居住在远离文化中心的乡村、铁路站并接受了初等教育的孩子开设寄宿学校，使其继续在高年级接受教育。</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319. </w:t>
      </w:r>
      <w:r>
        <w:rPr>
          <w:rFonts w:hint="eastAsia"/>
          <w:snapToGrid/>
          <w:szCs w:val="21"/>
          <w:lang w:val="en-GB"/>
        </w:rPr>
        <w:t xml:space="preserve"> </w:t>
      </w:r>
      <w:r>
        <w:rPr>
          <w:snapToGrid/>
          <w:szCs w:val="21"/>
          <w:lang w:val="en-GB"/>
        </w:rPr>
        <w:t>阿什哈巴德市有孤儿院，巴尔卡纳巴德市有孤儿院，孩子们的所有费用都由国家支付。土库曼斯坦还有家庭培养孤儿的制度，比如，在土库曼纳巴德市的列巴普斯区有一个儿童之家，养育八个孩子。</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320.</w:t>
      </w:r>
      <w:r>
        <w:rPr>
          <w:rFonts w:hint="eastAsia"/>
          <w:snapToGrid/>
          <w:szCs w:val="21"/>
          <w:lang w:val="en-GB"/>
        </w:rPr>
        <w:t xml:space="preserve">  </w:t>
      </w:r>
      <w:r>
        <w:rPr>
          <w:snapToGrid/>
          <w:szCs w:val="21"/>
          <w:lang w:val="en-GB"/>
        </w:rPr>
        <w:t>居住在土库曼斯坦的没有国籍的孩子、成为难民和移民的孩子、外国人的孩子有权同土库曼斯坦公民的孩子一样享受教育。目前，在</w:t>
      </w:r>
      <w:r>
        <w:rPr>
          <w:snapToGrid/>
          <w:szCs w:val="21"/>
          <w:lang w:val="en-GB"/>
        </w:rPr>
        <w:t>1991-1997</w:t>
      </w:r>
      <w:r>
        <w:rPr>
          <w:snapToGrid/>
          <w:szCs w:val="21"/>
          <w:lang w:val="en-GB"/>
        </w:rPr>
        <w:t>年间来到土库曼斯坦的难民和成为难民的孩子，在土库曼斯坦有了长期居住的场所并享有同土库曼斯坦公民同样的权利。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321.</w:t>
      </w:r>
      <w:r>
        <w:rPr>
          <w:rFonts w:hint="eastAsia"/>
          <w:snapToGrid/>
          <w:szCs w:val="21"/>
          <w:lang w:val="en-GB"/>
        </w:rPr>
        <w:t xml:space="preserve">  </w:t>
      </w:r>
      <w:r>
        <w:rPr>
          <w:snapToGrid/>
          <w:szCs w:val="21"/>
          <w:lang w:val="en-GB"/>
        </w:rPr>
        <w:t>在国家、社会及国际组织对多子女家庭中易受伤害的孩子、孤儿、曾经是难民的孩子、伤残孩子及其他孩子给予救助的同时，还有众多的免费教程：电脑扫盲、英语学习、缝纫、烹饪、民间手工艺术等等。</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322.</w:t>
      </w:r>
      <w:r>
        <w:rPr>
          <w:rFonts w:hint="eastAsia"/>
          <w:snapToGrid/>
          <w:szCs w:val="21"/>
          <w:lang w:val="en-GB"/>
        </w:rPr>
        <w:t xml:space="preserve">  </w:t>
      </w:r>
      <w:r>
        <w:rPr>
          <w:snapToGrid/>
          <w:szCs w:val="21"/>
          <w:lang w:val="en-GB"/>
        </w:rPr>
        <w:t>国家成立各种水平的教学机构，而民间力量组织各种技能的培训班：学习企业管理、外语、心理学基础、电脑课程、学习互联网，在互联网工作等等。学科的安排和掌握不存在困难。</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323.</w:t>
      </w:r>
      <w:r>
        <w:rPr>
          <w:rFonts w:hint="eastAsia"/>
          <w:snapToGrid/>
          <w:szCs w:val="21"/>
          <w:lang w:val="en-GB"/>
        </w:rPr>
        <w:t xml:space="preserve">  </w:t>
      </w:r>
      <w:r>
        <w:rPr>
          <w:snapToGrid/>
          <w:szCs w:val="21"/>
          <w:lang w:val="en-GB"/>
        </w:rPr>
        <w:t>土库曼斯坦总统新的教育政策的主要目的是在国内建立培养国家干部的完善体系，获得与国际标准相适应的教育，满足国家经济对能够参加实施社会政治改革的高水平专家不断增长的需求。</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324.</w:t>
      </w:r>
      <w:r>
        <w:rPr>
          <w:rFonts w:hint="eastAsia"/>
          <w:snapToGrid/>
          <w:szCs w:val="21"/>
          <w:lang w:val="en-GB"/>
        </w:rPr>
        <w:t xml:space="preserve">  </w:t>
      </w:r>
      <w:r>
        <w:rPr>
          <w:snapToGrid/>
          <w:szCs w:val="21"/>
          <w:lang w:val="en-GB"/>
        </w:rPr>
        <w:t>为了落实既定的目标，土库曼斯坦新总统首先颁布的法令有：</w:t>
      </w:r>
      <w:smartTag w:uri="urn:schemas-microsoft-com:office:smarttags" w:element="chsdate">
        <w:smartTagPr>
          <w:attr w:name="IsROCDate" w:val="False"/>
          <w:attr w:name="IsLunarDate" w:val="False"/>
          <w:attr w:name="Day" w:val="15"/>
          <w:attr w:name="Month" w:val="2"/>
          <w:attr w:name="Year" w:val="2007"/>
        </w:smartTagPr>
        <w:r>
          <w:rPr>
            <w:snapToGrid/>
            <w:szCs w:val="21"/>
            <w:lang w:val="en-GB"/>
          </w:rPr>
          <w:t>2007</w:t>
        </w:r>
        <w:r>
          <w:rPr>
            <w:snapToGrid/>
            <w:szCs w:val="21"/>
            <w:lang w:val="en-GB"/>
          </w:rPr>
          <w:t>年</w:t>
        </w:r>
        <w:r>
          <w:rPr>
            <w:snapToGrid/>
            <w:szCs w:val="21"/>
            <w:lang w:val="en-GB"/>
          </w:rPr>
          <w:t>2</w:t>
        </w:r>
        <w:r>
          <w:rPr>
            <w:snapToGrid/>
            <w:szCs w:val="21"/>
            <w:lang w:val="en-GB"/>
          </w:rPr>
          <w:t>月</w:t>
        </w:r>
        <w:r>
          <w:rPr>
            <w:snapToGrid/>
            <w:szCs w:val="21"/>
            <w:lang w:val="en-GB"/>
          </w:rPr>
          <w:t>15</w:t>
        </w:r>
        <w:r>
          <w:rPr>
            <w:snapToGrid/>
            <w:szCs w:val="21"/>
            <w:lang w:val="en-GB"/>
          </w:rPr>
          <w:t>日</w:t>
        </w:r>
      </w:smartTag>
      <w:r>
        <w:rPr>
          <w:snapToGrid/>
          <w:szCs w:val="21"/>
          <w:lang w:val="en-GB"/>
        </w:rPr>
        <w:t>的</w:t>
      </w:r>
      <w:r>
        <w:rPr>
          <w:snapToGrid/>
          <w:szCs w:val="21"/>
          <w:lang w:val="en-GB"/>
        </w:rPr>
        <w:t>“</w:t>
      </w:r>
      <w:r>
        <w:rPr>
          <w:snapToGrid/>
          <w:szCs w:val="21"/>
          <w:lang w:val="en-GB"/>
        </w:rPr>
        <w:t>关于完善土库曼斯坦的教育体制</w:t>
      </w:r>
      <w:r>
        <w:rPr>
          <w:snapToGrid/>
          <w:szCs w:val="21"/>
          <w:lang w:val="en-GB"/>
        </w:rPr>
        <w:t>”</w:t>
      </w:r>
      <w:r>
        <w:rPr>
          <w:snapToGrid/>
          <w:szCs w:val="21"/>
          <w:lang w:val="en-GB"/>
        </w:rPr>
        <w:t>，</w:t>
      </w:r>
      <w:smartTag w:uri="urn:schemas-microsoft-com:office:smarttags" w:element="chsdate">
        <w:smartTagPr>
          <w:attr w:name="IsROCDate" w:val="False"/>
          <w:attr w:name="IsLunarDate" w:val="False"/>
          <w:attr w:name="Day" w:val="4"/>
          <w:attr w:name="Month" w:val="3"/>
          <w:attr w:name="Year" w:val="2007"/>
        </w:smartTagPr>
        <w:r>
          <w:rPr>
            <w:snapToGrid/>
            <w:szCs w:val="21"/>
            <w:lang w:val="en-GB"/>
          </w:rPr>
          <w:t>2007</w:t>
        </w:r>
        <w:r>
          <w:rPr>
            <w:snapToGrid/>
            <w:szCs w:val="21"/>
            <w:lang w:val="en-GB"/>
          </w:rPr>
          <w:t>年</w:t>
        </w:r>
        <w:r>
          <w:rPr>
            <w:snapToGrid/>
            <w:szCs w:val="21"/>
            <w:lang w:val="en-GB"/>
          </w:rPr>
          <w:t>3</w:t>
        </w:r>
        <w:r>
          <w:rPr>
            <w:snapToGrid/>
            <w:szCs w:val="21"/>
            <w:lang w:val="en-GB"/>
          </w:rPr>
          <w:t>月</w:t>
        </w:r>
        <w:r>
          <w:rPr>
            <w:snapToGrid/>
            <w:szCs w:val="21"/>
            <w:lang w:val="en-GB"/>
          </w:rPr>
          <w:t>4</w:t>
        </w:r>
        <w:r>
          <w:rPr>
            <w:snapToGrid/>
            <w:szCs w:val="21"/>
            <w:lang w:val="en-GB"/>
          </w:rPr>
          <w:t>日</w:t>
        </w:r>
      </w:smartTag>
      <w:r>
        <w:rPr>
          <w:snapToGrid/>
          <w:szCs w:val="21"/>
          <w:lang w:val="en-GB"/>
        </w:rPr>
        <w:t>的</w:t>
      </w:r>
      <w:r>
        <w:rPr>
          <w:snapToGrid/>
          <w:szCs w:val="21"/>
          <w:lang w:val="en-GB"/>
        </w:rPr>
        <w:t>“</w:t>
      </w:r>
      <w:r>
        <w:rPr>
          <w:snapToGrid/>
          <w:szCs w:val="21"/>
          <w:lang w:val="en-GB"/>
        </w:rPr>
        <w:t>关于改善教学教育机构的工作</w:t>
      </w:r>
      <w:r>
        <w:rPr>
          <w:snapToGrid/>
          <w:szCs w:val="21"/>
          <w:lang w:val="en-GB"/>
        </w:rPr>
        <w:t>”</w:t>
      </w:r>
      <w:r>
        <w:rPr>
          <w:snapToGrid/>
          <w:szCs w:val="21"/>
          <w:lang w:val="en-GB"/>
        </w:rPr>
        <w:t>，</w:t>
      </w:r>
      <w:smartTag w:uri="urn:schemas-microsoft-com:office:smarttags" w:element="chsdate">
        <w:smartTagPr>
          <w:attr w:name="IsROCDate" w:val="False"/>
          <w:attr w:name="IsLunarDate" w:val="False"/>
          <w:attr w:name="Day" w:val="30"/>
          <w:attr w:name="Month" w:val="3"/>
          <w:attr w:name="Year" w:val="2007"/>
        </w:smartTagPr>
        <w:r>
          <w:rPr>
            <w:snapToGrid/>
            <w:szCs w:val="21"/>
            <w:lang w:val="en-GB"/>
          </w:rPr>
          <w:t>2007</w:t>
        </w:r>
        <w:r>
          <w:rPr>
            <w:snapToGrid/>
            <w:szCs w:val="21"/>
            <w:lang w:val="en-GB"/>
          </w:rPr>
          <w:t>年</w:t>
        </w:r>
        <w:r>
          <w:rPr>
            <w:snapToGrid/>
            <w:szCs w:val="21"/>
            <w:lang w:val="en-GB"/>
          </w:rPr>
          <w:t>3</w:t>
        </w:r>
        <w:r>
          <w:rPr>
            <w:snapToGrid/>
            <w:szCs w:val="21"/>
            <w:lang w:val="en-GB"/>
          </w:rPr>
          <w:t>月</w:t>
        </w:r>
        <w:r>
          <w:rPr>
            <w:snapToGrid/>
            <w:szCs w:val="21"/>
            <w:lang w:val="en-GB"/>
          </w:rPr>
          <w:t>30</w:t>
        </w:r>
        <w:r>
          <w:rPr>
            <w:snapToGrid/>
            <w:szCs w:val="21"/>
            <w:lang w:val="en-GB"/>
          </w:rPr>
          <w:t>日</w:t>
        </w:r>
      </w:smartTag>
      <w:r>
        <w:rPr>
          <w:snapToGrid/>
          <w:szCs w:val="21"/>
          <w:lang w:val="en-GB"/>
        </w:rPr>
        <w:t>的</w:t>
      </w:r>
      <w:r>
        <w:rPr>
          <w:snapToGrid/>
          <w:szCs w:val="21"/>
          <w:lang w:val="en-GB"/>
        </w:rPr>
        <w:t>“</w:t>
      </w:r>
      <w:r>
        <w:rPr>
          <w:snapToGrid/>
          <w:szCs w:val="21"/>
          <w:lang w:val="en-GB"/>
        </w:rPr>
        <w:t>关于提高教育工作者的工资及大学生的奖学金</w:t>
      </w:r>
      <w:r>
        <w:rPr>
          <w:snapToGrid/>
          <w:szCs w:val="21"/>
          <w:lang w:val="en-GB"/>
        </w:rPr>
        <w:t>”</w:t>
      </w:r>
      <w:r>
        <w:rPr>
          <w:snapToGrid/>
          <w:szCs w:val="21"/>
          <w:lang w:val="en-GB"/>
        </w:rPr>
        <w:t>。在这些文件里制定了目标和任务，指出了完善土库曼斯坦教学教育机构工作的途径，确定了各级教学和教育水平的新标准。</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325.</w:t>
      </w:r>
      <w:r>
        <w:rPr>
          <w:rFonts w:hint="eastAsia"/>
          <w:snapToGrid/>
          <w:szCs w:val="21"/>
          <w:lang w:val="en-GB"/>
        </w:rPr>
        <w:t xml:space="preserve">  </w:t>
      </w:r>
      <w:r>
        <w:rPr>
          <w:snapToGrid/>
          <w:szCs w:val="21"/>
          <w:lang w:val="en-GB"/>
        </w:rPr>
        <w:t>根据这些文件，目前教育工作者的工资和大学生助学金增加了</w:t>
      </w:r>
      <w:r>
        <w:rPr>
          <w:snapToGrid/>
          <w:szCs w:val="21"/>
          <w:lang w:val="en-GB"/>
        </w:rPr>
        <w:t>40%</w:t>
      </w:r>
      <w:r>
        <w:rPr>
          <w:snapToGrid/>
          <w:szCs w:val="21"/>
          <w:lang w:val="en-GB"/>
        </w:rPr>
        <w:t>。各类中学、职业学校和中等职业学校教师的劳动量减少到</w:t>
      </w:r>
      <w:r>
        <w:rPr>
          <w:snapToGrid/>
          <w:szCs w:val="21"/>
          <w:lang w:val="en-GB"/>
        </w:rPr>
        <w:t>24</w:t>
      </w:r>
      <w:r>
        <w:rPr>
          <w:snapToGrid/>
          <w:szCs w:val="21"/>
          <w:lang w:val="en-GB"/>
        </w:rPr>
        <w:t>小时。高校教授的工作量规定不超过</w:t>
      </w:r>
      <w:r>
        <w:rPr>
          <w:snapToGrid/>
          <w:szCs w:val="21"/>
          <w:lang w:val="en-GB"/>
        </w:rPr>
        <w:t>850</w:t>
      </w:r>
      <w:r>
        <w:rPr>
          <w:snapToGrid/>
          <w:szCs w:val="21"/>
          <w:lang w:val="en-GB"/>
        </w:rPr>
        <w:t>小时，实行</w:t>
      </w:r>
      <w:r>
        <w:rPr>
          <w:snapToGrid/>
          <w:szCs w:val="21"/>
          <w:lang w:val="en-GB"/>
        </w:rPr>
        <w:t>10</w:t>
      </w:r>
      <w:r>
        <w:rPr>
          <w:snapToGrid/>
          <w:szCs w:val="21"/>
          <w:lang w:val="en-GB"/>
        </w:rPr>
        <w:t>年制教育。</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326. </w:t>
      </w:r>
      <w:r>
        <w:rPr>
          <w:rFonts w:hint="eastAsia"/>
          <w:snapToGrid/>
          <w:szCs w:val="21"/>
          <w:lang w:val="en-GB"/>
        </w:rPr>
        <w:t xml:space="preserve"> </w:t>
      </w:r>
      <w:r>
        <w:rPr>
          <w:snapToGrid/>
          <w:szCs w:val="21"/>
          <w:lang w:val="en-GB"/>
        </w:rPr>
        <w:t>中学和大学装备有现代化的多媒体和电脑技术，利用最先进的教学方法以使土库曼斯坦的青年获得世界水平的教育，丰富自己的内心世界，开阔视野，了解科学界取得的新成就。</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327.</w:t>
      </w:r>
      <w:r>
        <w:rPr>
          <w:rFonts w:hint="eastAsia"/>
          <w:snapToGrid/>
          <w:szCs w:val="21"/>
          <w:lang w:val="en-GB"/>
        </w:rPr>
        <w:t xml:space="preserve">  </w:t>
      </w:r>
      <w:r>
        <w:rPr>
          <w:snapToGrid/>
          <w:szCs w:val="21"/>
          <w:lang w:val="en-GB"/>
        </w:rPr>
        <w:t>目前，国内有</w:t>
      </w:r>
      <w:r>
        <w:rPr>
          <w:snapToGrid/>
          <w:szCs w:val="21"/>
          <w:lang w:val="en-GB"/>
        </w:rPr>
        <w:t>1 711</w:t>
      </w:r>
      <w:r>
        <w:rPr>
          <w:snapToGrid/>
          <w:szCs w:val="21"/>
          <w:lang w:val="en-GB"/>
        </w:rPr>
        <w:t>所中学，有</w:t>
      </w:r>
      <w:r>
        <w:rPr>
          <w:snapToGrid/>
          <w:szCs w:val="21"/>
          <w:lang w:val="en-GB"/>
        </w:rPr>
        <w:t>100</w:t>
      </w:r>
      <w:r>
        <w:rPr>
          <w:snapToGrid/>
          <w:szCs w:val="21"/>
          <w:lang w:val="en-GB"/>
        </w:rPr>
        <w:t>万名孩子在里面学习。国内还有</w:t>
      </w:r>
      <w:r>
        <w:rPr>
          <w:snapToGrid/>
          <w:szCs w:val="21"/>
          <w:lang w:val="en-GB"/>
        </w:rPr>
        <w:t>17</w:t>
      </w:r>
      <w:r>
        <w:rPr>
          <w:snapToGrid/>
          <w:szCs w:val="21"/>
          <w:lang w:val="en-GB"/>
        </w:rPr>
        <w:t>所中等职业学校和</w:t>
      </w:r>
      <w:r>
        <w:rPr>
          <w:snapToGrid/>
          <w:szCs w:val="21"/>
          <w:lang w:val="en-GB"/>
        </w:rPr>
        <w:t>17</w:t>
      </w:r>
      <w:r>
        <w:rPr>
          <w:snapToGrid/>
          <w:szCs w:val="21"/>
          <w:lang w:val="en-GB"/>
        </w:rPr>
        <w:t>所高等院校，在校学生总共超过</w:t>
      </w:r>
      <w:r>
        <w:rPr>
          <w:snapToGrid/>
          <w:szCs w:val="21"/>
          <w:lang w:val="en-GB"/>
        </w:rPr>
        <w:t>18 000</w:t>
      </w:r>
      <w:r>
        <w:rPr>
          <w:snapToGrid/>
          <w:szCs w:val="21"/>
          <w:lang w:val="en-GB"/>
        </w:rPr>
        <w:t>名。</w:t>
      </w:r>
      <w:r>
        <w:rPr>
          <w:snapToGrid/>
          <w:szCs w:val="21"/>
          <w:lang w:val="en-GB"/>
        </w:rPr>
        <w:t>2009</w:t>
      </w:r>
      <w:r>
        <w:rPr>
          <w:snapToGrid/>
          <w:szCs w:val="21"/>
          <w:lang w:val="en-GB"/>
        </w:rPr>
        <w:t>年，支付高校大学生和中等职业院校学生的助学金费用增加了</w:t>
      </w:r>
      <w:r>
        <w:rPr>
          <w:snapToGrid/>
          <w:szCs w:val="21"/>
          <w:lang w:val="en-GB"/>
        </w:rPr>
        <w:t>1.1</w:t>
      </w:r>
      <w:r>
        <w:rPr>
          <w:snapToGrid/>
          <w:szCs w:val="21"/>
          <w:lang w:val="en-GB"/>
        </w:rPr>
        <w:t>倍，为</w:t>
      </w:r>
      <w:r>
        <w:rPr>
          <w:snapToGrid/>
          <w:szCs w:val="21"/>
          <w:lang w:val="en-GB"/>
        </w:rPr>
        <w:t>3 824</w:t>
      </w:r>
      <w:r>
        <w:rPr>
          <w:snapToGrid/>
          <w:szCs w:val="21"/>
          <w:lang w:val="en-GB"/>
        </w:rPr>
        <w:t>亿马纳特。</w:t>
      </w:r>
      <w:r>
        <w:rPr>
          <w:snapToGrid/>
          <w:szCs w:val="21"/>
          <w:lang w:val="en-GB"/>
        </w:rPr>
        <w:t>2009</w:t>
      </w:r>
      <w:r>
        <w:rPr>
          <w:snapToGrid/>
          <w:szCs w:val="21"/>
          <w:lang w:val="en-GB"/>
        </w:rPr>
        <w:t>年规定，增加学前教育和基础教育机构，国家计划新建</w:t>
      </w:r>
      <w:r>
        <w:rPr>
          <w:snapToGrid/>
          <w:szCs w:val="21"/>
          <w:lang w:val="en-GB"/>
        </w:rPr>
        <w:t>22</w:t>
      </w:r>
      <w:r>
        <w:rPr>
          <w:snapToGrid/>
          <w:szCs w:val="21"/>
          <w:lang w:val="en-GB"/>
        </w:rPr>
        <w:t>所学前教育机构和</w:t>
      </w:r>
      <w:r>
        <w:rPr>
          <w:snapToGrid/>
          <w:szCs w:val="21"/>
          <w:lang w:val="en-GB"/>
        </w:rPr>
        <w:t>27</w:t>
      </w:r>
      <w:r>
        <w:rPr>
          <w:snapToGrid/>
          <w:szCs w:val="21"/>
          <w:lang w:val="en-GB"/>
        </w:rPr>
        <w:t>所学校。由国家预算内资金拨款的学校总数为</w:t>
      </w:r>
      <w:r>
        <w:rPr>
          <w:snapToGrid/>
          <w:szCs w:val="21"/>
          <w:lang w:val="en-GB"/>
        </w:rPr>
        <w:t>1 816</w:t>
      </w:r>
      <w:r>
        <w:rPr>
          <w:snapToGrid/>
          <w:szCs w:val="21"/>
          <w:lang w:val="en-GB"/>
        </w:rPr>
        <w:t>所，将招收</w:t>
      </w:r>
      <w:r>
        <w:rPr>
          <w:snapToGrid/>
          <w:szCs w:val="21"/>
          <w:lang w:val="en-GB"/>
        </w:rPr>
        <w:t>999 400</w:t>
      </w:r>
      <w:r>
        <w:rPr>
          <w:snapToGrid/>
          <w:szCs w:val="21"/>
          <w:lang w:val="en-GB"/>
        </w:rPr>
        <w:t>名学生。规定拨款</w:t>
      </w:r>
      <w:r>
        <w:rPr>
          <w:snapToGrid/>
          <w:szCs w:val="21"/>
          <w:lang w:val="en-GB"/>
        </w:rPr>
        <w:t>77 842</w:t>
      </w:r>
      <w:r>
        <w:rPr>
          <w:snapToGrid/>
          <w:szCs w:val="21"/>
          <w:lang w:val="en-GB"/>
        </w:rPr>
        <w:t>亿马纳特用于</w:t>
      </w:r>
      <w:r>
        <w:rPr>
          <w:snapToGrid/>
          <w:szCs w:val="21"/>
          <w:lang w:val="en-GB"/>
        </w:rPr>
        <w:t>2009</w:t>
      </w:r>
      <w:r>
        <w:rPr>
          <w:snapToGrid/>
          <w:szCs w:val="21"/>
          <w:lang w:val="en-GB"/>
        </w:rPr>
        <w:t>年教育机构的开支。</w:t>
      </w:r>
      <w:r>
        <w:rPr>
          <w:snapToGrid/>
          <w:szCs w:val="21"/>
          <w:lang w:val="en-GB"/>
        </w:rPr>
        <w:t>2008-2009</w:t>
      </w:r>
      <w:r>
        <w:rPr>
          <w:snapToGrid/>
          <w:szCs w:val="21"/>
          <w:lang w:val="en-GB"/>
        </w:rPr>
        <w:t>学年，阿什哈巴德市和各地区的学校装备了最新的计算机设备，并配套有现代化的计算机程序。这个重大项目的实施，使学校可以在现代技术的基础上，安排教学过程，并使学生能够了解最新的科技成果。教育专项计划资金增加。巩固教育机构的物质基础以改善教学过程，是资金的主要用途。预备继续为教育机构装备金额为</w:t>
      </w:r>
      <w:r>
        <w:rPr>
          <w:snapToGrid/>
          <w:szCs w:val="21"/>
          <w:lang w:val="en-GB"/>
        </w:rPr>
        <w:t>2 069</w:t>
      </w:r>
      <w:r>
        <w:rPr>
          <w:snapToGrid/>
          <w:szCs w:val="21"/>
          <w:lang w:val="en-GB"/>
        </w:rPr>
        <w:t>亿马纳特的学校家具和计算机设备。将继续出版新教材。计划出版</w:t>
      </w:r>
      <w:r>
        <w:rPr>
          <w:snapToGrid/>
          <w:szCs w:val="21"/>
          <w:lang w:val="en-GB"/>
        </w:rPr>
        <w:t>73</w:t>
      </w:r>
      <w:r>
        <w:rPr>
          <w:snapToGrid/>
          <w:szCs w:val="21"/>
          <w:lang w:val="en-GB"/>
        </w:rPr>
        <w:t>种、</w:t>
      </w:r>
      <w:r>
        <w:rPr>
          <w:snapToGrid/>
          <w:szCs w:val="21"/>
          <w:lang w:val="en-GB"/>
        </w:rPr>
        <w:t>4 400 000</w:t>
      </w:r>
      <w:r>
        <w:rPr>
          <w:snapToGrid/>
          <w:szCs w:val="21"/>
          <w:lang w:val="en-GB"/>
        </w:rPr>
        <w:t>册的教材和教辅，为此将拨款</w:t>
      </w:r>
      <w:r>
        <w:rPr>
          <w:snapToGrid/>
          <w:szCs w:val="21"/>
          <w:lang w:val="en-GB"/>
        </w:rPr>
        <w:t>922</w:t>
      </w:r>
      <w:r>
        <w:rPr>
          <w:snapToGrid/>
          <w:szCs w:val="21"/>
          <w:lang w:val="en-GB"/>
        </w:rPr>
        <w:t>亿马纳特。上述教育拨款可以提高教学质量，促进青年一代以爱国主义教育为基础的人格的全面形成。</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328. </w:t>
      </w:r>
      <w:r>
        <w:rPr>
          <w:rFonts w:hint="eastAsia"/>
          <w:snapToGrid/>
          <w:szCs w:val="21"/>
          <w:lang w:val="en-GB"/>
        </w:rPr>
        <w:t xml:space="preserve"> </w:t>
      </w:r>
      <w:r>
        <w:rPr>
          <w:snapToGrid/>
          <w:szCs w:val="21"/>
          <w:lang w:val="en-GB"/>
        </w:rPr>
        <w:t>土库曼斯坦的每个人，在达到</w:t>
      </w:r>
      <w:r>
        <w:rPr>
          <w:snapToGrid/>
          <w:szCs w:val="21"/>
          <w:lang w:val="en-GB"/>
        </w:rPr>
        <w:t>17-18</w:t>
      </w:r>
      <w:r>
        <w:rPr>
          <w:snapToGrid/>
          <w:szCs w:val="21"/>
          <w:lang w:val="en-GB"/>
        </w:rPr>
        <w:t>岁时</w:t>
      </w:r>
      <w:r>
        <w:rPr>
          <w:snapToGrid/>
          <w:szCs w:val="21"/>
          <w:lang w:val="en-GB"/>
        </w:rPr>
        <w:t>(</w:t>
      </w:r>
      <w:r>
        <w:rPr>
          <w:snapToGrid/>
          <w:szCs w:val="21"/>
          <w:lang w:val="en-GB"/>
        </w:rPr>
        <w:t>受过中等教育</w:t>
      </w:r>
      <w:r>
        <w:rPr>
          <w:snapToGrid/>
          <w:szCs w:val="21"/>
          <w:lang w:val="en-GB"/>
        </w:rPr>
        <w:t>)</w:t>
      </w:r>
      <w:r>
        <w:rPr>
          <w:snapToGrid/>
          <w:szCs w:val="21"/>
          <w:lang w:val="en-GB"/>
        </w:rPr>
        <w:t>都可以通过入学考试的选拔接受高等教育，直至</w:t>
      </w:r>
      <w:r>
        <w:rPr>
          <w:snapToGrid/>
          <w:szCs w:val="21"/>
          <w:lang w:val="en-GB"/>
        </w:rPr>
        <w:t>35</w:t>
      </w:r>
      <w:r>
        <w:rPr>
          <w:snapToGrid/>
          <w:szCs w:val="21"/>
          <w:lang w:val="en-GB"/>
        </w:rPr>
        <w:t>岁。高等教育是免费的。</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329. </w:t>
      </w:r>
      <w:r>
        <w:rPr>
          <w:rFonts w:hint="eastAsia"/>
          <w:snapToGrid/>
          <w:szCs w:val="21"/>
          <w:lang w:val="en-GB"/>
        </w:rPr>
        <w:t xml:space="preserve"> </w:t>
      </w:r>
      <w:r>
        <w:rPr>
          <w:snapToGrid/>
          <w:szCs w:val="21"/>
          <w:lang w:val="en-GB"/>
        </w:rPr>
        <w:t>2008</w:t>
      </w:r>
      <w:r>
        <w:rPr>
          <w:snapToGrid/>
          <w:szCs w:val="21"/>
          <w:lang w:val="en-GB"/>
        </w:rPr>
        <w:t>年高等院校增加了招生人数并增设了</w:t>
      </w:r>
      <w:r>
        <w:rPr>
          <w:snapToGrid/>
          <w:szCs w:val="21"/>
          <w:lang w:val="en-GB"/>
        </w:rPr>
        <w:t>18</w:t>
      </w:r>
      <w:r>
        <w:rPr>
          <w:snapToGrid/>
          <w:szCs w:val="21"/>
          <w:lang w:val="en-GB"/>
        </w:rPr>
        <w:t>个新专业。这些专业是：意大利语言和文学、中文语言和文学、韩语、西班牙语、农业化学和土壤学、植物保护、土壤改良工作机械化和畜牧学、世界金融市场和保险业务、马戏团和露天演出、国际法、国际关系与外交、国际经济关系、国际新闻学、商务、国际金融市场、工业工程学。在国家许多高校开设新专业使得学校招收了</w:t>
      </w:r>
      <w:r>
        <w:rPr>
          <w:snapToGrid/>
          <w:szCs w:val="21"/>
          <w:lang w:val="en-GB"/>
        </w:rPr>
        <w:t>4 000</w:t>
      </w:r>
      <w:r>
        <w:rPr>
          <w:snapToGrid/>
          <w:szCs w:val="21"/>
          <w:lang w:val="en-GB"/>
        </w:rPr>
        <w:t>名学生，比</w:t>
      </w:r>
      <w:r>
        <w:rPr>
          <w:snapToGrid/>
          <w:szCs w:val="21"/>
          <w:lang w:val="en-GB"/>
        </w:rPr>
        <w:t>2007</w:t>
      </w:r>
      <w:r>
        <w:rPr>
          <w:snapToGrid/>
          <w:szCs w:val="21"/>
          <w:lang w:val="en-GB"/>
        </w:rPr>
        <w:t>年多招收</w:t>
      </w:r>
      <w:r>
        <w:rPr>
          <w:snapToGrid/>
          <w:szCs w:val="21"/>
          <w:lang w:val="en-GB"/>
        </w:rPr>
        <w:t>385</w:t>
      </w:r>
      <w:r>
        <w:rPr>
          <w:snapToGrid/>
          <w:szCs w:val="21"/>
          <w:lang w:val="en-GB"/>
        </w:rPr>
        <w:t>人。</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330.</w:t>
      </w:r>
      <w:r>
        <w:rPr>
          <w:rFonts w:hint="eastAsia"/>
          <w:snapToGrid/>
          <w:szCs w:val="21"/>
          <w:lang w:val="en-GB"/>
        </w:rPr>
        <w:t xml:space="preserve">  </w:t>
      </w:r>
      <w:r>
        <w:rPr>
          <w:snapToGrid/>
          <w:szCs w:val="21"/>
          <w:lang w:val="en-GB"/>
        </w:rPr>
        <w:t>土库曼斯坦政府每年都会派本国青年到国外高校学习。目前，</w:t>
      </w:r>
      <w:r>
        <w:rPr>
          <w:snapToGrid/>
          <w:szCs w:val="21"/>
          <w:lang w:val="en-GB"/>
        </w:rPr>
        <w:t>1 500</w:t>
      </w:r>
      <w:r>
        <w:rPr>
          <w:snapToGrid/>
          <w:szCs w:val="21"/>
          <w:lang w:val="en-GB"/>
        </w:rPr>
        <w:t>多位土库曼斯坦青年人，已根据协议，赴俄联邦、土耳其、中华人民共和国、马来西亚、罗马尼亚和其他国家的高校学习。</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331.</w:t>
      </w:r>
      <w:r>
        <w:rPr>
          <w:rFonts w:hint="eastAsia"/>
          <w:snapToGrid/>
          <w:szCs w:val="21"/>
          <w:lang w:val="en-GB"/>
        </w:rPr>
        <w:t xml:space="preserve">  </w:t>
      </w:r>
      <w:r>
        <w:rPr>
          <w:snapToGrid/>
          <w:szCs w:val="21"/>
          <w:lang w:val="en-GB"/>
        </w:rPr>
        <w:t>目前，有</w:t>
      </w:r>
      <w:r>
        <w:rPr>
          <w:snapToGrid/>
          <w:szCs w:val="21"/>
          <w:lang w:val="en-GB"/>
        </w:rPr>
        <w:t>100</w:t>
      </w:r>
      <w:r>
        <w:rPr>
          <w:snapToGrid/>
          <w:szCs w:val="21"/>
          <w:lang w:val="en-GB"/>
        </w:rPr>
        <w:t>多所专科中等学校教授外语，其中</w:t>
      </w:r>
      <w:r>
        <w:rPr>
          <w:snapToGrid/>
          <w:szCs w:val="21"/>
          <w:lang w:val="en-GB"/>
        </w:rPr>
        <w:t>80</w:t>
      </w:r>
      <w:r>
        <w:rPr>
          <w:snapToGrid/>
          <w:szCs w:val="21"/>
          <w:lang w:val="en-GB"/>
        </w:rPr>
        <w:t>多所教英文，</w:t>
      </w:r>
      <w:r>
        <w:rPr>
          <w:snapToGrid/>
          <w:szCs w:val="21"/>
          <w:lang w:val="en-GB"/>
        </w:rPr>
        <w:t>13</w:t>
      </w:r>
      <w:r>
        <w:rPr>
          <w:snapToGrid/>
          <w:szCs w:val="21"/>
          <w:lang w:val="en-GB"/>
        </w:rPr>
        <w:t>所教德文，</w:t>
      </w:r>
      <w:r>
        <w:rPr>
          <w:snapToGrid/>
          <w:szCs w:val="21"/>
          <w:lang w:val="en-GB"/>
        </w:rPr>
        <w:t>7</w:t>
      </w:r>
      <w:r>
        <w:rPr>
          <w:snapToGrid/>
          <w:szCs w:val="21"/>
          <w:lang w:val="en-GB"/>
        </w:rPr>
        <w:t>所教英文和德文。除此之外，中学的语言及计算机教学中心和各市、区下属的教育部门也都办有语言培训班。</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 xml:space="preserve">332. </w:t>
      </w:r>
      <w:r>
        <w:rPr>
          <w:rFonts w:hint="eastAsia"/>
          <w:snapToGrid/>
          <w:szCs w:val="21"/>
          <w:lang w:val="en-GB"/>
        </w:rPr>
        <w:t xml:space="preserve"> </w:t>
      </w:r>
      <w:r>
        <w:rPr>
          <w:snapToGrid/>
          <w:szCs w:val="21"/>
          <w:lang w:val="en-GB"/>
        </w:rPr>
        <w:t>为了使残疾儿童得到社会援助和机体适应，国家开办教学机构、治疗和康复中心以使他们获得教育、适合其健康状况的专业技能培训和培养</w:t>
      </w:r>
      <w:r>
        <w:rPr>
          <w:snapToGrid/>
          <w:szCs w:val="21"/>
          <w:lang w:val="en-GB"/>
        </w:rPr>
        <w:t>(</w:t>
      </w:r>
      <w:r>
        <w:rPr>
          <w:snapToGrid/>
          <w:szCs w:val="21"/>
          <w:lang w:val="en-GB"/>
        </w:rPr>
        <w:t>见《土库曼斯坦儿童权利保障法》第</w:t>
      </w:r>
      <w:r>
        <w:rPr>
          <w:snapToGrid/>
          <w:szCs w:val="21"/>
          <w:lang w:val="en-GB"/>
        </w:rPr>
        <w:t>31</w:t>
      </w:r>
      <w:r>
        <w:rPr>
          <w:snapToGrid/>
          <w:szCs w:val="21"/>
          <w:lang w:val="en-GB"/>
        </w:rPr>
        <w:t>条</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333.</w:t>
      </w:r>
      <w:r>
        <w:rPr>
          <w:rFonts w:hint="eastAsia"/>
          <w:snapToGrid/>
          <w:szCs w:val="21"/>
          <w:lang w:val="en-GB"/>
        </w:rPr>
        <w:t xml:space="preserve">  </w:t>
      </w:r>
      <w:r>
        <w:rPr>
          <w:snapToGrid/>
          <w:szCs w:val="21"/>
          <w:lang w:val="en-GB"/>
        </w:rPr>
        <w:t>土库曼斯坦积极参加国际合作，维护儿童的权利与合法利益，保护母亲和儿童，保障履行相关国际义务。为发展国际合作，近年来，土库曼斯坦成为举办教育、文化、体育领域各类国际活动</w:t>
      </w:r>
      <w:r>
        <w:rPr>
          <w:snapToGrid/>
          <w:szCs w:val="21"/>
          <w:lang w:val="en-GB"/>
        </w:rPr>
        <w:t>(</w:t>
      </w:r>
      <w:r>
        <w:rPr>
          <w:snapToGrid/>
          <w:szCs w:val="21"/>
          <w:lang w:val="en-GB"/>
        </w:rPr>
        <w:t>奥林匹克运动会、比赛、会演、会议、学术研讨会、体育竞赛等</w:t>
      </w:r>
      <w:r>
        <w:rPr>
          <w:snapToGrid/>
          <w:szCs w:val="21"/>
          <w:lang w:val="en-GB"/>
        </w:rPr>
        <w:t>)</w:t>
      </w:r>
      <w:r>
        <w:rPr>
          <w:snapToGrid/>
          <w:szCs w:val="21"/>
          <w:lang w:val="en-GB"/>
        </w:rPr>
        <w:t>的舞台。其中包括儿童和青年活动，这有利于对他们的教育和品格培养。</w:t>
      </w:r>
    </w:p>
    <w:p w:rsidR="00A93F62" w:rsidRDefault="00A93F62">
      <w:pPr>
        <w:tabs>
          <w:tab w:val="clear" w:pos="431"/>
        </w:tabs>
        <w:suppressAutoHyphens/>
        <w:overflowPunct/>
        <w:adjustRightInd/>
        <w:snapToGrid/>
        <w:spacing w:after="120" w:line="320" w:lineRule="atLeast"/>
        <w:ind w:left="1134" w:right="1134"/>
        <w:rPr>
          <w:snapToGrid/>
          <w:color w:val="FF0000"/>
          <w:szCs w:val="21"/>
          <w:lang w:val="en-GB"/>
        </w:rPr>
      </w:pPr>
      <w:r>
        <w:rPr>
          <w:snapToGrid/>
          <w:szCs w:val="21"/>
          <w:lang w:val="en-GB"/>
        </w:rPr>
        <w:t>334.</w:t>
      </w:r>
      <w:r>
        <w:rPr>
          <w:rFonts w:hint="eastAsia"/>
          <w:snapToGrid/>
          <w:szCs w:val="21"/>
          <w:lang w:val="en-GB"/>
        </w:rPr>
        <w:t xml:space="preserve">  </w:t>
      </w:r>
      <w:r>
        <w:rPr>
          <w:snapToGrid/>
          <w:szCs w:val="21"/>
          <w:lang w:val="en-GB"/>
        </w:rPr>
        <w:t>土库曼斯坦的国家和社会团体</w:t>
      </w:r>
      <w:r>
        <w:rPr>
          <w:snapToGrid/>
          <w:szCs w:val="21"/>
          <w:lang w:val="en-GB"/>
        </w:rPr>
        <w:t>(</w:t>
      </w:r>
      <w:r>
        <w:rPr>
          <w:snapToGrid/>
          <w:szCs w:val="21"/>
          <w:lang w:val="en-GB"/>
        </w:rPr>
        <w:t>青年协会、妇女协会等</w:t>
      </w:r>
      <w:r>
        <w:rPr>
          <w:snapToGrid/>
          <w:szCs w:val="21"/>
          <w:lang w:val="en-GB"/>
        </w:rPr>
        <w:t>)</w:t>
      </w:r>
      <w:r>
        <w:rPr>
          <w:snapToGrid/>
          <w:szCs w:val="21"/>
          <w:lang w:val="en-GB"/>
        </w:rPr>
        <w:t>，积极与派驻在土库曼斯坦的国际组织</w:t>
      </w:r>
      <w:r>
        <w:rPr>
          <w:snapToGrid/>
          <w:szCs w:val="21"/>
          <w:lang w:val="en-GB"/>
        </w:rPr>
        <w:t>(</w:t>
      </w:r>
      <w:r>
        <w:rPr>
          <w:snapToGrid/>
          <w:szCs w:val="21"/>
          <w:lang w:val="en-GB"/>
        </w:rPr>
        <w:t>联合国开发计划署、联合国儿童基金会、联合国人口基金、联合国难民署、国际移民组织、欧安组织</w:t>
      </w:r>
      <w:r>
        <w:rPr>
          <w:snapToGrid/>
          <w:szCs w:val="21"/>
          <w:lang w:val="en-GB"/>
        </w:rPr>
        <w:t>)</w:t>
      </w:r>
      <w:r>
        <w:rPr>
          <w:snapToGrid/>
          <w:szCs w:val="21"/>
          <w:lang w:val="en-GB"/>
        </w:rPr>
        <w:t>代表处合作，对儿童权利进行了大量的解释工作，包括对保护儿童权利的国际标准进行解释。定期出版该领域国际和国内标准法案，召开会议、研讨会、圆桌会议，并采取其他措施以提高居民对此的认知。</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335.</w:t>
      </w:r>
      <w:r>
        <w:rPr>
          <w:rFonts w:hint="eastAsia"/>
          <w:snapToGrid/>
          <w:szCs w:val="21"/>
          <w:lang w:val="en-GB"/>
        </w:rPr>
        <w:t xml:space="preserve">  </w:t>
      </w:r>
      <w:r>
        <w:rPr>
          <w:snapToGrid/>
          <w:szCs w:val="21"/>
          <w:lang w:val="en-GB"/>
        </w:rPr>
        <w:t>国家非常重视一系列国家纲要</w:t>
      </w:r>
      <w:r>
        <w:rPr>
          <w:snapToGrid/>
          <w:szCs w:val="21"/>
          <w:lang w:val="en-GB"/>
        </w:rPr>
        <w:t>(</w:t>
      </w:r>
      <w:r>
        <w:rPr>
          <w:snapToGrid/>
          <w:szCs w:val="21"/>
          <w:lang w:val="en-GB"/>
        </w:rPr>
        <w:t>《教育纲要》、《健康纲要》等</w:t>
      </w:r>
      <w:r>
        <w:rPr>
          <w:snapToGrid/>
          <w:szCs w:val="21"/>
          <w:lang w:val="en-GB"/>
        </w:rPr>
        <w:t>)</w:t>
      </w:r>
      <w:r>
        <w:rPr>
          <w:snapToGrid/>
          <w:szCs w:val="21"/>
          <w:lang w:val="en-GB"/>
        </w:rPr>
        <w:t>的实施，这些纲要致力于保障儿童的全面发展，维护儿童健康。驻土库曼斯坦的联合国代表处协助纲要的落实。联合国驻土库曼斯坦代表处根据</w:t>
      </w:r>
      <w:r>
        <w:rPr>
          <w:snapToGrid/>
          <w:color w:val="000000"/>
          <w:szCs w:val="21"/>
          <w:lang w:val="en-GB"/>
        </w:rPr>
        <w:t>《联合国</w:t>
      </w:r>
      <w:r>
        <w:rPr>
          <w:snapToGrid/>
          <w:color w:val="000000"/>
          <w:szCs w:val="21"/>
          <w:lang w:val="en-GB"/>
        </w:rPr>
        <w:t>2005-2009</w:t>
      </w:r>
      <w:r>
        <w:rPr>
          <w:snapToGrid/>
          <w:color w:val="000000"/>
          <w:szCs w:val="21"/>
          <w:lang w:val="en-GB"/>
        </w:rPr>
        <w:t>年促进发展框架纲领的行动计划》开展工作</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336.</w:t>
      </w:r>
      <w:r>
        <w:rPr>
          <w:rFonts w:hint="eastAsia"/>
          <w:snapToGrid/>
          <w:szCs w:val="21"/>
          <w:lang w:val="en-GB"/>
        </w:rPr>
        <w:t xml:space="preserve">  </w:t>
      </w:r>
      <w:r>
        <w:rPr>
          <w:snapToGrid/>
          <w:szCs w:val="21"/>
          <w:lang w:val="en-GB"/>
        </w:rPr>
        <w:t>为普及最新信息技术，政府和驻土库曼斯坦的联合国开发计划署代表处实施了《土库曼斯坦普及信息技术，推进人类可持续发展信息纲要》。在地方行政当局协助下，针对该纲要，在阿什哈巴德、土库曼巴什、巴尔卡纳巴特、杰真、马雷、达守古斯和谢尔达尔市开设了计算机教育中心。</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337.</w:t>
      </w:r>
      <w:r>
        <w:rPr>
          <w:rFonts w:hint="eastAsia"/>
          <w:snapToGrid/>
          <w:szCs w:val="21"/>
          <w:lang w:val="en-GB"/>
        </w:rPr>
        <w:t xml:space="preserve">  </w:t>
      </w:r>
      <w:r>
        <w:rPr>
          <w:snapToGrid/>
          <w:szCs w:val="21"/>
          <w:lang w:val="en-GB"/>
        </w:rPr>
        <w:t>联合国儿童基金会的教育计划主要体现在三个倡议上：儿童的早期发育，优质的中学教育，在学前教育机构和小学完善儿童友善环境。</w:t>
      </w:r>
    </w:p>
    <w:p w:rsidR="00A93F62" w:rsidRDefault="00A93F62">
      <w:pPr>
        <w:tabs>
          <w:tab w:val="clear" w:pos="431"/>
        </w:tabs>
        <w:suppressAutoHyphens/>
        <w:overflowPunct/>
        <w:adjustRightInd/>
        <w:snapToGrid/>
        <w:spacing w:after="120" w:line="240" w:lineRule="atLeast"/>
        <w:ind w:left="1134" w:right="1134"/>
        <w:rPr>
          <w:snapToGrid/>
          <w:color w:val="000000"/>
          <w:szCs w:val="21"/>
          <w:lang w:val="en-GB"/>
        </w:rPr>
      </w:pPr>
      <w:r>
        <w:rPr>
          <w:snapToGrid/>
          <w:szCs w:val="21"/>
          <w:lang w:val="en-GB"/>
        </w:rPr>
        <w:t>在土库曼斯坦教育部和联合国儿童基金会的共同努力下，制订并批准了儿童早期发育准则。此外，教育部与联合国儿童基金会、联合国教科文组织一起建立了儿童友爱学校。联合国人口基金援助的家庭式授课计划是政府于</w:t>
      </w:r>
      <w:r>
        <w:rPr>
          <w:snapToGrid/>
          <w:szCs w:val="21"/>
          <w:lang w:val="en-GB"/>
        </w:rPr>
        <w:t>1998</w:t>
      </w:r>
      <w:r>
        <w:rPr>
          <w:snapToGrid/>
          <w:szCs w:val="21"/>
          <w:lang w:val="en-GB"/>
        </w:rPr>
        <w:t>年制订和批准的。作为学校教育的课外活动，它促进了青少年生殖健康知识水平的提高。接受联合国人口基金援</w:t>
      </w:r>
      <w:r>
        <w:rPr>
          <w:snapToGrid/>
          <w:color w:val="000000"/>
          <w:szCs w:val="21"/>
          <w:lang w:val="en-GB"/>
        </w:rPr>
        <w:t>助经过培训的生物老师进行家庭式授课。</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338.</w:t>
      </w:r>
      <w:r>
        <w:rPr>
          <w:rFonts w:hint="eastAsia"/>
          <w:snapToGrid/>
          <w:szCs w:val="21"/>
          <w:lang w:val="en-GB"/>
        </w:rPr>
        <w:t xml:space="preserve">  </w:t>
      </w:r>
      <w:r>
        <w:rPr>
          <w:snapToGrid/>
          <w:szCs w:val="21"/>
          <w:lang w:val="en-GB"/>
        </w:rPr>
        <w:t>教育是联合国难民署援助计划的主要方向之一。</w:t>
      </w:r>
      <w:smartTag w:uri="urn:schemas-microsoft-com:office:smarttags" w:element="chsdate">
        <w:smartTagPr>
          <w:attr w:name="IsROCDate" w:val="False"/>
          <w:attr w:name="IsLunarDate" w:val="False"/>
          <w:attr w:name="Day" w:val="12"/>
          <w:attr w:name="Month" w:val="6"/>
          <w:attr w:name="Year" w:val="1997"/>
        </w:smartTagPr>
        <w:r>
          <w:rPr>
            <w:snapToGrid/>
            <w:szCs w:val="21"/>
            <w:lang w:val="en-GB"/>
          </w:rPr>
          <w:t>1997</w:t>
        </w:r>
        <w:r>
          <w:rPr>
            <w:snapToGrid/>
            <w:szCs w:val="21"/>
            <w:lang w:val="en-GB"/>
          </w:rPr>
          <w:t>年</w:t>
        </w:r>
        <w:r>
          <w:rPr>
            <w:snapToGrid/>
            <w:szCs w:val="21"/>
            <w:lang w:val="en-GB"/>
          </w:rPr>
          <w:t>6</w:t>
        </w:r>
        <w:r>
          <w:rPr>
            <w:snapToGrid/>
            <w:szCs w:val="21"/>
            <w:lang w:val="en-GB"/>
          </w:rPr>
          <w:t>月</w:t>
        </w:r>
        <w:r>
          <w:rPr>
            <w:snapToGrid/>
            <w:szCs w:val="21"/>
            <w:lang w:val="en-GB"/>
          </w:rPr>
          <w:t>12</w:t>
        </w:r>
        <w:r>
          <w:rPr>
            <w:snapToGrid/>
            <w:szCs w:val="21"/>
            <w:lang w:val="en-GB"/>
          </w:rPr>
          <w:t>日</w:t>
        </w:r>
      </w:smartTag>
      <w:r>
        <w:rPr>
          <w:snapToGrid/>
          <w:szCs w:val="21"/>
          <w:lang w:val="en-GB"/>
        </w:rPr>
        <w:t>，</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szCs w:val="21"/>
          <w:lang w:val="en-GB"/>
        </w:rPr>
        <w:t>土库曼斯坦议会批准了《</w:t>
      </w:r>
      <w:r>
        <w:rPr>
          <w:snapToGrid/>
          <w:szCs w:val="21"/>
          <w:lang w:val="en-GB"/>
        </w:rPr>
        <w:t>1951</w:t>
      </w:r>
      <w:r>
        <w:rPr>
          <w:snapToGrid/>
          <w:szCs w:val="21"/>
          <w:lang w:val="en-GB"/>
        </w:rPr>
        <w:t>年关于难民地位的公约》及其《</w:t>
      </w:r>
      <w:r>
        <w:rPr>
          <w:snapToGrid/>
          <w:szCs w:val="21"/>
          <w:lang w:val="en-GB"/>
        </w:rPr>
        <w:t>1967</w:t>
      </w:r>
      <w:r>
        <w:rPr>
          <w:snapToGrid/>
          <w:szCs w:val="21"/>
          <w:lang w:val="en-GB"/>
        </w:rPr>
        <w:t>年议定书》。这些国际文件的重要规则都纳入了</w:t>
      </w:r>
      <w:smartTag w:uri="urn:schemas-microsoft-com:office:smarttags" w:element="chsdate">
        <w:smartTagPr>
          <w:attr w:name="IsROCDate" w:val="False"/>
          <w:attr w:name="IsLunarDate" w:val="False"/>
          <w:attr w:name="Day" w:val="12"/>
          <w:attr w:name="Month" w:val="6"/>
          <w:attr w:name="Year" w:val="1997"/>
        </w:smartTagPr>
        <w:r>
          <w:rPr>
            <w:snapToGrid/>
            <w:szCs w:val="21"/>
            <w:lang w:val="en-GB"/>
          </w:rPr>
          <w:t>1997</w:t>
        </w:r>
        <w:r>
          <w:rPr>
            <w:snapToGrid/>
            <w:szCs w:val="21"/>
            <w:lang w:val="en-GB"/>
          </w:rPr>
          <w:t>年</w:t>
        </w:r>
        <w:r>
          <w:rPr>
            <w:snapToGrid/>
            <w:szCs w:val="21"/>
            <w:lang w:val="en-GB"/>
          </w:rPr>
          <w:t>6</w:t>
        </w:r>
        <w:r>
          <w:rPr>
            <w:snapToGrid/>
            <w:szCs w:val="21"/>
            <w:lang w:val="en-GB"/>
          </w:rPr>
          <w:t>月</w:t>
        </w:r>
        <w:r>
          <w:rPr>
            <w:snapToGrid/>
            <w:szCs w:val="21"/>
            <w:lang w:val="en-GB"/>
          </w:rPr>
          <w:t>12</w:t>
        </w:r>
        <w:r>
          <w:rPr>
            <w:snapToGrid/>
            <w:szCs w:val="21"/>
            <w:lang w:val="en-GB"/>
          </w:rPr>
          <w:t>日</w:t>
        </w:r>
      </w:smartTag>
      <w:r>
        <w:rPr>
          <w:snapToGrid/>
          <w:szCs w:val="21"/>
          <w:lang w:val="en-GB"/>
        </w:rPr>
        <w:t>通过的《土库曼斯坦难民法》。该法就难民</w:t>
      </w:r>
      <w:r>
        <w:rPr>
          <w:snapToGrid/>
          <w:szCs w:val="21"/>
          <w:lang w:val="en-GB"/>
        </w:rPr>
        <w:t>(</w:t>
      </w:r>
      <w:r>
        <w:rPr>
          <w:snapToGrid/>
          <w:szCs w:val="21"/>
          <w:lang w:val="en-GB"/>
        </w:rPr>
        <w:t>包括难民儿童</w:t>
      </w:r>
      <w:r>
        <w:rPr>
          <w:snapToGrid/>
          <w:szCs w:val="21"/>
          <w:lang w:val="en-GB"/>
        </w:rPr>
        <w:t>)</w:t>
      </w:r>
      <w:r>
        <w:rPr>
          <w:snapToGrid/>
          <w:szCs w:val="21"/>
          <w:lang w:val="en-GB"/>
        </w:rPr>
        <w:t>法律地位在内的所有问题进行了规定。</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339.</w:t>
      </w:r>
      <w:r>
        <w:rPr>
          <w:rFonts w:hint="eastAsia"/>
          <w:snapToGrid/>
          <w:szCs w:val="21"/>
          <w:lang w:val="en-GB"/>
        </w:rPr>
        <w:t xml:space="preserve">  </w:t>
      </w:r>
      <w:r>
        <w:rPr>
          <w:snapToGrid/>
          <w:szCs w:val="21"/>
          <w:lang w:val="en-GB"/>
        </w:rPr>
        <w:t>土库曼斯坦在《欧洲大学教育流动计划》框架内，与欧盟在高等教育领域进行合作。计划涵盖通过各种合作对高等教育体制进行改革的主要优先方向，旨在促进各级高等院校的改革。从</w:t>
      </w:r>
      <w:r>
        <w:rPr>
          <w:snapToGrid/>
          <w:szCs w:val="21"/>
          <w:lang w:val="en-GB"/>
        </w:rPr>
        <w:t>1996</w:t>
      </w:r>
      <w:r>
        <w:rPr>
          <w:snapToGrid/>
          <w:szCs w:val="21"/>
          <w:lang w:val="en-GB"/>
        </w:rPr>
        <w:t>年起，土库曼斯坦高等院校就积极地参加了该计划。该计划的欧盟伙伴包括德国、法国、大不列颠、比利时、苏格兰、西班牙、葡萄牙、丹麦和荷兰的高等院校。</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340.</w:t>
      </w:r>
      <w:r>
        <w:rPr>
          <w:rFonts w:hint="eastAsia"/>
          <w:snapToGrid/>
          <w:szCs w:val="21"/>
          <w:lang w:val="en-GB"/>
        </w:rPr>
        <w:t xml:space="preserve">  </w:t>
      </w:r>
      <w:r>
        <w:rPr>
          <w:snapToGrid/>
          <w:spacing w:val="2"/>
          <w:szCs w:val="21"/>
          <w:lang w:val="en-GB"/>
        </w:rPr>
        <w:t>1997</w:t>
      </w:r>
      <w:r>
        <w:rPr>
          <w:snapToGrid/>
          <w:spacing w:val="2"/>
          <w:szCs w:val="21"/>
          <w:lang w:val="en-GB"/>
        </w:rPr>
        <w:t>年到</w:t>
      </w:r>
      <w:r>
        <w:rPr>
          <w:snapToGrid/>
          <w:spacing w:val="2"/>
          <w:szCs w:val="21"/>
          <w:lang w:val="en-GB"/>
        </w:rPr>
        <w:t>2007</w:t>
      </w:r>
      <w:r>
        <w:rPr>
          <w:snapToGrid/>
          <w:spacing w:val="2"/>
          <w:szCs w:val="21"/>
          <w:lang w:val="en-GB"/>
        </w:rPr>
        <w:t>年，《欧洲大学教育流动计划》的</w:t>
      </w:r>
      <w:r>
        <w:rPr>
          <w:snapToGrid/>
          <w:spacing w:val="2"/>
          <w:szCs w:val="21"/>
          <w:lang w:val="en-GB"/>
        </w:rPr>
        <w:t>30</w:t>
      </w:r>
      <w:r>
        <w:rPr>
          <w:snapToGrid/>
          <w:spacing w:val="2"/>
          <w:szCs w:val="21"/>
          <w:lang w:val="en-GB"/>
        </w:rPr>
        <w:t>个项目在土库曼斯坦的高等院校得以实施，其中的</w:t>
      </w:r>
      <w:r>
        <w:rPr>
          <w:snapToGrid/>
          <w:spacing w:val="2"/>
          <w:szCs w:val="21"/>
          <w:lang w:val="en-GB"/>
        </w:rPr>
        <w:t>12</w:t>
      </w:r>
      <w:r>
        <w:rPr>
          <w:snapToGrid/>
          <w:spacing w:val="2"/>
          <w:szCs w:val="21"/>
          <w:lang w:val="en-GB"/>
        </w:rPr>
        <w:t>个项目仍在实行。</w:t>
      </w:r>
      <w:r>
        <w:rPr>
          <w:snapToGrid/>
          <w:spacing w:val="2"/>
          <w:szCs w:val="21"/>
          <w:lang w:val="en-GB"/>
        </w:rPr>
        <w:t>12</w:t>
      </w:r>
      <w:r>
        <w:rPr>
          <w:snapToGrid/>
          <w:spacing w:val="2"/>
          <w:szCs w:val="21"/>
          <w:lang w:val="en-GB"/>
        </w:rPr>
        <w:t>个项目的拨款总额超过</w:t>
      </w:r>
      <w:r>
        <w:rPr>
          <w:snapToGrid/>
          <w:szCs w:val="21"/>
          <w:lang w:val="en-GB"/>
        </w:rPr>
        <w:t>3 000 000</w:t>
      </w:r>
      <w:r>
        <w:rPr>
          <w:snapToGrid/>
          <w:szCs w:val="21"/>
          <w:lang w:val="en-GB"/>
        </w:rPr>
        <w:t>欧元。围绕这些项目，为土库曼斯坦以</w:t>
      </w:r>
      <w:r>
        <w:rPr>
          <w:snapToGrid/>
          <w:szCs w:val="21"/>
          <w:lang w:val="en-GB"/>
        </w:rPr>
        <w:t>D.</w:t>
      </w:r>
      <w:r>
        <w:rPr>
          <w:snapToGrid/>
          <w:szCs w:val="21"/>
          <w:lang w:val="en-GB"/>
        </w:rPr>
        <w:t>阿扎季的名字命名的外国语学院配备了同声传译工作室，为土库曼斯坦运输和通信学院购买和安装了</w:t>
      </w:r>
      <w:r>
        <w:rPr>
          <w:snapToGrid/>
          <w:szCs w:val="21"/>
          <w:lang w:val="en-GB"/>
        </w:rPr>
        <w:t>TR1510</w:t>
      </w:r>
      <w:r>
        <w:rPr>
          <w:snapToGrid/>
          <w:szCs w:val="21"/>
          <w:lang w:val="en-GB"/>
        </w:rPr>
        <w:t>型轻型印刷机。围绕</w:t>
      </w:r>
      <w:r>
        <w:rPr>
          <w:snapToGrid/>
          <w:szCs w:val="21"/>
          <w:lang w:val="en-GB"/>
        </w:rPr>
        <w:t>“</w:t>
      </w:r>
      <w:r>
        <w:rPr>
          <w:snapToGrid/>
          <w:szCs w:val="21"/>
          <w:lang w:val="en-GB"/>
        </w:rPr>
        <w:t>土库曼斯坦马赫图姆库里国立大学图书馆现代化</w:t>
      </w:r>
      <w:r>
        <w:rPr>
          <w:snapToGrid/>
          <w:szCs w:val="21"/>
          <w:lang w:val="en-GB"/>
        </w:rPr>
        <w:t>”</w:t>
      </w:r>
      <w:r>
        <w:rPr>
          <w:snapToGrid/>
          <w:szCs w:val="21"/>
          <w:lang w:val="en-GB"/>
        </w:rPr>
        <w:t>计划，</w:t>
      </w:r>
      <w:r>
        <w:rPr>
          <w:snapToGrid/>
          <w:szCs w:val="21"/>
          <w:lang w:val="en-GB"/>
        </w:rPr>
        <w:t>2006</w:t>
      </w:r>
      <w:r>
        <w:rPr>
          <w:snapToGrid/>
          <w:szCs w:val="21"/>
          <w:lang w:val="en-GB"/>
        </w:rPr>
        <w:t>年与法国和葡萄牙的欧洲伙伴一起，在土库曼斯坦马赫图姆库里国立大学建立了现代化的图书馆，接入互联网的局域网。还是在</w:t>
      </w:r>
      <w:r>
        <w:rPr>
          <w:snapToGrid/>
          <w:szCs w:val="21"/>
          <w:lang w:val="en-GB"/>
        </w:rPr>
        <w:t>2006</w:t>
      </w:r>
      <w:r>
        <w:rPr>
          <w:snapToGrid/>
          <w:szCs w:val="21"/>
          <w:lang w:val="en-GB"/>
        </w:rPr>
        <w:t>年，在法国、葡萄牙和西班牙的欧洲伙伴援助下，在土库曼斯坦国立经济管理学院建立了</w:t>
      </w:r>
      <w:r>
        <w:rPr>
          <w:snapToGrid/>
          <w:szCs w:val="21"/>
          <w:lang w:val="en-GB"/>
        </w:rPr>
        <w:t>“</w:t>
      </w:r>
      <w:r>
        <w:rPr>
          <w:snapToGrid/>
          <w:szCs w:val="21"/>
          <w:lang w:val="en-GB"/>
        </w:rPr>
        <w:t>土库曼斯坦经济培训中心</w:t>
      </w:r>
      <w:r>
        <w:rPr>
          <w:snapToGrid/>
          <w:szCs w:val="21"/>
          <w:lang w:val="en-GB"/>
        </w:rPr>
        <w:t>”</w:t>
      </w:r>
      <w:r>
        <w:rPr>
          <w:snapToGrid/>
          <w:szCs w:val="21"/>
          <w:lang w:val="en-GB"/>
        </w:rPr>
        <w:t>，至今仍进行土库曼斯坦公务员的培训。</w:t>
      </w:r>
      <w:r>
        <w:rPr>
          <w:snapToGrid/>
          <w:szCs w:val="21"/>
          <w:lang w:val="en-GB"/>
        </w:rPr>
        <w:t>2007</w:t>
      </w:r>
      <w:r>
        <w:rPr>
          <w:snapToGrid/>
          <w:szCs w:val="21"/>
          <w:lang w:val="en-GB"/>
        </w:rPr>
        <w:t>年，在土库曼斯坦以</w:t>
      </w:r>
      <w:r>
        <w:rPr>
          <w:snapToGrid/>
          <w:szCs w:val="21"/>
          <w:lang w:val="en-GB"/>
        </w:rPr>
        <w:t>D.</w:t>
      </w:r>
      <w:r>
        <w:rPr>
          <w:snapToGrid/>
          <w:szCs w:val="21"/>
          <w:lang w:val="en-GB"/>
        </w:rPr>
        <w:t>阿扎季的名字命名的外国语学院，设立了西班牙、苏格兰高等院校参与的</w:t>
      </w:r>
      <w:r>
        <w:rPr>
          <w:snapToGrid/>
          <w:szCs w:val="21"/>
          <w:lang w:val="en-GB"/>
        </w:rPr>
        <w:t>“</w:t>
      </w:r>
      <w:r>
        <w:rPr>
          <w:snapToGrid/>
          <w:szCs w:val="21"/>
          <w:lang w:val="en-GB"/>
        </w:rPr>
        <w:t>专业英语教师培训</w:t>
      </w:r>
      <w:r>
        <w:rPr>
          <w:snapToGrid/>
          <w:szCs w:val="21"/>
          <w:lang w:val="en-GB"/>
        </w:rPr>
        <w:t>”</w:t>
      </w:r>
      <w:r>
        <w:rPr>
          <w:snapToGrid/>
          <w:szCs w:val="21"/>
          <w:lang w:val="en-GB"/>
        </w:rPr>
        <w:t>翻译中心。中心配备有现代化的设备和翻译软件，可以大大减轻教师的工作，帮助学生的学习。</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341.</w:t>
      </w:r>
      <w:r>
        <w:rPr>
          <w:rFonts w:hint="eastAsia"/>
          <w:snapToGrid/>
          <w:szCs w:val="21"/>
          <w:lang w:val="en-GB"/>
        </w:rPr>
        <w:t xml:space="preserve">  </w:t>
      </w:r>
      <w:r>
        <w:rPr>
          <w:snapToGrid/>
          <w:szCs w:val="21"/>
          <w:lang w:val="en-GB"/>
        </w:rPr>
        <w:t>土库曼斯坦和欧盟伙伴之间的互访，促进了项目的成功实施。访问期间，专家交流高等教育领域的工作经验。从</w:t>
      </w:r>
      <w:r>
        <w:rPr>
          <w:snapToGrid/>
          <w:szCs w:val="21"/>
          <w:lang w:val="en-GB"/>
        </w:rPr>
        <w:t>2007</w:t>
      </w:r>
      <w:r>
        <w:rPr>
          <w:snapToGrid/>
          <w:szCs w:val="21"/>
          <w:lang w:val="en-GB"/>
        </w:rPr>
        <w:t>年初至今，</w:t>
      </w:r>
      <w:r>
        <w:rPr>
          <w:snapToGrid/>
          <w:szCs w:val="21"/>
          <w:lang w:val="en-GB"/>
        </w:rPr>
        <w:t>50</w:t>
      </w:r>
      <w:r>
        <w:rPr>
          <w:snapToGrid/>
          <w:szCs w:val="21"/>
          <w:lang w:val="en-GB"/>
        </w:rPr>
        <w:t>多名上述高等院校的教师已访问土库曼斯坦高等院校，双方进行了共同的学习和讨论。</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342.</w:t>
      </w:r>
      <w:r>
        <w:rPr>
          <w:rFonts w:hint="eastAsia"/>
          <w:snapToGrid/>
          <w:szCs w:val="21"/>
          <w:lang w:val="en-GB"/>
        </w:rPr>
        <w:t xml:space="preserve">  </w:t>
      </w:r>
      <w:r>
        <w:rPr>
          <w:snapToGrid/>
          <w:szCs w:val="21"/>
          <w:lang w:val="en-GB"/>
        </w:rPr>
        <w:t>从</w:t>
      </w:r>
      <w:r>
        <w:rPr>
          <w:snapToGrid/>
          <w:szCs w:val="21"/>
          <w:lang w:val="en-GB"/>
        </w:rPr>
        <w:t>2000</w:t>
      </w:r>
      <w:r>
        <w:rPr>
          <w:snapToGrid/>
          <w:szCs w:val="21"/>
          <w:lang w:val="en-GB"/>
        </w:rPr>
        <w:t>年开始，土库曼斯坦教育部每年都与欧盟教育文化总司及欧洲教育基金会一起，举办《欧洲大学教育流动计划》通报日活动。土库曼斯坦高等院校的代表，欧盟教育文化总司、欧洲教育基金会和欧洲大学教育流动计划相关部门的专家，都积极地参加到这项活动中。</w:t>
      </w:r>
    </w:p>
    <w:p w:rsidR="00A93F62" w:rsidRDefault="00A93F62">
      <w:pPr>
        <w:pStyle w:val="H1GC"/>
        <w:rPr>
          <w:snapToGrid/>
          <w:lang w:val="en-GB"/>
        </w:rPr>
      </w:pPr>
      <w:r>
        <w:rPr>
          <w:rFonts w:hint="eastAsia"/>
          <w:snapToGrid/>
          <w:lang w:val="en-GB"/>
        </w:rPr>
        <w:tab/>
      </w:r>
      <w:r>
        <w:rPr>
          <w:rFonts w:hint="eastAsia"/>
          <w:snapToGrid/>
          <w:lang w:val="en-GB"/>
        </w:rPr>
        <w:tab/>
      </w:r>
      <w:r>
        <w:rPr>
          <w:snapToGrid/>
          <w:lang w:val="en-GB"/>
        </w:rPr>
        <w:t>第十四条</w:t>
      </w:r>
      <w:r>
        <w:rPr>
          <w:snapToGrid/>
          <w:lang w:val="en-GB"/>
        </w:rPr>
        <w:t xml:space="preserve"> </w:t>
      </w:r>
      <w:r>
        <w:rPr>
          <w:rFonts w:hint="eastAsia"/>
          <w:snapToGrid/>
          <w:lang w:val="en-GB"/>
        </w:rPr>
        <w:br/>
      </w:r>
      <w:r>
        <w:rPr>
          <w:snapToGrid/>
          <w:lang w:val="en-GB"/>
        </w:rPr>
        <w:t>免费义务教育权</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343.</w:t>
      </w:r>
      <w:r>
        <w:rPr>
          <w:rFonts w:hint="eastAsia"/>
          <w:snapToGrid/>
          <w:szCs w:val="21"/>
          <w:lang w:val="en-GB"/>
        </w:rPr>
        <w:t xml:space="preserve">  </w:t>
      </w:r>
      <w:r>
        <w:rPr>
          <w:snapToGrid/>
          <w:szCs w:val="21"/>
          <w:lang w:val="en-GB"/>
        </w:rPr>
        <w:t>根据《土库曼斯坦宪法》第</w:t>
      </w:r>
      <w:r>
        <w:rPr>
          <w:snapToGrid/>
          <w:szCs w:val="21"/>
          <w:lang w:val="en-GB"/>
        </w:rPr>
        <w:t>38</w:t>
      </w:r>
      <w:r>
        <w:rPr>
          <w:snapToGrid/>
          <w:szCs w:val="21"/>
          <w:lang w:val="en-GB"/>
        </w:rPr>
        <w:t>条，普通中等教育属于义务教育，每个人都有权在国立中学接受免费教育。国有和非国有单位、公民有权从事有偿教育工作。</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344.</w:t>
      </w:r>
      <w:r>
        <w:rPr>
          <w:rFonts w:hint="eastAsia"/>
          <w:snapToGrid/>
          <w:szCs w:val="21"/>
          <w:lang w:val="en-GB"/>
        </w:rPr>
        <w:t xml:space="preserve">  </w:t>
      </w:r>
      <w:r>
        <w:rPr>
          <w:snapToGrid/>
          <w:szCs w:val="21"/>
          <w:lang w:val="en-GB"/>
        </w:rPr>
        <w:t>根据《土库曼斯坦教育法》第</w:t>
      </w:r>
      <w:r>
        <w:rPr>
          <w:snapToGrid/>
          <w:szCs w:val="21"/>
          <w:lang w:val="en-GB"/>
        </w:rPr>
        <w:t>31</w:t>
      </w:r>
      <w:r>
        <w:rPr>
          <w:snapToGrid/>
          <w:szCs w:val="21"/>
          <w:lang w:val="en-GB"/>
        </w:rPr>
        <w:t>条规定，由教育机构的物质技术保障和财务保障批准标准确定的国家预算拨款，是教育系统的主要资金来源。还有企业、社会团体和个人无偿或以从事工作与提供服务</w:t>
      </w:r>
      <w:r>
        <w:rPr>
          <w:snapToGrid/>
          <w:szCs w:val="21"/>
          <w:lang w:val="en-GB"/>
        </w:rPr>
        <w:t>(</w:t>
      </w:r>
      <w:r>
        <w:rPr>
          <w:snapToGrid/>
          <w:szCs w:val="21"/>
          <w:lang w:val="en-GB"/>
        </w:rPr>
        <w:t>包括专家的教育和培训</w:t>
      </w:r>
      <w:r>
        <w:rPr>
          <w:snapToGrid/>
          <w:szCs w:val="21"/>
          <w:lang w:val="en-GB"/>
        </w:rPr>
        <w:t>)</w:t>
      </w:r>
      <w:r>
        <w:rPr>
          <w:snapToGrid/>
          <w:szCs w:val="21"/>
          <w:lang w:val="en-GB"/>
        </w:rPr>
        <w:t>的报酬形式转交的资金，也作为教育系统院校和其它机构的额外资金来源。</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345.</w:t>
      </w:r>
      <w:r>
        <w:rPr>
          <w:rFonts w:hint="eastAsia"/>
          <w:snapToGrid/>
          <w:szCs w:val="21"/>
          <w:lang w:val="en-GB"/>
        </w:rPr>
        <w:t xml:space="preserve">  </w:t>
      </w:r>
      <w:r>
        <w:rPr>
          <w:snapToGrid/>
          <w:szCs w:val="21"/>
          <w:lang w:val="en-GB"/>
        </w:rPr>
        <w:t>在国家院校，向学生和大学生征收学费、在教学计划中已支付的学院其它服务费，是不允许的。</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346.</w:t>
      </w:r>
      <w:r>
        <w:rPr>
          <w:rFonts w:hint="eastAsia"/>
          <w:snapToGrid/>
          <w:szCs w:val="21"/>
          <w:lang w:val="en-GB"/>
        </w:rPr>
        <w:t xml:space="preserve">  </w:t>
      </w:r>
      <w:r>
        <w:rPr>
          <w:snapToGrid/>
          <w:szCs w:val="21"/>
          <w:lang w:val="en-GB"/>
        </w:rPr>
        <w:t>实施国家标准教学大纲的有偿教育机构，依照国家教育机构的相应形式和类别，得到教育标准方面的国家援助。</w:t>
      </w:r>
    </w:p>
    <w:p w:rsidR="00A93F62" w:rsidRDefault="00A93F62">
      <w:pPr>
        <w:pStyle w:val="H1GC"/>
        <w:rPr>
          <w:snapToGrid/>
          <w:lang w:val="en-GB"/>
        </w:rPr>
      </w:pPr>
      <w:r>
        <w:rPr>
          <w:rFonts w:hint="eastAsia"/>
          <w:snapToGrid/>
          <w:lang w:val="en-GB"/>
        </w:rPr>
        <w:tab/>
      </w:r>
      <w:r>
        <w:rPr>
          <w:rFonts w:hint="eastAsia"/>
          <w:snapToGrid/>
          <w:lang w:val="en-GB"/>
        </w:rPr>
        <w:tab/>
      </w:r>
      <w:r>
        <w:rPr>
          <w:snapToGrid/>
          <w:lang w:val="en-GB"/>
        </w:rPr>
        <w:t>第十五条</w:t>
      </w:r>
      <w:r>
        <w:rPr>
          <w:snapToGrid/>
          <w:lang w:val="en-GB"/>
        </w:rPr>
        <w:t xml:space="preserve"> </w:t>
      </w:r>
      <w:r>
        <w:rPr>
          <w:rFonts w:hint="eastAsia"/>
          <w:snapToGrid/>
          <w:lang w:val="en-GB"/>
        </w:rPr>
        <w:br/>
      </w:r>
      <w:r>
        <w:rPr>
          <w:snapToGrid/>
          <w:lang w:val="en-GB"/>
        </w:rPr>
        <w:t>参</w:t>
      </w:r>
      <w:r>
        <w:rPr>
          <w:rFonts w:hint="eastAsia"/>
          <w:snapToGrid/>
          <w:lang w:val="en-GB"/>
        </w:rPr>
        <w:t>加</w:t>
      </w:r>
      <w:r>
        <w:rPr>
          <w:snapToGrid/>
          <w:lang w:val="en-GB"/>
        </w:rPr>
        <w:t>文化生活的权利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347.</w:t>
      </w:r>
      <w:r>
        <w:rPr>
          <w:rFonts w:hint="eastAsia"/>
          <w:snapToGrid/>
          <w:szCs w:val="21"/>
          <w:lang w:val="en-GB"/>
        </w:rPr>
        <w:t xml:space="preserve">  </w:t>
      </w:r>
      <w:r>
        <w:rPr>
          <w:snapToGrid/>
          <w:szCs w:val="21"/>
          <w:lang w:val="en-GB"/>
        </w:rPr>
        <w:t>根据《土库曼斯坦宪法》第</w:t>
      </w:r>
      <w:r>
        <w:rPr>
          <w:snapToGrid/>
          <w:szCs w:val="21"/>
          <w:lang w:val="en-GB"/>
        </w:rPr>
        <w:t>11</w:t>
      </w:r>
      <w:r>
        <w:rPr>
          <w:snapToGrid/>
          <w:szCs w:val="21"/>
          <w:lang w:val="en-GB"/>
        </w:rPr>
        <w:t>条，国家负责保护民族历史文化遗产，自然环境。保障社会、民族的平等一致。国家鼓励科学创新、艺术创作及其成果的普及。促进科学、文化、培养和教育、运动和旅游领域的国际合作发展。</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348.</w:t>
      </w:r>
      <w:r>
        <w:rPr>
          <w:rFonts w:hint="eastAsia"/>
          <w:snapToGrid/>
          <w:szCs w:val="21"/>
          <w:lang w:val="en-GB"/>
        </w:rPr>
        <w:t xml:space="preserve">  </w:t>
      </w:r>
      <w:r>
        <w:rPr>
          <w:snapToGrid/>
          <w:szCs w:val="21"/>
          <w:lang w:val="en-GB"/>
        </w:rPr>
        <w:t>土库曼斯坦公民有自由进行艺术创作和科技创新的权利。在科技创新，艺术、文学和文化活动中，公民的著作权和利益受法律保护。国家协助科学、文化、艺术、民间创作的发展</w:t>
      </w:r>
      <w:r>
        <w:rPr>
          <w:snapToGrid/>
          <w:szCs w:val="21"/>
          <w:lang w:val="en-GB"/>
        </w:rPr>
        <w:t>(</w:t>
      </w:r>
      <w:r>
        <w:rPr>
          <w:snapToGrid/>
          <w:szCs w:val="21"/>
          <w:lang w:val="en-GB"/>
        </w:rPr>
        <w:t>《土库曼斯坦宪法》第</w:t>
      </w:r>
      <w:r>
        <w:rPr>
          <w:snapToGrid/>
          <w:szCs w:val="21"/>
          <w:lang w:val="en-GB"/>
        </w:rPr>
        <w:t>39</w:t>
      </w:r>
      <w:r>
        <w:rPr>
          <w:snapToGrid/>
          <w:szCs w:val="21"/>
          <w:lang w:val="en-GB"/>
        </w:rPr>
        <w:t>条</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349.</w:t>
      </w:r>
      <w:r>
        <w:rPr>
          <w:rFonts w:hint="eastAsia"/>
          <w:snapToGrid/>
          <w:szCs w:val="21"/>
          <w:lang w:val="en-GB"/>
        </w:rPr>
        <w:t xml:space="preserve">  </w:t>
      </w:r>
      <w:r>
        <w:rPr>
          <w:snapToGrid/>
          <w:szCs w:val="21"/>
          <w:lang w:val="en-GB"/>
        </w:rPr>
        <w:t>通过保护、承认、保障、鼓励发展和丰富其多重价值来发展土库曼斯坦文化，仍是土库曼斯坦政府政策的主要目的。在目前的全球化国际交往中，保持和丰富民族文化特色，是一个很重要的任务。《</w:t>
      </w:r>
      <w:r>
        <w:rPr>
          <w:snapToGrid/>
          <w:color w:val="000000"/>
          <w:szCs w:val="21"/>
          <w:lang w:val="en-GB"/>
        </w:rPr>
        <w:t>土库曼斯坦至</w:t>
      </w:r>
      <w:r>
        <w:rPr>
          <w:snapToGrid/>
          <w:color w:val="000000"/>
          <w:szCs w:val="21"/>
          <w:lang w:val="en-GB"/>
        </w:rPr>
        <w:t>2020</w:t>
      </w:r>
      <w:r>
        <w:rPr>
          <w:snapToGrid/>
          <w:color w:val="000000"/>
          <w:szCs w:val="21"/>
          <w:lang w:val="en-GB"/>
        </w:rPr>
        <w:t>年经济、政治和文化发展战略</w:t>
      </w:r>
      <w:r>
        <w:rPr>
          <w:snapToGrid/>
          <w:szCs w:val="21"/>
          <w:lang w:val="en-GB"/>
        </w:rPr>
        <w:t>》国家纲要力图实现这个目标。</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350.</w:t>
      </w:r>
      <w:r>
        <w:rPr>
          <w:rFonts w:hint="eastAsia"/>
          <w:snapToGrid/>
          <w:szCs w:val="21"/>
          <w:lang w:val="en-GB"/>
        </w:rPr>
        <w:t xml:space="preserve">  </w:t>
      </w:r>
      <w:r>
        <w:rPr>
          <w:snapToGrid/>
          <w:szCs w:val="21"/>
          <w:lang w:val="en-GB"/>
        </w:rPr>
        <w:t>为落实国家政策，力图发展文化、艺术、文学、科学、媒体和体育，以实现每个人参与土库曼斯坦文化生活的权利，施行了《土库曼斯坦保护土库曼斯坦历史文物和文化古迹法》</w:t>
      </w:r>
      <w:r>
        <w:rPr>
          <w:snapToGrid/>
          <w:szCs w:val="21"/>
          <w:lang w:val="en-GB"/>
        </w:rPr>
        <w:t>(</w:t>
      </w:r>
      <w:smartTag w:uri="urn:schemas-microsoft-com:office:smarttags" w:element="chsdate">
        <w:smartTagPr>
          <w:attr w:name="IsROCDate" w:val="False"/>
          <w:attr w:name="IsLunarDate" w:val="False"/>
          <w:attr w:name="Day" w:val="19"/>
          <w:attr w:name="Month" w:val="2"/>
          <w:attr w:name="Year" w:val="1992"/>
        </w:smartTagPr>
        <w:r>
          <w:rPr>
            <w:snapToGrid/>
            <w:szCs w:val="21"/>
            <w:lang w:val="en-GB"/>
          </w:rPr>
          <w:t>1992</w:t>
        </w:r>
        <w:r>
          <w:rPr>
            <w:snapToGrid/>
            <w:szCs w:val="21"/>
            <w:lang w:val="en-GB"/>
          </w:rPr>
          <w:t>年</w:t>
        </w:r>
        <w:r>
          <w:rPr>
            <w:snapToGrid/>
            <w:szCs w:val="21"/>
            <w:lang w:val="en-GB"/>
          </w:rPr>
          <w:t>2</w:t>
        </w:r>
        <w:r>
          <w:rPr>
            <w:snapToGrid/>
            <w:szCs w:val="21"/>
            <w:lang w:val="en-GB"/>
          </w:rPr>
          <w:t>月</w:t>
        </w:r>
        <w:r>
          <w:rPr>
            <w:snapToGrid/>
            <w:szCs w:val="21"/>
            <w:lang w:val="en-GB"/>
          </w:rPr>
          <w:t>19</w:t>
        </w:r>
        <w:r>
          <w:rPr>
            <w:snapToGrid/>
            <w:szCs w:val="21"/>
            <w:lang w:val="en-GB"/>
          </w:rPr>
          <w:t>日</w:t>
        </w:r>
      </w:smartTag>
      <w:r>
        <w:rPr>
          <w:snapToGrid/>
          <w:szCs w:val="21"/>
          <w:lang w:val="en-GB"/>
        </w:rPr>
        <w:t>)</w:t>
      </w:r>
      <w:r>
        <w:rPr>
          <w:snapToGrid/>
          <w:szCs w:val="21"/>
          <w:lang w:val="en-GB"/>
        </w:rPr>
        <w:t>，《土库曼斯坦国家科技政策法》</w:t>
      </w:r>
      <w:r>
        <w:rPr>
          <w:snapToGrid/>
          <w:szCs w:val="21"/>
          <w:lang w:val="en-GB"/>
        </w:rPr>
        <w:t>(</w:t>
      </w:r>
      <w:smartTag w:uri="urn:schemas-microsoft-com:office:smarttags" w:element="chsdate">
        <w:smartTagPr>
          <w:attr w:name="IsROCDate" w:val="False"/>
          <w:attr w:name="IsLunarDate" w:val="False"/>
          <w:attr w:name="Day" w:val="19"/>
          <w:attr w:name="Month" w:val="2"/>
          <w:attr w:name="Year" w:val="1992"/>
        </w:smartTagPr>
        <w:r>
          <w:rPr>
            <w:snapToGrid/>
            <w:szCs w:val="21"/>
            <w:lang w:val="en-GB"/>
          </w:rPr>
          <w:t>1992</w:t>
        </w:r>
        <w:r>
          <w:rPr>
            <w:snapToGrid/>
            <w:szCs w:val="21"/>
            <w:lang w:val="en-GB"/>
          </w:rPr>
          <w:t>年</w:t>
        </w:r>
        <w:r>
          <w:rPr>
            <w:snapToGrid/>
            <w:szCs w:val="21"/>
            <w:lang w:val="en-GB"/>
          </w:rPr>
          <w:t>2</w:t>
        </w:r>
        <w:r>
          <w:rPr>
            <w:snapToGrid/>
            <w:szCs w:val="21"/>
            <w:lang w:val="en-GB"/>
          </w:rPr>
          <w:t>月</w:t>
        </w:r>
        <w:r>
          <w:rPr>
            <w:snapToGrid/>
            <w:szCs w:val="21"/>
            <w:lang w:val="en-GB"/>
          </w:rPr>
          <w:t>19</w:t>
        </w:r>
        <w:r>
          <w:rPr>
            <w:snapToGrid/>
            <w:szCs w:val="21"/>
            <w:lang w:val="en-GB"/>
          </w:rPr>
          <w:t>日</w:t>
        </w:r>
      </w:smartTag>
      <w:r>
        <w:rPr>
          <w:snapToGrid/>
          <w:szCs w:val="21"/>
          <w:lang w:val="en-GB"/>
        </w:rPr>
        <w:t>)</w:t>
      </w:r>
      <w:r>
        <w:rPr>
          <w:snapToGrid/>
          <w:szCs w:val="21"/>
          <w:lang w:val="en-GB"/>
        </w:rPr>
        <w:t>，《土库曼斯坦科学知识产权法》</w:t>
      </w:r>
      <w:r>
        <w:rPr>
          <w:snapToGrid/>
          <w:szCs w:val="21"/>
          <w:lang w:val="en-GB"/>
        </w:rPr>
        <w:t>(</w:t>
      </w:r>
      <w:smartTag w:uri="urn:schemas-microsoft-com:office:smarttags" w:element="chsdate">
        <w:smartTagPr>
          <w:attr w:name="IsROCDate" w:val="False"/>
          <w:attr w:name="IsLunarDate" w:val="False"/>
          <w:attr w:name="Day" w:val="30"/>
          <w:attr w:name="Month" w:val="9"/>
          <w:attr w:name="Year" w:val="1992"/>
        </w:smartTagPr>
        <w:r>
          <w:rPr>
            <w:snapToGrid/>
            <w:szCs w:val="21"/>
            <w:lang w:val="en-GB"/>
          </w:rPr>
          <w:t>1992</w:t>
        </w:r>
        <w:r>
          <w:rPr>
            <w:snapToGrid/>
            <w:szCs w:val="21"/>
            <w:lang w:val="en-GB"/>
          </w:rPr>
          <w:t>年</w:t>
        </w:r>
        <w:r>
          <w:rPr>
            <w:snapToGrid/>
            <w:szCs w:val="21"/>
            <w:lang w:val="en-GB"/>
          </w:rPr>
          <w:t>9</w:t>
        </w:r>
        <w:r>
          <w:rPr>
            <w:snapToGrid/>
            <w:szCs w:val="21"/>
            <w:lang w:val="en-GB"/>
          </w:rPr>
          <w:t>月</w:t>
        </w:r>
        <w:r>
          <w:rPr>
            <w:snapToGrid/>
            <w:szCs w:val="21"/>
            <w:lang w:val="en-GB"/>
          </w:rPr>
          <w:t>30</w:t>
        </w:r>
        <w:r>
          <w:rPr>
            <w:snapToGrid/>
            <w:szCs w:val="21"/>
            <w:lang w:val="en-GB"/>
          </w:rPr>
          <w:t>日</w:t>
        </w:r>
      </w:smartTag>
      <w:r>
        <w:rPr>
          <w:snapToGrid/>
          <w:szCs w:val="21"/>
          <w:lang w:val="en-GB"/>
        </w:rPr>
        <w:t>)</w:t>
      </w:r>
      <w:r>
        <w:rPr>
          <w:snapToGrid/>
          <w:szCs w:val="21"/>
          <w:lang w:val="en-GB"/>
        </w:rPr>
        <w:t>，《土库曼斯坦旅游法》</w:t>
      </w:r>
      <w:r>
        <w:rPr>
          <w:snapToGrid/>
          <w:szCs w:val="21"/>
          <w:lang w:val="en-GB"/>
        </w:rPr>
        <w:t>(</w:t>
      </w:r>
      <w:smartTag w:uri="urn:schemas-microsoft-com:office:smarttags" w:element="chsdate">
        <w:smartTagPr>
          <w:attr w:name="IsROCDate" w:val="False"/>
          <w:attr w:name="IsLunarDate" w:val="False"/>
          <w:attr w:name="Day" w:val="24"/>
          <w:attr w:name="Month" w:val="11"/>
          <w:attr w:name="Year" w:val="1995"/>
        </w:smartTagPr>
        <w:r>
          <w:rPr>
            <w:snapToGrid/>
            <w:szCs w:val="21"/>
            <w:lang w:val="en-GB"/>
          </w:rPr>
          <w:t>1995</w:t>
        </w:r>
        <w:r>
          <w:rPr>
            <w:snapToGrid/>
            <w:szCs w:val="21"/>
            <w:lang w:val="en-GB"/>
          </w:rPr>
          <w:t>年</w:t>
        </w:r>
        <w:r>
          <w:rPr>
            <w:snapToGrid/>
            <w:szCs w:val="21"/>
            <w:lang w:val="en-GB"/>
          </w:rPr>
          <w:t>11</w:t>
        </w:r>
        <w:r>
          <w:rPr>
            <w:snapToGrid/>
            <w:szCs w:val="21"/>
            <w:lang w:val="en-GB"/>
          </w:rPr>
          <w:t>月</w:t>
        </w:r>
        <w:r>
          <w:rPr>
            <w:snapToGrid/>
            <w:szCs w:val="21"/>
            <w:lang w:val="en-GB"/>
          </w:rPr>
          <w:t>24</w:t>
        </w:r>
        <w:r>
          <w:rPr>
            <w:snapToGrid/>
            <w:szCs w:val="21"/>
            <w:lang w:val="en-GB"/>
          </w:rPr>
          <w:t>日</w:t>
        </w:r>
      </w:smartTag>
      <w:r>
        <w:rPr>
          <w:snapToGrid/>
          <w:szCs w:val="21"/>
          <w:lang w:val="en-GB"/>
        </w:rPr>
        <w:t>)</w:t>
      </w:r>
      <w:r>
        <w:rPr>
          <w:snapToGrid/>
          <w:szCs w:val="21"/>
          <w:lang w:val="en-GB"/>
        </w:rPr>
        <w:t>，《土库曼斯坦博物馆和博物馆事务法》</w:t>
      </w:r>
      <w:r>
        <w:rPr>
          <w:snapToGrid/>
          <w:szCs w:val="21"/>
          <w:lang w:val="en-GB"/>
        </w:rPr>
        <w:t>(</w:t>
      </w:r>
      <w:smartTag w:uri="urn:schemas-microsoft-com:office:smarttags" w:element="chsdate">
        <w:smartTagPr>
          <w:attr w:name="IsROCDate" w:val="False"/>
          <w:attr w:name="IsLunarDate" w:val="False"/>
          <w:attr w:name="Day" w:val="20"/>
          <w:attr w:name="Month" w:val="12"/>
          <w:attr w:name="Year" w:val="1996"/>
        </w:smartTagPr>
        <w:r>
          <w:rPr>
            <w:snapToGrid/>
            <w:szCs w:val="21"/>
            <w:lang w:val="en-GB"/>
          </w:rPr>
          <w:t>1996</w:t>
        </w:r>
        <w:r>
          <w:rPr>
            <w:snapToGrid/>
            <w:szCs w:val="21"/>
            <w:lang w:val="en-GB"/>
          </w:rPr>
          <w:t>年</w:t>
        </w:r>
        <w:r>
          <w:rPr>
            <w:snapToGrid/>
            <w:szCs w:val="21"/>
            <w:lang w:val="en-GB"/>
          </w:rPr>
          <w:t>12</w:t>
        </w:r>
        <w:r>
          <w:rPr>
            <w:snapToGrid/>
            <w:szCs w:val="21"/>
            <w:lang w:val="en-GB"/>
          </w:rPr>
          <w:t>月</w:t>
        </w:r>
        <w:r>
          <w:rPr>
            <w:snapToGrid/>
            <w:szCs w:val="21"/>
            <w:lang w:val="en-GB"/>
          </w:rPr>
          <w:t>20</w:t>
        </w:r>
        <w:r>
          <w:rPr>
            <w:snapToGrid/>
            <w:szCs w:val="21"/>
            <w:lang w:val="en-GB"/>
          </w:rPr>
          <w:t>日</w:t>
        </w:r>
      </w:smartTag>
      <w:r>
        <w:rPr>
          <w:snapToGrid/>
          <w:szCs w:val="21"/>
          <w:lang w:val="en-GB"/>
        </w:rPr>
        <w:t>)</w:t>
      </w:r>
      <w:r>
        <w:rPr>
          <w:snapToGrid/>
          <w:szCs w:val="21"/>
          <w:lang w:val="en-GB"/>
        </w:rPr>
        <w:t>，《土库曼斯坦图书馆和藏书》</w:t>
      </w:r>
      <w:r>
        <w:rPr>
          <w:snapToGrid/>
          <w:szCs w:val="21"/>
          <w:lang w:val="en-GB"/>
        </w:rPr>
        <w:t>(</w:t>
      </w:r>
      <w:smartTag w:uri="urn:schemas-microsoft-com:office:smarttags" w:element="chsdate">
        <w:smartTagPr>
          <w:attr w:name="IsROCDate" w:val="False"/>
          <w:attr w:name="IsLunarDate" w:val="False"/>
          <w:attr w:name="Day" w:val="15"/>
          <w:attr w:name="Month" w:val="6"/>
          <w:attr w:name="Year" w:val="2000"/>
        </w:smartTagPr>
        <w:r>
          <w:rPr>
            <w:snapToGrid/>
            <w:szCs w:val="21"/>
            <w:lang w:val="en-GB"/>
          </w:rPr>
          <w:t>2000</w:t>
        </w:r>
        <w:r>
          <w:rPr>
            <w:snapToGrid/>
            <w:szCs w:val="21"/>
            <w:lang w:val="en-GB"/>
          </w:rPr>
          <w:t>年</w:t>
        </w:r>
        <w:r>
          <w:rPr>
            <w:snapToGrid/>
            <w:szCs w:val="21"/>
            <w:lang w:val="en-GB"/>
          </w:rPr>
          <w:t>6</w:t>
        </w:r>
        <w:r>
          <w:rPr>
            <w:snapToGrid/>
            <w:szCs w:val="21"/>
            <w:lang w:val="en-GB"/>
          </w:rPr>
          <w:t>月</w:t>
        </w:r>
        <w:r>
          <w:rPr>
            <w:snapToGrid/>
            <w:szCs w:val="21"/>
            <w:lang w:val="en-GB"/>
          </w:rPr>
          <w:t>15</w:t>
        </w:r>
        <w:r>
          <w:rPr>
            <w:snapToGrid/>
            <w:szCs w:val="21"/>
            <w:lang w:val="en-GB"/>
          </w:rPr>
          <w:t>日</w:t>
        </w:r>
      </w:smartTag>
      <w:r>
        <w:rPr>
          <w:snapToGrid/>
          <w:szCs w:val="21"/>
          <w:lang w:val="en-GB"/>
        </w:rPr>
        <w:t>)</w:t>
      </w:r>
      <w:r>
        <w:rPr>
          <w:snapToGrid/>
          <w:szCs w:val="21"/>
          <w:lang w:val="en-GB"/>
        </w:rPr>
        <w:t>，《土库曼斯坦民间实用艺术创作法》</w:t>
      </w:r>
      <w:r>
        <w:rPr>
          <w:snapToGrid/>
          <w:szCs w:val="21"/>
          <w:lang w:val="en-GB"/>
        </w:rPr>
        <w:t>(</w:t>
      </w:r>
      <w:smartTag w:uri="urn:schemas-microsoft-com:office:smarttags" w:element="chsdate">
        <w:smartTagPr>
          <w:attr w:name="IsROCDate" w:val="False"/>
          <w:attr w:name="IsLunarDate" w:val="False"/>
          <w:attr w:name="Day" w:val="19"/>
          <w:attr w:name="Month" w:val="12"/>
          <w:attr w:name="Year" w:val="2000"/>
        </w:smartTagPr>
        <w:r>
          <w:rPr>
            <w:snapToGrid/>
            <w:szCs w:val="21"/>
            <w:lang w:val="en-GB"/>
          </w:rPr>
          <w:t>2000</w:t>
        </w:r>
        <w:r>
          <w:rPr>
            <w:snapToGrid/>
            <w:szCs w:val="21"/>
            <w:lang w:val="en-GB"/>
          </w:rPr>
          <w:t>年</w:t>
        </w:r>
        <w:r>
          <w:rPr>
            <w:snapToGrid/>
            <w:szCs w:val="21"/>
            <w:lang w:val="en-GB"/>
          </w:rPr>
          <w:t>12</w:t>
        </w:r>
        <w:r>
          <w:rPr>
            <w:snapToGrid/>
            <w:szCs w:val="21"/>
            <w:lang w:val="en-GB"/>
          </w:rPr>
          <w:t>月</w:t>
        </w:r>
        <w:r>
          <w:rPr>
            <w:snapToGrid/>
            <w:szCs w:val="21"/>
            <w:lang w:val="en-GB"/>
          </w:rPr>
          <w:t>19</w:t>
        </w:r>
        <w:r>
          <w:rPr>
            <w:snapToGrid/>
            <w:szCs w:val="21"/>
            <w:lang w:val="en-GB"/>
          </w:rPr>
          <w:t>日</w:t>
        </w:r>
      </w:smartTag>
      <w:r>
        <w:rPr>
          <w:snapToGrid/>
          <w:szCs w:val="21"/>
          <w:lang w:val="en-GB"/>
        </w:rPr>
        <w:t>)</w:t>
      </w:r>
      <w:r>
        <w:rPr>
          <w:snapToGrid/>
          <w:szCs w:val="21"/>
          <w:lang w:val="en-GB"/>
        </w:rPr>
        <w:t>，《土库曼斯坦体育运动法》</w:t>
      </w:r>
      <w:r>
        <w:rPr>
          <w:snapToGrid/>
          <w:szCs w:val="21"/>
          <w:lang w:val="en-GB"/>
        </w:rPr>
        <w:t>(</w:t>
      </w:r>
      <w:smartTag w:uri="urn:schemas-microsoft-com:office:smarttags" w:element="chsdate">
        <w:smartTagPr>
          <w:attr w:name="IsROCDate" w:val="False"/>
          <w:attr w:name="IsLunarDate" w:val="False"/>
          <w:attr w:name="Day" w:val="7"/>
          <w:attr w:name="Month" w:val="7"/>
          <w:attr w:name="Year" w:val="2001"/>
        </w:smartTagPr>
        <w:r>
          <w:rPr>
            <w:snapToGrid/>
            <w:szCs w:val="21"/>
            <w:lang w:val="en-GB"/>
          </w:rPr>
          <w:t>2001</w:t>
        </w:r>
        <w:r>
          <w:rPr>
            <w:snapToGrid/>
            <w:szCs w:val="21"/>
            <w:lang w:val="en-GB"/>
          </w:rPr>
          <w:t>年</w:t>
        </w:r>
        <w:r>
          <w:rPr>
            <w:snapToGrid/>
            <w:szCs w:val="21"/>
            <w:lang w:val="en-GB"/>
          </w:rPr>
          <w:t>7</w:t>
        </w:r>
        <w:r>
          <w:rPr>
            <w:snapToGrid/>
            <w:szCs w:val="21"/>
            <w:lang w:val="en-GB"/>
          </w:rPr>
          <w:t>月</w:t>
        </w:r>
        <w:r>
          <w:rPr>
            <w:snapToGrid/>
            <w:szCs w:val="21"/>
            <w:lang w:val="en-GB"/>
          </w:rPr>
          <w:t>7</w:t>
        </w:r>
        <w:r>
          <w:rPr>
            <w:snapToGrid/>
            <w:szCs w:val="21"/>
            <w:lang w:val="en-GB"/>
          </w:rPr>
          <w:t>日</w:t>
        </w:r>
      </w:smartTag>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351.</w:t>
      </w:r>
      <w:r>
        <w:rPr>
          <w:rFonts w:hint="eastAsia"/>
          <w:snapToGrid/>
          <w:szCs w:val="21"/>
          <w:lang w:val="en-GB"/>
        </w:rPr>
        <w:t xml:space="preserve">  </w:t>
      </w:r>
      <w:r>
        <w:rPr>
          <w:snapToGrid/>
          <w:szCs w:val="21"/>
          <w:lang w:val="en-GB"/>
        </w:rPr>
        <w:t>根据《土库曼斯坦民间实用艺术创作法》第</w:t>
      </w:r>
      <w:r>
        <w:rPr>
          <w:snapToGrid/>
          <w:szCs w:val="21"/>
          <w:lang w:val="en-GB"/>
        </w:rPr>
        <w:t>8</w:t>
      </w:r>
      <w:r>
        <w:rPr>
          <w:snapToGrid/>
          <w:szCs w:val="21"/>
          <w:lang w:val="en-GB"/>
        </w:rPr>
        <w:t>条规定，进行民间实用艺术创作的公民有权：</w:t>
      </w:r>
    </w:p>
    <w:p w:rsidR="00A93F62" w:rsidRDefault="00A93F62">
      <w:pPr>
        <w:pStyle w:val="Bullet1GC"/>
        <w:numPr>
          <w:ilvl w:val="0"/>
          <w:numId w:val="14"/>
        </w:numPr>
        <w:rPr>
          <w:snapToGrid/>
          <w:lang w:val="en-GB"/>
        </w:rPr>
      </w:pPr>
      <w:r>
        <w:rPr>
          <w:snapToGrid/>
          <w:lang w:val="en-GB"/>
        </w:rPr>
        <w:t>保护自己的创作构思；</w:t>
      </w:r>
    </w:p>
    <w:p w:rsidR="00A93F62" w:rsidRDefault="00A93F62">
      <w:pPr>
        <w:pStyle w:val="Bullet1GC"/>
        <w:numPr>
          <w:ilvl w:val="0"/>
          <w:numId w:val="14"/>
        </w:numPr>
        <w:rPr>
          <w:snapToGrid/>
          <w:lang w:val="en-GB"/>
        </w:rPr>
      </w:pPr>
      <w:r>
        <w:rPr>
          <w:snapToGrid/>
          <w:lang w:val="en-GB"/>
        </w:rPr>
        <w:t>从事科学研究；</w:t>
      </w:r>
    </w:p>
    <w:p w:rsidR="00A93F62" w:rsidRDefault="00A93F62">
      <w:pPr>
        <w:pStyle w:val="Bullet1GC"/>
        <w:numPr>
          <w:ilvl w:val="0"/>
          <w:numId w:val="14"/>
        </w:numPr>
        <w:rPr>
          <w:snapToGrid/>
          <w:lang w:val="en-GB"/>
        </w:rPr>
      </w:pPr>
      <w:r>
        <w:rPr>
          <w:snapToGrid/>
          <w:lang w:val="en-GB"/>
        </w:rPr>
        <w:t>将自己的工作成果进行展览及其它形式的公开展示；</w:t>
      </w:r>
    </w:p>
    <w:p w:rsidR="00A93F62" w:rsidRDefault="00A93F62">
      <w:pPr>
        <w:pStyle w:val="Bullet1GC"/>
        <w:numPr>
          <w:ilvl w:val="0"/>
          <w:numId w:val="14"/>
        </w:numPr>
        <w:rPr>
          <w:snapToGrid/>
          <w:lang w:val="en-GB"/>
        </w:rPr>
      </w:pPr>
      <w:r>
        <w:rPr>
          <w:snapToGrid/>
          <w:lang w:val="en-GB"/>
        </w:rPr>
        <w:t>公开使用自己的智力活动成果而获得报酬；</w:t>
      </w:r>
    </w:p>
    <w:p w:rsidR="00A93F62" w:rsidRDefault="00A93F62">
      <w:pPr>
        <w:pStyle w:val="Bullet1GC"/>
        <w:numPr>
          <w:ilvl w:val="0"/>
          <w:numId w:val="14"/>
        </w:numPr>
        <w:rPr>
          <w:snapToGrid/>
          <w:lang w:val="en-GB"/>
        </w:rPr>
      </w:pPr>
      <w:r>
        <w:rPr>
          <w:snapToGrid/>
          <w:lang w:val="en-GB"/>
        </w:rPr>
        <w:t>获得文化领域的基金；</w:t>
      </w:r>
    </w:p>
    <w:p w:rsidR="00A93F62" w:rsidRDefault="00A93F62">
      <w:pPr>
        <w:pStyle w:val="Bullet1GC"/>
        <w:numPr>
          <w:ilvl w:val="0"/>
          <w:numId w:val="14"/>
        </w:numPr>
        <w:rPr>
          <w:snapToGrid/>
          <w:lang w:val="en-GB"/>
        </w:rPr>
      </w:pPr>
      <w:r>
        <w:rPr>
          <w:snapToGrid/>
          <w:lang w:val="en-GB"/>
        </w:rPr>
        <w:t>根据土库曼斯坦法律，租赁房间用作创作工作室；</w:t>
      </w:r>
    </w:p>
    <w:p w:rsidR="00A93F62" w:rsidRDefault="00A93F62">
      <w:pPr>
        <w:pStyle w:val="Bullet1GC"/>
        <w:numPr>
          <w:ilvl w:val="0"/>
          <w:numId w:val="14"/>
        </w:numPr>
        <w:rPr>
          <w:snapToGrid/>
          <w:lang w:val="en-GB"/>
        </w:rPr>
      </w:pPr>
      <w:r>
        <w:rPr>
          <w:snapToGrid/>
          <w:lang w:val="en-GB"/>
        </w:rPr>
        <w:t>根据劳动保护的要求，保障从事创作的条件；</w:t>
      </w:r>
    </w:p>
    <w:p w:rsidR="00A93F62" w:rsidRDefault="00A93F62">
      <w:pPr>
        <w:pStyle w:val="Bullet1GC"/>
        <w:numPr>
          <w:ilvl w:val="0"/>
          <w:numId w:val="14"/>
        </w:numPr>
        <w:rPr>
          <w:snapToGrid/>
          <w:lang w:val="en-GB"/>
        </w:rPr>
      </w:pPr>
      <w:r>
        <w:rPr>
          <w:snapToGrid/>
          <w:lang w:val="en-GB"/>
        </w:rPr>
        <w:t>学习某种民间艺术实用创作；</w:t>
      </w:r>
    </w:p>
    <w:p w:rsidR="00A93F62" w:rsidRDefault="00A93F62">
      <w:pPr>
        <w:pStyle w:val="Bullet1GC"/>
        <w:numPr>
          <w:ilvl w:val="0"/>
          <w:numId w:val="14"/>
        </w:numPr>
        <w:rPr>
          <w:snapToGrid/>
          <w:lang w:val="en-GB"/>
        </w:rPr>
      </w:pPr>
      <w:r>
        <w:rPr>
          <w:snapToGrid/>
          <w:lang w:val="en-GB"/>
        </w:rPr>
        <w:t>购买和准备需要的原料与材料；</w:t>
      </w:r>
    </w:p>
    <w:p w:rsidR="00A93F62" w:rsidRDefault="00A93F62">
      <w:pPr>
        <w:pStyle w:val="Bullet1GC"/>
        <w:numPr>
          <w:ilvl w:val="0"/>
          <w:numId w:val="14"/>
        </w:numPr>
        <w:rPr>
          <w:snapToGrid/>
          <w:lang w:val="en-GB"/>
        </w:rPr>
      </w:pPr>
      <w:r>
        <w:rPr>
          <w:snapToGrid/>
          <w:lang w:val="en-GB"/>
        </w:rPr>
        <w:t>保护自己的职业尊严与人格。</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352.</w:t>
      </w:r>
      <w:r>
        <w:rPr>
          <w:rFonts w:hint="eastAsia"/>
          <w:snapToGrid/>
          <w:szCs w:val="21"/>
          <w:lang w:val="en-GB"/>
        </w:rPr>
        <w:t xml:space="preserve">  </w:t>
      </w:r>
      <w:r>
        <w:rPr>
          <w:snapToGrid/>
          <w:szCs w:val="21"/>
          <w:lang w:val="en-GB"/>
        </w:rPr>
        <w:t>体育运动是土库曼斯坦民族文化的重要组成部分，它致力于强健体魄，发展人的体能和智力，使其个性和谐发展。根据《土库曼斯坦体育运动法》</w:t>
      </w:r>
      <w:r>
        <w:rPr>
          <w:snapToGrid/>
          <w:szCs w:val="21"/>
          <w:lang w:val="en-GB"/>
        </w:rPr>
        <w:t>(</w:t>
      </w:r>
      <w:smartTag w:uri="urn:schemas-microsoft-com:office:smarttags" w:element="chsdate">
        <w:smartTagPr>
          <w:attr w:name="IsROCDate" w:val="False"/>
          <w:attr w:name="IsLunarDate" w:val="False"/>
          <w:attr w:name="Day" w:val="7"/>
          <w:attr w:name="Month" w:val="7"/>
          <w:attr w:name="Year" w:val="2001"/>
        </w:smartTagPr>
        <w:r>
          <w:rPr>
            <w:snapToGrid/>
            <w:szCs w:val="21"/>
            <w:lang w:val="en-GB"/>
          </w:rPr>
          <w:t>2001</w:t>
        </w:r>
        <w:r>
          <w:rPr>
            <w:snapToGrid/>
            <w:szCs w:val="21"/>
            <w:lang w:val="en-GB"/>
          </w:rPr>
          <w:t>年</w:t>
        </w:r>
        <w:r>
          <w:rPr>
            <w:snapToGrid/>
            <w:szCs w:val="21"/>
            <w:lang w:val="en-GB"/>
          </w:rPr>
          <w:t>7</w:t>
        </w:r>
        <w:r>
          <w:rPr>
            <w:snapToGrid/>
            <w:szCs w:val="21"/>
            <w:lang w:val="en-GB"/>
          </w:rPr>
          <w:t>月</w:t>
        </w:r>
        <w:r>
          <w:rPr>
            <w:snapToGrid/>
            <w:szCs w:val="21"/>
            <w:lang w:val="en-GB"/>
          </w:rPr>
          <w:t>7</w:t>
        </w:r>
        <w:r>
          <w:rPr>
            <w:snapToGrid/>
            <w:szCs w:val="21"/>
            <w:lang w:val="en-GB"/>
          </w:rPr>
          <w:t>日</w:t>
        </w:r>
      </w:smartTag>
      <w:r>
        <w:rPr>
          <w:snapToGrid/>
          <w:szCs w:val="21"/>
          <w:lang w:val="en-GB"/>
        </w:rPr>
        <w:t>)</w:t>
      </w:r>
      <w:r>
        <w:rPr>
          <w:snapToGrid/>
          <w:szCs w:val="21"/>
          <w:lang w:val="en-GB"/>
        </w:rPr>
        <w:t>第</w:t>
      </w:r>
      <w:r>
        <w:rPr>
          <w:snapToGrid/>
          <w:szCs w:val="21"/>
          <w:lang w:val="en-GB"/>
        </w:rPr>
        <w:t>3</w:t>
      </w:r>
      <w:r>
        <w:rPr>
          <w:snapToGrid/>
          <w:szCs w:val="21"/>
          <w:lang w:val="en-GB"/>
        </w:rPr>
        <w:t>条规定，公民有权从事体育运动。公民有权建立体育运动协会、体育俱乐部、其它体育保健和运动机构，它们应按照土库曼斯坦法律和国际体育协会的法定文件活动。根据土库曼斯坦法律，公民能够以体育运动组织和个人的形式从事经营活动，生产体育运动和衍生商品，做体育运动方面的广告。</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353.</w:t>
      </w:r>
      <w:r>
        <w:rPr>
          <w:rFonts w:hint="eastAsia"/>
          <w:snapToGrid/>
          <w:szCs w:val="21"/>
          <w:lang w:val="en-GB"/>
        </w:rPr>
        <w:t xml:space="preserve">  </w:t>
      </w:r>
      <w:r>
        <w:rPr>
          <w:snapToGrid/>
          <w:szCs w:val="21"/>
          <w:lang w:val="en-GB"/>
        </w:rPr>
        <w:t>根据《土库曼斯坦科学知识产权法》第</w:t>
      </w:r>
      <w:r>
        <w:rPr>
          <w:snapToGrid/>
          <w:szCs w:val="21"/>
          <w:lang w:val="en-GB"/>
        </w:rPr>
        <w:t>3</w:t>
      </w:r>
      <w:r>
        <w:rPr>
          <w:snapToGrid/>
          <w:szCs w:val="21"/>
          <w:lang w:val="en-GB"/>
        </w:rPr>
        <w:t>条，科学知识产权的权利包括：产权所有者受法律的承认和保护，可以自行拥有、使用和支配各种形式的科学著作成果。未经所有者允许，任何人都不能使用该成果。特殊情况下，内阁可以允许其他法人有限使用所有人的科学知识产权。行使科学知识产权，应服务于人道事业。不应侵犯国家、公民、企业、机关、单位的权利和合法利益，不损害周围环境。</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354.</w:t>
      </w:r>
      <w:r>
        <w:rPr>
          <w:rFonts w:hint="eastAsia"/>
          <w:snapToGrid/>
          <w:szCs w:val="21"/>
          <w:lang w:val="en-GB"/>
        </w:rPr>
        <w:t xml:space="preserve">  </w:t>
      </w:r>
      <w:r>
        <w:rPr>
          <w:snapToGrid/>
          <w:szCs w:val="21"/>
          <w:lang w:val="en-GB"/>
        </w:rPr>
        <w:t>根据《土库曼斯坦科学知识产权法》第</w:t>
      </w:r>
      <w:r>
        <w:rPr>
          <w:snapToGrid/>
          <w:szCs w:val="21"/>
          <w:lang w:val="en-GB"/>
        </w:rPr>
        <w:t>4</w:t>
      </w:r>
      <w:r>
        <w:rPr>
          <w:snapToGrid/>
          <w:szCs w:val="21"/>
          <w:lang w:val="en-GB"/>
        </w:rPr>
        <w:t>条，科学知识产权的权利主体，可以是土库曼斯坦和外国的自然人与法人、国际组织。科学知识产权所有者的权利，应属于所有项目的研究人员</w:t>
      </w:r>
      <w:r>
        <w:rPr>
          <w:snapToGrid/>
          <w:szCs w:val="21"/>
          <w:lang w:val="en-GB"/>
        </w:rPr>
        <w:t>(</w:t>
      </w:r>
      <w:r>
        <w:rPr>
          <w:snapToGrid/>
          <w:szCs w:val="21"/>
          <w:lang w:val="en-GB"/>
        </w:rPr>
        <w:t>作者，创作者</w:t>
      </w:r>
      <w:r>
        <w:rPr>
          <w:snapToGrid/>
          <w:szCs w:val="21"/>
          <w:lang w:val="en-GB"/>
        </w:rPr>
        <w:t>)</w:t>
      </w:r>
      <w:r>
        <w:rPr>
          <w:snapToGrid/>
          <w:szCs w:val="21"/>
          <w:lang w:val="en-GB"/>
        </w:rPr>
        <w:t>，即直接参加科学知识产权项目创作的公民或集体。</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355.</w:t>
      </w:r>
      <w:r>
        <w:rPr>
          <w:rFonts w:hint="eastAsia"/>
          <w:snapToGrid/>
          <w:szCs w:val="21"/>
          <w:lang w:val="en-GB"/>
        </w:rPr>
        <w:t xml:space="preserve">  </w:t>
      </w:r>
      <w:r>
        <w:rPr>
          <w:snapToGrid/>
          <w:szCs w:val="21"/>
          <w:lang w:val="en-GB"/>
        </w:rPr>
        <w:t>以司法形式保护科学知识产权。审理争端时，还应全额赔偿所有人相应的损失</w:t>
      </w:r>
      <w:r>
        <w:rPr>
          <w:snapToGrid/>
          <w:szCs w:val="21"/>
          <w:lang w:val="en-GB"/>
        </w:rPr>
        <w:t>(</w:t>
      </w:r>
      <w:r>
        <w:rPr>
          <w:snapToGrid/>
          <w:szCs w:val="21"/>
          <w:lang w:val="en-GB"/>
        </w:rPr>
        <w:t>《土库曼斯坦科学知识产权法》第</w:t>
      </w:r>
      <w:r>
        <w:rPr>
          <w:snapToGrid/>
          <w:szCs w:val="21"/>
          <w:lang w:val="en-GB"/>
        </w:rPr>
        <w:t>11</w:t>
      </w:r>
      <w:r>
        <w:rPr>
          <w:snapToGrid/>
          <w:szCs w:val="21"/>
          <w:lang w:val="en-GB"/>
        </w:rPr>
        <w:t>条</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356.</w:t>
      </w:r>
      <w:r>
        <w:rPr>
          <w:rFonts w:hint="eastAsia"/>
          <w:snapToGrid/>
          <w:szCs w:val="21"/>
          <w:lang w:val="en-GB"/>
        </w:rPr>
        <w:t xml:space="preserve">  </w:t>
      </w:r>
      <w:r>
        <w:rPr>
          <w:snapToGrid/>
          <w:szCs w:val="21"/>
          <w:lang w:val="en-GB"/>
        </w:rPr>
        <w:t>著作权协调创作和使用科学、文学和艺术著作</w:t>
      </w:r>
      <w:r>
        <w:rPr>
          <w:snapToGrid/>
          <w:szCs w:val="21"/>
          <w:lang w:val="en-GB"/>
        </w:rPr>
        <w:t>(</w:t>
      </w:r>
      <w:r>
        <w:rPr>
          <w:snapToGrid/>
          <w:szCs w:val="21"/>
          <w:lang w:val="en-GB"/>
        </w:rPr>
        <w:t>著作权</w:t>
      </w:r>
      <w:r>
        <w:rPr>
          <w:snapToGrid/>
          <w:szCs w:val="21"/>
          <w:lang w:val="en-GB"/>
        </w:rPr>
        <w:t>)</w:t>
      </w:r>
      <w:r>
        <w:rPr>
          <w:snapToGrid/>
          <w:szCs w:val="21"/>
          <w:lang w:val="en-GB"/>
        </w:rPr>
        <w:t>时的各种关系，以及与演出和制作录音和录像制品、广播节目有关的权利</w:t>
      </w:r>
      <w:r>
        <w:rPr>
          <w:snapToGrid/>
          <w:szCs w:val="21"/>
          <w:lang w:val="en-GB"/>
        </w:rPr>
        <w:t>(</w:t>
      </w:r>
      <w:r>
        <w:rPr>
          <w:snapToGrid/>
          <w:szCs w:val="21"/>
          <w:lang w:val="en-GB"/>
        </w:rPr>
        <w:t>合作权利</w:t>
      </w:r>
      <w:r>
        <w:rPr>
          <w:snapToGrid/>
          <w:szCs w:val="21"/>
          <w:lang w:val="en-GB"/>
        </w:rPr>
        <w:t>)</w:t>
      </w:r>
      <w:r>
        <w:rPr>
          <w:rFonts w:hint="eastAsia"/>
          <w:snapToGrid/>
          <w:spacing w:val="-50"/>
          <w:szCs w:val="21"/>
          <w:lang w:val="en-GB"/>
        </w:rPr>
        <w:t xml:space="preserve"> </w:t>
      </w:r>
      <w:r>
        <w:rPr>
          <w:rFonts w:hint="eastAsia"/>
          <w:snapToGrid/>
          <w:spacing w:val="-50"/>
          <w:szCs w:val="21"/>
          <w:lang w:val="en-GB"/>
        </w:rPr>
        <w:t>―</w:t>
      </w:r>
      <w:r>
        <w:rPr>
          <w:rFonts w:hint="eastAsia"/>
          <w:snapToGrid/>
          <w:szCs w:val="21"/>
          <w:lang w:val="en-GB"/>
        </w:rPr>
        <w:t>―</w:t>
      </w:r>
      <w:r>
        <w:rPr>
          <w:snapToGrid/>
          <w:szCs w:val="21"/>
          <w:lang w:val="en-GB"/>
        </w:rPr>
        <w:t>《土库曼斯坦民法》</w:t>
      </w:r>
      <w:r>
        <w:rPr>
          <w:snapToGrid/>
          <w:szCs w:val="21"/>
          <w:lang w:val="en-GB"/>
        </w:rPr>
        <w:t>(</w:t>
      </w:r>
      <w:smartTag w:uri="urn:schemas-microsoft-com:office:smarttags" w:element="chsdate">
        <w:smartTagPr>
          <w:attr w:name="IsROCDate" w:val="False"/>
          <w:attr w:name="IsLunarDate" w:val="False"/>
          <w:attr w:name="Day" w:val="17"/>
          <w:attr w:name="Month" w:val="7"/>
          <w:attr w:name="Year" w:val="1998"/>
        </w:smartTagPr>
        <w:r>
          <w:rPr>
            <w:snapToGrid/>
            <w:szCs w:val="21"/>
            <w:lang w:val="en-GB"/>
          </w:rPr>
          <w:t>1998</w:t>
        </w:r>
        <w:r>
          <w:rPr>
            <w:snapToGrid/>
            <w:szCs w:val="21"/>
            <w:lang w:val="en-GB"/>
          </w:rPr>
          <w:t>年</w:t>
        </w:r>
        <w:r>
          <w:rPr>
            <w:snapToGrid/>
            <w:szCs w:val="21"/>
            <w:lang w:val="en-GB"/>
          </w:rPr>
          <w:t>7</w:t>
        </w:r>
        <w:r>
          <w:rPr>
            <w:snapToGrid/>
            <w:szCs w:val="21"/>
            <w:lang w:val="en-GB"/>
          </w:rPr>
          <w:t>月</w:t>
        </w:r>
        <w:r>
          <w:rPr>
            <w:snapToGrid/>
            <w:szCs w:val="21"/>
            <w:lang w:val="en-GB"/>
          </w:rPr>
          <w:t>17</w:t>
        </w:r>
        <w:r>
          <w:rPr>
            <w:snapToGrid/>
            <w:szCs w:val="21"/>
            <w:lang w:val="en-GB"/>
          </w:rPr>
          <w:t>日</w:t>
        </w:r>
      </w:smartTag>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357.</w:t>
      </w:r>
      <w:r>
        <w:rPr>
          <w:rFonts w:hint="eastAsia"/>
          <w:snapToGrid/>
          <w:szCs w:val="21"/>
          <w:lang w:val="en-GB"/>
        </w:rPr>
        <w:t xml:space="preserve">  </w:t>
      </w:r>
      <w:r>
        <w:rPr>
          <w:snapToGrid/>
          <w:szCs w:val="21"/>
          <w:lang w:val="en-GB"/>
        </w:rPr>
        <w:t>根据《土库曼斯坦民法》第</w:t>
      </w:r>
      <w:r>
        <w:rPr>
          <w:snapToGrid/>
          <w:szCs w:val="21"/>
          <w:lang w:val="en-GB"/>
        </w:rPr>
        <w:t>1058</w:t>
      </w:r>
      <w:r>
        <w:rPr>
          <w:snapToGrid/>
          <w:szCs w:val="21"/>
          <w:lang w:val="en-GB"/>
        </w:rPr>
        <w:t>条规定，著作权的对象是：</w:t>
      </w:r>
    </w:p>
    <w:p w:rsidR="00A93F62" w:rsidRDefault="00A93F62">
      <w:pPr>
        <w:pStyle w:val="SingleTxtGC"/>
        <w:tabs>
          <w:tab w:val="clear" w:pos="2427"/>
          <w:tab w:val="left" w:pos="2115"/>
        </w:tabs>
        <w:rPr>
          <w:snapToGrid/>
          <w:lang w:val="en-GB"/>
        </w:rPr>
      </w:pPr>
      <w:r>
        <w:rPr>
          <w:snapToGrid/>
          <w:lang w:val="en-GB"/>
        </w:rPr>
        <w:t xml:space="preserve">    “</w:t>
      </w:r>
      <w:r>
        <w:rPr>
          <w:rFonts w:hint="eastAsia"/>
          <w:snapToGrid/>
          <w:lang w:val="en-GB"/>
        </w:rPr>
        <w:t>(</w:t>
      </w:r>
      <w:r>
        <w:rPr>
          <w:snapToGrid/>
          <w:lang w:val="en-GB"/>
        </w:rPr>
        <w:t>a)</w:t>
      </w:r>
      <w:r>
        <w:rPr>
          <w:rFonts w:hint="eastAsia"/>
          <w:snapToGrid/>
          <w:lang w:val="en-GB"/>
        </w:rPr>
        <w:tab/>
      </w:r>
      <w:r>
        <w:rPr>
          <w:rFonts w:hint="eastAsia"/>
          <w:snapToGrid/>
          <w:lang w:val="en-GB"/>
        </w:rPr>
        <w:tab/>
      </w:r>
      <w:r>
        <w:rPr>
          <w:snapToGrid/>
          <w:lang w:val="en-GB"/>
        </w:rPr>
        <w:t>文献</w:t>
      </w:r>
      <w:r>
        <w:rPr>
          <w:snapToGrid/>
          <w:lang w:val="en-GB"/>
        </w:rPr>
        <w:t>(</w:t>
      </w:r>
      <w:r>
        <w:rPr>
          <w:snapToGrid/>
          <w:lang w:val="en-GB"/>
        </w:rPr>
        <w:t>书籍、小册子、文章、计算机程序、数据库等</w:t>
      </w:r>
      <w:r>
        <w:rPr>
          <w:snapToGrid/>
          <w:lang w:val="en-GB"/>
        </w:rPr>
        <w:t>)</w:t>
      </w:r>
      <w:r>
        <w:rPr>
          <w:snapToGrid/>
          <w:lang w:val="en-GB"/>
        </w:rPr>
        <w:t>；</w:t>
      </w:r>
    </w:p>
    <w:p w:rsidR="00A93F62" w:rsidRDefault="00A93F62">
      <w:pPr>
        <w:pStyle w:val="SingleTxtGC"/>
        <w:tabs>
          <w:tab w:val="clear" w:pos="2427"/>
          <w:tab w:val="left" w:pos="2115"/>
        </w:tabs>
        <w:rPr>
          <w:snapToGrid/>
          <w:lang w:val="en-GB"/>
        </w:rPr>
      </w:pPr>
      <w:r>
        <w:rPr>
          <w:snapToGrid/>
          <w:lang w:val="en-GB"/>
        </w:rPr>
        <w:t xml:space="preserve">     </w:t>
      </w:r>
      <w:r>
        <w:rPr>
          <w:rFonts w:hint="eastAsia"/>
          <w:snapToGrid/>
          <w:lang w:val="en-GB"/>
        </w:rPr>
        <w:t>(</w:t>
      </w:r>
      <w:r>
        <w:rPr>
          <w:snapToGrid/>
          <w:lang w:val="en-GB"/>
        </w:rPr>
        <w:t>b)</w:t>
      </w:r>
      <w:r>
        <w:rPr>
          <w:rFonts w:hint="eastAsia"/>
          <w:snapToGrid/>
          <w:lang w:val="en-GB"/>
        </w:rPr>
        <w:tab/>
      </w:r>
      <w:r>
        <w:rPr>
          <w:rFonts w:hint="eastAsia"/>
          <w:snapToGrid/>
          <w:lang w:val="en-GB"/>
        </w:rPr>
        <w:tab/>
      </w:r>
      <w:r>
        <w:rPr>
          <w:snapToGrid/>
          <w:lang w:val="en-GB"/>
        </w:rPr>
        <w:t>戏剧或音乐剧作品，舞蹈作品，哑剧和其它作品；</w:t>
      </w:r>
    </w:p>
    <w:p w:rsidR="00A93F62" w:rsidRDefault="00A93F62">
      <w:pPr>
        <w:pStyle w:val="SingleTxtGC"/>
        <w:tabs>
          <w:tab w:val="clear" w:pos="2427"/>
          <w:tab w:val="left" w:pos="2115"/>
        </w:tabs>
        <w:rPr>
          <w:snapToGrid/>
          <w:lang w:val="en-GB"/>
        </w:rPr>
      </w:pPr>
      <w:r>
        <w:rPr>
          <w:snapToGrid/>
          <w:lang w:val="en-GB"/>
        </w:rPr>
        <w:t xml:space="preserve">    </w:t>
      </w:r>
      <w:r>
        <w:rPr>
          <w:rFonts w:hint="eastAsia"/>
          <w:snapToGrid/>
          <w:lang w:val="en-GB"/>
        </w:rPr>
        <w:t xml:space="preserve"> (</w:t>
      </w:r>
      <w:r>
        <w:rPr>
          <w:snapToGrid/>
          <w:lang w:val="en-GB"/>
        </w:rPr>
        <w:t>c)</w:t>
      </w:r>
      <w:r>
        <w:rPr>
          <w:rFonts w:hint="eastAsia"/>
          <w:snapToGrid/>
          <w:lang w:val="en-GB"/>
        </w:rPr>
        <w:tab/>
      </w:r>
      <w:r>
        <w:rPr>
          <w:rFonts w:hint="eastAsia"/>
          <w:snapToGrid/>
          <w:lang w:val="en-GB"/>
        </w:rPr>
        <w:tab/>
      </w:r>
      <w:r>
        <w:rPr>
          <w:snapToGrid/>
          <w:lang w:val="en-GB"/>
        </w:rPr>
        <w:t>有词或无词的音乐作品；</w:t>
      </w:r>
    </w:p>
    <w:p w:rsidR="00A93F62" w:rsidRDefault="00A93F62">
      <w:pPr>
        <w:pStyle w:val="SingleTxtGC"/>
        <w:tabs>
          <w:tab w:val="clear" w:pos="1565"/>
          <w:tab w:val="clear" w:pos="1996"/>
          <w:tab w:val="clear" w:pos="2427"/>
          <w:tab w:val="left" w:pos="1680"/>
        </w:tabs>
        <w:rPr>
          <w:snapToGrid/>
          <w:lang w:val="en-GB"/>
        </w:rPr>
      </w:pPr>
      <w:r>
        <w:rPr>
          <w:snapToGrid/>
          <w:lang w:val="en-GB"/>
        </w:rPr>
        <w:t xml:space="preserve">   </w:t>
      </w:r>
      <w:r>
        <w:rPr>
          <w:rFonts w:hint="eastAsia"/>
          <w:snapToGrid/>
          <w:lang w:val="en-GB"/>
        </w:rPr>
        <w:tab/>
        <w:t>(</w:t>
      </w:r>
      <w:r>
        <w:rPr>
          <w:snapToGrid/>
          <w:lang w:val="en-GB"/>
        </w:rPr>
        <w:t>d)</w:t>
      </w:r>
      <w:r>
        <w:rPr>
          <w:rFonts w:hint="eastAsia"/>
          <w:snapToGrid/>
          <w:lang w:val="en-GB"/>
        </w:rPr>
        <w:t xml:space="preserve">  </w:t>
      </w:r>
      <w:r>
        <w:rPr>
          <w:snapToGrid/>
          <w:lang w:val="en-GB"/>
        </w:rPr>
        <w:t>音像作品</w:t>
      </w:r>
      <w:r>
        <w:rPr>
          <w:snapToGrid/>
          <w:lang w:val="en-GB"/>
        </w:rPr>
        <w:t>(</w:t>
      </w:r>
      <w:r>
        <w:rPr>
          <w:snapToGrid/>
          <w:lang w:val="en-GB"/>
        </w:rPr>
        <w:t>电影、电视和录像片等</w:t>
      </w:r>
      <w:r>
        <w:rPr>
          <w:snapToGrid/>
          <w:lang w:val="en-GB"/>
        </w:rPr>
        <w:t>)</w:t>
      </w:r>
      <w:r>
        <w:rPr>
          <w:snapToGrid/>
          <w:lang w:val="en-GB"/>
        </w:rPr>
        <w:t>；</w:t>
      </w:r>
    </w:p>
    <w:p w:rsidR="00A93F62" w:rsidRDefault="00A93F62">
      <w:pPr>
        <w:pStyle w:val="SingleTxtGC"/>
        <w:tabs>
          <w:tab w:val="clear" w:pos="1565"/>
          <w:tab w:val="clear" w:pos="1996"/>
          <w:tab w:val="clear" w:pos="2427"/>
          <w:tab w:val="left" w:pos="1665"/>
          <w:tab w:val="left" w:pos="1785"/>
          <w:tab w:val="left" w:pos="2115"/>
        </w:tabs>
        <w:rPr>
          <w:snapToGrid/>
          <w:lang w:val="en-GB"/>
        </w:rPr>
      </w:pPr>
      <w:r>
        <w:rPr>
          <w:rFonts w:hint="eastAsia"/>
          <w:snapToGrid/>
          <w:lang w:val="en-GB"/>
        </w:rPr>
        <w:tab/>
        <w:t>(</w:t>
      </w:r>
      <w:r>
        <w:rPr>
          <w:snapToGrid/>
          <w:lang w:val="en-GB"/>
        </w:rPr>
        <w:t>e)</w:t>
      </w:r>
      <w:r>
        <w:rPr>
          <w:rFonts w:hint="eastAsia"/>
          <w:snapToGrid/>
          <w:lang w:val="en-GB"/>
        </w:rPr>
        <w:tab/>
      </w:r>
      <w:r>
        <w:rPr>
          <w:snapToGrid/>
          <w:lang w:val="en-GB"/>
        </w:rPr>
        <w:t>雕塑、绘画、素描、版画和其它美术作品；</w:t>
      </w:r>
    </w:p>
    <w:p w:rsidR="00A93F62" w:rsidRDefault="00A93F62">
      <w:pPr>
        <w:pStyle w:val="SingleTxtGC"/>
        <w:tabs>
          <w:tab w:val="clear" w:pos="1996"/>
          <w:tab w:val="clear" w:pos="2427"/>
          <w:tab w:val="left" w:pos="1680"/>
          <w:tab w:val="left" w:pos="2115"/>
        </w:tabs>
        <w:rPr>
          <w:snapToGrid/>
          <w:lang w:val="en-GB"/>
        </w:rPr>
      </w:pPr>
      <w:r>
        <w:rPr>
          <w:rFonts w:hint="eastAsia"/>
          <w:snapToGrid/>
          <w:lang w:val="en-GB"/>
        </w:rPr>
        <w:tab/>
      </w:r>
      <w:r>
        <w:rPr>
          <w:rFonts w:hint="eastAsia"/>
          <w:snapToGrid/>
          <w:lang w:val="en-GB"/>
        </w:rPr>
        <w:tab/>
        <w:t>(</w:t>
      </w:r>
      <w:r>
        <w:rPr>
          <w:snapToGrid/>
          <w:lang w:val="en-GB"/>
        </w:rPr>
        <w:t>f)</w:t>
      </w:r>
      <w:r>
        <w:rPr>
          <w:rFonts w:hint="eastAsia"/>
          <w:snapToGrid/>
          <w:lang w:val="en-GB"/>
        </w:rPr>
        <w:tab/>
      </w:r>
      <w:r>
        <w:rPr>
          <w:snapToGrid/>
          <w:lang w:val="en-GB"/>
        </w:rPr>
        <w:t>装饰实用艺术和纪念碑艺术作品；</w:t>
      </w:r>
    </w:p>
    <w:p w:rsidR="00A93F62" w:rsidRDefault="00A93F62">
      <w:pPr>
        <w:pStyle w:val="SingleTxtGC"/>
        <w:tabs>
          <w:tab w:val="clear" w:pos="1565"/>
          <w:tab w:val="clear" w:pos="2427"/>
          <w:tab w:val="left" w:pos="1665"/>
          <w:tab w:val="left" w:pos="2115"/>
        </w:tabs>
        <w:rPr>
          <w:snapToGrid/>
          <w:lang w:val="en-GB"/>
        </w:rPr>
      </w:pPr>
      <w:r>
        <w:rPr>
          <w:rFonts w:hint="eastAsia"/>
          <w:snapToGrid/>
          <w:lang w:val="en-GB"/>
        </w:rPr>
        <w:tab/>
        <w:t>(</w:t>
      </w:r>
      <w:r>
        <w:rPr>
          <w:snapToGrid/>
          <w:lang w:val="en-GB"/>
        </w:rPr>
        <w:t>g)</w:t>
      </w:r>
      <w:r>
        <w:rPr>
          <w:rFonts w:hint="eastAsia"/>
          <w:snapToGrid/>
          <w:lang w:val="en-GB"/>
        </w:rPr>
        <w:tab/>
      </w:r>
      <w:r>
        <w:rPr>
          <w:rFonts w:hint="eastAsia"/>
          <w:snapToGrid/>
          <w:lang w:val="en-GB"/>
        </w:rPr>
        <w:tab/>
      </w:r>
      <w:r>
        <w:rPr>
          <w:snapToGrid/>
          <w:lang w:val="en-GB"/>
        </w:rPr>
        <w:t>雕塑、城市建设和园林艺术作品；</w:t>
      </w:r>
    </w:p>
    <w:p w:rsidR="00A93F62" w:rsidRDefault="00A93F62">
      <w:pPr>
        <w:pStyle w:val="SingleTxtGC"/>
        <w:tabs>
          <w:tab w:val="clear" w:pos="1565"/>
          <w:tab w:val="clear" w:pos="2427"/>
          <w:tab w:val="left" w:pos="1665"/>
          <w:tab w:val="left" w:pos="2115"/>
        </w:tabs>
        <w:rPr>
          <w:snapToGrid/>
          <w:lang w:val="en-GB"/>
        </w:rPr>
      </w:pPr>
      <w:r>
        <w:rPr>
          <w:rFonts w:hint="eastAsia"/>
          <w:snapToGrid/>
          <w:lang w:val="en-GB"/>
        </w:rPr>
        <w:tab/>
        <w:t>(</w:t>
      </w:r>
      <w:r>
        <w:rPr>
          <w:snapToGrid/>
          <w:lang w:val="en-GB"/>
        </w:rPr>
        <w:t>h)</w:t>
      </w:r>
      <w:r>
        <w:rPr>
          <w:rFonts w:hint="eastAsia"/>
          <w:snapToGrid/>
          <w:lang w:val="en-GB"/>
        </w:rPr>
        <w:tab/>
      </w:r>
      <w:r>
        <w:rPr>
          <w:rFonts w:hint="eastAsia"/>
          <w:snapToGrid/>
          <w:lang w:val="en-GB"/>
        </w:rPr>
        <w:tab/>
      </w:r>
      <w:r>
        <w:rPr>
          <w:snapToGrid/>
          <w:lang w:val="en-GB"/>
        </w:rPr>
        <w:t>摄影作品或其它类似写真作品；视听作品的单张照片不是摄影作品；</w:t>
      </w:r>
    </w:p>
    <w:p w:rsidR="00A93F62" w:rsidRDefault="00A93F62">
      <w:pPr>
        <w:pStyle w:val="SingleTxtGC"/>
        <w:tabs>
          <w:tab w:val="clear" w:pos="1565"/>
          <w:tab w:val="clear" w:pos="2427"/>
          <w:tab w:val="left" w:pos="1665"/>
          <w:tab w:val="left" w:pos="2115"/>
        </w:tabs>
        <w:rPr>
          <w:snapToGrid/>
          <w:lang w:val="en-GB"/>
        </w:rPr>
      </w:pPr>
      <w:r>
        <w:rPr>
          <w:rFonts w:hint="eastAsia"/>
          <w:snapToGrid/>
          <w:lang w:val="en-GB"/>
        </w:rPr>
        <w:tab/>
        <w:t>(</w:t>
      </w:r>
      <w:r>
        <w:rPr>
          <w:snapToGrid/>
          <w:lang w:val="en-GB"/>
        </w:rPr>
        <w:t>i)</w:t>
      </w:r>
      <w:r>
        <w:rPr>
          <w:rFonts w:hint="eastAsia"/>
          <w:snapToGrid/>
          <w:lang w:val="en-GB"/>
        </w:rPr>
        <w:tab/>
      </w:r>
      <w:r>
        <w:rPr>
          <w:rFonts w:hint="eastAsia"/>
          <w:snapToGrid/>
          <w:lang w:val="en-GB"/>
        </w:rPr>
        <w:tab/>
      </w:r>
      <w:r>
        <w:rPr>
          <w:snapToGrid/>
          <w:lang w:val="en-GB"/>
        </w:rPr>
        <w:t>地图、平面图、素描、插图和属于地理学、地形学或其它科学的其余类似作品。</w:t>
      </w:r>
      <w:r>
        <w:rPr>
          <w:snapToGrid/>
          <w:lang w:val="en-GB"/>
        </w:rPr>
        <w:t>”</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szCs w:val="21"/>
          <w:lang w:val="en-GB"/>
        </w:rPr>
        <w:t>以下也属于著作权的对象：</w:t>
      </w:r>
    </w:p>
    <w:p w:rsidR="00A93F62" w:rsidRDefault="00A93F62">
      <w:pPr>
        <w:pStyle w:val="SingleTxtGC"/>
        <w:rPr>
          <w:snapToGrid/>
          <w:lang w:val="en-GB"/>
        </w:rPr>
      </w:pPr>
      <w:r>
        <w:rPr>
          <w:rFonts w:hint="eastAsia"/>
          <w:snapToGrid/>
          <w:lang w:val="en-GB"/>
        </w:rPr>
        <w:tab/>
        <w:t>(</w:t>
      </w:r>
      <w:r>
        <w:rPr>
          <w:snapToGrid/>
          <w:lang w:val="en-GB"/>
        </w:rPr>
        <w:t>a)</w:t>
      </w:r>
      <w:r>
        <w:rPr>
          <w:rFonts w:hint="eastAsia"/>
          <w:snapToGrid/>
          <w:lang w:val="en-GB"/>
        </w:rPr>
        <w:tab/>
      </w:r>
      <w:r>
        <w:rPr>
          <w:snapToGrid/>
          <w:lang w:val="en-GB"/>
        </w:rPr>
        <w:t>衍生作品</w:t>
      </w:r>
      <w:r>
        <w:rPr>
          <w:snapToGrid/>
          <w:lang w:val="en-GB"/>
        </w:rPr>
        <w:t>(</w:t>
      </w:r>
      <w:r>
        <w:rPr>
          <w:snapToGrid/>
          <w:lang w:val="en-GB"/>
        </w:rPr>
        <w:t>翻译、改编、注释、摘要、概述、评论、编剧、乐曲改编和科学、文学、艺术作品的其它修改</w:t>
      </w:r>
      <w:r>
        <w:rPr>
          <w:snapToGrid/>
          <w:lang w:val="en-GB"/>
        </w:rPr>
        <w:t>)</w:t>
      </w:r>
      <w:r>
        <w:rPr>
          <w:snapToGrid/>
          <w:lang w:val="en-GB"/>
        </w:rPr>
        <w:t>；</w:t>
      </w:r>
    </w:p>
    <w:p w:rsidR="00A93F62" w:rsidRDefault="00A93F62">
      <w:pPr>
        <w:pStyle w:val="SingleTxtGC"/>
        <w:rPr>
          <w:snapToGrid/>
          <w:lang w:val="en-GB"/>
        </w:rPr>
      </w:pPr>
      <w:r>
        <w:rPr>
          <w:rFonts w:hint="eastAsia"/>
          <w:snapToGrid/>
          <w:lang w:val="en-GB"/>
        </w:rPr>
        <w:tab/>
        <w:t>(</w:t>
      </w:r>
      <w:r>
        <w:rPr>
          <w:snapToGrid/>
          <w:lang w:val="en-GB"/>
        </w:rPr>
        <w:t>b)</w:t>
      </w:r>
      <w:r>
        <w:rPr>
          <w:rFonts w:hint="eastAsia"/>
          <w:snapToGrid/>
          <w:lang w:val="en-GB"/>
        </w:rPr>
        <w:tab/>
      </w:r>
      <w:r>
        <w:rPr>
          <w:snapToGrid/>
          <w:lang w:val="en-GB"/>
        </w:rPr>
        <w:t>汇编</w:t>
      </w:r>
      <w:r>
        <w:rPr>
          <w:snapToGrid/>
          <w:lang w:val="en-GB"/>
        </w:rPr>
        <w:t>(</w:t>
      </w:r>
      <w:r>
        <w:rPr>
          <w:snapToGrid/>
          <w:lang w:val="en-GB"/>
        </w:rPr>
        <w:t>百科全书，文集，数据库</w:t>
      </w:r>
      <w:r>
        <w:rPr>
          <w:snapToGrid/>
          <w:lang w:val="en-GB"/>
        </w:rPr>
        <w:t>)</w:t>
      </w:r>
      <w:r>
        <w:rPr>
          <w:snapToGrid/>
          <w:lang w:val="en-GB"/>
        </w:rPr>
        <w:t>和其它编辑的作品，它们是将材料进行选择和分配的智力创作成果。</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358.</w:t>
      </w:r>
      <w:r>
        <w:rPr>
          <w:rFonts w:hint="eastAsia"/>
          <w:snapToGrid/>
          <w:szCs w:val="21"/>
          <w:lang w:val="en-GB"/>
        </w:rPr>
        <w:t xml:space="preserve">  </w:t>
      </w:r>
      <w:r>
        <w:rPr>
          <w:snapToGrid/>
          <w:szCs w:val="21"/>
          <w:lang w:val="en-GB"/>
        </w:rPr>
        <w:t>侵犯土库曼斯坦民法规定的著作权和合作权，将承担民事、刑事和行政责任。侵犯著作权的法人，将承担民事责任</w:t>
      </w:r>
      <w:r>
        <w:rPr>
          <w:snapToGrid/>
          <w:szCs w:val="21"/>
          <w:lang w:val="en-GB"/>
        </w:rPr>
        <w:t>(</w:t>
      </w:r>
      <w:r>
        <w:rPr>
          <w:snapToGrid/>
          <w:szCs w:val="21"/>
          <w:lang w:val="en-GB"/>
        </w:rPr>
        <w:t>《土库曼斯坦民法》第</w:t>
      </w:r>
      <w:r>
        <w:rPr>
          <w:snapToGrid/>
          <w:szCs w:val="21"/>
          <w:lang w:val="en-GB"/>
        </w:rPr>
        <w:t>1124</w:t>
      </w:r>
      <w:r>
        <w:rPr>
          <w:snapToGrid/>
          <w:szCs w:val="21"/>
          <w:lang w:val="en-GB"/>
        </w:rPr>
        <w:t>条</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359.</w:t>
      </w:r>
      <w:r>
        <w:rPr>
          <w:rFonts w:hint="eastAsia"/>
          <w:snapToGrid/>
          <w:szCs w:val="21"/>
          <w:lang w:val="en-GB"/>
        </w:rPr>
        <w:t xml:space="preserve">  </w:t>
      </w:r>
      <w:r>
        <w:rPr>
          <w:snapToGrid/>
          <w:szCs w:val="21"/>
          <w:lang w:val="en-GB"/>
        </w:rPr>
        <w:t>为保护和全面有效地使用土库曼斯坦与各族人民的历史文化遗产。</w:t>
      </w:r>
      <w:smartTag w:uri="urn:schemas-microsoft-com:office:smarttags" w:element="chsdate">
        <w:smartTagPr>
          <w:attr w:name="IsROCDate" w:val="False"/>
          <w:attr w:name="IsLunarDate" w:val="False"/>
          <w:attr w:name="Day" w:val="19"/>
          <w:attr w:name="Month" w:val="2"/>
          <w:attr w:name="Year" w:val="1992"/>
        </w:smartTagPr>
        <w:r>
          <w:rPr>
            <w:snapToGrid/>
            <w:szCs w:val="21"/>
            <w:lang w:val="en-GB"/>
          </w:rPr>
          <w:t>1992</w:t>
        </w:r>
        <w:r>
          <w:rPr>
            <w:snapToGrid/>
            <w:szCs w:val="21"/>
            <w:lang w:val="en-GB"/>
          </w:rPr>
          <w:t>年</w:t>
        </w:r>
        <w:r>
          <w:rPr>
            <w:snapToGrid/>
            <w:szCs w:val="21"/>
            <w:lang w:val="en-GB"/>
          </w:rPr>
          <w:t>2</w:t>
        </w:r>
        <w:r>
          <w:rPr>
            <w:snapToGrid/>
            <w:szCs w:val="21"/>
            <w:lang w:val="en-GB"/>
          </w:rPr>
          <w:t>月</w:t>
        </w:r>
        <w:r>
          <w:rPr>
            <w:snapToGrid/>
            <w:szCs w:val="21"/>
            <w:lang w:val="en-GB"/>
          </w:rPr>
          <w:t>19</w:t>
        </w:r>
        <w:r>
          <w:rPr>
            <w:snapToGrid/>
            <w:szCs w:val="21"/>
            <w:lang w:val="en-GB"/>
          </w:rPr>
          <w:t>日</w:t>
        </w:r>
      </w:smartTag>
      <w:r>
        <w:rPr>
          <w:snapToGrid/>
          <w:szCs w:val="21"/>
          <w:lang w:val="en-GB"/>
        </w:rPr>
        <w:t>通过了《保护土库曼斯坦历史文物和文化古迹法》，</w:t>
      </w:r>
      <w:smartTag w:uri="urn:schemas-microsoft-com:office:smarttags" w:element="chsdate">
        <w:smartTagPr>
          <w:attr w:name="IsROCDate" w:val="False"/>
          <w:attr w:name="IsLunarDate" w:val="False"/>
          <w:attr w:name="Day" w:val="15"/>
          <w:attr w:name="Month" w:val="9"/>
          <w:attr w:name="Year" w:val="1998"/>
        </w:smartTagPr>
        <w:r>
          <w:rPr>
            <w:snapToGrid/>
            <w:szCs w:val="21"/>
            <w:lang w:val="en-GB"/>
          </w:rPr>
          <w:t>1998</w:t>
        </w:r>
        <w:r>
          <w:rPr>
            <w:snapToGrid/>
            <w:szCs w:val="21"/>
            <w:lang w:val="en-GB"/>
          </w:rPr>
          <w:t>年</w:t>
        </w:r>
        <w:r>
          <w:rPr>
            <w:snapToGrid/>
            <w:szCs w:val="21"/>
            <w:lang w:val="en-GB"/>
          </w:rPr>
          <w:t>9</w:t>
        </w:r>
        <w:r>
          <w:rPr>
            <w:snapToGrid/>
            <w:szCs w:val="21"/>
            <w:lang w:val="en-GB"/>
          </w:rPr>
          <w:t>月</w:t>
        </w:r>
        <w:r>
          <w:rPr>
            <w:snapToGrid/>
            <w:szCs w:val="21"/>
            <w:lang w:val="en-GB"/>
          </w:rPr>
          <w:t>15</w:t>
        </w:r>
        <w:r>
          <w:rPr>
            <w:snapToGrid/>
            <w:szCs w:val="21"/>
            <w:lang w:val="en-GB"/>
          </w:rPr>
          <w:t>日</w:t>
        </w:r>
      </w:smartTag>
      <w:r>
        <w:rPr>
          <w:snapToGrid/>
          <w:szCs w:val="21"/>
          <w:lang w:val="en-GB"/>
        </w:rPr>
        <w:t>通过了《流动文化珍品的保护、输入和输出法》。</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360.</w:t>
      </w:r>
      <w:r>
        <w:rPr>
          <w:rFonts w:hint="eastAsia"/>
          <w:snapToGrid/>
          <w:szCs w:val="21"/>
          <w:lang w:val="en-GB"/>
        </w:rPr>
        <w:t xml:space="preserve">  </w:t>
      </w:r>
      <w:r>
        <w:rPr>
          <w:snapToGrid/>
          <w:szCs w:val="21"/>
          <w:lang w:val="en-GB"/>
        </w:rPr>
        <w:t>2007</w:t>
      </w:r>
      <w:r>
        <w:rPr>
          <w:snapToGrid/>
          <w:szCs w:val="21"/>
          <w:lang w:val="en-GB"/>
        </w:rPr>
        <w:t>年维修和修复土库曼斯坦历史文化古迹的预算内拨款为</w:t>
      </w:r>
      <w:r>
        <w:rPr>
          <w:snapToGrid/>
          <w:szCs w:val="21"/>
          <w:lang w:val="en-GB"/>
        </w:rPr>
        <w:t>15</w:t>
      </w:r>
      <w:r>
        <w:rPr>
          <w:snapToGrid/>
          <w:szCs w:val="21"/>
          <w:lang w:val="en-GB"/>
        </w:rPr>
        <w:t>亿马纳特。</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361.</w:t>
      </w:r>
      <w:r>
        <w:rPr>
          <w:rFonts w:hint="eastAsia"/>
          <w:snapToGrid/>
          <w:szCs w:val="21"/>
          <w:lang w:val="en-GB"/>
        </w:rPr>
        <w:t xml:space="preserve">  </w:t>
      </w:r>
      <w:r>
        <w:rPr>
          <w:snapToGrid/>
          <w:szCs w:val="21"/>
          <w:lang w:val="en-GB"/>
        </w:rPr>
        <w:t>土库曼斯坦国家统计有</w:t>
      </w:r>
      <w:r>
        <w:rPr>
          <w:snapToGrid/>
          <w:szCs w:val="21"/>
          <w:lang w:val="en-GB"/>
        </w:rPr>
        <w:t>1 360</w:t>
      </w:r>
      <w:r>
        <w:rPr>
          <w:snapToGrid/>
          <w:szCs w:val="21"/>
          <w:lang w:val="en-GB"/>
        </w:rPr>
        <w:t>处历史文物古迹</w:t>
      </w:r>
      <w:r>
        <w:rPr>
          <w:snapToGrid/>
          <w:szCs w:val="21"/>
          <w:lang w:val="en-GB"/>
        </w:rPr>
        <w:t>(</w:t>
      </w:r>
      <w:r>
        <w:rPr>
          <w:snapToGrid/>
          <w:szCs w:val="21"/>
          <w:lang w:val="en-GB"/>
        </w:rPr>
        <w:t>考古遗址和古建筑</w:t>
      </w:r>
      <w:r>
        <w:rPr>
          <w:snapToGrid/>
          <w:szCs w:val="21"/>
          <w:lang w:val="en-GB"/>
        </w:rPr>
        <w:t>)</w:t>
      </w:r>
      <w:r>
        <w:rPr>
          <w:snapToGrid/>
          <w:szCs w:val="21"/>
          <w:lang w:val="en-GB"/>
        </w:rPr>
        <w:t>，</w:t>
      </w:r>
      <w:r>
        <w:rPr>
          <w:snapToGrid/>
          <w:szCs w:val="21"/>
          <w:lang w:val="en-GB"/>
        </w:rPr>
        <w:t>8</w:t>
      </w:r>
      <w:r>
        <w:rPr>
          <w:snapToGrid/>
          <w:szCs w:val="21"/>
          <w:lang w:val="en-GB"/>
        </w:rPr>
        <w:t>处历史文化保护区：</w:t>
      </w:r>
    </w:p>
    <w:p w:rsidR="00A93F62" w:rsidRDefault="00A93F62">
      <w:pPr>
        <w:pStyle w:val="Bullet1GC"/>
        <w:numPr>
          <w:ilvl w:val="0"/>
          <w:numId w:val="14"/>
        </w:numPr>
        <w:rPr>
          <w:snapToGrid/>
          <w:lang w:val="en-GB"/>
        </w:rPr>
      </w:pPr>
      <w:r>
        <w:rPr>
          <w:snapToGrid/>
          <w:lang w:val="en-GB"/>
        </w:rPr>
        <w:t>“</w:t>
      </w:r>
      <w:r>
        <w:rPr>
          <w:snapToGrid/>
          <w:lang w:val="en-GB"/>
        </w:rPr>
        <w:t>尼萨</w:t>
      </w:r>
      <w:r>
        <w:rPr>
          <w:snapToGrid/>
          <w:lang w:val="en-GB"/>
        </w:rPr>
        <w:t>”</w:t>
      </w:r>
      <w:r>
        <w:rPr>
          <w:snapToGrid/>
          <w:lang w:val="en-GB"/>
        </w:rPr>
        <w:t>国家历史文化保护区；</w:t>
      </w:r>
    </w:p>
    <w:p w:rsidR="00A93F62" w:rsidRDefault="00A93F62">
      <w:pPr>
        <w:pStyle w:val="Bullet1GC"/>
        <w:numPr>
          <w:ilvl w:val="0"/>
          <w:numId w:val="14"/>
        </w:numPr>
        <w:rPr>
          <w:snapToGrid/>
          <w:lang w:val="en-GB"/>
        </w:rPr>
      </w:pPr>
      <w:r>
        <w:rPr>
          <w:snapToGrid/>
          <w:lang w:val="en-GB"/>
        </w:rPr>
        <w:t>库尼亚乌尔根奇国家历史文化保护区；</w:t>
      </w:r>
    </w:p>
    <w:p w:rsidR="00A93F62" w:rsidRDefault="00A93F62">
      <w:pPr>
        <w:pStyle w:val="Bullet1GC"/>
        <w:numPr>
          <w:ilvl w:val="0"/>
          <w:numId w:val="14"/>
        </w:numPr>
        <w:rPr>
          <w:snapToGrid/>
          <w:lang w:val="en-GB"/>
        </w:rPr>
      </w:pPr>
      <w:r>
        <w:rPr>
          <w:snapToGrid/>
          <w:lang w:val="en-GB"/>
        </w:rPr>
        <w:t>“</w:t>
      </w:r>
      <w:r>
        <w:rPr>
          <w:snapToGrid/>
          <w:lang w:val="en-GB"/>
        </w:rPr>
        <w:t>古梅尔夫</w:t>
      </w:r>
      <w:r>
        <w:rPr>
          <w:snapToGrid/>
          <w:lang w:val="en-GB"/>
        </w:rPr>
        <w:t>”</w:t>
      </w:r>
      <w:r>
        <w:rPr>
          <w:snapToGrid/>
          <w:lang w:val="en-GB"/>
        </w:rPr>
        <w:t>国家历史文化保护区；</w:t>
      </w:r>
    </w:p>
    <w:p w:rsidR="00A93F62" w:rsidRDefault="00A93F62">
      <w:pPr>
        <w:pStyle w:val="Bullet1GC"/>
        <w:numPr>
          <w:ilvl w:val="0"/>
          <w:numId w:val="14"/>
        </w:numPr>
        <w:rPr>
          <w:snapToGrid/>
          <w:lang w:val="en-GB"/>
        </w:rPr>
      </w:pPr>
      <w:r>
        <w:rPr>
          <w:snapToGrid/>
          <w:lang w:val="en-GB"/>
        </w:rPr>
        <w:t>“</w:t>
      </w:r>
      <w:r>
        <w:rPr>
          <w:snapToGrid/>
          <w:lang w:val="en-GB"/>
        </w:rPr>
        <w:t>基奥涅</w:t>
      </w:r>
      <w:r>
        <w:rPr>
          <w:snapToGrid/>
          <w:lang w:val="en-GB"/>
        </w:rPr>
        <w:t>·</w:t>
      </w:r>
      <w:r>
        <w:rPr>
          <w:snapToGrid/>
          <w:lang w:val="en-GB"/>
        </w:rPr>
        <w:t>谢拉赫斯</w:t>
      </w:r>
      <w:r>
        <w:rPr>
          <w:snapToGrid/>
          <w:lang w:val="en-GB"/>
        </w:rPr>
        <w:t>”</w:t>
      </w:r>
      <w:r>
        <w:rPr>
          <w:snapToGrid/>
          <w:lang w:val="en-GB"/>
        </w:rPr>
        <w:t>国家历史文化保护区；</w:t>
      </w:r>
    </w:p>
    <w:p w:rsidR="00A93F62" w:rsidRDefault="00A93F62">
      <w:pPr>
        <w:pStyle w:val="Bullet1GC"/>
        <w:numPr>
          <w:ilvl w:val="0"/>
          <w:numId w:val="14"/>
        </w:numPr>
        <w:rPr>
          <w:snapToGrid/>
          <w:lang w:val="en-GB"/>
        </w:rPr>
      </w:pPr>
      <w:r>
        <w:rPr>
          <w:snapToGrid/>
          <w:lang w:val="en-GB"/>
        </w:rPr>
        <w:t>“</w:t>
      </w:r>
      <w:r>
        <w:rPr>
          <w:snapToGrid/>
          <w:lang w:val="en-GB"/>
        </w:rPr>
        <w:t>古杰希斯坦</w:t>
      </w:r>
      <w:r>
        <w:rPr>
          <w:snapToGrid/>
          <w:lang w:val="en-GB"/>
        </w:rPr>
        <w:t>”</w:t>
      </w:r>
      <w:r>
        <w:rPr>
          <w:snapToGrid/>
          <w:lang w:val="en-GB"/>
        </w:rPr>
        <w:t>国家历史文化保护区；</w:t>
      </w:r>
    </w:p>
    <w:p w:rsidR="00A93F62" w:rsidRDefault="00A93F62">
      <w:pPr>
        <w:pStyle w:val="Bullet1GC"/>
        <w:numPr>
          <w:ilvl w:val="0"/>
          <w:numId w:val="14"/>
        </w:numPr>
        <w:rPr>
          <w:snapToGrid/>
          <w:lang w:val="en-GB"/>
        </w:rPr>
      </w:pPr>
      <w:r>
        <w:rPr>
          <w:snapToGrid/>
          <w:lang w:val="en-GB"/>
        </w:rPr>
        <w:t>阿塔姆拉特国家历史文化保护区；</w:t>
      </w:r>
    </w:p>
    <w:p w:rsidR="00A93F62" w:rsidRDefault="00A93F62">
      <w:pPr>
        <w:pStyle w:val="Bullet1GC"/>
        <w:numPr>
          <w:ilvl w:val="0"/>
          <w:numId w:val="14"/>
        </w:numPr>
        <w:rPr>
          <w:snapToGrid/>
          <w:lang w:val="en-GB"/>
        </w:rPr>
      </w:pPr>
      <w:r>
        <w:rPr>
          <w:snapToGrid/>
          <w:lang w:val="en-GB"/>
        </w:rPr>
        <w:t>“</w:t>
      </w:r>
      <w:r>
        <w:rPr>
          <w:snapToGrid/>
          <w:lang w:val="en-GB"/>
        </w:rPr>
        <w:t>格奥克杰平要塞</w:t>
      </w:r>
      <w:r>
        <w:rPr>
          <w:snapToGrid/>
          <w:lang w:val="en-GB"/>
        </w:rPr>
        <w:t>”</w:t>
      </w:r>
      <w:r>
        <w:rPr>
          <w:snapToGrid/>
          <w:lang w:val="en-GB"/>
        </w:rPr>
        <w:t>国家历史文化保护区；</w:t>
      </w:r>
    </w:p>
    <w:p w:rsidR="00A93F62" w:rsidRDefault="00A93F62">
      <w:pPr>
        <w:pStyle w:val="Bullet1GC"/>
        <w:numPr>
          <w:ilvl w:val="0"/>
          <w:numId w:val="14"/>
        </w:numPr>
        <w:rPr>
          <w:snapToGrid/>
          <w:lang w:val="en-GB"/>
        </w:rPr>
      </w:pPr>
      <w:r>
        <w:rPr>
          <w:snapToGrid/>
          <w:lang w:val="en-GB"/>
        </w:rPr>
        <w:t>“</w:t>
      </w:r>
      <w:r>
        <w:rPr>
          <w:snapToGrid/>
          <w:lang w:val="en-GB"/>
        </w:rPr>
        <w:t>阿比维尔德</w:t>
      </w:r>
      <w:r>
        <w:rPr>
          <w:snapToGrid/>
          <w:lang w:val="en-GB"/>
        </w:rPr>
        <w:t>”</w:t>
      </w:r>
      <w:r>
        <w:rPr>
          <w:snapToGrid/>
          <w:lang w:val="en-GB"/>
        </w:rPr>
        <w:t>国家历史文化保护区。</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362.</w:t>
      </w:r>
      <w:r>
        <w:rPr>
          <w:rFonts w:hint="eastAsia"/>
          <w:snapToGrid/>
          <w:szCs w:val="21"/>
          <w:lang w:val="en-GB"/>
        </w:rPr>
        <w:t xml:space="preserve">  </w:t>
      </w:r>
      <w:r>
        <w:rPr>
          <w:snapToGrid/>
          <w:szCs w:val="21"/>
          <w:lang w:val="en-GB"/>
        </w:rPr>
        <w:t>所有保护区都具有国家地位，其中有三个保护区依次入选联合国教科文组织的</w:t>
      </w:r>
      <w:r>
        <w:rPr>
          <w:snapToGrid/>
          <w:szCs w:val="21"/>
          <w:lang w:val="en-GB"/>
        </w:rPr>
        <w:t>“</w:t>
      </w:r>
      <w:r>
        <w:rPr>
          <w:snapToGrid/>
          <w:szCs w:val="21"/>
          <w:lang w:val="en-GB"/>
        </w:rPr>
        <w:t>世界遗产目录</w:t>
      </w:r>
      <w:r>
        <w:rPr>
          <w:snapToGrid/>
          <w:szCs w:val="21"/>
          <w:lang w:val="en-GB"/>
        </w:rPr>
        <w:t>”</w:t>
      </w:r>
      <w:r>
        <w:rPr>
          <w:snapToGrid/>
          <w:szCs w:val="21"/>
          <w:lang w:val="en-GB"/>
        </w:rPr>
        <w:t>：</w:t>
      </w:r>
      <w:r>
        <w:rPr>
          <w:snapToGrid/>
          <w:szCs w:val="21"/>
          <w:lang w:val="en-GB"/>
        </w:rPr>
        <w:t>“</w:t>
      </w:r>
      <w:r>
        <w:rPr>
          <w:snapToGrid/>
          <w:szCs w:val="21"/>
          <w:lang w:val="en-GB"/>
        </w:rPr>
        <w:t>古梅尔夫</w:t>
      </w:r>
      <w:r>
        <w:rPr>
          <w:snapToGrid/>
          <w:szCs w:val="21"/>
          <w:lang w:val="en-GB"/>
        </w:rPr>
        <w:t>”</w:t>
      </w:r>
      <w:r>
        <w:rPr>
          <w:snapToGrid/>
          <w:szCs w:val="21"/>
          <w:lang w:val="en-GB"/>
        </w:rPr>
        <w:t>于</w:t>
      </w:r>
      <w:r>
        <w:rPr>
          <w:snapToGrid/>
          <w:szCs w:val="21"/>
          <w:lang w:val="en-GB"/>
        </w:rPr>
        <w:t>1999</w:t>
      </w:r>
      <w:r>
        <w:rPr>
          <w:snapToGrid/>
          <w:szCs w:val="21"/>
          <w:lang w:val="en-GB"/>
        </w:rPr>
        <w:t>年，</w:t>
      </w:r>
      <w:r>
        <w:rPr>
          <w:snapToGrid/>
          <w:szCs w:val="21"/>
          <w:lang w:val="en-GB"/>
        </w:rPr>
        <w:t>“</w:t>
      </w:r>
      <w:r>
        <w:rPr>
          <w:snapToGrid/>
          <w:szCs w:val="21"/>
          <w:lang w:val="en-GB"/>
        </w:rPr>
        <w:t>库尼亚乌尔根奇</w:t>
      </w:r>
      <w:r>
        <w:rPr>
          <w:snapToGrid/>
          <w:szCs w:val="21"/>
          <w:lang w:val="en-GB"/>
        </w:rPr>
        <w:t>”</w:t>
      </w:r>
      <w:r>
        <w:rPr>
          <w:snapToGrid/>
          <w:szCs w:val="21"/>
          <w:lang w:val="en-GB"/>
        </w:rPr>
        <w:t>于</w:t>
      </w:r>
      <w:r>
        <w:rPr>
          <w:snapToGrid/>
          <w:szCs w:val="21"/>
          <w:lang w:val="en-GB"/>
        </w:rPr>
        <w:t>2005</w:t>
      </w:r>
      <w:r>
        <w:rPr>
          <w:snapToGrid/>
          <w:szCs w:val="21"/>
          <w:lang w:val="en-GB"/>
        </w:rPr>
        <w:t>年，</w:t>
      </w:r>
      <w:r>
        <w:rPr>
          <w:snapToGrid/>
          <w:szCs w:val="21"/>
          <w:lang w:val="en-GB"/>
        </w:rPr>
        <w:t>“</w:t>
      </w:r>
      <w:r>
        <w:rPr>
          <w:snapToGrid/>
          <w:szCs w:val="21"/>
          <w:lang w:val="en-GB"/>
        </w:rPr>
        <w:t>尼萨</w:t>
      </w:r>
      <w:r>
        <w:rPr>
          <w:snapToGrid/>
          <w:szCs w:val="21"/>
          <w:lang w:val="en-GB"/>
        </w:rPr>
        <w:t>”</w:t>
      </w:r>
      <w:r>
        <w:rPr>
          <w:snapToGrid/>
          <w:szCs w:val="21"/>
          <w:lang w:val="en-GB"/>
        </w:rPr>
        <w:t>于</w:t>
      </w:r>
      <w:r>
        <w:rPr>
          <w:snapToGrid/>
          <w:szCs w:val="21"/>
          <w:lang w:val="en-GB"/>
        </w:rPr>
        <w:t>2007</w:t>
      </w:r>
      <w:r>
        <w:rPr>
          <w:snapToGrid/>
          <w:szCs w:val="21"/>
          <w:lang w:val="en-GB"/>
        </w:rPr>
        <w:t>年。严格依照《联合国教科文组织的威尼斯宪章》，保护土库曼斯坦的历史文化遗产，《宪章》明确规定了改变文物技术状态的主要载体，原件防腐是主要方式。科学防腐的手段和方法仍是土库曼斯坦及外国专家注意的目标。</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363.</w:t>
      </w:r>
      <w:r>
        <w:rPr>
          <w:rFonts w:hint="eastAsia"/>
          <w:snapToGrid/>
          <w:szCs w:val="21"/>
          <w:lang w:val="en-GB"/>
        </w:rPr>
        <w:t xml:space="preserve">  </w:t>
      </w:r>
      <w:r>
        <w:rPr>
          <w:snapToGrid/>
          <w:szCs w:val="21"/>
          <w:lang w:val="en-GB"/>
        </w:rPr>
        <w:t>2007</w:t>
      </w:r>
      <w:r>
        <w:rPr>
          <w:snapToGrid/>
          <w:szCs w:val="21"/>
          <w:lang w:val="en-GB"/>
        </w:rPr>
        <w:t>年，发展文化事业的国家预算内拨款为</w:t>
      </w:r>
      <w:r>
        <w:rPr>
          <w:snapToGrid/>
          <w:szCs w:val="21"/>
          <w:lang w:val="en-GB"/>
        </w:rPr>
        <w:t>5 838.51</w:t>
      </w:r>
      <w:r>
        <w:rPr>
          <w:snapToGrid/>
          <w:szCs w:val="21"/>
          <w:lang w:val="en-GB"/>
        </w:rPr>
        <w:t>亿马纳特，土库曼斯坦文化和广播电视部下属的文化和民族遗产机构首先得到活动经费。《国家预算法》规定，应划拨款项支持相关业务活动。土库曼斯坦文化和广播电视部进行资金分配。地方文化机构依靠地方预算拨款运营。</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364.</w:t>
      </w:r>
      <w:r>
        <w:rPr>
          <w:rFonts w:hint="eastAsia"/>
          <w:snapToGrid/>
          <w:szCs w:val="21"/>
          <w:lang w:val="en-GB"/>
        </w:rPr>
        <w:t xml:space="preserve">  </w:t>
      </w:r>
      <w:r>
        <w:rPr>
          <w:snapToGrid/>
          <w:szCs w:val="21"/>
          <w:lang w:val="en-GB"/>
        </w:rPr>
        <w:t>土库曼斯坦文化和广播电视部下辖</w:t>
      </w:r>
      <w:r>
        <w:rPr>
          <w:snapToGrid/>
          <w:szCs w:val="21"/>
          <w:lang w:val="en-GB"/>
        </w:rPr>
        <w:t>10</w:t>
      </w:r>
      <w:r>
        <w:rPr>
          <w:snapToGrid/>
          <w:szCs w:val="21"/>
          <w:lang w:val="en-GB"/>
        </w:rPr>
        <w:t>家剧院，</w:t>
      </w:r>
      <w:r>
        <w:rPr>
          <w:snapToGrid/>
          <w:szCs w:val="21"/>
          <w:lang w:val="en-GB"/>
        </w:rPr>
        <w:t>28</w:t>
      </w:r>
      <w:r>
        <w:rPr>
          <w:snapToGrid/>
          <w:szCs w:val="21"/>
          <w:lang w:val="en-GB"/>
        </w:rPr>
        <w:t>家博物馆，</w:t>
      </w:r>
      <w:r>
        <w:rPr>
          <w:snapToGrid/>
          <w:szCs w:val="21"/>
          <w:lang w:val="en-GB"/>
        </w:rPr>
        <w:t>88</w:t>
      </w:r>
      <w:r>
        <w:rPr>
          <w:snapToGrid/>
          <w:szCs w:val="21"/>
          <w:lang w:val="en-GB"/>
        </w:rPr>
        <w:t>家图书馆，</w:t>
      </w:r>
      <w:r>
        <w:rPr>
          <w:snapToGrid/>
          <w:szCs w:val="21"/>
          <w:lang w:val="en-GB"/>
        </w:rPr>
        <w:t>11</w:t>
      </w:r>
      <w:r>
        <w:rPr>
          <w:snapToGrid/>
          <w:szCs w:val="21"/>
          <w:lang w:val="en-GB"/>
        </w:rPr>
        <w:t>所高等和中等院校，</w:t>
      </w:r>
      <w:r>
        <w:rPr>
          <w:snapToGrid/>
          <w:szCs w:val="21"/>
          <w:lang w:val="en-GB"/>
        </w:rPr>
        <w:t>59</w:t>
      </w:r>
      <w:r>
        <w:rPr>
          <w:snapToGrid/>
          <w:szCs w:val="21"/>
          <w:lang w:val="en-GB"/>
        </w:rPr>
        <w:t>所儿童音乐艺术学校，</w:t>
      </w:r>
      <w:r>
        <w:rPr>
          <w:snapToGrid/>
          <w:szCs w:val="21"/>
          <w:lang w:val="en-GB"/>
        </w:rPr>
        <w:t>678</w:t>
      </w:r>
      <w:r>
        <w:rPr>
          <w:snapToGrid/>
          <w:szCs w:val="21"/>
          <w:lang w:val="en-GB"/>
        </w:rPr>
        <w:t>家俱乐部，历史和文化古迹保护、研究和修复管理局，美术展览管理局，教学方法中心，生产联合企业，土库曼斯坦电视管理局和国家各地区</w:t>
      </w:r>
      <w:r>
        <w:rPr>
          <w:snapToGrid/>
          <w:szCs w:val="21"/>
          <w:lang w:val="en-GB"/>
        </w:rPr>
        <w:t>(</w:t>
      </w:r>
      <w:r>
        <w:rPr>
          <w:snapToGrid/>
          <w:szCs w:val="21"/>
          <w:lang w:val="en-GB"/>
        </w:rPr>
        <w:t>地区</w:t>
      </w:r>
      <w:r>
        <w:rPr>
          <w:snapToGrid/>
          <w:szCs w:val="21"/>
          <w:lang w:val="en-GB"/>
        </w:rPr>
        <w:t>)</w:t>
      </w:r>
      <w:r>
        <w:rPr>
          <w:snapToGrid/>
          <w:szCs w:val="21"/>
          <w:lang w:val="en-GB"/>
        </w:rPr>
        <w:t>文化厅。为落实政策，促进文化生活发展，土库曼斯坦近年来兴建了</w:t>
      </w:r>
      <w:r>
        <w:rPr>
          <w:snapToGrid/>
          <w:szCs w:val="21"/>
          <w:lang w:val="en-GB"/>
        </w:rPr>
        <w:t>8</w:t>
      </w:r>
      <w:r>
        <w:rPr>
          <w:snapToGrid/>
          <w:szCs w:val="21"/>
          <w:lang w:val="en-GB"/>
        </w:rPr>
        <w:t>家剧院，</w:t>
      </w:r>
      <w:r>
        <w:rPr>
          <w:snapToGrid/>
          <w:szCs w:val="21"/>
          <w:lang w:val="en-GB"/>
        </w:rPr>
        <w:t>3</w:t>
      </w:r>
      <w:r>
        <w:rPr>
          <w:snapToGrid/>
          <w:szCs w:val="21"/>
          <w:lang w:val="en-GB"/>
        </w:rPr>
        <w:t>家博物馆，</w:t>
      </w:r>
      <w:r>
        <w:rPr>
          <w:snapToGrid/>
          <w:szCs w:val="21"/>
          <w:lang w:val="en-GB"/>
        </w:rPr>
        <w:t>1</w:t>
      </w:r>
      <w:r>
        <w:rPr>
          <w:snapToGrid/>
          <w:szCs w:val="21"/>
          <w:lang w:val="en-GB"/>
        </w:rPr>
        <w:t>家图书馆，</w:t>
      </w:r>
      <w:r>
        <w:rPr>
          <w:snapToGrid/>
          <w:szCs w:val="21"/>
          <w:lang w:val="en-GB"/>
        </w:rPr>
        <w:t>1</w:t>
      </w:r>
      <w:r>
        <w:rPr>
          <w:snapToGrid/>
          <w:szCs w:val="21"/>
          <w:lang w:val="en-GB"/>
        </w:rPr>
        <w:t>家音乐协会和</w:t>
      </w:r>
      <w:r>
        <w:rPr>
          <w:snapToGrid/>
          <w:szCs w:val="21"/>
          <w:lang w:val="en-GB"/>
        </w:rPr>
        <w:t>1</w:t>
      </w:r>
      <w:r>
        <w:rPr>
          <w:snapToGrid/>
          <w:szCs w:val="21"/>
          <w:lang w:val="en-GB"/>
        </w:rPr>
        <w:t>家土库曼斯坦美术学院。</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365.</w:t>
      </w:r>
      <w:r>
        <w:rPr>
          <w:rFonts w:hint="eastAsia"/>
          <w:snapToGrid/>
          <w:szCs w:val="21"/>
          <w:lang w:val="en-GB"/>
        </w:rPr>
        <w:t xml:space="preserve">  </w:t>
      </w:r>
      <w:r>
        <w:rPr>
          <w:snapToGrid/>
          <w:szCs w:val="21"/>
          <w:lang w:val="en-GB"/>
        </w:rPr>
        <w:t>根据土库曼斯坦总统令，土库曼斯坦每年都举办各种国际会演和代表大会，旨在丰富文化生活，促进各国的文化艺术经验交流，并向世界人民介绍土库曼斯坦人民丰富的文化遗产。</w:t>
      </w:r>
    </w:p>
    <w:p w:rsidR="00A93F62" w:rsidRDefault="00A93F62">
      <w:pPr>
        <w:tabs>
          <w:tab w:val="clear" w:pos="431"/>
        </w:tabs>
        <w:suppressAutoHyphens/>
        <w:overflowPunct/>
        <w:adjustRightInd/>
        <w:snapToGrid/>
        <w:spacing w:after="120" w:line="320" w:lineRule="atLeast"/>
        <w:ind w:left="1134" w:right="1134"/>
        <w:rPr>
          <w:rFonts w:hint="eastAsia"/>
          <w:snapToGrid/>
          <w:szCs w:val="21"/>
          <w:lang w:val="en-GB"/>
        </w:rPr>
      </w:pPr>
      <w:r>
        <w:rPr>
          <w:snapToGrid/>
          <w:szCs w:val="21"/>
          <w:lang w:val="en-GB"/>
        </w:rPr>
        <w:t>366.</w:t>
      </w:r>
      <w:r>
        <w:rPr>
          <w:rFonts w:hint="eastAsia"/>
          <w:snapToGrid/>
          <w:szCs w:val="21"/>
          <w:lang w:val="en-GB"/>
        </w:rPr>
        <w:t xml:space="preserve">  </w:t>
      </w:r>
      <w:r>
        <w:rPr>
          <w:snapToGrid/>
          <w:szCs w:val="21"/>
          <w:lang w:val="en-GB"/>
        </w:rPr>
        <w:t>2007</w:t>
      </w:r>
      <w:r>
        <w:rPr>
          <w:snapToGrid/>
          <w:szCs w:val="21"/>
          <w:lang w:val="en-GB"/>
        </w:rPr>
        <w:t>年，阿什哈巴德举办了国际汇演</w:t>
      </w:r>
      <w:r>
        <w:rPr>
          <w:snapToGrid/>
          <w:szCs w:val="21"/>
          <w:lang w:val="en-GB"/>
        </w:rPr>
        <w:t>“</w:t>
      </w:r>
      <w:r>
        <w:rPr>
          <w:snapToGrid/>
          <w:szCs w:val="21"/>
          <w:lang w:val="en-GB"/>
        </w:rPr>
        <w:t>国家民间创作和戏剧艺术</w:t>
      </w:r>
      <w:r>
        <w:rPr>
          <w:snapToGrid/>
          <w:szCs w:val="21"/>
          <w:lang w:val="en-GB"/>
        </w:rPr>
        <w:t>”</w:t>
      </w:r>
      <w:r>
        <w:rPr>
          <w:snapToGrid/>
          <w:szCs w:val="21"/>
          <w:lang w:val="en-GB"/>
        </w:rPr>
        <w:t>，国际科学大会</w:t>
      </w:r>
      <w:r>
        <w:rPr>
          <w:snapToGrid/>
          <w:szCs w:val="21"/>
          <w:lang w:val="en-GB"/>
        </w:rPr>
        <w:t>“</w:t>
      </w:r>
      <w:r>
        <w:rPr>
          <w:snapToGrid/>
          <w:szCs w:val="21"/>
          <w:lang w:val="en-GB"/>
        </w:rPr>
        <w:t>土库曼斯坦：黄金时代的博物馆</w:t>
      </w:r>
      <w:r>
        <w:rPr>
          <w:snapToGrid/>
          <w:szCs w:val="21"/>
          <w:lang w:val="en-GB"/>
        </w:rPr>
        <w:t>”</w:t>
      </w:r>
      <w:r>
        <w:rPr>
          <w:snapToGrid/>
          <w:szCs w:val="21"/>
          <w:lang w:val="en-GB"/>
        </w:rPr>
        <w:t>等。</w:t>
      </w:r>
      <w:r>
        <w:rPr>
          <w:snapToGrid/>
          <w:szCs w:val="21"/>
          <w:lang w:val="en-GB"/>
        </w:rPr>
        <w:t>2008</w:t>
      </w:r>
      <w:r>
        <w:rPr>
          <w:snapToGrid/>
          <w:szCs w:val="21"/>
          <w:lang w:val="en-GB"/>
        </w:rPr>
        <w:t>年，举办了国际汇演</w:t>
      </w:r>
      <w:r>
        <w:rPr>
          <w:snapToGrid/>
          <w:szCs w:val="21"/>
          <w:lang w:val="en-GB"/>
        </w:rPr>
        <w:t>“</w:t>
      </w:r>
      <w:r>
        <w:rPr>
          <w:snapToGrid/>
          <w:szCs w:val="21"/>
          <w:lang w:val="en-GB"/>
        </w:rPr>
        <w:t>土库曼斯坦：音乐艺术</w:t>
      </w:r>
      <w:r>
        <w:rPr>
          <w:rFonts w:hint="eastAsia"/>
          <w:snapToGrid/>
          <w:spacing w:val="-50"/>
          <w:szCs w:val="21"/>
          <w:lang w:val="en-GB"/>
        </w:rPr>
        <w:t>―</w:t>
      </w:r>
      <w:r>
        <w:rPr>
          <w:rFonts w:hint="eastAsia"/>
          <w:snapToGrid/>
          <w:szCs w:val="21"/>
          <w:lang w:val="en-GB"/>
        </w:rPr>
        <w:t>―</w:t>
      </w:r>
      <w:r>
        <w:rPr>
          <w:snapToGrid/>
          <w:szCs w:val="21"/>
          <w:lang w:val="en-GB"/>
        </w:rPr>
        <w:t>人类精神宝库</w:t>
      </w:r>
      <w:r>
        <w:rPr>
          <w:snapToGrid/>
          <w:szCs w:val="21"/>
          <w:lang w:val="en-GB"/>
        </w:rPr>
        <w:t>”</w:t>
      </w:r>
      <w:r>
        <w:rPr>
          <w:snapToGrid/>
          <w:szCs w:val="21"/>
          <w:lang w:val="en-GB"/>
        </w:rPr>
        <w:t>，国际展览</w:t>
      </w:r>
      <w:r>
        <w:rPr>
          <w:snapToGrid/>
          <w:szCs w:val="21"/>
          <w:lang w:val="en-GB"/>
        </w:rPr>
        <w:t>“</w:t>
      </w:r>
      <w:r>
        <w:rPr>
          <w:snapToGrid/>
          <w:szCs w:val="21"/>
          <w:lang w:val="en-GB"/>
        </w:rPr>
        <w:t>土库曼斯坦和世界艺术名作</w:t>
      </w:r>
      <w:r>
        <w:rPr>
          <w:snapToGrid/>
          <w:szCs w:val="21"/>
          <w:lang w:val="en-GB"/>
        </w:rPr>
        <w:t>”</w:t>
      </w:r>
      <w:r>
        <w:rPr>
          <w:snapToGrid/>
          <w:szCs w:val="21"/>
          <w:lang w:val="en-GB"/>
        </w:rPr>
        <w:t>，国际儿童汇演</w:t>
      </w:r>
      <w:r>
        <w:rPr>
          <w:snapToGrid/>
          <w:szCs w:val="21"/>
          <w:lang w:val="en-GB"/>
        </w:rPr>
        <w:t>“</w:t>
      </w:r>
      <w:r>
        <w:rPr>
          <w:snapToGrid/>
          <w:szCs w:val="21"/>
          <w:lang w:val="en-GB"/>
        </w:rPr>
        <w:t>黄金世纪的黄金一代</w:t>
      </w:r>
      <w:r>
        <w:rPr>
          <w:snapToGrid/>
          <w:szCs w:val="21"/>
          <w:lang w:val="en-GB"/>
        </w:rPr>
        <w:t>”</w:t>
      </w:r>
      <w:r>
        <w:rPr>
          <w:snapToGrid/>
          <w:szCs w:val="21"/>
          <w:lang w:val="en-GB"/>
        </w:rPr>
        <w:t>，国际科学大会</w:t>
      </w:r>
      <w:r>
        <w:rPr>
          <w:snapToGrid/>
          <w:szCs w:val="21"/>
          <w:lang w:val="en-GB"/>
        </w:rPr>
        <w:t>“</w:t>
      </w:r>
      <w:r>
        <w:rPr>
          <w:snapToGrid/>
          <w:szCs w:val="21"/>
          <w:lang w:val="en-GB"/>
        </w:rPr>
        <w:t>土库曼斯坦</w:t>
      </w:r>
      <w:r>
        <w:rPr>
          <w:rFonts w:hint="eastAsia"/>
          <w:snapToGrid/>
          <w:spacing w:val="-50"/>
          <w:szCs w:val="21"/>
          <w:lang w:val="en-GB"/>
        </w:rPr>
        <w:t>―</w:t>
      </w:r>
      <w:r>
        <w:rPr>
          <w:rFonts w:hint="eastAsia"/>
          <w:snapToGrid/>
          <w:szCs w:val="21"/>
          <w:lang w:val="en-GB"/>
        </w:rPr>
        <w:t>―</w:t>
      </w:r>
      <w:r>
        <w:rPr>
          <w:snapToGrid/>
          <w:szCs w:val="21"/>
          <w:lang w:val="en-GB"/>
        </w:rPr>
        <w:t>古代文化和文明的摇篮</w:t>
      </w:r>
      <w:r>
        <w:rPr>
          <w:snapToGrid/>
          <w:szCs w:val="21"/>
          <w:lang w:val="en-GB"/>
        </w:rPr>
        <w:t>”</w:t>
      </w:r>
      <w:r>
        <w:rPr>
          <w:snapToGrid/>
          <w:szCs w:val="21"/>
          <w:lang w:val="en-GB"/>
        </w:rPr>
        <w:t>，国际纪录片和文艺短片电影节</w:t>
      </w:r>
      <w:r>
        <w:rPr>
          <w:snapToGrid/>
          <w:szCs w:val="21"/>
          <w:lang w:val="en-GB"/>
        </w:rPr>
        <w:t>“</w:t>
      </w:r>
      <w:r>
        <w:rPr>
          <w:snapToGrid/>
          <w:szCs w:val="21"/>
          <w:lang w:val="en-GB"/>
        </w:rPr>
        <w:t>土库曼斯坦和世界电影艺术</w:t>
      </w:r>
      <w:r>
        <w:rPr>
          <w:snapToGrid/>
          <w:szCs w:val="21"/>
          <w:lang w:val="en-GB"/>
        </w:rPr>
        <w:t>”</w:t>
      </w:r>
      <w:r>
        <w:rPr>
          <w:snapToGrid/>
          <w:szCs w:val="21"/>
          <w:lang w:val="en-GB"/>
        </w:rPr>
        <w:t>。每年要划拨约</w:t>
      </w:r>
      <w:r>
        <w:rPr>
          <w:snapToGrid/>
          <w:szCs w:val="21"/>
          <w:lang w:val="en-GB"/>
        </w:rPr>
        <w:t>200</w:t>
      </w:r>
      <w:r>
        <w:rPr>
          <w:snapToGrid/>
          <w:szCs w:val="21"/>
          <w:lang w:val="en-GB"/>
        </w:rPr>
        <w:t>亿马纳特的预算经费来举办这些活动。</w:t>
      </w:r>
      <w:r>
        <w:rPr>
          <w:snapToGrid/>
          <w:szCs w:val="21"/>
          <w:lang w:val="en-GB"/>
        </w:rPr>
        <w:t>2008</w:t>
      </w:r>
      <w:r>
        <w:rPr>
          <w:snapToGrid/>
          <w:szCs w:val="21"/>
          <w:lang w:val="en-GB"/>
        </w:rPr>
        <w:t>年举办了哈萨克斯坦共和国</w:t>
      </w:r>
      <w:r>
        <w:rPr>
          <w:snapToGrid/>
          <w:szCs w:val="21"/>
          <w:lang w:val="en-GB"/>
        </w:rPr>
        <w:t>“</w:t>
      </w:r>
      <w:r>
        <w:rPr>
          <w:snapToGrid/>
          <w:szCs w:val="21"/>
          <w:lang w:val="en-GB"/>
        </w:rPr>
        <w:t>土库曼斯坦文化节</w:t>
      </w:r>
      <w:r>
        <w:rPr>
          <w:snapToGrid/>
          <w:szCs w:val="21"/>
          <w:lang w:val="en-GB"/>
        </w:rPr>
        <w:t>”</w:t>
      </w:r>
      <w:r>
        <w:rPr>
          <w:snapToGrid/>
          <w:szCs w:val="21"/>
          <w:lang w:val="en-GB"/>
        </w:rPr>
        <w:t>，澳大利亚共和国以及德意志联邦共和国</w:t>
      </w:r>
      <w:r>
        <w:rPr>
          <w:snapToGrid/>
          <w:szCs w:val="21"/>
          <w:lang w:val="en-GB"/>
        </w:rPr>
        <w:t>“</w:t>
      </w:r>
      <w:r>
        <w:rPr>
          <w:snapToGrid/>
          <w:szCs w:val="21"/>
          <w:lang w:val="en-GB"/>
        </w:rPr>
        <w:t>土库曼斯坦文化节</w:t>
      </w:r>
      <w:r>
        <w:rPr>
          <w:snapToGrid/>
          <w:szCs w:val="21"/>
          <w:lang w:val="en-GB"/>
        </w:rPr>
        <w:t>”</w:t>
      </w:r>
      <w:r>
        <w:rPr>
          <w:snapToGrid/>
          <w:szCs w:val="21"/>
          <w:lang w:val="en-GB"/>
        </w:rPr>
        <w:t>。</w:t>
      </w:r>
      <w:r>
        <w:rPr>
          <w:snapToGrid/>
          <w:szCs w:val="21"/>
          <w:lang w:val="en-GB"/>
        </w:rPr>
        <w:t>2009</w:t>
      </w:r>
      <w:r>
        <w:rPr>
          <w:snapToGrid/>
          <w:szCs w:val="21"/>
          <w:lang w:val="en-GB"/>
        </w:rPr>
        <w:t>年，计划在土库曼斯坦举办俄联邦、乌克兰、哈萨克斯坦共和国、土耳其共和国、阿塞拜疆共和国、乌兹别克斯坦共和国和塔吉克斯坦共和国的文化节。同时还将举办国际图片展、应用实用艺术和珠宝饰品展</w:t>
      </w:r>
      <w:r>
        <w:rPr>
          <w:snapToGrid/>
          <w:szCs w:val="21"/>
          <w:lang w:val="en-GB"/>
        </w:rPr>
        <w:t>“</w:t>
      </w:r>
      <w:r>
        <w:rPr>
          <w:snapToGrid/>
          <w:szCs w:val="21"/>
          <w:lang w:val="en-GB"/>
        </w:rPr>
        <w:t>土库曼斯坦和世界文化名作</w:t>
      </w:r>
      <w:r>
        <w:rPr>
          <w:snapToGrid/>
          <w:szCs w:val="21"/>
          <w:lang w:val="en-GB"/>
        </w:rPr>
        <w:t>”</w:t>
      </w:r>
      <w:r>
        <w:rPr>
          <w:snapToGrid/>
          <w:szCs w:val="21"/>
          <w:lang w:val="en-GB"/>
        </w:rPr>
        <w:t>。</w:t>
      </w:r>
      <w:r>
        <w:rPr>
          <w:rFonts w:hint="eastAsia"/>
          <w:snapToGrid/>
          <w:szCs w:val="21"/>
          <w:lang w:val="en-GB"/>
        </w:rPr>
        <w:t xml:space="preserve"> </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367.</w:t>
      </w:r>
      <w:r>
        <w:rPr>
          <w:rFonts w:hint="eastAsia"/>
          <w:snapToGrid/>
          <w:szCs w:val="21"/>
          <w:lang w:val="en-GB"/>
        </w:rPr>
        <w:t xml:space="preserve">  </w:t>
      </w:r>
      <w:r>
        <w:rPr>
          <w:snapToGrid/>
          <w:szCs w:val="21"/>
          <w:lang w:val="en-GB"/>
        </w:rPr>
        <w:t>为鼓励文化艺术工作者的创作活动，根据土库曼斯坦总统令，土库曼斯坦每年都举办文化、艺术、文学工作者，年轻演员和特长儿童的创作比赛，土库曼斯坦的少数民族代表也积极投身其中。</w:t>
      </w:r>
      <w:r>
        <w:rPr>
          <w:snapToGrid/>
          <w:szCs w:val="21"/>
          <w:lang w:val="en-GB"/>
        </w:rPr>
        <w:t>2008</w:t>
      </w:r>
      <w:r>
        <w:rPr>
          <w:snapToGrid/>
          <w:szCs w:val="21"/>
          <w:lang w:val="en-GB"/>
        </w:rPr>
        <w:t>年，土库曼斯坦总统通过了文化、艺术、文学工作者举办年度竞赛，以及将</w:t>
      </w:r>
      <w:smartTag w:uri="urn:schemas-microsoft-com:office:smarttags" w:element="chsdate">
        <w:smartTagPr>
          <w:attr w:name="IsROCDate" w:val="False"/>
          <w:attr w:name="IsLunarDate" w:val="False"/>
          <w:attr w:name="Day" w:val="27"/>
          <w:attr w:name="Month" w:val="6"/>
          <w:attr w:name="Year" w:val="2010"/>
        </w:smartTagPr>
        <w:r>
          <w:rPr>
            <w:snapToGrid/>
            <w:szCs w:val="21"/>
            <w:lang w:val="en-GB"/>
          </w:rPr>
          <w:t>6</w:t>
        </w:r>
        <w:r>
          <w:rPr>
            <w:snapToGrid/>
            <w:szCs w:val="21"/>
            <w:lang w:val="en-GB"/>
          </w:rPr>
          <w:t>月</w:t>
        </w:r>
        <w:r>
          <w:rPr>
            <w:snapToGrid/>
            <w:szCs w:val="21"/>
            <w:lang w:val="en-GB"/>
          </w:rPr>
          <w:t>27</w:t>
        </w:r>
        <w:r>
          <w:rPr>
            <w:snapToGrid/>
            <w:szCs w:val="21"/>
            <w:lang w:val="en-GB"/>
          </w:rPr>
          <w:t>日</w:t>
        </w:r>
      </w:smartTag>
      <w:r>
        <w:rPr>
          <w:snapToGrid/>
          <w:szCs w:val="21"/>
          <w:lang w:val="en-GB"/>
        </w:rPr>
        <w:t>定为土库曼斯坦国家节日</w:t>
      </w:r>
      <w:r>
        <w:rPr>
          <w:rFonts w:hint="eastAsia"/>
          <w:snapToGrid/>
          <w:spacing w:val="-50"/>
          <w:szCs w:val="21"/>
          <w:lang w:val="en-GB"/>
        </w:rPr>
        <w:t>―</w:t>
      </w:r>
      <w:r>
        <w:rPr>
          <w:rFonts w:hint="eastAsia"/>
          <w:snapToGrid/>
          <w:szCs w:val="21"/>
          <w:lang w:val="en-GB"/>
        </w:rPr>
        <w:t>―</w:t>
      </w:r>
      <w:r>
        <w:rPr>
          <w:snapToGrid/>
          <w:szCs w:val="21"/>
          <w:lang w:val="en-GB"/>
        </w:rPr>
        <w:t>文化艺术工作者节的命令。</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368.</w:t>
      </w:r>
      <w:r>
        <w:rPr>
          <w:rFonts w:hint="eastAsia"/>
          <w:snapToGrid/>
          <w:szCs w:val="21"/>
          <w:lang w:val="en-GB"/>
        </w:rPr>
        <w:t xml:space="preserve">  </w:t>
      </w:r>
      <w:r>
        <w:rPr>
          <w:snapToGrid/>
          <w:szCs w:val="21"/>
          <w:lang w:val="en-GB"/>
        </w:rPr>
        <w:t>发展专业艺术，培养人才，始终是文化领域的主要任务之一。文化和艺术学院体系的建立，实现了这个目标。目前国家建有</w:t>
      </w:r>
      <w:r>
        <w:rPr>
          <w:snapToGrid/>
          <w:szCs w:val="21"/>
          <w:lang w:val="en-GB"/>
        </w:rPr>
        <w:t>3</w:t>
      </w:r>
      <w:r>
        <w:rPr>
          <w:snapToGrid/>
          <w:szCs w:val="21"/>
          <w:lang w:val="en-GB"/>
        </w:rPr>
        <w:t>所高等院校，</w:t>
      </w:r>
      <w:r>
        <w:rPr>
          <w:snapToGrid/>
          <w:szCs w:val="21"/>
          <w:lang w:val="en-GB"/>
        </w:rPr>
        <w:t>8</w:t>
      </w:r>
      <w:r>
        <w:rPr>
          <w:snapToGrid/>
          <w:szCs w:val="21"/>
          <w:lang w:val="en-GB"/>
        </w:rPr>
        <w:t>所专业中学，</w:t>
      </w:r>
      <w:r>
        <w:rPr>
          <w:snapToGrid/>
          <w:szCs w:val="21"/>
          <w:lang w:val="en-GB"/>
        </w:rPr>
        <w:t>59</w:t>
      </w:r>
      <w:r>
        <w:rPr>
          <w:snapToGrid/>
          <w:szCs w:val="21"/>
          <w:lang w:val="en-GB"/>
        </w:rPr>
        <w:t>所儿童艺术学校，有</w:t>
      </w:r>
      <w:r>
        <w:rPr>
          <w:snapToGrid/>
          <w:szCs w:val="21"/>
          <w:lang w:val="en-GB"/>
        </w:rPr>
        <w:t>13 539</w:t>
      </w:r>
      <w:r>
        <w:rPr>
          <w:snapToGrid/>
          <w:szCs w:val="21"/>
          <w:lang w:val="en-GB"/>
        </w:rPr>
        <w:t>名大学生和学生在读，</w:t>
      </w:r>
      <w:r>
        <w:rPr>
          <w:snapToGrid/>
          <w:szCs w:val="21"/>
          <w:lang w:val="en-GB"/>
        </w:rPr>
        <w:t>3 500</w:t>
      </w:r>
      <w:r>
        <w:rPr>
          <w:snapToGrid/>
          <w:szCs w:val="21"/>
          <w:lang w:val="en-GB"/>
        </w:rPr>
        <w:t>多位教师供职。</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369.</w:t>
      </w:r>
      <w:r>
        <w:rPr>
          <w:rFonts w:hint="eastAsia"/>
          <w:snapToGrid/>
          <w:szCs w:val="21"/>
          <w:lang w:val="en-GB"/>
        </w:rPr>
        <w:t xml:space="preserve">  </w:t>
      </w:r>
      <w:r>
        <w:rPr>
          <w:snapToGrid/>
          <w:szCs w:val="21"/>
          <w:lang w:val="en-GB"/>
        </w:rPr>
        <w:t>土库曼斯坦的图书馆体系是促进文化成果保存、发展和推广的重要因素之一。藏书事业的国家政策是，建立条件，普及信息内容和文化财富，保护藏书，图书配套和提供物质技术保障。根据《图书馆和藏书业法》</w:t>
      </w:r>
      <w:r>
        <w:rPr>
          <w:snapToGrid/>
          <w:szCs w:val="21"/>
          <w:lang w:val="en-GB"/>
        </w:rPr>
        <w:t>(</w:t>
      </w:r>
      <w:smartTag w:uri="urn:schemas-microsoft-com:office:smarttags" w:element="chsdate">
        <w:smartTagPr>
          <w:attr w:name="IsROCDate" w:val="False"/>
          <w:attr w:name="IsLunarDate" w:val="False"/>
          <w:attr w:name="Day" w:val="15"/>
          <w:attr w:name="Month" w:val="6"/>
          <w:attr w:name="Year" w:val="2000"/>
        </w:smartTagPr>
        <w:r>
          <w:rPr>
            <w:snapToGrid/>
            <w:szCs w:val="21"/>
            <w:lang w:val="en-GB"/>
          </w:rPr>
          <w:t>2000</w:t>
        </w:r>
        <w:r>
          <w:rPr>
            <w:snapToGrid/>
            <w:szCs w:val="21"/>
            <w:lang w:val="en-GB"/>
          </w:rPr>
          <w:t>年</w:t>
        </w:r>
        <w:r>
          <w:rPr>
            <w:snapToGrid/>
            <w:szCs w:val="21"/>
            <w:lang w:val="en-GB"/>
          </w:rPr>
          <w:t>6</w:t>
        </w:r>
        <w:r>
          <w:rPr>
            <w:snapToGrid/>
            <w:szCs w:val="21"/>
            <w:lang w:val="en-GB"/>
          </w:rPr>
          <w:t>月</w:t>
        </w:r>
        <w:r>
          <w:rPr>
            <w:snapToGrid/>
            <w:szCs w:val="21"/>
            <w:lang w:val="en-GB"/>
          </w:rPr>
          <w:t>15</w:t>
        </w:r>
        <w:r>
          <w:rPr>
            <w:snapToGrid/>
            <w:szCs w:val="21"/>
            <w:lang w:val="en-GB"/>
          </w:rPr>
          <w:t>日</w:t>
        </w:r>
      </w:smartTag>
      <w:r>
        <w:rPr>
          <w:snapToGrid/>
          <w:szCs w:val="21"/>
          <w:lang w:val="en-GB"/>
        </w:rPr>
        <w:t>)</w:t>
      </w:r>
      <w:r>
        <w:rPr>
          <w:snapToGrid/>
          <w:szCs w:val="21"/>
          <w:lang w:val="en-GB"/>
        </w:rPr>
        <w:t>，开展图书馆工作。根据该法，每个公民都有权得到图书馆服务。国家大众图书馆系统的建立，免费提供的基本图书馆服务，保障了公民的图书馆服务权</w:t>
      </w:r>
      <w:r>
        <w:rPr>
          <w:snapToGrid/>
          <w:szCs w:val="21"/>
          <w:lang w:val="en-GB"/>
        </w:rPr>
        <w:t>(</w:t>
      </w:r>
      <w:r>
        <w:rPr>
          <w:snapToGrid/>
          <w:szCs w:val="21"/>
          <w:lang w:val="en-GB"/>
        </w:rPr>
        <w:t>该法第</w:t>
      </w:r>
      <w:r>
        <w:rPr>
          <w:snapToGrid/>
          <w:szCs w:val="21"/>
          <w:lang w:val="en-GB"/>
        </w:rPr>
        <w:t>19</w:t>
      </w:r>
      <w:r>
        <w:rPr>
          <w:snapToGrid/>
          <w:szCs w:val="21"/>
          <w:lang w:val="en-GB"/>
        </w:rPr>
        <w:t>条</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370.</w:t>
      </w:r>
      <w:r>
        <w:rPr>
          <w:rFonts w:hint="eastAsia"/>
          <w:snapToGrid/>
          <w:szCs w:val="21"/>
          <w:lang w:val="en-GB"/>
        </w:rPr>
        <w:t xml:space="preserve">  </w:t>
      </w:r>
      <w:r>
        <w:rPr>
          <w:snapToGrid/>
          <w:szCs w:val="21"/>
          <w:lang w:val="en-GB"/>
        </w:rPr>
        <w:t>土库曼斯坦文化和广播电视部下辖</w:t>
      </w:r>
      <w:r>
        <w:rPr>
          <w:snapToGrid/>
          <w:szCs w:val="21"/>
          <w:lang w:val="en-GB"/>
        </w:rPr>
        <w:t>88</w:t>
      </w:r>
      <w:r>
        <w:rPr>
          <w:snapToGrid/>
          <w:szCs w:val="21"/>
          <w:lang w:val="en-GB"/>
        </w:rPr>
        <w:t>家图书馆。其中有</w:t>
      </w:r>
      <w:r>
        <w:rPr>
          <w:snapToGrid/>
          <w:szCs w:val="21"/>
          <w:lang w:val="en-GB"/>
        </w:rPr>
        <w:t>1</w:t>
      </w:r>
      <w:r>
        <w:rPr>
          <w:snapToGrid/>
          <w:szCs w:val="21"/>
          <w:lang w:val="en-GB"/>
        </w:rPr>
        <w:t>家国家级图书馆，</w:t>
      </w:r>
      <w:r>
        <w:rPr>
          <w:snapToGrid/>
          <w:szCs w:val="21"/>
          <w:lang w:val="en-GB"/>
        </w:rPr>
        <w:t>2</w:t>
      </w:r>
      <w:r>
        <w:rPr>
          <w:snapToGrid/>
          <w:szCs w:val="21"/>
          <w:lang w:val="en-GB"/>
        </w:rPr>
        <w:t>家国家图书馆，</w:t>
      </w:r>
      <w:r>
        <w:rPr>
          <w:snapToGrid/>
          <w:szCs w:val="21"/>
          <w:lang w:val="en-GB"/>
        </w:rPr>
        <w:t>8</w:t>
      </w:r>
      <w:r>
        <w:rPr>
          <w:snapToGrid/>
          <w:szCs w:val="21"/>
          <w:lang w:val="en-GB"/>
        </w:rPr>
        <w:t>家省</w:t>
      </w:r>
      <w:r>
        <w:rPr>
          <w:snapToGrid/>
          <w:szCs w:val="21"/>
          <w:lang w:val="en-GB"/>
        </w:rPr>
        <w:t>(</w:t>
      </w:r>
      <w:r>
        <w:rPr>
          <w:snapToGrid/>
          <w:szCs w:val="21"/>
          <w:lang w:val="en-GB"/>
        </w:rPr>
        <w:t>州</w:t>
      </w:r>
      <w:r>
        <w:rPr>
          <w:snapToGrid/>
          <w:szCs w:val="21"/>
          <w:lang w:val="en-GB"/>
        </w:rPr>
        <w:t>)</w:t>
      </w:r>
      <w:r>
        <w:rPr>
          <w:snapToGrid/>
          <w:szCs w:val="21"/>
          <w:lang w:val="en-GB"/>
        </w:rPr>
        <w:t>图书馆，</w:t>
      </w:r>
      <w:r>
        <w:rPr>
          <w:snapToGrid/>
          <w:szCs w:val="21"/>
          <w:lang w:val="en-GB"/>
        </w:rPr>
        <w:t>47</w:t>
      </w:r>
      <w:r>
        <w:rPr>
          <w:snapToGrid/>
          <w:szCs w:val="21"/>
          <w:lang w:val="en-GB"/>
        </w:rPr>
        <w:t>家地区和</w:t>
      </w:r>
      <w:r>
        <w:rPr>
          <w:snapToGrid/>
          <w:szCs w:val="21"/>
          <w:lang w:val="en-GB"/>
        </w:rPr>
        <w:t>33</w:t>
      </w:r>
      <w:r>
        <w:rPr>
          <w:snapToGrid/>
          <w:szCs w:val="21"/>
          <w:lang w:val="en-GB"/>
        </w:rPr>
        <w:t>家市图书馆。</w:t>
      </w:r>
    </w:p>
    <w:p w:rsidR="00A93F62" w:rsidRDefault="00A93F62">
      <w:pPr>
        <w:tabs>
          <w:tab w:val="clear" w:pos="431"/>
        </w:tabs>
        <w:suppressAutoHyphens/>
        <w:overflowPunct/>
        <w:adjustRightInd/>
        <w:snapToGrid/>
        <w:spacing w:after="120" w:line="240" w:lineRule="atLeast"/>
        <w:ind w:left="1134" w:right="1134"/>
        <w:rPr>
          <w:snapToGrid/>
          <w:szCs w:val="21"/>
          <w:lang w:val="en-GB"/>
        </w:rPr>
      </w:pPr>
      <w:r>
        <w:rPr>
          <w:snapToGrid/>
          <w:szCs w:val="21"/>
          <w:lang w:val="en-GB"/>
        </w:rPr>
        <w:t>371.</w:t>
      </w:r>
      <w:r>
        <w:rPr>
          <w:rFonts w:hint="eastAsia"/>
          <w:snapToGrid/>
          <w:szCs w:val="21"/>
          <w:lang w:val="en-GB"/>
        </w:rPr>
        <w:t xml:space="preserve">  </w:t>
      </w:r>
      <w:r>
        <w:rPr>
          <w:snapToGrid/>
          <w:szCs w:val="21"/>
          <w:lang w:val="en-GB"/>
        </w:rPr>
        <w:t>2006</w:t>
      </w:r>
      <w:r>
        <w:rPr>
          <w:snapToGrid/>
          <w:szCs w:val="21"/>
          <w:lang w:val="en-GB"/>
        </w:rPr>
        <w:t>年，伟大的萨帕尔穆拉特</w:t>
      </w:r>
      <w:r>
        <w:rPr>
          <w:snapToGrid/>
          <w:szCs w:val="21"/>
          <w:lang w:val="en-GB"/>
        </w:rPr>
        <w:t>•</w:t>
      </w:r>
      <w:r>
        <w:rPr>
          <w:snapToGrid/>
          <w:szCs w:val="21"/>
          <w:lang w:val="en-GB"/>
        </w:rPr>
        <w:t>土库曼巴什土库曼斯坦国家图书馆，得到日方</w:t>
      </w:r>
      <w:r>
        <w:rPr>
          <w:snapToGrid/>
          <w:szCs w:val="21"/>
          <w:lang w:val="en-GB"/>
        </w:rPr>
        <w:t>200 000</w:t>
      </w:r>
      <w:r>
        <w:rPr>
          <w:snapToGrid/>
          <w:szCs w:val="21"/>
          <w:lang w:val="en-GB"/>
        </w:rPr>
        <w:t>美元额度的图书馆音像设备的资助。</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372.</w:t>
      </w:r>
      <w:r>
        <w:rPr>
          <w:rFonts w:hint="eastAsia"/>
          <w:snapToGrid/>
          <w:szCs w:val="21"/>
          <w:lang w:val="en-GB"/>
        </w:rPr>
        <w:t xml:space="preserve">  </w:t>
      </w:r>
      <w:r>
        <w:rPr>
          <w:snapToGrid/>
          <w:szCs w:val="21"/>
          <w:lang w:val="en-GB"/>
        </w:rPr>
        <w:t>土库曼斯坦博物馆具有重大作用，帮助土库曼斯坦公民了解国家和世界的历史文化遗产。目前土库曼斯坦有</w:t>
      </w:r>
      <w:r>
        <w:rPr>
          <w:snapToGrid/>
          <w:szCs w:val="21"/>
          <w:lang w:val="en-GB"/>
        </w:rPr>
        <w:t>28</w:t>
      </w:r>
      <w:r>
        <w:rPr>
          <w:snapToGrid/>
          <w:szCs w:val="21"/>
          <w:lang w:val="en-GB"/>
        </w:rPr>
        <w:t>家博物馆，内有</w:t>
      </w:r>
      <w:r>
        <w:rPr>
          <w:snapToGrid/>
          <w:szCs w:val="21"/>
          <w:lang w:val="en-GB"/>
        </w:rPr>
        <w:t>700</w:t>
      </w:r>
      <w:r>
        <w:rPr>
          <w:snapToGrid/>
          <w:szCs w:val="21"/>
          <w:lang w:val="en-GB"/>
        </w:rPr>
        <w:t>多名工作人员，约</w:t>
      </w:r>
      <w:r>
        <w:rPr>
          <w:snapToGrid/>
          <w:szCs w:val="21"/>
          <w:lang w:val="en-GB"/>
        </w:rPr>
        <w:t>240 000</w:t>
      </w:r>
      <w:r>
        <w:rPr>
          <w:snapToGrid/>
          <w:szCs w:val="21"/>
          <w:lang w:val="en-GB"/>
        </w:rPr>
        <w:t>件珍贵展品。萨帕尔穆拉特</w:t>
      </w:r>
      <w:r>
        <w:rPr>
          <w:snapToGrid/>
          <w:szCs w:val="21"/>
          <w:lang w:val="en-GB"/>
        </w:rPr>
        <w:t>•</w:t>
      </w:r>
      <w:r>
        <w:rPr>
          <w:snapToGrid/>
          <w:szCs w:val="21"/>
          <w:lang w:val="en-GB"/>
        </w:rPr>
        <w:t>土库曼巴国家博物馆是土库曼斯坦的主要博物馆，每年参观人数超过</w:t>
      </w:r>
      <w:r>
        <w:rPr>
          <w:snapToGrid/>
          <w:szCs w:val="21"/>
          <w:lang w:val="en-GB"/>
        </w:rPr>
        <w:t>50 000</w:t>
      </w:r>
      <w:r>
        <w:rPr>
          <w:snapToGrid/>
          <w:szCs w:val="21"/>
          <w:lang w:val="en-GB"/>
        </w:rPr>
        <w:t>人。</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2009</w:t>
      </w:r>
      <w:r>
        <w:rPr>
          <w:snapToGrid/>
          <w:szCs w:val="21"/>
          <w:lang w:val="en-GB"/>
        </w:rPr>
        <w:t>年，计划建立两个新博物馆－地方志和民族史博物馆，以及总统博物馆。根据</w:t>
      </w:r>
      <w:smartTag w:uri="urn:schemas-microsoft-com:office:smarttags" w:element="chsdate">
        <w:smartTagPr>
          <w:attr w:name="IsROCDate" w:val="False"/>
          <w:attr w:name="IsLunarDate" w:val="False"/>
          <w:attr w:name="Day" w:val="12"/>
          <w:attr w:name="Month" w:val="5"/>
          <w:attr w:name="Year" w:val="2008"/>
        </w:smartTagPr>
        <w:r>
          <w:rPr>
            <w:snapToGrid/>
            <w:szCs w:val="21"/>
            <w:lang w:val="en-GB"/>
          </w:rPr>
          <w:t>2008</w:t>
        </w:r>
        <w:r>
          <w:rPr>
            <w:snapToGrid/>
            <w:szCs w:val="21"/>
            <w:lang w:val="en-GB"/>
          </w:rPr>
          <w:t>年</w:t>
        </w:r>
        <w:r>
          <w:rPr>
            <w:snapToGrid/>
            <w:szCs w:val="21"/>
            <w:lang w:val="en-GB"/>
          </w:rPr>
          <w:t>5</w:t>
        </w:r>
        <w:r>
          <w:rPr>
            <w:snapToGrid/>
            <w:szCs w:val="21"/>
            <w:lang w:val="en-GB"/>
          </w:rPr>
          <w:t>月</w:t>
        </w:r>
        <w:r>
          <w:rPr>
            <w:snapToGrid/>
            <w:szCs w:val="21"/>
            <w:lang w:val="en-GB"/>
          </w:rPr>
          <w:t>12</w:t>
        </w:r>
        <w:r>
          <w:rPr>
            <w:snapToGrid/>
            <w:szCs w:val="21"/>
            <w:lang w:val="en-GB"/>
          </w:rPr>
          <w:t>日</w:t>
        </w:r>
      </w:smartTag>
      <w:r>
        <w:rPr>
          <w:snapToGrid/>
          <w:szCs w:val="21"/>
          <w:lang w:val="en-GB"/>
        </w:rPr>
        <w:t>颁布的土库曼斯坦总统令，计划在巴尔卡纳巴德、马雷和土库曼纳巴德市兴建新的图书馆。</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373.</w:t>
      </w:r>
      <w:r>
        <w:rPr>
          <w:rFonts w:hint="eastAsia"/>
          <w:snapToGrid/>
          <w:szCs w:val="21"/>
          <w:lang w:val="en-GB"/>
        </w:rPr>
        <w:t xml:space="preserve">  </w:t>
      </w:r>
      <w:r>
        <w:rPr>
          <w:snapToGrid/>
          <w:szCs w:val="21"/>
          <w:lang w:val="en-GB"/>
        </w:rPr>
        <w:t>出现问题的同时，土库曼斯坦艺术文化领域的成果也被媒体广为宣传。土库曼斯坦电视总经理办公室是土库曼斯坦的主要广播机构，它有四个电视频道：</w:t>
      </w:r>
      <w:r>
        <w:rPr>
          <w:snapToGrid/>
          <w:szCs w:val="21"/>
          <w:lang w:val="en-GB"/>
        </w:rPr>
        <w:t>“Altyn asyr</w:t>
      </w:r>
      <w:r>
        <w:rPr>
          <w:snapToGrid/>
          <w:szCs w:val="21"/>
          <w:lang w:val="en-GB"/>
        </w:rPr>
        <w:t>：土库曼斯坦</w:t>
      </w:r>
      <w:r>
        <w:rPr>
          <w:snapToGrid/>
          <w:szCs w:val="21"/>
          <w:lang w:val="en-GB"/>
        </w:rPr>
        <w:t>”</w:t>
      </w:r>
      <w:r>
        <w:rPr>
          <w:snapToGrid/>
          <w:szCs w:val="21"/>
          <w:lang w:val="en-GB"/>
        </w:rPr>
        <w:t>、</w:t>
      </w:r>
      <w:r>
        <w:rPr>
          <w:snapToGrid/>
          <w:szCs w:val="21"/>
          <w:lang w:val="en-GB"/>
        </w:rPr>
        <w:t>“</w:t>
      </w:r>
      <w:r>
        <w:rPr>
          <w:snapToGrid/>
          <w:szCs w:val="21"/>
          <w:lang w:val="en-GB"/>
        </w:rPr>
        <w:t>土库曼斯坦</w:t>
      </w:r>
      <w:r>
        <w:rPr>
          <w:snapToGrid/>
          <w:szCs w:val="21"/>
          <w:lang w:val="en-GB"/>
        </w:rPr>
        <w:t>”</w:t>
      </w:r>
      <w:r>
        <w:rPr>
          <w:snapToGrid/>
          <w:szCs w:val="21"/>
          <w:lang w:val="en-GB"/>
        </w:rPr>
        <w:t>、</w:t>
      </w:r>
      <w:r>
        <w:rPr>
          <w:snapToGrid/>
          <w:szCs w:val="21"/>
          <w:lang w:val="en-GB"/>
        </w:rPr>
        <w:t>“Miras”</w:t>
      </w:r>
      <w:r>
        <w:rPr>
          <w:snapToGrid/>
          <w:szCs w:val="21"/>
          <w:lang w:val="en-GB"/>
        </w:rPr>
        <w:t>、</w:t>
      </w:r>
      <w:r>
        <w:rPr>
          <w:snapToGrid/>
          <w:szCs w:val="21"/>
          <w:lang w:val="en-GB"/>
        </w:rPr>
        <w:t>“Ýaşlyk”</w:t>
      </w:r>
      <w:r>
        <w:rPr>
          <w:snapToGrid/>
          <w:szCs w:val="21"/>
          <w:lang w:val="en-GB"/>
        </w:rPr>
        <w:t>和四个无线电频道：</w:t>
      </w:r>
      <w:r>
        <w:rPr>
          <w:snapToGrid/>
          <w:szCs w:val="21"/>
          <w:lang w:val="en-GB"/>
        </w:rPr>
        <w:t>“Çar tarapdan”</w:t>
      </w:r>
      <w:r>
        <w:rPr>
          <w:snapToGrid/>
          <w:szCs w:val="21"/>
          <w:lang w:val="en-GB"/>
        </w:rPr>
        <w:t>、</w:t>
      </w:r>
      <w:r>
        <w:rPr>
          <w:snapToGrid/>
          <w:szCs w:val="21"/>
          <w:lang w:val="en-GB"/>
        </w:rPr>
        <w:t>“Owaz”</w:t>
      </w:r>
      <w:r>
        <w:rPr>
          <w:snapToGrid/>
          <w:szCs w:val="21"/>
          <w:lang w:val="en-GB"/>
        </w:rPr>
        <w:t>、</w:t>
      </w:r>
      <w:r>
        <w:rPr>
          <w:snapToGrid/>
          <w:szCs w:val="21"/>
          <w:lang w:val="en-GB"/>
        </w:rPr>
        <w:t>“Miras”</w:t>
      </w:r>
      <w:r>
        <w:rPr>
          <w:snapToGrid/>
          <w:szCs w:val="21"/>
          <w:lang w:val="en-GB"/>
        </w:rPr>
        <w:t>、</w:t>
      </w:r>
      <w:r>
        <w:rPr>
          <w:snapToGrid/>
          <w:szCs w:val="21"/>
          <w:lang w:val="en-GB"/>
        </w:rPr>
        <w:t>“Watan”</w:t>
      </w:r>
      <w:r>
        <w:rPr>
          <w:snapToGrid/>
          <w:szCs w:val="21"/>
          <w:lang w:val="en-GB"/>
        </w:rPr>
        <w:t>。该领域也存在一些问题，需要国家制订专项计划解决，即：培养优秀的节目编辑，剪辑人员，摄影师和导演。根据土库曼斯坦总统令</w:t>
      </w:r>
      <w:r>
        <w:rPr>
          <w:snapToGrid/>
          <w:szCs w:val="21"/>
          <w:lang w:val="en-GB"/>
        </w:rPr>
        <w:t>(</w:t>
      </w:r>
      <w:smartTag w:uri="urn:schemas-microsoft-com:office:smarttags" w:element="chsdate">
        <w:smartTagPr>
          <w:attr w:name="IsROCDate" w:val="False"/>
          <w:attr w:name="IsLunarDate" w:val="False"/>
          <w:attr w:name="Day" w:val="17"/>
          <w:attr w:name="Month" w:val="12"/>
          <w:attr w:name="Year" w:val="2008"/>
        </w:smartTagPr>
        <w:r>
          <w:rPr>
            <w:snapToGrid/>
            <w:szCs w:val="21"/>
            <w:lang w:val="en-GB"/>
          </w:rPr>
          <w:t>2008</w:t>
        </w:r>
        <w:r>
          <w:rPr>
            <w:snapToGrid/>
            <w:szCs w:val="21"/>
            <w:lang w:val="en-GB"/>
          </w:rPr>
          <w:t>年</w:t>
        </w:r>
        <w:r>
          <w:rPr>
            <w:snapToGrid/>
            <w:szCs w:val="21"/>
            <w:lang w:val="en-GB"/>
          </w:rPr>
          <w:t>12</w:t>
        </w:r>
        <w:r>
          <w:rPr>
            <w:snapToGrid/>
            <w:szCs w:val="21"/>
            <w:lang w:val="en-GB"/>
          </w:rPr>
          <w:t>月</w:t>
        </w:r>
        <w:r>
          <w:rPr>
            <w:snapToGrid/>
            <w:szCs w:val="21"/>
            <w:lang w:val="en-GB"/>
          </w:rPr>
          <w:t>17</w:t>
        </w:r>
        <w:r>
          <w:rPr>
            <w:snapToGrid/>
            <w:szCs w:val="21"/>
            <w:lang w:val="en-GB"/>
          </w:rPr>
          <w:t>日</w:t>
        </w:r>
      </w:smartTag>
      <w:r>
        <w:rPr>
          <w:snapToGrid/>
          <w:szCs w:val="21"/>
          <w:lang w:val="en-GB"/>
        </w:rPr>
        <w:t>)</w:t>
      </w:r>
      <w:r>
        <w:rPr>
          <w:snapToGrid/>
          <w:szCs w:val="21"/>
          <w:lang w:val="en-GB"/>
        </w:rPr>
        <w:t>，</w:t>
      </w:r>
      <w:smartTag w:uri="urn:schemas-microsoft-com:office:smarttags" w:element="chsdate">
        <w:smartTagPr>
          <w:attr w:name="IsROCDate" w:val="False"/>
          <w:attr w:name="IsLunarDate" w:val="False"/>
          <w:attr w:name="Day" w:val="1"/>
          <w:attr w:name="Month" w:val="1"/>
          <w:attr w:name="Year" w:val="2009"/>
        </w:smartTagPr>
        <w:r>
          <w:rPr>
            <w:snapToGrid/>
            <w:szCs w:val="21"/>
            <w:lang w:val="en-GB"/>
          </w:rPr>
          <w:t>2009</w:t>
        </w:r>
        <w:r>
          <w:rPr>
            <w:snapToGrid/>
            <w:szCs w:val="21"/>
            <w:lang w:val="en-GB"/>
          </w:rPr>
          <w:t>年</w:t>
        </w:r>
        <w:r>
          <w:rPr>
            <w:snapToGrid/>
            <w:szCs w:val="21"/>
            <w:lang w:val="en-GB"/>
          </w:rPr>
          <w:t>1</w:t>
        </w:r>
        <w:r>
          <w:rPr>
            <w:snapToGrid/>
            <w:szCs w:val="21"/>
            <w:lang w:val="en-GB"/>
          </w:rPr>
          <w:t>月</w:t>
        </w:r>
        <w:r>
          <w:rPr>
            <w:snapToGrid/>
            <w:szCs w:val="21"/>
            <w:lang w:val="en-GB"/>
          </w:rPr>
          <w:t>1</w:t>
        </w:r>
        <w:r>
          <w:rPr>
            <w:snapToGrid/>
            <w:szCs w:val="21"/>
            <w:lang w:val="en-GB"/>
          </w:rPr>
          <w:t>日</w:t>
        </w:r>
      </w:smartTag>
      <w:r>
        <w:rPr>
          <w:snapToGrid/>
          <w:szCs w:val="21"/>
          <w:lang w:val="en-GB"/>
        </w:rPr>
        <w:t>起，将推出新的电视频道：</w:t>
      </w:r>
      <w:r>
        <w:rPr>
          <w:snapToGrid/>
          <w:szCs w:val="21"/>
          <w:lang w:val="en-GB"/>
        </w:rPr>
        <w:t>“</w:t>
      </w:r>
      <w:r>
        <w:rPr>
          <w:snapToGrid/>
          <w:szCs w:val="21"/>
          <w:lang w:val="en-GB"/>
        </w:rPr>
        <w:t>土库曼斯坦曲调</w:t>
      </w:r>
      <w:r>
        <w:rPr>
          <w:snapToGrid/>
          <w:szCs w:val="21"/>
          <w:lang w:val="en-GB"/>
        </w:rPr>
        <w:t>”</w:t>
      </w:r>
      <w:r>
        <w:rPr>
          <w:snapToGrid/>
          <w:szCs w:val="21"/>
          <w:lang w:val="en-GB"/>
        </w:rPr>
        <w:t>。</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374.</w:t>
      </w:r>
      <w:r>
        <w:rPr>
          <w:rFonts w:hint="eastAsia"/>
          <w:snapToGrid/>
          <w:szCs w:val="21"/>
          <w:lang w:val="en-GB"/>
        </w:rPr>
        <w:t xml:space="preserve">  </w:t>
      </w:r>
      <w:r>
        <w:rPr>
          <w:snapToGrid/>
          <w:szCs w:val="21"/>
          <w:lang w:val="en-GB"/>
        </w:rPr>
        <w:t>土库曼斯坦支持并积极发展与其它国家的文化交流。目前土库曼斯坦积极与世界</w:t>
      </w:r>
      <w:r>
        <w:rPr>
          <w:snapToGrid/>
          <w:szCs w:val="21"/>
          <w:lang w:val="en-GB"/>
        </w:rPr>
        <w:t>60</w:t>
      </w:r>
      <w:r>
        <w:rPr>
          <w:snapToGrid/>
          <w:szCs w:val="21"/>
          <w:lang w:val="en-GB"/>
        </w:rPr>
        <w:t>多个国家合作。与国际组织的合作也十分活跃，并取得了实际成果。与联合国儿童基金会、联合国教科文组织、土耳其国际合作署、共同发展土耳其文化艺术的国际组织一起，举办了一系列丰富多彩的文化活动。</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375.</w:t>
      </w:r>
      <w:r>
        <w:rPr>
          <w:rFonts w:hint="eastAsia"/>
          <w:snapToGrid/>
          <w:szCs w:val="21"/>
          <w:lang w:val="en-GB"/>
        </w:rPr>
        <w:t xml:space="preserve">  </w:t>
      </w:r>
      <w:r>
        <w:rPr>
          <w:snapToGrid/>
          <w:szCs w:val="21"/>
          <w:lang w:val="en-GB"/>
        </w:rPr>
        <w:t>近年来，土库曼斯坦与世界各国签署了一系列的文化、艺术和人文领域的协议、条约、议定书与合作计划。其中有：《</w:t>
      </w:r>
      <w:r>
        <w:rPr>
          <w:snapToGrid/>
          <w:szCs w:val="21"/>
          <w:lang w:val="en-GB"/>
        </w:rPr>
        <w:t>2008-2010</w:t>
      </w:r>
      <w:r>
        <w:rPr>
          <w:snapToGrid/>
          <w:szCs w:val="21"/>
          <w:lang w:val="en-GB"/>
        </w:rPr>
        <w:t>年土库曼斯坦政府与乌兹别克斯坦政府间文化人文领域合作计划》、《土库曼斯坦文化与广播电视部与土耳其共和国广播电视组织间广播电视领域合作议定书》、《土库曼斯坦政府与塔吉克斯坦政府间文化艺术领域合作协议》、《</w:t>
      </w:r>
      <w:r>
        <w:rPr>
          <w:snapToGrid/>
          <w:szCs w:val="21"/>
          <w:lang w:val="en-GB"/>
        </w:rPr>
        <w:t>2008-2010</w:t>
      </w:r>
      <w:r>
        <w:rPr>
          <w:snapToGrid/>
          <w:szCs w:val="21"/>
          <w:lang w:val="en-GB"/>
        </w:rPr>
        <w:t>年土库曼斯坦政府与印度共和国政府间文化、艺术、科学、教育、媒体及运动领域合作计划》等。</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376.</w:t>
      </w:r>
      <w:r>
        <w:rPr>
          <w:rFonts w:hint="eastAsia"/>
          <w:snapToGrid/>
          <w:szCs w:val="21"/>
          <w:lang w:val="en-GB"/>
        </w:rPr>
        <w:t xml:space="preserve">  </w:t>
      </w:r>
      <w:r>
        <w:rPr>
          <w:snapToGrid/>
          <w:szCs w:val="21"/>
          <w:lang w:val="en-GB"/>
        </w:rPr>
        <w:t>在实施文化生活参与权利，尤其是保护土库曼斯坦历史文化遗产方面，国际援助发挥了重大作用：</w:t>
      </w:r>
      <w:r>
        <w:rPr>
          <w:snapToGrid/>
          <w:szCs w:val="21"/>
          <w:lang w:val="en-GB"/>
        </w:rPr>
        <w:t>·</w:t>
      </w:r>
    </w:p>
    <w:p w:rsidR="00A93F62" w:rsidRDefault="00A93F62">
      <w:pPr>
        <w:pStyle w:val="Bullet1GC"/>
        <w:numPr>
          <w:ilvl w:val="0"/>
          <w:numId w:val="14"/>
        </w:numPr>
        <w:rPr>
          <w:snapToGrid/>
          <w:lang w:val="en-GB"/>
        </w:rPr>
      </w:pPr>
      <w:r>
        <w:rPr>
          <w:snapToGrid/>
          <w:lang w:val="en-GB"/>
        </w:rPr>
        <w:t>1999-2001</w:t>
      </w:r>
      <w:r>
        <w:rPr>
          <w:snapToGrid/>
          <w:lang w:val="en-GB"/>
        </w:rPr>
        <w:t>年间，在联合国开发计划署和土库曼斯坦政府资助下，实施了《发展库尼亚乌尔根奇文化计划》。围绕该计划，在丘拉别克</w:t>
      </w:r>
      <w:r>
        <w:rPr>
          <w:rFonts w:hint="eastAsia"/>
        </w:rPr>
        <w:t>·</w:t>
      </w:r>
      <w:r>
        <w:rPr>
          <w:snapToGrid/>
          <w:lang w:val="en-GB"/>
        </w:rPr>
        <w:t>哈努姆陵墓、库特卢格</w:t>
      </w:r>
      <w:r>
        <w:rPr>
          <w:rFonts w:hint="eastAsia"/>
        </w:rPr>
        <w:t>·</w:t>
      </w:r>
      <w:r>
        <w:rPr>
          <w:snapToGrid/>
          <w:lang w:val="en-GB"/>
        </w:rPr>
        <w:t>季姆拉尖塔和克尔科</w:t>
      </w:r>
      <w:r>
        <w:rPr>
          <w:rFonts w:hint="eastAsia"/>
        </w:rPr>
        <w:t>·</w:t>
      </w:r>
      <w:r>
        <w:rPr>
          <w:snapToGrid/>
          <w:lang w:val="en-GB"/>
        </w:rPr>
        <w:t>穆拉遗址，进行了修复防腐工作。并在库尼亚乌尔根奇的主要旅游景点附近，进行了设施的完善工作。</w:t>
      </w:r>
    </w:p>
    <w:p w:rsidR="00A93F62" w:rsidRDefault="00A93F62">
      <w:pPr>
        <w:pStyle w:val="Bullet1GC"/>
        <w:numPr>
          <w:ilvl w:val="0"/>
          <w:numId w:val="14"/>
        </w:numPr>
        <w:rPr>
          <w:snapToGrid/>
          <w:lang w:val="en-GB"/>
        </w:rPr>
      </w:pPr>
      <w:r>
        <w:rPr>
          <w:snapToGrid/>
          <w:lang w:val="en-GB"/>
        </w:rPr>
        <w:t>2001-2003</w:t>
      </w:r>
      <w:r>
        <w:rPr>
          <w:snapToGrid/>
          <w:lang w:val="en-GB"/>
        </w:rPr>
        <w:t>年，在土耳其国际合作署的资助下，实施了《梅尔夫的苏尔塔纳</w:t>
      </w:r>
      <w:r>
        <w:rPr>
          <w:rFonts w:hint="eastAsia"/>
        </w:rPr>
        <w:t>·</w:t>
      </w:r>
      <w:r>
        <w:rPr>
          <w:snapToGrid/>
          <w:lang w:val="en-GB"/>
        </w:rPr>
        <w:t>桑扎拉陵墓修复计划》；</w:t>
      </w:r>
    </w:p>
    <w:p w:rsidR="00A93F62" w:rsidRDefault="00A93F62">
      <w:pPr>
        <w:pStyle w:val="Bullet1GC"/>
        <w:numPr>
          <w:ilvl w:val="0"/>
          <w:numId w:val="14"/>
        </w:numPr>
        <w:rPr>
          <w:snapToGrid/>
          <w:lang w:val="en-GB"/>
        </w:rPr>
      </w:pPr>
      <w:r>
        <w:rPr>
          <w:snapToGrid/>
          <w:lang w:val="en-GB"/>
        </w:rPr>
        <w:t>2001-2007</w:t>
      </w:r>
      <w:r>
        <w:rPr>
          <w:snapToGrid/>
          <w:lang w:val="en-GB"/>
        </w:rPr>
        <w:t>年，根据美国国务院《保护文化遗产大使馆基金国际计划》，对土库曼斯坦的历史文化遗产进行了修复和防腐处理。</w:t>
      </w:r>
    </w:p>
    <w:p w:rsidR="00A93F62" w:rsidRDefault="00A93F62">
      <w:pPr>
        <w:tabs>
          <w:tab w:val="clear" w:pos="431"/>
        </w:tabs>
        <w:suppressAutoHyphens/>
        <w:overflowPunct/>
        <w:adjustRightInd/>
        <w:snapToGrid/>
        <w:spacing w:after="120" w:line="320" w:lineRule="atLeast"/>
        <w:ind w:left="1134" w:right="1134"/>
        <w:rPr>
          <w:snapToGrid/>
          <w:szCs w:val="21"/>
          <w:lang w:val="en-GB"/>
        </w:rPr>
      </w:pPr>
      <w:r>
        <w:rPr>
          <w:snapToGrid/>
          <w:szCs w:val="21"/>
          <w:lang w:val="en-GB"/>
        </w:rPr>
        <w:t>377.</w:t>
      </w:r>
      <w:r>
        <w:rPr>
          <w:rFonts w:hint="eastAsia"/>
          <w:snapToGrid/>
          <w:szCs w:val="21"/>
          <w:lang w:val="en-GB"/>
        </w:rPr>
        <w:t xml:space="preserve">  </w:t>
      </w:r>
      <w:r>
        <w:rPr>
          <w:snapToGrid/>
          <w:szCs w:val="21"/>
          <w:lang w:val="en-GB"/>
        </w:rPr>
        <w:t>土库曼斯坦总统对媒体业务，首先是广播和电视进行了改革，国家恢复了民族歌剧。许多知名专家投入这项工作。建立专业化中心采购新书，并通过中心图书馆网络，将其分配给当地图书馆。在阿什哈巴德市修复并改建了国家马戏团大楼，恢复了马戏表演，其中包括民族马术演出。将现有的电影音乐中心进行了维修和现代化改进。</w:t>
      </w:r>
    </w:p>
    <w:p w:rsidR="00A93F62" w:rsidRDefault="007E57AE">
      <w:pPr>
        <w:spacing w:before="240"/>
        <w:jc w:val="center"/>
        <w:rPr>
          <w:u w:val="single"/>
        </w:rPr>
      </w:pPr>
      <w:r>
        <w:rPr>
          <w:u w:val="single"/>
        </w:rPr>
        <w:tab/>
      </w:r>
      <w:r>
        <w:rPr>
          <w:u w:val="single"/>
        </w:rPr>
        <w:tab/>
      </w:r>
      <w:r>
        <w:rPr>
          <w:u w:val="single"/>
        </w:rPr>
        <w:tab/>
      </w:r>
    </w:p>
    <w:p w:rsidR="00A93F62" w:rsidRDefault="00A93F62">
      <w:pPr>
        <w:pStyle w:val="SingleTxtGC"/>
        <w:rPr>
          <w:rFonts w:hint="eastAsia"/>
        </w:rPr>
      </w:pPr>
    </w:p>
    <w:sectPr w:rsidR="00A93F6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CD2" w:rsidRDefault="00C06CD2">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06CD2" w:rsidRDefault="00C06CD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634" w:rsidRPr="009A4AF1" w:rsidRDefault="00C30634">
    <w:pPr>
      <w:pStyle w:val="Footer"/>
      <w:tabs>
        <w:tab w:val="clear" w:pos="431"/>
        <w:tab w:val="right" w:pos="9639"/>
      </w:tabs>
      <w:rPr>
        <w:rStyle w:val="PageNumber"/>
        <w:rFonts w:eastAsia="SimSun" w:hint="eastAsia"/>
        <w:b w:val="0"/>
        <w:sz w:val="16"/>
        <w:szCs w:val="16"/>
        <w:lang w:eastAsia="zh-CN"/>
      </w:rPr>
    </w:pPr>
    <w:r>
      <w:rPr>
        <w:rStyle w:val="PageNumber"/>
      </w:rPr>
      <w:fldChar w:fldCharType="begin"/>
    </w:r>
    <w:r>
      <w:rPr>
        <w:rStyle w:val="PageNumber"/>
      </w:rPr>
      <w:instrText xml:space="preserve"> PAGE </w:instrText>
    </w:r>
    <w:r>
      <w:rPr>
        <w:rStyle w:val="PageNumber"/>
      </w:rPr>
      <w:fldChar w:fldCharType="separate"/>
    </w:r>
    <w:r w:rsidR="0061711E">
      <w:rPr>
        <w:rStyle w:val="PageNumber"/>
        <w:noProof/>
      </w:rPr>
      <w:t>70</w:t>
    </w:r>
    <w:r>
      <w:rPr>
        <w:rStyle w:val="PageNumber"/>
      </w:rPr>
      <w:fldChar w:fldCharType="end"/>
    </w:r>
    <w:r>
      <w:rPr>
        <w:rStyle w:val="PageNumber"/>
        <w:rFonts w:eastAsia="SimSun" w:hint="eastAsia"/>
        <w:lang w:eastAsia="zh-CN"/>
      </w:rPr>
      <w:tab/>
    </w:r>
    <w:r>
      <w:rPr>
        <w:rFonts w:eastAsia="SimSun"/>
        <w:lang w:eastAsia="zh-CN"/>
      </w:rPr>
      <w:t>GE.10-</w:t>
    </w:r>
    <w:r w:rsidRPr="009A4AF1">
      <w:rPr>
        <w:rFonts w:eastAsia="SimSun"/>
        <w:szCs w:val="16"/>
        <w:lang w:eastAsia="zh-CN"/>
      </w:rPr>
      <w:t>43909 (</w:t>
    </w:r>
    <w:r w:rsidRPr="009A4AF1">
      <w:rPr>
        <w:rFonts w:eastAsia="SimSun" w:hint="eastAsia"/>
        <w:szCs w:val="16"/>
        <w:lang w:eastAsia="zh-CN"/>
      </w:rPr>
      <w:t>EXT</w:t>
    </w:r>
    <w:r w:rsidRPr="009A4AF1">
      <w:rPr>
        <w:rFonts w:eastAsia="SimSun"/>
        <w:szCs w:val="16"/>
        <w:lang w:eastAsia="zh-CN"/>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634" w:rsidRDefault="00C30634">
    <w:pPr>
      <w:pStyle w:val="Footer"/>
      <w:tabs>
        <w:tab w:val="right" w:pos="9639"/>
      </w:tabs>
    </w:pPr>
    <w:r>
      <w:rPr>
        <w:rFonts w:eastAsia="SimSun"/>
        <w:lang w:eastAsia="zh-CN"/>
      </w:rPr>
      <w:t>GE.10-</w:t>
    </w:r>
    <w:r w:rsidRPr="009A4AF1">
      <w:rPr>
        <w:rFonts w:eastAsia="SimSun"/>
        <w:szCs w:val="16"/>
        <w:lang w:eastAsia="zh-CN"/>
      </w:rPr>
      <w:t>43909 (</w:t>
    </w:r>
    <w:r w:rsidRPr="009A4AF1">
      <w:rPr>
        <w:rFonts w:eastAsia="SimSun" w:hint="eastAsia"/>
        <w:szCs w:val="16"/>
        <w:lang w:eastAsia="zh-CN"/>
      </w:rPr>
      <w:t>EXT</w:t>
    </w:r>
    <w:r w:rsidRPr="009A4AF1">
      <w:rPr>
        <w:rFonts w:eastAsia="SimSun"/>
        <w:szCs w:val="16"/>
        <w:lang w:eastAsia="zh-CN"/>
      </w:rPr>
      <w: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1711E">
      <w:rPr>
        <w:rStyle w:val="PageNumber"/>
        <w:noProof/>
      </w:rPr>
      <w:t>69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634" w:rsidRDefault="00C30634">
    <w:pPr>
      <w:pStyle w:val="Footer"/>
      <w:tabs>
        <w:tab w:val="left" w:pos="1701"/>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43909</w:t>
    </w:r>
    <w:r>
      <w:rPr>
        <w:rFonts w:eastAsia="SimSun"/>
        <w:sz w:val="20"/>
        <w:lang w:eastAsia="zh-CN"/>
      </w:rPr>
      <w:t xml:space="preserve"> </w:t>
    </w:r>
    <w:bookmarkStart w:id="1" w:name="OLE_LINK2"/>
    <w:bookmarkStart w:id="2" w:name="OLE_LINK3"/>
    <w:r>
      <w:rPr>
        <w:rFonts w:eastAsia="SimSun"/>
        <w:sz w:val="20"/>
        <w:lang w:eastAsia="zh-CN"/>
      </w:rPr>
      <w:t>(</w:t>
    </w:r>
    <w:r>
      <w:rPr>
        <w:rFonts w:eastAsia="SimSun" w:hint="eastAsia"/>
        <w:sz w:val="20"/>
        <w:lang w:eastAsia="zh-CN"/>
      </w:rPr>
      <w:t>EXT</w:t>
    </w:r>
    <w:r>
      <w:rPr>
        <w:rFonts w:eastAsia="SimSun"/>
        <w:sz w:val="20"/>
        <w:lang w:eastAsia="zh-CN"/>
      </w:rPr>
      <w:t>)</w:t>
    </w:r>
    <w:bookmarkEnd w:id="1"/>
    <w:bookmarkEnd w:id="2"/>
    <w:r>
      <w:rPr>
        <w:rFonts w:eastAsia="SimSun"/>
        <w:sz w:val="20"/>
        <w:lang w:eastAsia="zh-CN"/>
      </w:rPr>
      <w:tab/>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p w:rsidR="00C30634" w:rsidRDefault="00C30634">
    <w:pPr>
      <w:pStyle w:val="Footer"/>
      <w:rPr>
        <w:rFonts w:eastAsia="SimSun"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CD2" w:rsidRDefault="00C06CD2">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06CD2" w:rsidRDefault="00C06CD2">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30634" w:rsidRDefault="00C30634">
      <w:pPr>
        <w:pStyle w:val="FootnoteText"/>
      </w:pPr>
      <w:r>
        <w:rPr>
          <w:rFonts w:hint="eastAsia"/>
          <w:szCs w:val="18"/>
        </w:rPr>
        <w:tab/>
      </w:r>
      <w:r>
        <w:rPr>
          <w:rStyle w:val="FootnoteReference"/>
          <w:color w:val="auto"/>
          <w:position w:val="6"/>
          <w:sz w:val="18"/>
          <w:szCs w:val="18"/>
          <w:vertAlign w:val="baseline"/>
        </w:rPr>
        <w:sym w:font="Symbol" w:char="F02A"/>
      </w:r>
      <w:r>
        <w:rPr>
          <w:rFonts w:hint="eastAsia"/>
        </w:rPr>
        <w:tab/>
      </w:r>
      <w:r>
        <w:rPr>
          <w:rFonts w:hint="eastAsia"/>
        </w:rPr>
        <w:t>根据发给缔约国的报告处理要求，本文件在交给联合国翻译部门前未经正式编辑。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634" w:rsidRDefault="00C30634">
    <w:pPr>
      <w:pStyle w:val="Header"/>
    </w:pPr>
    <w:r>
      <w:t>E/C.12/TKM/1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634" w:rsidRDefault="00C30634">
    <w:pPr>
      <w:pStyle w:val="Header"/>
      <w:jc w:val="right"/>
      <w:rPr>
        <w:rFonts w:hint="eastAsia"/>
        <w:lang w:eastAsia="zh-CN"/>
      </w:rPr>
    </w:pPr>
    <w:r>
      <w:rPr>
        <w:lang w:eastAsia="zh-CN"/>
      </w:rPr>
      <w:t>E/C.12/TKM/1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634" w:rsidRDefault="00C3063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475090"/>
    <w:multiLevelType w:val="hybridMultilevel"/>
    <w:tmpl w:val="E1889BB6"/>
    <w:lvl w:ilvl="0" w:tplc="0B785B6E">
      <w:start w:val="1"/>
      <w:numFmt w:val="lowerLetter"/>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6912591C"/>
    <w:lvl w:ilvl="0" w:tplc="D9B0BDC6">
      <w:start w:val="1"/>
      <w:numFmt w:val="bullet"/>
      <w:lvlText w:val=""/>
      <w:lvlJc w:val="left"/>
      <w:pPr>
        <w:tabs>
          <w:tab w:val="num" w:pos="1996"/>
        </w:tabs>
        <w:ind w:left="1996" w:hanging="380"/>
      </w:pPr>
      <w:rPr>
        <w:rFonts w:ascii="Symbol" w:hAnsi="Symbol" w:hint="default"/>
      </w:rPr>
    </w:lvl>
    <w:lvl w:ilvl="1" w:tplc="FA4A7BA8">
      <w:start w:val="1"/>
      <w:numFmt w:val="lowerLetter"/>
      <w:lvlRestart w:val="0"/>
      <w:lvlText w:val="(%2)"/>
      <w:lvlJc w:val="left"/>
      <w:pPr>
        <w:tabs>
          <w:tab w:val="num" w:pos="1440"/>
        </w:tabs>
        <w:ind w:left="148" w:firstLine="431"/>
      </w:pPr>
      <w:rPr>
        <w:rFonts w:ascii="Times New Roman" w:hAnsi="Times New Roman" w:cs="Times New Roman" w:hint="default"/>
        <w:color w:val="auto"/>
        <w:sz w:val="21"/>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E253887"/>
    <w:multiLevelType w:val="hybridMultilevel"/>
    <w:tmpl w:val="497EC7CC"/>
    <w:lvl w:ilvl="0" w:tplc="FFFFFFFF">
      <w:start w:val="1"/>
      <w:numFmt w:val="bullet"/>
      <w:pStyle w:val="H56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29293743"/>
    <w:multiLevelType w:val="hybridMultilevel"/>
    <w:tmpl w:val="730CFE3C"/>
    <w:lvl w:ilvl="0" w:tplc="2C448E6E">
      <w:start w:val="169"/>
      <w:numFmt w:val="decimal"/>
      <w:lvlText w:val="%1."/>
      <w:lvlJc w:val="left"/>
      <w:pPr>
        <w:tabs>
          <w:tab w:val="num" w:pos="1734"/>
        </w:tabs>
        <w:ind w:left="1734" w:hanging="60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1">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9261701"/>
    <w:multiLevelType w:val="hybridMultilevel"/>
    <w:tmpl w:val="74684FAE"/>
    <w:lvl w:ilvl="0" w:tplc="E93E95DA">
      <w:start w:val="255"/>
      <w:numFmt w:val="decimal"/>
      <w:lvlText w:val="%1."/>
      <w:lvlJc w:val="left"/>
      <w:pPr>
        <w:tabs>
          <w:tab w:val="num" w:pos="1734"/>
        </w:tabs>
        <w:ind w:left="1734" w:hanging="60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5F730BB1"/>
    <w:multiLevelType w:val="hybridMultilevel"/>
    <w:tmpl w:val="D1B6E2D4"/>
    <w:lvl w:ilvl="0" w:tplc="659C9AEE">
      <w:start w:val="6"/>
      <w:numFmt w:val="decimal"/>
      <w:lvlText w:val="%1."/>
      <w:lvlJc w:val="left"/>
      <w:pPr>
        <w:tabs>
          <w:tab w:val="num" w:pos="1620"/>
        </w:tabs>
        <w:ind w:left="1620" w:hanging="450"/>
      </w:pPr>
      <w:rPr>
        <w:rFonts w:hint="default"/>
        <w:lang w:eastAsia="zh-CN"/>
      </w:rPr>
    </w:lvl>
    <w:lvl w:ilvl="1" w:tplc="43CC3DC8">
      <w:start w:val="5"/>
      <w:numFmt w:val="decimal"/>
      <w:lvlText w:val="第%2条"/>
      <w:lvlJc w:val="left"/>
      <w:pPr>
        <w:tabs>
          <w:tab w:val="num" w:pos="1440"/>
        </w:tabs>
        <w:ind w:left="1440" w:hanging="10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61CD3E35"/>
    <w:multiLevelType w:val="hybridMultilevel"/>
    <w:tmpl w:val="6B342BA6"/>
    <w:lvl w:ilvl="0" w:tplc="71F41D4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502480B"/>
    <w:multiLevelType w:val="hybridMultilevel"/>
    <w:tmpl w:val="C1EE5E86"/>
    <w:lvl w:ilvl="0" w:tplc="7736C7C0">
      <w:start w:val="250"/>
      <w:numFmt w:val="decimal"/>
      <w:lvlText w:val="%1."/>
      <w:lvlJc w:val="left"/>
      <w:pPr>
        <w:tabs>
          <w:tab w:val="num" w:pos="1734"/>
        </w:tabs>
        <w:ind w:left="1734" w:hanging="60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3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3">
    <w:nsid w:val="764E5B90"/>
    <w:multiLevelType w:val="hybridMultilevel"/>
    <w:tmpl w:val="42B69E60"/>
    <w:lvl w:ilvl="0" w:tplc="4FC4A340">
      <w:start w:val="1"/>
      <w:numFmt w:val="lowerLetter"/>
      <w:lvlText w:val="(%1)"/>
      <w:lvlJc w:val="left"/>
      <w:pPr>
        <w:tabs>
          <w:tab w:val="num" w:pos="1140"/>
        </w:tabs>
        <w:ind w:left="1140" w:hanging="600"/>
      </w:pPr>
      <w:rPr>
        <w:rFonts w:hint="default"/>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4">
    <w:nsid w:val="7CC43D6D"/>
    <w:multiLevelType w:val="hybridMultilevel"/>
    <w:tmpl w:val="F81C0DD4"/>
    <w:lvl w:ilvl="0" w:tplc="5DACF43A">
      <w:start w:val="256"/>
      <w:numFmt w:val="decimal"/>
      <w:lvlText w:val="%1."/>
      <w:lvlJc w:val="left"/>
      <w:pPr>
        <w:tabs>
          <w:tab w:val="num" w:pos="1734"/>
        </w:tabs>
        <w:ind w:left="1734" w:hanging="60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3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32"/>
  </w:num>
  <w:num w:numId="13">
    <w:abstractNumId w:val="25"/>
  </w:num>
  <w:num w:numId="14">
    <w:abstractNumId w:val="14"/>
  </w:num>
  <w:num w:numId="15">
    <w:abstractNumId w:val="15"/>
  </w:num>
  <w:num w:numId="16">
    <w:abstractNumId w:val="31"/>
  </w:num>
  <w:num w:numId="17">
    <w:abstractNumId w:val="14"/>
  </w:num>
  <w:num w:numId="18">
    <w:abstractNumId w:val="31"/>
  </w:num>
  <w:num w:numId="19">
    <w:abstractNumId w:val="15"/>
  </w:num>
  <w:num w:numId="20">
    <w:abstractNumId w:val="26"/>
  </w:num>
  <w:num w:numId="21">
    <w:abstractNumId w:val="22"/>
  </w:num>
  <w:num w:numId="22">
    <w:abstractNumId w:val="18"/>
  </w:num>
  <w:num w:numId="23">
    <w:abstractNumId w:val="26"/>
  </w:num>
  <w:num w:numId="24">
    <w:abstractNumId w:val="22"/>
  </w:num>
  <w:num w:numId="25">
    <w:abstractNumId w:val="18"/>
  </w:num>
  <w:num w:numId="26">
    <w:abstractNumId w:val="24"/>
  </w:num>
  <w:num w:numId="27">
    <w:abstractNumId w:val="13"/>
  </w:num>
  <w:num w:numId="28">
    <w:abstractNumId w:val="21"/>
  </w:num>
  <w:num w:numId="29">
    <w:abstractNumId w:val="35"/>
  </w:num>
  <w:num w:numId="30">
    <w:abstractNumId w:val="24"/>
  </w:num>
  <w:num w:numId="31">
    <w:abstractNumId w:val="13"/>
  </w:num>
  <w:num w:numId="32">
    <w:abstractNumId w:val="21"/>
  </w:num>
  <w:num w:numId="33">
    <w:abstractNumId w:val="35"/>
  </w:num>
  <w:num w:numId="34">
    <w:abstractNumId w:val="15"/>
  </w:num>
  <w:num w:numId="35">
    <w:abstractNumId w:val="17"/>
  </w:num>
  <w:num w:numId="36">
    <w:abstractNumId w:val="10"/>
  </w:num>
  <w:num w:numId="37">
    <w:abstractNumId w:val="28"/>
  </w:num>
  <w:num w:numId="38">
    <w:abstractNumId w:val="16"/>
  </w:num>
  <w:num w:numId="39">
    <w:abstractNumId w:val="12"/>
  </w:num>
  <w:num w:numId="40">
    <w:abstractNumId w:val="27"/>
  </w:num>
  <w:num w:numId="41">
    <w:abstractNumId w:val="20"/>
  </w:num>
  <w:num w:numId="42">
    <w:abstractNumId w:val="30"/>
  </w:num>
  <w:num w:numId="43">
    <w:abstractNumId w:val="34"/>
  </w:num>
  <w:num w:numId="44">
    <w:abstractNumId w:val="23"/>
  </w:num>
  <w:num w:numId="45">
    <w:abstractNumId w:val="29"/>
  </w:num>
  <w:num w:numId="46">
    <w:abstractNumId w:val="11"/>
  </w:num>
  <w:num w:numId="47">
    <w:abstractNumId w:val="3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3483"/>
    <w:rsid w:val="0006006F"/>
    <w:rsid w:val="000C1D7D"/>
    <w:rsid w:val="000D657E"/>
    <w:rsid w:val="0017263A"/>
    <w:rsid w:val="00253C38"/>
    <w:rsid w:val="002A6966"/>
    <w:rsid w:val="00301807"/>
    <w:rsid w:val="00365AE4"/>
    <w:rsid w:val="003712EA"/>
    <w:rsid w:val="00406163"/>
    <w:rsid w:val="00583483"/>
    <w:rsid w:val="00583617"/>
    <w:rsid w:val="0059004A"/>
    <w:rsid w:val="005A25F7"/>
    <w:rsid w:val="0061711E"/>
    <w:rsid w:val="00623459"/>
    <w:rsid w:val="006B4551"/>
    <w:rsid w:val="007B3FBD"/>
    <w:rsid w:val="007E57AE"/>
    <w:rsid w:val="00803B4D"/>
    <w:rsid w:val="00985687"/>
    <w:rsid w:val="009A4AF1"/>
    <w:rsid w:val="00A93F62"/>
    <w:rsid w:val="00AC06A9"/>
    <w:rsid w:val="00B23BDD"/>
    <w:rsid w:val="00C06CD2"/>
    <w:rsid w:val="00C30634"/>
    <w:rsid w:val="00D70641"/>
    <w:rsid w:val="00EE0CDD"/>
    <w:rsid w:val="00EF53BF"/>
    <w:rsid w:val="00F375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5_GR"/>
    <w:basedOn w:val="Normal"/>
    <w:pPr>
      <w:tabs>
        <w:tab w:val="clear" w:pos="431"/>
        <w:tab w:val="right" w:pos="1021"/>
      </w:tabs>
      <w:spacing w:after="120" w:line="240" w:lineRule="exact"/>
      <w:ind w:left="1134" w:right="1134" w:hanging="1134"/>
    </w:pPr>
    <w:rPr>
      <w:sz w:val="18"/>
    </w:rPr>
  </w:style>
  <w:style w:type="character" w:styleId="FootnoteReference">
    <w:name w:val="footnote reference"/>
    <w:aliases w:val="4_G,4_GR"/>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pPr>
      <w:spacing w:before="80" w:after="80" w:line="200" w:lineRule="exact"/>
      <w:ind w:left="0" w:right="113"/>
    </w:pPr>
    <w:rPr>
      <w:rFonts w:eastAsia="KaiTi_GB2312"/>
      <w:sz w:val="18"/>
    </w:rPr>
  </w:style>
  <w:style w:type="paragraph" w:customStyle="1" w:styleId="a0">
    <w:name w:val="表中文字"/>
    <w:basedOn w:val="SingleTxtGC"/>
    <w:pPr>
      <w:spacing w:before="40" w:line="240" w:lineRule="atLeast"/>
      <w:ind w:left="0" w:right="113"/>
    </w:pPr>
    <w:rPr>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pPr>
      <w:tabs>
        <w:tab w:val="right" w:pos="1021"/>
      </w:tabs>
    </w:pPr>
  </w:style>
  <w:style w:type="character" w:styleId="EndnoteReference">
    <w:name w:val="endnote reference"/>
    <w:aliases w:val="1_G"/>
    <w:basedOn w:val="FootnoteReference"/>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pPr>
      <w:ind w:left="1565" w:hanging="431"/>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DashGC">
    <w:name w:val="_Dash_GC"/>
    <w:basedOn w:val="Normal"/>
    <w:pPr>
      <w:numPr>
        <w:numId w:val="34"/>
      </w:numPr>
      <w:spacing w:after="120"/>
      <w:ind w:right="1134"/>
    </w:pPr>
    <w:rPr>
      <w:lang w:val="fr-CH"/>
    </w:rPr>
  </w:style>
  <w:style w:type="paragraph" w:styleId="Footer">
    <w:name w:val="footer"/>
    <w:aliases w:val="3_G"/>
    <w:basedOn w:val="Normal"/>
    <w:pPr>
      <w:spacing w:line="240" w:lineRule="auto"/>
    </w:pPr>
    <w:rPr>
      <w:rFonts w:eastAsia="Times New Roman"/>
      <w:sz w:val="16"/>
      <w:lang w:val="en-GB" w:eastAsia="en-US"/>
    </w:rPr>
  </w:style>
  <w:style w:type="character" w:styleId="PageNumber">
    <w:name w:val="page number"/>
    <w:aliases w:val="7_G"/>
    <w:rPr>
      <w:rFonts w:ascii="Times New Roman" w:hAnsi="Times New Roman"/>
      <w:b/>
      <w:spacing w:val="0"/>
      <w:kern w:val="0"/>
      <w:sz w:val="18"/>
    </w:rPr>
  </w:style>
  <w:style w:type="paragraph" w:styleId="Header">
    <w:name w:val="header"/>
    <w:aliases w:val="6_G,6_G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pPr>
      <w:spacing w:before="40" w:after="40" w:line="240" w:lineRule="atLeast"/>
      <w:ind w:left="0" w:right="113"/>
    </w:pPr>
    <w:rPr>
      <w:sz w:val="18"/>
    </w:rPr>
  </w:style>
  <w:style w:type="paragraph" w:customStyle="1" w:styleId="Bullet1GC">
    <w:name w:val="_Bullet 1_GC"/>
    <w:basedOn w:val="Normal"/>
    <w:pPr>
      <w:numPr>
        <w:numId w:val="17"/>
      </w:numPr>
      <w:spacing w:after="120"/>
      <w:ind w:right="1134"/>
    </w:pPr>
  </w:style>
  <w:style w:type="paragraph" w:customStyle="1" w:styleId="Bullet2GC">
    <w:name w:val="_Bullet 2_GC"/>
    <w:basedOn w:val="Normal"/>
    <w:pPr>
      <w:numPr>
        <w:numId w:val="18"/>
      </w:numPr>
      <w:tabs>
        <w:tab w:val="left" w:pos="1134"/>
        <w:tab w:val="left" w:pos="1565"/>
        <w:tab w:val="left" w:pos="1996"/>
      </w:tabs>
      <w:spacing w:after="120"/>
      <w:ind w:right="1134"/>
    </w:p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pPr>
      <w:ind w:left="1565"/>
    </w:p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numbering" w:customStyle="1" w:styleId="1">
    <w:name w:val="无列表1"/>
    <w:next w:val="NoList"/>
    <w:semiHidden/>
  </w:style>
  <w:style w:type="character" w:styleId="FollowedHyperlink">
    <w:name w:val="FollowedHyperlink"/>
    <w:semiHidden/>
    <w:rPr>
      <w:color w:val="800080"/>
      <w:u w:val="single"/>
    </w:r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pPr>
      <w:numPr>
        <w:numId w:val="3"/>
      </w:numPr>
    </w:pPr>
  </w:style>
  <w:style w:type="paragraph" w:customStyle="1" w:styleId="SingleTxtG">
    <w:name w:val="_ Single Txt_G"/>
    <w:basedOn w:val="Normal"/>
    <w:pPr>
      <w:numPr>
        <w:numId w:val="36"/>
      </w:numPr>
      <w:tabs>
        <w:tab w:val="clear" w:pos="431"/>
        <w:tab w:val="clear" w:pos="1494"/>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pPr>
      <w:numPr>
        <w:numId w:val="1"/>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Pr>
      <w:sz w:val="6"/>
    </w:rPr>
  </w:style>
  <w:style w:type="paragraph" w:styleId="CommentText">
    <w:name w:val="annotation text"/>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Pr>
      <w:sz w:val="14"/>
    </w:rPr>
  </w:style>
  <w:style w:type="paragraph" w:customStyle="1" w:styleId="Bullet2G">
    <w:name w:val="_Bullet 2_G"/>
    <w:basedOn w:val="Normal"/>
    <w:pPr>
      <w:numPr>
        <w:numId w:val="2"/>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pPr>
      <w:keepNext/>
      <w:keepLines/>
      <w:numPr>
        <w:numId w:val="35"/>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pPr>
      <w:numPr>
        <w:numId w:val="37"/>
      </w:numPr>
    </w:pPr>
  </w:style>
  <w:style w:type="numbering" w:styleId="1ai">
    <w:name w:val="Outline List 1"/>
    <w:basedOn w:val="NoList"/>
    <w:semiHidden/>
    <w:pPr>
      <w:numPr>
        <w:numId w:val="38"/>
      </w:numPr>
    </w:pPr>
  </w:style>
  <w:style w:type="numbering" w:styleId="ArticleSection">
    <w:name w:val="Outline List 3"/>
    <w:basedOn w:val="NoList"/>
    <w:semiHidden/>
    <w:pPr>
      <w:numPr>
        <w:numId w:val="39"/>
      </w:numPr>
    </w:pPr>
  </w:style>
  <w:style w:type="paragraph" w:styleId="BodyText2">
    <w:name w:val="Body Text 2"/>
    <w:basedOn w:val="Normal"/>
    <w:semiHidden/>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Pr>
      <w:b/>
      <w:bCs/>
    </w:rPr>
  </w:style>
  <w:style w:type="paragraph" w:styleId="Subtitle">
    <w:name w:val="Subtitle"/>
    <w:basedOn w:val="Normal"/>
    <w:qFormat/>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customStyle="1" w:styleId="10">
    <w:name w:val="текст 1"/>
    <w:basedOn w:val="Normal"/>
    <w:pPr>
      <w:tabs>
        <w:tab w:val="clear" w:pos="431"/>
        <w:tab w:val="left" w:pos="567"/>
        <w:tab w:val="left" w:pos="1134"/>
        <w:tab w:val="left" w:pos="1701"/>
        <w:tab w:val="left" w:pos="2268"/>
        <w:tab w:val="left" w:pos="6237"/>
      </w:tabs>
      <w:overflowPunct/>
      <w:adjustRightInd/>
      <w:snapToGrid/>
      <w:spacing w:line="288" w:lineRule="auto"/>
      <w:jc w:val="left"/>
    </w:pPr>
    <w:rPr>
      <w:snapToGrid/>
      <w:sz w:val="24"/>
      <w:lang w:val="ru-RU" w:eastAsia="en-US"/>
    </w:rPr>
  </w:style>
  <w:style w:type="paragraph" w:customStyle="1" w:styleId="2">
    <w:name w:val="текст 2"/>
    <w:basedOn w:val="Normal"/>
    <w:pPr>
      <w:tabs>
        <w:tab w:val="clear" w:pos="431"/>
        <w:tab w:val="left" w:pos="567"/>
        <w:tab w:val="left" w:pos="1134"/>
        <w:tab w:val="left" w:pos="1701"/>
        <w:tab w:val="left" w:pos="2268"/>
        <w:tab w:val="left" w:pos="6237"/>
      </w:tabs>
      <w:overflowPunct/>
      <w:adjustRightInd/>
      <w:snapToGrid/>
      <w:spacing w:line="288" w:lineRule="auto"/>
      <w:jc w:val="left"/>
    </w:pPr>
    <w:rPr>
      <w:snapToGrid/>
      <w:sz w:val="24"/>
      <w:lang w:val="ru-RU" w:eastAsia="en-US"/>
    </w:rPr>
  </w:style>
  <w:style w:type="paragraph" w:customStyle="1" w:styleId="a6">
    <w:name w:val="название"/>
    <w:basedOn w:val="Normal"/>
    <w:pPr>
      <w:widowControl w:val="0"/>
      <w:tabs>
        <w:tab w:val="clear" w:pos="431"/>
      </w:tabs>
      <w:overflowPunct/>
      <w:adjustRightInd/>
      <w:snapToGrid/>
      <w:spacing w:line="240" w:lineRule="auto"/>
      <w:jc w:val="left"/>
    </w:pPr>
    <w:rPr>
      <w:rFonts w:ascii="Courier" w:hAnsi="Courier"/>
      <w:sz w:val="24"/>
      <w:lang w:val="ru-RU" w:eastAsia="ru-RU"/>
    </w:rPr>
  </w:style>
  <w:style w:type="paragraph" w:customStyle="1" w:styleId="100">
    <w:name w:val="Заголовок 10"/>
    <w:basedOn w:val="Title"/>
    <w:pPr>
      <w:tabs>
        <w:tab w:val="clear" w:pos="431"/>
        <w:tab w:val="left" w:pos="567"/>
        <w:tab w:val="left" w:pos="1134"/>
        <w:tab w:val="left" w:pos="1701"/>
        <w:tab w:val="left" w:pos="2268"/>
        <w:tab w:val="left" w:pos="6237"/>
      </w:tabs>
      <w:overflowPunct/>
      <w:adjustRightInd/>
      <w:snapToGrid/>
      <w:spacing w:before="0" w:after="0" w:line="288" w:lineRule="auto"/>
      <w:outlineLvl w:val="9"/>
    </w:pPr>
    <w:rPr>
      <w:rFonts w:ascii="Times New Roman" w:hAnsi="Times New Roman" w:cs="Times New Roman"/>
      <w:bCs w:val="0"/>
      <w:snapToGrid/>
      <w:sz w:val="24"/>
      <w:szCs w:val="20"/>
      <w:lang w:val="ru-RU" w:eastAsia="en-US"/>
    </w:rPr>
  </w:style>
  <w:style w:type="paragraph" w:customStyle="1" w:styleId="11">
    <w:name w:val="Заголовок 11"/>
    <w:basedOn w:val="Subtitle"/>
    <w:pPr>
      <w:tabs>
        <w:tab w:val="left" w:pos="567"/>
        <w:tab w:val="left" w:pos="1134"/>
        <w:tab w:val="left" w:pos="1701"/>
        <w:tab w:val="left" w:pos="2268"/>
        <w:tab w:val="left" w:pos="6237"/>
      </w:tabs>
      <w:suppressAutoHyphens w:val="0"/>
      <w:spacing w:after="0" w:line="288" w:lineRule="auto"/>
      <w:outlineLvl w:val="9"/>
    </w:pPr>
    <w:rPr>
      <w:rFonts w:ascii="Times New Roman" w:hAnsi="Times New Roman" w:cs="Times New Roman"/>
      <w:szCs w:val="20"/>
      <w:u w:val="single"/>
      <w:lang w:val="ru-RU"/>
    </w:rPr>
  </w:style>
  <w:style w:type="paragraph" w:customStyle="1" w:styleId="12">
    <w:name w:val="Заголовок 12"/>
    <w:basedOn w:val="Normal"/>
    <w:pPr>
      <w:tabs>
        <w:tab w:val="clear" w:pos="431"/>
        <w:tab w:val="left" w:pos="567"/>
        <w:tab w:val="left" w:pos="1134"/>
        <w:tab w:val="left" w:pos="1701"/>
        <w:tab w:val="left" w:pos="2268"/>
        <w:tab w:val="left" w:pos="6237"/>
      </w:tabs>
      <w:overflowPunct/>
      <w:adjustRightInd/>
      <w:snapToGrid/>
      <w:spacing w:line="288" w:lineRule="auto"/>
      <w:jc w:val="center"/>
    </w:pPr>
    <w:rPr>
      <w:i/>
      <w:snapToGrid/>
      <w:sz w:val="24"/>
      <w:lang w:val="ru-RU" w:eastAsia="en-US"/>
    </w:rPr>
  </w:style>
  <w:style w:type="paragraph" w:customStyle="1" w:styleId="13">
    <w:name w:val="Заголовок 13"/>
    <w:basedOn w:val="Normal"/>
    <w:pPr>
      <w:tabs>
        <w:tab w:val="clear" w:pos="431"/>
        <w:tab w:val="left" w:pos="567"/>
        <w:tab w:val="left" w:pos="1134"/>
        <w:tab w:val="left" w:pos="1701"/>
        <w:tab w:val="left" w:pos="2268"/>
        <w:tab w:val="left" w:pos="6237"/>
      </w:tabs>
      <w:overflowPunct/>
      <w:adjustRightInd/>
      <w:snapToGrid/>
      <w:spacing w:line="288" w:lineRule="auto"/>
      <w:jc w:val="center"/>
    </w:pPr>
    <w:rPr>
      <w:b/>
      <w:i/>
      <w:snapToGrid/>
      <w:sz w:val="24"/>
      <w:lang w:val="ru-RU" w:eastAsia="en-US"/>
    </w:rPr>
  </w:style>
  <w:style w:type="paragraph" w:customStyle="1" w:styleId="14">
    <w:name w:val="Заголовок 14"/>
    <w:basedOn w:val="Normal"/>
    <w:pPr>
      <w:tabs>
        <w:tab w:val="clear" w:pos="431"/>
        <w:tab w:val="left" w:pos="567"/>
        <w:tab w:val="left" w:pos="1134"/>
        <w:tab w:val="left" w:pos="1701"/>
        <w:tab w:val="left" w:pos="2268"/>
        <w:tab w:val="left" w:pos="6237"/>
      </w:tabs>
      <w:overflowPunct/>
      <w:adjustRightInd/>
      <w:snapToGrid/>
      <w:spacing w:line="288" w:lineRule="auto"/>
      <w:jc w:val="center"/>
    </w:pPr>
    <w:rPr>
      <w:b/>
      <w:snapToGrid/>
      <w:sz w:val="24"/>
      <w:u w:val="single"/>
      <w:lang w:val="ru-RU" w:eastAsia="en-US"/>
    </w:rPr>
  </w:style>
  <w:style w:type="paragraph" w:customStyle="1" w:styleId="15">
    <w:name w:val="Заголовок 15"/>
    <w:basedOn w:val="Normal"/>
    <w:pPr>
      <w:tabs>
        <w:tab w:val="clear" w:pos="431"/>
        <w:tab w:val="left" w:pos="567"/>
        <w:tab w:val="left" w:pos="1134"/>
        <w:tab w:val="left" w:pos="1701"/>
        <w:tab w:val="left" w:pos="2268"/>
        <w:tab w:val="left" w:pos="6237"/>
      </w:tabs>
      <w:overflowPunct/>
      <w:adjustRightInd/>
      <w:snapToGrid/>
      <w:spacing w:line="288" w:lineRule="auto"/>
      <w:jc w:val="center"/>
    </w:pPr>
    <w:rPr>
      <w:i/>
      <w:snapToGrid/>
      <w:sz w:val="24"/>
      <w:u w:val="single"/>
      <w:lang w:val="ru-RU" w:eastAsia="en-US"/>
    </w:rPr>
  </w:style>
  <w:style w:type="paragraph" w:customStyle="1" w:styleId="16">
    <w:name w:val="Заголовок 16"/>
    <w:basedOn w:val="Normal"/>
    <w:pPr>
      <w:tabs>
        <w:tab w:val="clear" w:pos="431"/>
        <w:tab w:val="left" w:pos="567"/>
        <w:tab w:val="left" w:pos="1134"/>
        <w:tab w:val="left" w:pos="1701"/>
        <w:tab w:val="left" w:pos="2268"/>
        <w:tab w:val="left" w:pos="6237"/>
      </w:tabs>
      <w:overflowPunct/>
      <w:adjustRightInd/>
      <w:snapToGrid/>
      <w:spacing w:line="288" w:lineRule="auto"/>
      <w:jc w:val="center"/>
    </w:pPr>
    <w:rPr>
      <w:snapToGrid/>
      <w:sz w:val="24"/>
      <w:lang w:val="ru-RU" w:eastAsia="en-US"/>
    </w:rPr>
  </w:style>
  <w:style w:type="character" w:customStyle="1" w:styleId="postcolor1">
    <w:name w:val="postcolor1"/>
    <w:rPr>
      <w:rFonts w:ascii="Verdana" w:hAnsi="Verdana" w:hint="default"/>
      <w:sz w:val="18"/>
      <w:szCs w:val="18"/>
    </w:rPr>
  </w:style>
  <w:style w:type="paragraph" w:customStyle="1" w:styleId="BodyText21">
    <w:name w:val="Body Text 21"/>
    <w:basedOn w:val="Normal"/>
    <w:pPr>
      <w:tabs>
        <w:tab w:val="clear" w:pos="431"/>
      </w:tabs>
      <w:overflowPunct/>
      <w:adjustRightInd/>
      <w:snapToGrid/>
      <w:spacing w:line="240" w:lineRule="auto"/>
      <w:ind w:firstLine="851"/>
    </w:pPr>
    <w:rPr>
      <w:rFonts w:ascii="Arial" w:hAnsi="Arial"/>
      <w:snapToGrid/>
      <w:sz w:val="24"/>
      <w:lang w:val="ru-RU" w:eastAsia="ru-RU"/>
    </w:rPr>
  </w:style>
  <w:style w:type="paragraph" w:customStyle="1" w:styleId="a7">
    <w:name w:val="Îáû÷íûé"/>
    <w:pPr>
      <w:spacing w:line="360" w:lineRule="auto"/>
      <w:ind w:firstLine="720"/>
      <w:jc w:val="both"/>
    </w:pPr>
    <w:rPr>
      <w:sz w:val="28"/>
      <w:lang w:val="ru-RU" w:eastAsia="ru-RU"/>
    </w:rPr>
  </w:style>
  <w:style w:type="paragraph" w:customStyle="1" w:styleId="20">
    <w:name w:val="Îñíîâíîé òåêñò 2"/>
    <w:basedOn w:val="a7"/>
    <w:rPr>
      <w:b/>
    </w:rPr>
  </w:style>
  <w:style w:type="paragraph" w:customStyle="1" w:styleId="21">
    <w:name w:val="Îñíîâíîé òåêñò ñ îòñòóïîì 2"/>
    <w:basedOn w:val="a7"/>
    <w:pPr>
      <w:jc w:val="center"/>
    </w:pPr>
  </w:style>
  <w:style w:type="character" w:customStyle="1" w:styleId="a8">
    <w:name w:val="çíàê ñíîñêè"/>
    <w:rPr>
      <w:vertAlign w:val="superscript"/>
    </w:rPr>
  </w:style>
  <w:style w:type="paragraph" w:customStyle="1" w:styleId="ConsPlusNormal">
    <w:name w:val="ConsPlusNormal"/>
    <w:pPr>
      <w:widowControl w:val="0"/>
      <w:autoSpaceDE w:val="0"/>
      <w:autoSpaceDN w:val="0"/>
      <w:adjustRightInd w:val="0"/>
      <w:ind w:firstLine="720"/>
    </w:pPr>
    <w:rPr>
      <w:rFonts w:ascii="Arial" w:hAnsi="Arial" w:cs="Arial"/>
      <w:lang w:val="ru-RU" w:eastAsia="ru-RU"/>
    </w:rPr>
  </w:style>
  <w:style w:type="paragraph" w:customStyle="1" w:styleId="BodyTextIndent31">
    <w:name w:val="Body Text Indent 31"/>
    <w:basedOn w:val="Normal"/>
    <w:pPr>
      <w:tabs>
        <w:tab w:val="clear" w:pos="431"/>
      </w:tabs>
      <w:autoSpaceDE w:val="0"/>
      <w:autoSpaceDN w:val="0"/>
      <w:snapToGrid/>
      <w:spacing w:line="360" w:lineRule="auto"/>
      <w:ind w:firstLine="540"/>
    </w:pPr>
    <w:rPr>
      <w:snapToGrid/>
      <w:sz w:val="24"/>
      <w:lang w:val="ru-RU" w:eastAsia="ru-RU"/>
    </w:rPr>
  </w:style>
  <w:style w:type="paragraph" w:customStyle="1" w:styleId="ConsNormal">
    <w:name w:val="ConsNormal"/>
    <w:pPr>
      <w:ind w:firstLine="720"/>
    </w:pPr>
    <w:rPr>
      <w:rFonts w:ascii="Consultant" w:hAnsi="Consultant"/>
      <w:sz w:val="16"/>
      <w:lang w:val="ru-RU" w:eastAsia="ru-RU"/>
    </w:rPr>
  </w:style>
  <w:style w:type="paragraph" w:styleId="BalloonText">
    <w:name w:val="Balloon Text"/>
    <w:basedOn w:val="Normal"/>
    <w:semiHidden/>
    <w:pPr>
      <w:tabs>
        <w:tab w:val="clear" w:pos="431"/>
      </w:tabs>
      <w:overflowPunct/>
      <w:adjustRightInd/>
      <w:snapToGrid/>
      <w:spacing w:line="240" w:lineRule="auto"/>
      <w:jc w:val="left"/>
    </w:pPr>
    <w:rPr>
      <w:rFonts w:ascii="Tahoma" w:hAnsi="Tahoma" w:cs="Tahoma"/>
      <w:snapToGrid/>
      <w:sz w:val="16"/>
      <w:szCs w:val="16"/>
    </w:rPr>
  </w:style>
  <w:style w:type="paragraph" w:styleId="CommentSubject">
    <w:name w:val="annotation subject"/>
    <w:basedOn w:val="CommentText"/>
    <w:next w:val="CommentText"/>
    <w:semiHidden/>
    <w:pPr>
      <w:suppressAutoHyphens w:val="0"/>
      <w:spacing w:line="240" w:lineRule="auto"/>
    </w:pPr>
    <w:rPr>
      <w:b/>
      <w:bCs/>
      <w:lang w:val="en-US" w:eastAsia="zh-CN"/>
    </w:rPr>
  </w:style>
  <w:style w:type="character" w:customStyle="1" w:styleId="shorttext">
    <w:name w:val="short_text"/>
    <w:basedOn w:val="DefaultParagraphFont"/>
  </w:style>
  <w:style w:type="table" w:customStyle="1" w:styleId="TabNum">
    <w:name w:val="_TabNum"/>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Num1">
    <w:name w:val="_TabNum1"/>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Num2">
    <w:name w:val="_TabNum2"/>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17">
    <w:name w:val="禁止1"/>
    <w:pPr>
      <w:tabs>
        <w:tab w:val="left" w:pos="510"/>
        <w:tab w:val="left" w:pos="1021"/>
        <w:tab w:val="left" w:pos="1531"/>
        <w:tab w:val="left" w:pos="2041"/>
        <w:tab w:val="left" w:pos="2552"/>
        <w:tab w:val="left" w:pos="3062"/>
        <w:tab w:val="left" w:pos="3572"/>
        <w:tab w:val="left" w:pos="4082"/>
        <w:tab w:val="left" w:pos="4593"/>
        <w:tab w:val="left" w:pos="5103"/>
        <w:tab w:val="left" w:pos="5613"/>
        <w:tab w:val="left" w:pos="6124"/>
        <w:tab w:val="left" w:pos="6634"/>
        <w:tab w:val="left" w:pos="7144"/>
        <w:tab w:val="left" w:pos="7655"/>
        <w:tab w:val="left" w:pos="8165"/>
      </w:tabs>
      <w:adjustRightInd w:val="0"/>
      <w:spacing w:line="336" w:lineRule="auto"/>
      <w:jc w:val="both"/>
      <w:textAlignment w:val="baseline"/>
    </w:pPr>
    <w:rPr>
      <w:rFonts w:ascii="SimSun" w:hAnsi="Courier New"/>
      <w:spacing w:val="10"/>
      <w:kern w:val="24"/>
      <w:sz w:val="21"/>
      <w:lang w:val="en-US" w:eastAsia="zh-CN"/>
    </w:rPr>
  </w:style>
  <w:style w:type="character" w:customStyle="1" w:styleId="SingleTxtGCChar">
    <w:name w:val="_ Single Txt_GC Char"/>
    <w:link w:val="SingleTxtGC"/>
    <w:locked/>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1</Pages>
  <Words>10491</Words>
  <Characters>59804</Characters>
  <Application>Microsoft Office Word</Application>
  <DocSecurity>4</DocSecurity>
  <Lines>498</Lines>
  <Paragraphs>140</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70155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Admieng</dc:creator>
  <cp:keywords/>
  <dc:description/>
  <cp:lastModifiedBy>DCM</cp:lastModifiedBy>
  <cp:revision>2</cp:revision>
  <cp:lastPrinted>2009-10-01T15:03:00Z</cp:lastPrinted>
  <dcterms:created xsi:type="dcterms:W3CDTF">2010-11-23T10:08:00Z</dcterms:created>
  <dcterms:modified xsi:type="dcterms:W3CDTF">2010-11-23T10:08:00Z</dcterms:modified>
</cp:coreProperties>
</file>