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widowControl w:val="0"/>
        <w:overflowPunct/>
        <w:autoSpaceDE w:val="0"/>
        <w:autoSpaceDN w:val="0"/>
        <w:jc w:val="left"/>
      </w:pPr>
      <w:r>
        <w:rPr>
          <w:rFonts w:hint="eastAsia"/>
        </w:rPr>
        <w:t>禁止酷刑委员会</w:t>
      </w:r>
    </w:p>
    <w:p w:rsidR="00000000" w:rsidRDefault="00000000">
      <w:pPr>
        <w:pStyle w:val="MacroText"/>
        <w:widowControl w:val="0"/>
        <w:tabs>
          <w:tab w:val="clear" w:pos="480"/>
          <w:tab w:val="clear" w:pos="960"/>
          <w:tab w:val="clear" w:pos="1440"/>
          <w:tab w:val="clear" w:pos="1920"/>
          <w:tab w:val="clear" w:pos="2400"/>
          <w:tab w:val="clear" w:pos="2880"/>
          <w:tab w:val="clear" w:pos="3360"/>
          <w:tab w:val="clear" w:pos="3840"/>
          <w:tab w:val="clear" w:pos="4320"/>
        </w:tabs>
        <w:kinsoku/>
        <w:overflowPunct/>
        <w:snapToGrid w:val="0"/>
        <w:spacing w:line="336" w:lineRule="auto"/>
        <w:textAlignment w:val="auto"/>
        <w:rPr>
          <w:snapToGrid w:val="0"/>
          <w:spacing w:val="10"/>
          <w:kern w:val="0"/>
        </w:rPr>
      </w:pPr>
      <w:r>
        <w:rPr>
          <w:rFonts w:hint="eastAsia"/>
          <w:snapToGrid w:val="0"/>
          <w:spacing w:val="10"/>
          <w:kern w:val="0"/>
        </w:rPr>
        <w:t>第三十五届会议</w:t>
      </w:r>
    </w:p>
    <w:p w:rsidR="00000000" w:rsidRDefault="00000000">
      <w:pPr>
        <w:widowControl w:val="0"/>
        <w:overflowPunct/>
        <w:autoSpaceDE w:val="0"/>
        <w:autoSpaceDN w:val="0"/>
        <w:spacing w:after="320"/>
        <w:jc w:val="left"/>
        <w:rPr>
          <w:rFonts w:hint="eastAsia"/>
        </w:rPr>
      </w:pPr>
      <w:r>
        <w:rPr>
          <w:lang w:eastAsia="zh-TW"/>
        </w:rPr>
        <w:t>2005</w:t>
      </w:r>
      <w:r>
        <w:rPr>
          <w:rFonts w:hint="eastAsia"/>
          <w:lang w:eastAsia="zh-TW"/>
        </w:rPr>
        <w:t>年</w:t>
      </w:r>
      <w:r>
        <w:rPr>
          <w:lang w:eastAsia="zh-TW"/>
        </w:rPr>
        <w:t>11</w:t>
      </w:r>
      <w:r>
        <w:rPr>
          <w:lang w:eastAsia="zh-TW"/>
        </w:rPr>
        <w:t>月</w:t>
      </w:r>
      <w:r>
        <w:rPr>
          <w:lang w:eastAsia="zh-TW"/>
        </w:rPr>
        <w:t>7</w:t>
      </w:r>
      <w:r>
        <w:rPr>
          <w:lang w:eastAsia="zh-TW"/>
        </w:rPr>
        <w:t>日至</w:t>
      </w:r>
      <w:r>
        <w:rPr>
          <w:lang w:eastAsia="zh-TW"/>
        </w:rPr>
        <w:t>25</w:t>
      </w:r>
      <w:r>
        <w:rPr>
          <w:lang w:eastAsia="zh-TW"/>
        </w:rPr>
        <w:t>日</w:t>
      </w:r>
    </w:p>
    <w:p w:rsidR="00000000" w:rsidRDefault="00000000">
      <w:pPr>
        <w:pStyle w:val="Heading2"/>
        <w:rPr>
          <w:rFonts w:hint="eastAsia"/>
          <w:kern w:val="0"/>
        </w:rPr>
      </w:pPr>
      <w:r>
        <w:rPr>
          <w:rFonts w:hint="eastAsia"/>
          <w:kern w:val="0"/>
        </w:rPr>
        <w:t>审议缔约国根据《公约》第</w:t>
      </w:r>
      <w:r>
        <w:rPr>
          <w:kern w:val="0"/>
        </w:rPr>
        <w:t>19</w:t>
      </w:r>
      <w:r>
        <w:rPr>
          <w:rFonts w:hint="eastAsia"/>
          <w:kern w:val="0"/>
        </w:rPr>
        <w:t>条提交的报告</w:t>
      </w:r>
    </w:p>
    <w:p w:rsidR="00000000" w:rsidRDefault="00000000">
      <w:pPr>
        <w:pStyle w:val="Heading3"/>
        <w:rPr>
          <w:rFonts w:eastAsia="SimHei"/>
          <w:u w:val="none"/>
        </w:rPr>
      </w:pPr>
      <w:r>
        <w:rPr>
          <w:rFonts w:eastAsia="SimHei" w:hint="eastAsia"/>
          <w:kern w:val="0"/>
          <w:u w:val="none"/>
        </w:rPr>
        <w:t>禁止酷刑委员会的结论和建议</w:t>
      </w:r>
    </w:p>
    <w:p w:rsidR="00000000" w:rsidRDefault="00000000">
      <w:pPr>
        <w:pStyle w:val="Heading3"/>
        <w:rPr>
          <w:rFonts w:eastAsia="SimHei" w:hint="eastAsia"/>
          <w:u w:val="none"/>
        </w:rPr>
      </w:pPr>
      <w:r>
        <w:rPr>
          <w:rFonts w:eastAsia="SimHei" w:hint="eastAsia"/>
          <w:kern w:val="0"/>
          <w:u w:val="none"/>
        </w:rPr>
        <w:t>尼</w:t>
      </w:r>
      <w:r>
        <w:rPr>
          <w:rFonts w:eastAsia="SimHei" w:hint="eastAsia"/>
          <w:kern w:val="0"/>
          <w:u w:val="none"/>
        </w:rPr>
        <w:t xml:space="preserve"> </w:t>
      </w:r>
      <w:r>
        <w:rPr>
          <w:rFonts w:eastAsia="SimHei" w:hint="eastAsia"/>
          <w:kern w:val="0"/>
          <w:u w:val="none"/>
        </w:rPr>
        <w:t>泊</w:t>
      </w:r>
      <w:r>
        <w:rPr>
          <w:rFonts w:eastAsia="SimHei" w:hint="eastAsia"/>
          <w:kern w:val="0"/>
          <w:u w:val="none"/>
        </w:rPr>
        <w:t xml:space="preserve"> </w:t>
      </w:r>
      <w:r>
        <w:rPr>
          <w:rFonts w:eastAsia="SimHei" w:hint="eastAsia"/>
          <w:kern w:val="0"/>
          <w:u w:val="none"/>
        </w:rPr>
        <w:t>尔</w:t>
      </w:r>
    </w:p>
    <w:p w:rsidR="00000000" w:rsidRDefault="00000000">
      <w:pPr>
        <w:widowControl w:val="0"/>
        <w:overflowPunct/>
        <w:autoSpaceDE w:val="0"/>
        <w:autoSpaceDN w:val="0"/>
        <w:spacing w:after="320"/>
      </w:pPr>
      <w:r>
        <w:tab/>
        <w:t xml:space="preserve">1.  </w:t>
      </w:r>
      <w:r>
        <w:rPr>
          <w:rFonts w:hint="eastAsia"/>
        </w:rPr>
        <w:t>委员会在</w:t>
      </w:r>
      <w:r>
        <w:t>2005</w:t>
      </w:r>
      <w:r>
        <w:rPr>
          <w:rFonts w:hint="eastAsia"/>
        </w:rPr>
        <w:t>年</w:t>
      </w:r>
      <w:r>
        <w:t>11</w:t>
      </w:r>
      <w:r>
        <w:t>月</w:t>
      </w:r>
      <w:r>
        <w:t>9</w:t>
      </w:r>
      <w:r>
        <w:t>日和</w:t>
      </w:r>
      <w:r>
        <w:rPr>
          <w:rFonts w:hint="eastAsia"/>
        </w:rPr>
        <w:t>10</w:t>
      </w:r>
      <w:r>
        <w:t>日</w:t>
      </w:r>
      <w:r>
        <w:rPr>
          <w:rFonts w:hint="eastAsia"/>
        </w:rPr>
        <w:t>举行的第</w:t>
      </w:r>
      <w:r>
        <w:t>66</w:t>
      </w:r>
      <w:r>
        <w:rPr>
          <w:rFonts w:hint="eastAsia"/>
        </w:rPr>
        <w:t>9</w:t>
      </w:r>
      <w:r>
        <w:t>次和</w:t>
      </w:r>
      <w:r>
        <w:t>67</w:t>
      </w:r>
      <w:r>
        <w:rPr>
          <w:rFonts w:hint="eastAsia"/>
        </w:rPr>
        <w:t>2</w:t>
      </w:r>
      <w:r>
        <w:rPr>
          <w:rFonts w:hint="eastAsia"/>
        </w:rPr>
        <w:t>次会议</w:t>
      </w:r>
      <w:r>
        <w:t>(CAT/C/SR.66</w:t>
      </w:r>
      <w:r>
        <w:rPr>
          <w:rFonts w:hint="eastAsia"/>
        </w:rPr>
        <w:t>9</w:t>
      </w:r>
      <w:r>
        <w:rPr>
          <w:rFonts w:hint="eastAsia"/>
        </w:rPr>
        <w:t>和</w:t>
      </w:r>
      <w:r>
        <w:t>CAT/C/SR.67</w:t>
      </w:r>
      <w:r>
        <w:rPr>
          <w:rFonts w:hint="eastAsia"/>
        </w:rPr>
        <w:t>2</w:t>
      </w:r>
      <w:r>
        <w:t>)</w:t>
      </w:r>
      <w:r>
        <w:rPr>
          <w:rFonts w:hint="eastAsia"/>
        </w:rPr>
        <w:t>上审议了尼泊尔的第二次定期报告</w:t>
      </w:r>
      <w:r>
        <w:t>(CAT/C/</w:t>
      </w:r>
      <w:r>
        <w:rPr>
          <w:rFonts w:hint="eastAsia"/>
        </w:rPr>
        <w:t>33/A</w:t>
      </w:r>
      <w:r>
        <w:t>dd.6)</w:t>
      </w:r>
      <w:r>
        <w:rPr>
          <w:rFonts w:hint="eastAsia"/>
        </w:rPr>
        <w:t>，并在</w:t>
      </w:r>
      <w:r>
        <w:t>2005</w:t>
      </w:r>
      <w:r>
        <w:rPr>
          <w:rFonts w:hint="eastAsia"/>
        </w:rPr>
        <w:t>年</w:t>
      </w:r>
      <w:r>
        <w:rPr>
          <w:rFonts w:hint="eastAsia"/>
        </w:rPr>
        <w:t>11</w:t>
      </w:r>
      <w:r>
        <w:rPr>
          <w:rFonts w:hint="eastAsia"/>
        </w:rPr>
        <w:t>月</w:t>
      </w:r>
      <w:r>
        <w:rPr>
          <w:rFonts w:hint="eastAsia"/>
        </w:rPr>
        <w:t>22</w:t>
      </w:r>
      <w:r>
        <w:rPr>
          <w:rFonts w:hint="eastAsia"/>
        </w:rPr>
        <w:t>日第</w:t>
      </w:r>
      <w:r>
        <w:t>687</w:t>
      </w:r>
      <w:r>
        <w:rPr>
          <w:rFonts w:hint="eastAsia"/>
        </w:rPr>
        <w:t>次会议上通过了下述结论和建议。</w:t>
      </w:r>
    </w:p>
    <w:p w:rsidR="00000000" w:rsidRDefault="00000000">
      <w:pPr>
        <w:pStyle w:val="Heading3"/>
        <w:rPr>
          <w:snapToGrid/>
          <w:kern w:val="0"/>
        </w:rPr>
      </w:pPr>
      <w:r>
        <w:rPr>
          <w:rFonts w:hint="eastAsia"/>
          <w:bCs/>
          <w:snapToGrid/>
          <w:kern w:val="0"/>
          <w:u w:val="none"/>
        </w:rPr>
        <w:t>A</w:t>
      </w:r>
      <w:r>
        <w:rPr>
          <w:rFonts w:hint="eastAsia"/>
          <w:snapToGrid/>
          <w:kern w:val="0"/>
          <w:u w:val="none"/>
        </w:rPr>
        <w:t xml:space="preserve">.  </w:t>
      </w:r>
      <w:r>
        <w:rPr>
          <w:rFonts w:hint="eastAsia"/>
          <w:snapToGrid/>
          <w:kern w:val="0"/>
        </w:rPr>
        <w:t>导</w:t>
      </w:r>
      <w:r>
        <w:rPr>
          <w:snapToGrid/>
          <w:kern w:val="0"/>
        </w:rPr>
        <w:t xml:space="preserve">  </w:t>
      </w:r>
      <w:r>
        <w:rPr>
          <w:rFonts w:hint="eastAsia"/>
          <w:snapToGrid/>
          <w:kern w:val="0"/>
        </w:rPr>
        <w:t>言</w:t>
      </w:r>
    </w:p>
    <w:p w:rsidR="00000000" w:rsidRDefault="00000000">
      <w:pPr>
        <w:widowControl w:val="0"/>
        <w:overflowPunct/>
        <w:autoSpaceDE w:val="0"/>
        <w:autoSpaceDN w:val="0"/>
        <w:ind w:firstLine="527"/>
      </w:pPr>
      <w:r>
        <w:t xml:space="preserve">2. </w:t>
      </w:r>
      <w:r>
        <w:rPr>
          <w:rFonts w:hint="eastAsia"/>
        </w:rPr>
        <w:t xml:space="preserve"> </w:t>
      </w:r>
      <w:r>
        <w:t>委员会欢迎该国提交报告，并欢迎报告提供了与缔约国恢复对话的机会。委员会赞赏与缔约国代表团建立的建设性对话，但同时注意到，报告并不完全符合委员会关于编写定期报告的指导方针，并且缺乏有关《公约》的实</w:t>
      </w:r>
      <w:r>
        <w:rPr>
          <w:rFonts w:hint="eastAsia"/>
        </w:rPr>
        <w:t>际执行</w:t>
      </w:r>
      <w:r>
        <w:t>情况。</w:t>
      </w:r>
    </w:p>
    <w:p w:rsidR="00000000" w:rsidRDefault="00000000">
      <w:pPr>
        <w:widowControl w:val="0"/>
        <w:overflowPunct/>
        <w:autoSpaceDE w:val="0"/>
        <w:autoSpaceDN w:val="0"/>
        <w:spacing w:after="320"/>
        <w:ind w:firstLine="527"/>
      </w:pPr>
      <w:r>
        <w:rPr>
          <w:rFonts w:hint="eastAsia"/>
        </w:rPr>
        <w:t xml:space="preserve">3.  </w:t>
      </w:r>
      <w:r>
        <w:t>委员会欢迎缔约国代表团在其介绍性发言中以及在对所提出的问题</w:t>
      </w:r>
      <w:r>
        <w:rPr>
          <w:rFonts w:hint="eastAsia"/>
        </w:rPr>
        <w:t>的</w:t>
      </w:r>
      <w:r>
        <w:t>答复中</w:t>
      </w:r>
      <w:r>
        <w:rPr>
          <w:rFonts w:hint="eastAsia"/>
        </w:rPr>
        <w:t>就</w:t>
      </w:r>
      <w:r>
        <w:t>问题清单</w:t>
      </w:r>
      <w:r>
        <w:t>(CAT/C/35/NPL)</w:t>
      </w:r>
      <w:r>
        <w:t>提供了进一步资料。</w:t>
      </w:r>
    </w:p>
    <w:p w:rsidR="00000000" w:rsidRDefault="00000000">
      <w:pPr>
        <w:widowControl w:val="0"/>
        <w:overflowPunct/>
        <w:autoSpaceDE w:val="0"/>
        <w:autoSpaceDN w:val="0"/>
        <w:spacing w:line="288" w:lineRule="auto"/>
        <w:rPr>
          <w:u w:val="single"/>
        </w:rPr>
      </w:pPr>
      <w:r>
        <w:rPr>
          <w:u w:val="single"/>
        </w:rPr>
        <w:tab/>
      </w:r>
      <w:r>
        <w:rPr>
          <w:u w:val="single"/>
        </w:rPr>
        <w:tab/>
      </w:r>
      <w:r>
        <w:rPr>
          <w:u w:val="single"/>
        </w:rPr>
        <w:tab/>
      </w:r>
      <w:r>
        <w:rPr>
          <w:u w:val="single"/>
        </w:rPr>
        <w:tab/>
      </w:r>
    </w:p>
    <w:p w:rsidR="00000000" w:rsidRDefault="00000000">
      <w:pPr>
        <w:pStyle w:val="FootnoteText"/>
        <w:rPr>
          <w:rFonts w:hint="eastAsia"/>
        </w:rPr>
      </w:pPr>
      <w:r>
        <w:t xml:space="preserve">*  </w:t>
      </w:r>
      <w:r>
        <w:rPr>
          <w:rFonts w:hint="eastAsia"/>
        </w:rPr>
        <w:t>由于技术原因重新印发。</w:t>
      </w:r>
    </w:p>
    <w:p w:rsidR="00000000" w:rsidRDefault="00000000">
      <w:pPr>
        <w:pStyle w:val="Heading3"/>
        <w:rPr>
          <w:bCs/>
          <w:snapToGrid/>
          <w:kern w:val="0"/>
          <w:u w:val="none"/>
        </w:rPr>
      </w:pPr>
      <w:r>
        <w:rPr>
          <w:bCs/>
          <w:snapToGrid/>
          <w:kern w:val="0"/>
          <w:u w:val="none"/>
        </w:rPr>
        <w:t>B.</w:t>
      </w:r>
      <w:r>
        <w:rPr>
          <w:rFonts w:hint="eastAsia"/>
          <w:bCs/>
          <w:snapToGrid/>
          <w:kern w:val="0"/>
          <w:u w:val="none"/>
        </w:rPr>
        <w:t xml:space="preserve">  </w:t>
      </w:r>
      <w:r>
        <w:rPr>
          <w:bCs/>
          <w:snapToGrid/>
          <w:kern w:val="0"/>
        </w:rPr>
        <w:t>积极方面</w:t>
      </w:r>
    </w:p>
    <w:p w:rsidR="00000000" w:rsidRDefault="00000000">
      <w:pPr>
        <w:widowControl w:val="0"/>
        <w:overflowPunct/>
        <w:autoSpaceDE w:val="0"/>
        <w:autoSpaceDN w:val="0"/>
        <w:ind w:firstLine="527"/>
        <w:rPr>
          <w:snapToGrid/>
        </w:rPr>
      </w:pPr>
      <w:r>
        <w:rPr>
          <w:rFonts w:hint="eastAsia"/>
          <w:snapToGrid/>
        </w:rPr>
        <w:t>4.</w:t>
      </w:r>
      <w:r>
        <w:rPr>
          <w:snapToGrid/>
        </w:rPr>
        <w:t xml:space="preserve"> </w:t>
      </w:r>
      <w:r>
        <w:rPr>
          <w:rFonts w:hint="eastAsia"/>
          <w:snapToGrid/>
        </w:rPr>
        <w:t xml:space="preserve"> </w:t>
      </w:r>
      <w:r>
        <w:rPr>
          <w:snapToGrid/>
        </w:rPr>
        <w:t>委员会欢迎该国通过了</w:t>
      </w:r>
      <w:r>
        <w:rPr>
          <w:snapToGrid/>
        </w:rPr>
        <w:t>1996</w:t>
      </w:r>
      <w:r>
        <w:rPr>
          <w:snapToGrid/>
        </w:rPr>
        <w:t>年的《</w:t>
      </w:r>
      <w:r>
        <w:rPr>
          <w:rFonts w:hint="eastAsia"/>
          <w:snapToGrid/>
        </w:rPr>
        <w:t>与酷刑有关的</w:t>
      </w:r>
      <w:r>
        <w:rPr>
          <w:snapToGrid/>
        </w:rPr>
        <w:t>赔偿法》和</w:t>
      </w:r>
      <w:r>
        <w:rPr>
          <w:snapToGrid/>
        </w:rPr>
        <w:t>1997</w:t>
      </w:r>
      <w:r>
        <w:rPr>
          <w:snapToGrid/>
        </w:rPr>
        <w:t>年的《人权委员会法》，旨在</w:t>
      </w:r>
      <w:r>
        <w:rPr>
          <w:rFonts w:hint="eastAsia"/>
          <w:snapToGrid/>
        </w:rPr>
        <w:t>增</w:t>
      </w:r>
      <w:r>
        <w:rPr>
          <w:snapToGrid/>
        </w:rPr>
        <w:t>进对</w:t>
      </w:r>
      <w:r>
        <w:rPr>
          <w:rFonts w:hint="eastAsia"/>
          <w:snapToGrid/>
        </w:rPr>
        <w:t>《</w:t>
      </w:r>
      <w:r>
        <w:rPr>
          <w:snapToGrid/>
        </w:rPr>
        <w:t>公约</w:t>
      </w:r>
      <w:r>
        <w:rPr>
          <w:rFonts w:hint="eastAsia"/>
          <w:snapToGrid/>
        </w:rPr>
        <w:t>》</w:t>
      </w:r>
      <w:r>
        <w:rPr>
          <w:snapToGrid/>
        </w:rPr>
        <w:t>的实施。</w:t>
      </w:r>
    </w:p>
    <w:p w:rsidR="00000000" w:rsidRDefault="00000000">
      <w:pPr>
        <w:widowControl w:val="0"/>
        <w:overflowPunct/>
        <w:autoSpaceDE w:val="0"/>
        <w:autoSpaceDN w:val="0"/>
        <w:spacing w:line="326" w:lineRule="auto"/>
        <w:ind w:firstLine="525"/>
      </w:pPr>
      <w:r>
        <w:rPr>
          <w:rFonts w:hint="eastAsia"/>
        </w:rPr>
        <w:t>5.</w:t>
      </w:r>
      <w:r>
        <w:t xml:space="preserve"> </w:t>
      </w:r>
      <w:r>
        <w:rPr>
          <w:rFonts w:hint="eastAsia"/>
        </w:rPr>
        <w:t xml:space="preserve"> </w:t>
      </w:r>
      <w:r>
        <w:t>委员会注意到该国建立了一些人权协调和监测机制，例如，全国人权委员会、全国妇女委员会和全国达利特委员会、人权保护委员会和全国协调委员会以及在</w:t>
      </w:r>
      <w:r>
        <w:rPr>
          <w:rFonts w:hint="eastAsia"/>
        </w:rPr>
        <w:t>警察</w:t>
      </w:r>
      <w:r>
        <w:t>、武装警察部队和尼泊尔</w:t>
      </w:r>
      <w:r>
        <w:rPr>
          <w:rFonts w:hint="eastAsia"/>
        </w:rPr>
        <w:t>皇</w:t>
      </w:r>
      <w:r>
        <w:t>家</w:t>
      </w:r>
      <w:r>
        <w:rPr>
          <w:rFonts w:hint="eastAsia"/>
        </w:rPr>
        <w:t>陆</w:t>
      </w:r>
      <w:r>
        <w:t>军中设立了人权</w:t>
      </w:r>
      <w:r>
        <w:rPr>
          <w:rFonts w:hint="eastAsia"/>
        </w:rPr>
        <w:t>单位</w:t>
      </w:r>
      <w:r>
        <w:t>。</w:t>
      </w:r>
    </w:p>
    <w:p w:rsidR="00000000" w:rsidRDefault="00000000">
      <w:pPr>
        <w:widowControl w:val="0"/>
        <w:overflowPunct/>
        <w:autoSpaceDE w:val="0"/>
        <w:autoSpaceDN w:val="0"/>
        <w:spacing w:line="326" w:lineRule="auto"/>
        <w:ind w:firstLine="525"/>
      </w:pPr>
      <w:r>
        <w:rPr>
          <w:rFonts w:hint="eastAsia"/>
        </w:rPr>
        <w:t>6.</w:t>
      </w:r>
      <w:r>
        <w:t xml:space="preserve"> </w:t>
      </w:r>
      <w:r>
        <w:rPr>
          <w:rFonts w:hint="eastAsia"/>
        </w:rPr>
        <w:t xml:space="preserve"> </w:t>
      </w:r>
      <w:r>
        <w:t>委员会并欢迎缔约国于</w:t>
      </w:r>
      <w:r>
        <w:t>2005</w:t>
      </w:r>
      <w:r>
        <w:t>年</w:t>
      </w:r>
      <w:r>
        <w:t>4</w:t>
      </w:r>
      <w:r>
        <w:t>月</w:t>
      </w:r>
      <w:r>
        <w:t>11</w:t>
      </w:r>
      <w:r>
        <w:t>日同人权事务高级专员办事处签署协议，从而</w:t>
      </w:r>
      <w:r>
        <w:rPr>
          <w:rFonts w:hint="eastAsia"/>
        </w:rPr>
        <w:t>设</w:t>
      </w:r>
      <w:r>
        <w:t>立了人权高专办</w:t>
      </w:r>
      <w:r>
        <w:rPr>
          <w:rFonts w:hint="eastAsia"/>
        </w:rPr>
        <w:t>驻尼泊尔</w:t>
      </w:r>
      <w:r>
        <w:t>办</w:t>
      </w:r>
      <w:r>
        <w:rPr>
          <w:rFonts w:hint="eastAsia"/>
        </w:rPr>
        <w:t>事处</w:t>
      </w:r>
      <w:r>
        <w:t>。委员会欢迎缔约国持续</w:t>
      </w:r>
      <w:r>
        <w:rPr>
          <w:rFonts w:hint="eastAsia"/>
        </w:rPr>
        <w:t>与</w:t>
      </w:r>
      <w:r>
        <w:t>人权高专办</w:t>
      </w:r>
      <w:r>
        <w:rPr>
          <w:rFonts w:hint="eastAsia"/>
        </w:rPr>
        <w:t>驻尼泊尔办事处</w:t>
      </w:r>
      <w:r>
        <w:t>合作。</w:t>
      </w:r>
    </w:p>
    <w:p w:rsidR="00000000" w:rsidRDefault="00000000">
      <w:pPr>
        <w:widowControl w:val="0"/>
        <w:overflowPunct/>
        <w:autoSpaceDE w:val="0"/>
        <w:autoSpaceDN w:val="0"/>
        <w:spacing w:line="326" w:lineRule="auto"/>
        <w:ind w:firstLine="525"/>
      </w:pPr>
      <w:r>
        <w:rPr>
          <w:rFonts w:hint="eastAsia"/>
        </w:rPr>
        <w:t>7.</w:t>
      </w:r>
      <w:r>
        <w:t xml:space="preserve"> </w:t>
      </w:r>
      <w:r>
        <w:rPr>
          <w:rFonts w:hint="eastAsia"/>
        </w:rPr>
        <w:t xml:space="preserve"> </w:t>
      </w:r>
      <w:r>
        <w:t>委员会注意到，缔约国接待了来自人权委员会以下特别程序的视察：</w:t>
      </w:r>
    </w:p>
    <w:p w:rsidR="00000000" w:rsidRDefault="00000000">
      <w:pPr>
        <w:widowControl w:val="0"/>
        <w:numPr>
          <w:ilvl w:val="0"/>
          <w:numId w:val="83"/>
        </w:numPr>
        <w:tabs>
          <w:tab w:val="clear" w:pos="1531"/>
        </w:tabs>
        <w:spacing w:line="326" w:lineRule="auto"/>
        <w:rPr>
          <w:rFonts w:hint="eastAsia"/>
        </w:rPr>
      </w:pPr>
      <w:r>
        <w:t>1996</w:t>
      </w:r>
      <w:r>
        <w:t>年接待了任意拘留问题工作组；</w:t>
      </w:r>
    </w:p>
    <w:p w:rsidR="00000000" w:rsidRDefault="00000000">
      <w:pPr>
        <w:widowControl w:val="0"/>
        <w:numPr>
          <w:ilvl w:val="0"/>
          <w:numId w:val="83"/>
        </w:numPr>
        <w:tabs>
          <w:tab w:val="clear" w:pos="1531"/>
        </w:tabs>
        <w:spacing w:line="326" w:lineRule="auto"/>
        <w:rPr>
          <w:rFonts w:hint="eastAsia"/>
        </w:rPr>
      </w:pPr>
      <w:r>
        <w:t>2000</w:t>
      </w:r>
      <w:r>
        <w:t>年接待了</w:t>
      </w:r>
      <w:r>
        <w:rPr>
          <w:rFonts w:hint="eastAsia"/>
        </w:rPr>
        <w:t>法外处决、即审即决或任意处决问题特别报告员；</w:t>
      </w:r>
    </w:p>
    <w:p w:rsidR="00000000" w:rsidRDefault="00000000">
      <w:pPr>
        <w:widowControl w:val="0"/>
        <w:numPr>
          <w:ilvl w:val="0"/>
          <w:numId w:val="83"/>
        </w:numPr>
        <w:tabs>
          <w:tab w:val="clear" w:pos="1531"/>
        </w:tabs>
        <w:spacing w:line="326" w:lineRule="auto"/>
        <w:rPr>
          <w:rFonts w:hint="eastAsia"/>
        </w:rPr>
      </w:pPr>
      <w:r>
        <w:t>2004</w:t>
      </w:r>
      <w:r>
        <w:t>年接待了</w:t>
      </w:r>
      <w:r>
        <w:rPr>
          <w:rFonts w:hint="eastAsia"/>
        </w:rPr>
        <w:t>被强迫或非自愿失踪问题工作组；</w:t>
      </w:r>
    </w:p>
    <w:p w:rsidR="00000000" w:rsidRDefault="00000000">
      <w:pPr>
        <w:widowControl w:val="0"/>
        <w:numPr>
          <w:ilvl w:val="0"/>
          <w:numId w:val="83"/>
        </w:numPr>
        <w:tabs>
          <w:tab w:val="clear" w:pos="1531"/>
        </w:tabs>
        <w:spacing w:line="326" w:lineRule="auto"/>
        <w:rPr>
          <w:rFonts w:hint="eastAsia"/>
        </w:rPr>
      </w:pPr>
      <w:r>
        <w:t>2005</w:t>
      </w:r>
      <w:r>
        <w:t>年接待了</w:t>
      </w:r>
      <w:r>
        <w:rPr>
          <w:rFonts w:hint="eastAsia"/>
        </w:rPr>
        <w:t>负责境内流离失所者人权的秘书长特别代表；</w:t>
      </w:r>
    </w:p>
    <w:p w:rsidR="00000000" w:rsidRDefault="00000000">
      <w:pPr>
        <w:widowControl w:val="0"/>
        <w:numPr>
          <w:ilvl w:val="0"/>
          <w:numId w:val="83"/>
        </w:numPr>
        <w:tabs>
          <w:tab w:val="clear" w:pos="1531"/>
        </w:tabs>
        <w:spacing w:line="326" w:lineRule="auto"/>
      </w:pPr>
      <w:r>
        <w:t>2005</w:t>
      </w:r>
      <w:r>
        <w:t>年接待了酷刑问题特别报告员。</w:t>
      </w:r>
    </w:p>
    <w:p w:rsidR="00000000" w:rsidRDefault="00000000">
      <w:pPr>
        <w:widowControl w:val="0"/>
        <w:overflowPunct/>
        <w:autoSpaceDE w:val="0"/>
        <w:autoSpaceDN w:val="0"/>
        <w:spacing w:line="326" w:lineRule="auto"/>
        <w:ind w:firstLine="525"/>
      </w:pPr>
      <w:r>
        <w:rPr>
          <w:rFonts w:hint="eastAsia"/>
        </w:rPr>
        <w:t>8.</w:t>
      </w:r>
      <w:r>
        <w:t xml:space="preserve"> </w:t>
      </w:r>
      <w:r>
        <w:rPr>
          <w:rFonts w:hint="eastAsia"/>
        </w:rPr>
        <w:t xml:space="preserve"> </w:t>
      </w:r>
      <w:r>
        <w:t>委员会赞扬缔约国接纳了</w:t>
      </w:r>
      <w:r>
        <w:t>100 000</w:t>
      </w:r>
      <w:r>
        <w:t>名不丹人和</w:t>
      </w:r>
      <w:r>
        <w:t>20 000</w:t>
      </w:r>
      <w:r>
        <w:t>名西藏难民。</w:t>
      </w:r>
    </w:p>
    <w:p w:rsidR="00000000" w:rsidRDefault="00000000">
      <w:pPr>
        <w:widowControl w:val="0"/>
        <w:overflowPunct/>
        <w:autoSpaceDE w:val="0"/>
        <w:autoSpaceDN w:val="0"/>
        <w:spacing w:after="320" w:line="326" w:lineRule="auto"/>
        <w:ind w:firstLine="525"/>
      </w:pPr>
      <w:r>
        <w:rPr>
          <w:rFonts w:hint="eastAsia"/>
        </w:rPr>
        <w:t>9.</w:t>
      </w:r>
      <w:r>
        <w:t xml:space="preserve"> </w:t>
      </w:r>
      <w:r>
        <w:rPr>
          <w:rFonts w:hint="eastAsia"/>
        </w:rPr>
        <w:t xml:space="preserve"> </w:t>
      </w:r>
      <w:r>
        <w:t>委员会</w:t>
      </w:r>
      <w:r>
        <w:rPr>
          <w:rFonts w:hint="eastAsia"/>
        </w:rPr>
        <w:t>还</w:t>
      </w:r>
      <w:r>
        <w:t>欢迎缔约国于</w:t>
      </w:r>
      <w:r>
        <w:t>2000</w:t>
      </w:r>
      <w:r>
        <w:t>年</w:t>
      </w:r>
      <w:r>
        <w:t>9</w:t>
      </w:r>
      <w:r>
        <w:t>月</w:t>
      </w:r>
      <w:r>
        <w:t>8</w:t>
      </w:r>
      <w:r>
        <w:t>日签署了《儿童权利公约关于儿童卷入武装冲突问题的原则议定书》。</w:t>
      </w:r>
    </w:p>
    <w:p w:rsidR="00000000" w:rsidRDefault="00000000">
      <w:pPr>
        <w:pStyle w:val="Heading3"/>
        <w:rPr>
          <w:bCs/>
          <w:kern w:val="0"/>
        </w:rPr>
      </w:pPr>
      <w:r>
        <w:rPr>
          <w:bCs/>
          <w:kern w:val="0"/>
          <w:u w:val="none"/>
        </w:rPr>
        <w:t>C.</w:t>
      </w:r>
      <w:r>
        <w:rPr>
          <w:rFonts w:hint="eastAsia"/>
          <w:bCs/>
          <w:kern w:val="0"/>
          <w:u w:val="none"/>
        </w:rPr>
        <w:t xml:space="preserve">  </w:t>
      </w:r>
      <w:r>
        <w:rPr>
          <w:bCs/>
          <w:kern w:val="0"/>
        </w:rPr>
        <w:t>阻碍实施《公约》的因素和困难</w:t>
      </w:r>
    </w:p>
    <w:p w:rsidR="00000000" w:rsidRDefault="00000000">
      <w:pPr>
        <w:widowControl w:val="0"/>
        <w:overflowPunct/>
        <w:autoSpaceDE w:val="0"/>
        <w:autoSpaceDN w:val="0"/>
        <w:spacing w:line="326" w:lineRule="auto"/>
        <w:ind w:firstLine="525"/>
      </w:pPr>
      <w:r>
        <w:t>1</w:t>
      </w:r>
      <w:r>
        <w:rPr>
          <w:rFonts w:hint="eastAsia"/>
        </w:rPr>
        <w:t>0.</w:t>
      </w:r>
      <w:r>
        <w:t xml:space="preserve"> </w:t>
      </w:r>
      <w:r>
        <w:rPr>
          <w:rFonts w:hint="eastAsia"/>
        </w:rPr>
        <w:t xml:space="preserve"> </w:t>
      </w:r>
      <w:r>
        <w:t>委员会承认，缔约国面临着内部武装冲突的困难局面，并且对尼泊尔共产党毛派分子所犯的大量残暴事件感到震惊。但是，委员会指出，不能以任何例外情况为理由来为酷刑辩护。</w:t>
      </w:r>
    </w:p>
    <w:p w:rsidR="00000000" w:rsidRDefault="00000000">
      <w:pPr>
        <w:widowControl w:val="0"/>
        <w:overflowPunct/>
        <w:autoSpaceDE w:val="0"/>
        <w:autoSpaceDN w:val="0"/>
        <w:spacing w:after="320" w:line="326" w:lineRule="auto"/>
        <w:ind w:firstLine="525"/>
      </w:pPr>
      <w:r>
        <w:t>1</w:t>
      </w:r>
      <w:r>
        <w:rPr>
          <w:rFonts w:hint="eastAsia"/>
        </w:rPr>
        <w:t xml:space="preserve">1.  </w:t>
      </w:r>
      <w:r>
        <w:t>委员会对于</w:t>
      </w:r>
      <w:r>
        <w:t>2002</w:t>
      </w:r>
      <w:r>
        <w:t>年</w:t>
      </w:r>
      <w:r>
        <w:t>5</w:t>
      </w:r>
      <w:r>
        <w:t>月以来由于</w:t>
      </w:r>
      <w:r>
        <w:rPr>
          <w:rFonts w:hint="eastAsia"/>
        </w:rPr>
        <w:t>不存在</w:t>
      </w:r>
      <w:r>
        <w:t>议会而对缔约国实施《公约》的能力产生了不良影响感到遗憾，尤其是对</w:t>
      </w:r>
      <w:r>
        <w:rPr>
          <w:rFonts w:hint="eastAsia"/>
        </w:rPr>
        <w:t>在</w:t>
      </w:r>
      <w:r>
        <w:t>颁发或修改法律以及批准国际公约</w:t>
      </w:r>
      <w:r>
        <w:rPr>
          <w:rFonts w:hint="eastAsia"/>
        </w:rPr>
        <w:t>方面</w:t>
      </w:r>
      <w:r>
        <w:t>产生</w:t>
      </w:r>
      <w:r>
        <w:rPr>
          <w:rFonts w:hint="eastAsia"/>
        </w:rPr>
        <w:t>的</w:t>
      </w:r>
      <w:r>
        <w:t>不良影响感到遗憾。</w:t>
      </w:r>
    </w:p>
    <w:p w:rsidR="00000000" w:rsidRDefault="00000000">
      <w:pPr>
        <w:pStyle w:val="Heading3"/>
        <w:rPr>
          <w:bCs/>
          <w:kern w:val="0"/>
        </w:rPr>
      </w:pPr>
      <w:r>
        <w:rPr>
          <w:bCs/>
          <w:kern w:val="0"/>
          <w:u w:val="none"/>
        </w:rPr>
        <w:t xml:space="preserve">D. </w:t>
      </w:r>
      <w:r>
        <w:rPr>
          <w:rFonts w:hint="eastAsia"/>
          <w:bCs/>
          <w:kern w:val="0"/>
          <w:u w:val="none"/>
        </w:rPr>
        <w:t xml:space="preserve"> </w:t>
      </w:r>
      <w:r>
        <w:rPr>
          <w:bCs/>
          <w:kern w:val="0"/>
        </w:rPr>
        <w:t>关注的问题和建议</w:t>
      </w:r>
    </w:p>
    <w:p w:rsidR="00000000" w:rsidRDefault="00000000">
      <w:pPr>
        <w:pStyle w:val="Heading4"/>
      </w:pPr>
      <w:r>
        <w:t>定</w:t>
      </w:r>
      <w:r>
        <w:rPr>
          <w:rFonts w:hint="eastAsia"/>
        </w:rPr>
        <w:t xml:space="preserve">  </w:t>
      </w:r>
      <w:r>
        <w:t>义</w:t>
      </w:r>
    </w:p>
    <w:p w:rsidR="00000000" w:rsidRDefault="00000000">
      <w:pPr>
        <w:widowControl w:val="0"/>
        <w:overflowPunct/>
        <w:autoSpaceDE w:val="0"/>
        <w:autoSpaceDN w:val="0"/>
        <w:spacing w:line="326" w:lineRule="auto"/>
        <w:ind w:firstLine="525"/>
      </w:pPr>
      <w:r>
        <w:t xml:space="preserve">12. </w:t>
      </w:r>
      <w:r>
        <w:rPr>
          <w:rFonts w:hint="eastAsia"/>
        </w:rPr>
        <w:t xml:space="preserve"> </w:t>
      </w:r>
      <w:r>
        <w:t>委员会关</w:t>
      </w:r>
      <w:r>
        <w:rPr>
          <w:rFonts w:hint="eastAsia"/>
        </w:rPr>
        <w:t>切</w:t>
      </w:r>
      <w:r>
        <w:t>地注意到，</w:t>
      </w:r>
      <w:r>
        <w:t>1996</w:t>
      </w:r>
      <w:r>
        <w:t>年《</w:t>
      </w:r>
      <w:r>
        <w:rPr>
          <w:rFonts w:hint="eastAsia"/>
        </w:rPr>
        <w:t>与</w:t>
      </w:r>
      <w:r>
        <w:t>酷刑</w:t>
      </w:r>
      <w:r>
        <w:rPr>
          <w:rFonts w:hint="eastAsia"/>
        </w:rPr>
        <w:t>有关的</w:t>
      </w:r>
      <w:r>
        <w:t>赔偿法》第二条</w:t>
      </w:r>
      <w:r>
        <w:t>(a)</w:t>
      </w:r>
      <w:r>
        <w:t>款关于酷刑的定义、目前国内法中缺乏将酷刑定为犯罪行为的法律条款，</w:t>
      </w:r>
      <w:r>
        <w:rPr>
          <w:rFonts w:hint="eastAsia"/>
        </w:rPr>
        <w:t>而且</w:t>
      </w:r>
      <w:r>
        <w:t>《刑法》不符合《禁止酷刑公约》第</w:t>
      </w:r>
      <w:r>
        <w:t>1</w:t>
      </w:r>
      <w:r>
        <w:t>条中的定义</w:t>
      </w:r>
      <w:r>
        <w:t>(</w:t>
      </w:r>
      <w:r>
        <w:t>《公约》第</w:t>
      </w:r>
      <w:r>
        <w:t>1</w:t>
      </w:r>
      <w:r>
        <w:t>条和第</w:t>
      </w:r>
      <w:r>
        <w:t>4</w:t>
      </w:r>
      <w:r>
        <w:t>条</w:t>
      </w:r>
      <w:r>
        <w:t>)</w:t>
      </w:r>
      <w:r>
        <w:t>。</w:t>
      </w:r>
    </w:p>
    <w:p w:rsidR="00000000" w:rsidRDefault="00000000">
      <w:pPr>
        <w:pStyle w:val="ad"/>
        <w:spacing w:after="240"/>
        <w:rPr>
          <w:rFonts w:eastAsia="SimHei"/>
        </w:rPr>
      </w:pPr>
      <w:r>
        <w:rPr>
          <w:rFonts w:eastAsia="SimHei"/>
        </w:rPr>
        <w:t>缔约国应当通过国内法律，保证</w:t>
      </w:r>
      <w:r>
        <w:rPr>
          <w:rFonts w:eastAsia="SimHei" w:hint="eastAsia"/>
        </w:rPr>
        <w:t>将</w:t>
      </w:r>
      <w:r>
        <w:rPr>
          <w:rFonts w:eastAsia="SimHei"/>
        </w:rPr>
        <w:t>施行酷刑的行</w:t>
      </w:r>
      <w:r>
        <w:rPr>
          <w:rFonts w:eastAsia="SimHei" w:hint="eastAsia"/>
          <w:spacing w:val="-50"/>
        </w:rPr>
        <w:t>―</w:t>
      </w:r>
      <w:r>
        <w:rPr>
          <w:rFonts w:eastAsia="SimHei" w:hint="eastAsia"/>
        </w:rPr>
        <w:t>―</w:t>
      </w:r>
      <w:r>
        <w:rPr>
          <w:rFonts w:eastAsia="SimHei"/>
        </w:rPr>
        <w:t>包括</w:t>
      </w:r>
      <w:r>
        <w:rPr>
          <w:rFonts w:eastAsia="SimHei" w:hint="eastAsia"/>
        </w:rPr>
        <w:t>未遂</w:t>
      </w:r>
      <w:r>
        <w:rPr>
          <w:rFonts w:eastAsia="SimHei"/>
        </w:rPr>
        <w:t>、共谋和参与</w:t>
      </w:r>
      <w:r>
        <w:rPr>
          <w:rFonts w:eastAsia="SimHei" w:hint="eastAsia"/>
          <w:spacing w:val="-50"/>
        </w:rPr>
        <w:t>―</w:t>
      </w:r>
      <w:r>
        <w:rPr>
          <w:rFonts w:eastAsia="SimHei" w:hint="eastAsia"/>
        </w:rPr>
        <w:t>―规定为</w:t>
      </w:r>
      <w:r>
        <w:rPr>
          <w:rFonts w:eastAsia="SimHei"/>
        </w:rPr>
        <w:t>应按严重程度加以惩处的罪行，并考虑采取步骤修改</w:t>
      </w:r>
      <w:r>
        <w:rPr>
          <w:rFonts w:eastAsia="SimHei"/>
          <w:b/>
        </w:rPr>
        <w:t>1996</w:t>
      </w:r>
      <w:r>
        <w:rPr>
          <w:rFonts w:eastAsia="SimHei"/>
        </w:rPr>
        <w:t>年《</w:t>
      </w:r>
      <w:r>
        <w:rPr>
          <w:rFonts w:eastAsia="SimHei" w:hint="eastAsia"/>
        </w:rPr>
        <w:t>与</w:t>
      </w:r>
      <w:r>
        <w:rPr>
          <w:rFonts w:eastAsia="SimHei"/>
        </w:rPr>
        <w:t>酷刑</w:t>
      </w:r>
      <w:r>
        <w:rPr>
          <w:rFonts w:eastAsia="SimHei" w:hint="eastAsia"/>
        </w:rPr>
        <w:t>有关的</w:t>
      </w:r>
      <w:r>
        <w:rPr>
          <w:rFonts w:eastAsia="SimHei"/>
        </w:rPr>
        <w:t>赔偿法》，使之符合《公约》中关于酷刑定义的所有内容。缔约国应当向委员会提供涉及到《公约》第</w:t>
      </w:r>
      <w:r>
        <w:rPr>
          <w:rFonts w:eastAsia="SimHei"/>
          <w:b/>
        </w:rPr>
        <w:t>1</w:t>
      </w:r>
      <w:r>
        <w:rPr>
          <w:rFonts w:eastAsia="SimHei"/>
        </w:rPr>
        <w:t>条所指的酷刑定义的国内判例资料。</w:t>
      </w:r>
    </w:p>
    <w:p w:rsidR="00000000" w:rsidRDefault="00000000">
      <w:pPr>
        <w:pStyle w:val="Heading4"/>
      </w:pPr>
      <w:r>
        <w:t>酷刑</w:t>
      </w:r>
      <w:r>
        <w:rPr>
          <w:rFonts w:hint="eastAsia"/>
        </w:rPr>
        <w:t>手段</w:t>
      </w:r>
      <w:r>
        <w:t>的普遍采用</w:t>
      </w:r>
    </w:p>
    <w:p w:rsidR="00000000" w:rsidRDefault="00000000">
      <w:pPr>
        <w:widowControl w:val="0"/>
        <w:overflowPunct/>
        <w:autoSpaceDE w:val="0"/>
        <w:autoSpaceDN w:val="0"/>
        <w:ind w:firstLine="525"/>
      </w:pPr>
      <w:r>
        <w:t>1</w:t>
      </w:r>
      <w:r>
        <w:rPr>
          <w:rFonts w:hint="eastAsia"/>
        </w:rPr>
        <w:t>3.</w:t>
      </w:r>
      <w:r>
        <w:t xml:space="preserve"> </w:t>
      </w:r>
      <w:r>
        <w:rPr>
          <w:rFonts w:hint="eastAsia"/>
        </w:rPr>
        <w:t xml:space="preserve"> </w:t>
      </w:r>
      <w:r>
        <w:t>委员会严重</w:t>
      </w:r>
      <w:r>
        <w:rPr>
          <w:rFonts w:hint="eastAsia"/>
        </w:rPr>
        <w:t>关注</w:t>
      </w:r>
      <w:r>
        <w:t>有大量内容一致的可靠报告指出，执法人员、尤其是尼泊尔</w:t>
      </w:r>
      <w:r>
        <w:rPr>
          <w:rFonts w:hint="eastAsia"/>
        </w:rPr>
        <w:t>皇</w:t>
      </w:r>
      <w:r>
        <w:t>家</w:t>
      </w:r>
      <w:r>
        <w:rPr>
          <w:rFonts w:hint="eastAsia"/>
        </w:rPr>
        <w:t>陆</w:t>
      </w:r>
      <w:r>
        <w:t>军、武装警察部队和警方普遍</w:t>
      </w:r>
      <w:r>
        <w:rPr>
          <w:rFonts w:hint="eastAsia"/>
        </w:rPr>
        <w:t>诉诸</w:t>
      </w:r>
      <w:r>
        <w:t>酷刑和虐待，同时也没有任何措施来保证有效保护社会的所有成员</w:t>
      </w:r>
      <w:r>
        <w:t>(</w:t>
      </w:r>
      <w:r>
        <w:t>第</w:t>
      </w:r>
      <w:r>
        <w:t>2</w:t>
      </w:r>
      <w:r>
        <w:t>和</w:t>
      </w:r>
      <w:r>
        <w:t>11</w:t>
      </w:r>
      <w:r>
        <w:t>条</w:t>
      </w:r>
      <w:r>
        <w:t>)</w:t>
      </w:r>
      <w:r>
        <w:t>。</w:t>
      </w:r>
    </w:p>
    <w:p w:rsidR="00000000" w:rsidRDefault="00000000">
      <w:pPr>
        <w:pStyle w:val="ad"/>
        <w:spacing w:after="240"/>
        <w:rPr>
          <w:rFonts w:eastAsia="SimHei"/>
        </w:rPr>
      </w:pPr>
      <w:r>
        <w:rPr>
          <w:rFonts w:eastAsia="SimHei"/>
        </w:rPr>
        <w:t>缔约国应当公开谴责酷刑的做法，并采取有效措施，防止缔约国管辖的</w:t>
      </w:r>
      <w:r>
        <w:rPr>
          <w:rFonts w:eastAsia="SimHei" w:hint="eastAsia"/>
        </w:rPr>
        <w:t>任何地方</w:t>
      </w:r>
      <w:r>
        <w:rPr>
          <w:rFonts w:eastAsia="SimHei"/>
        </w:rPr>
        <w:t>发生酷刑行为。缔约国</w:t>
      </w:r>
      <w:r>
        <w:rPr>
          <w:rFonts w:eastAsia="SimHei" w:hint="eastAsia"/>
        </w:rPr>
        <w:t>还应</w:t>
      </w:r>
      <w:r>
        <w:rPr>
          <w:rFonts w:eastAsia="SimHei"/>
        </w:rPr>
        <w:t>采取一切适当措施保护社会所有成员不遭受酷刑行为。</w:t>
      </w:r>
    </w:p>
    <w:p w:rsidR="00000000" w:rsidRDefault="00000000">
      <w:pPr>
        <w:pStyle w:val="Heading4"/>
      </w:pPr>
      <w:r>
        <w:t>拘</w:t>
      </w:r>
      <w:r>
        <w:rPr>
          <w:rFonts w:hint="eastAsia"/>
        </w:rPr>
        <w:t xml:space="preserve">  </w:t>
      </w:r>
      <w:r>
        <w:t>留</w:t>
      </w:r>
    </w:p>
    <w:p w:rsidR="00000000" w:rsidRDefault="00000000">
      <w:pPr>
        <w:widowControl w:val="0"/>
        <w:overflowPunct/>
        <w:autoSpaceDE w:val="0"/>
        <w:autoSpaceDN w:val="0"/>
        <w:ind w:firstLine="525"/>
      </w:pPr>
      <w:r>
        <w:t>1</w:t>
      </w:r>
      <w:r>
        <w:rPr>
          <w:rFonts w:hint="eastAsia"/>
        </w:rPr>
        <w:t>4.</w:t>
      </w:r>
      <w:r>
        <w:t xml:space="preserve"> </w:t>
      </w:r>
      <w:r>
        <w:rPr>
          <w:rFonts w:hint="eastAsia"/>
        </w:rPr>
        <w:t xml:space="preserve"> </w:t>
      </w:r>
      <w:r>
        <w:t>委员会</w:t>
      </w:r>
      <w:r>
        <w:rPr>
          <w:rFonts w:hint="eastAsia"/>
        </w:rPr>
        <w:t>还</w:t>
      </w:r>
      <w:r>
        <w:t>关注：</w:t>
      </w:r>
    </w:p>
    <w:p w:rsidR="00000000" w:rsidRDefault="00000000">
      <w:pPr>
        <w:widowControl w:val="0"/>
        <w:numPr>
          <w:ilvl w:val="0"/>
          <w:numId w:val="84"/>
        </w:numPr>
        <w:tabs>
          <w:tab w:val="clear" w:pos="2056"/>
        </w:tabs>
        <w:ind w:left="1531"/>
        <w:rPr>
          <w:rFonts w:hint="eastAsia"/>
        </w:rPr>
      </w:pPr>
      <w:r>
        <w:rPr>
          <w:rFonts w:hint="eastAsia"/>
        </w:rPr>
        <w:t>在</w:t>
      </w:r>
      <w:r>
        <w:t>2004</w:t>
      </w:r>
      <w:r>
        <w:t>年《公共安全法》和《恐怖主义和破坏行为</w:t>
      </w:r>
      <w:r>
        <w:t>(</w:t>
      </w:r>
      <w:r>
        <w:t>管制和惩处</w:t>
      </w:r>
      <w:r>
        <w:t>)</w:t>
      </w:r>
      <w:r>
        <w:t>法令》</w:t>
      </w:r>
      <w:r>
        <w:rPr>
          <w:rFonts w:hint="eastAsia"/>
        </w:rPr>
        <w:t>之下</w:t>
      </w:r>
      <w:r>
        <w:t>不</w:t>
      </w:r>
      <w:r>
        <w:rPr>
          <w:rFonts w:hint="eastAsia"/>
        </w:rPr>
        <w:t>经</w:t>
      </w:r>
      <w:r>
        <w:t>审判</w:t>
      </w:r>
      <w:r>
        <w:rPr>
          <w:rFonts w:hint="eastAsia"/>
        </w:rPr>
        <w:t>即</w:t>
      </w:r>
      <w:r>
        <w:t>被长期监禁的受拘押人士人数很多；</w:t>
      </w:r>
    </w:p>
    <w:p w:rsidR="00000000" w:rsidRDefault="00000000">
      <w:pPr>
        <w:widowControl w:val="0"/>
        <w:numPr>
          <w:ilvl w:val="0"/>
          <w:numId w:val="84"/>
        </w:numPr>
        <w:tabs>
          <w:tab w:val="clear" w:pos="2056"/>
        </w:tabs>
        <w:ind w:left="1531"/>
      </w:pPr>
      <w:r>
        <w:rPr>
          <w:rFonts w:hint="eastAsia"/>
        </w:rPr>
        <w:t>在</w:t>
      </w:r>
      <w:r>
        <w:t>2005</w:t>
      </w:r>
      <w:r>
        <w:t>年《恐怖主义和破坏行为</w:t>
      </w:r>
      <w:r>
        <w:t>(</w:t>
      </w:r>
      <w:r>
        <w:t>管制和惩处</w:t>
      </w:r>
      <w:r>
        <w:t>)</w:t>
      </w:r>
      <w:r>
        <w:t>法令》</w:t>
      </w:r>
      <w:r>
        <w:rPr>
          <w:rFonts w:hint="eastAsia"/>
        </w:rPr>
        <w:t>之下</w:t>
      </w:r>
      <w:r>
        <w:t>，</w:t>
      </w:r>
      <w:r>
        <w:rPr>
          <w:rFonts w:hint="eastAsia"/>
        </w:rPr>
        <w:t>大量存在</w:t>
      </w:r>
      <w:r>
        <w:t>长达</w:t>
      </w:r>
      <w:r>
        <w:t>15</w:t>
      </w:r>
      <w:r>
        <w:t>个月的审判前拘留</w:t>
      </w:r>
      <w:r>
        <w:rPr>
          <w:rFonts w:hint="eastAsia"/>
        </w:rPr>
        <w:t>的情况</w:t>
      </w:r>
      <w:r>
        <w:t>，</w:t>
      </w:r>
      <w:r>
        <w:rPr>
          <w:rFonts w:hint="eastAsia"/>
        </w:rPr>
        <w:t>而</w:t>
      </w:r>
      <w:r>
        <w:t>对</w:t>
      </w:r>
      <w:r>
        <w:rPr>
          <w:rFonts w:hint="eastAsia"/>
        </w:rPr>
        <w:t>于</w:t>
      </w:r>
      <w:r>
        <w:t>被剥夺自由人士的权利</w:t>
      </w:r>
      <w:r>
        <w:rPr>
          <w:rFonts w:hint="eastAsia"/>
        </w:rPr>
        <w:t>(</w:t>
      </w:r>
      <w:r>
        <w:t>包括对被捕提出质疑</w:t>
      </w:r>
      <w:r>
        <w:rPr>
          <w:rFonts w:hint="eastAsia"/>
        </w:rPr>
        <w:t>)</w:t>
      </w:r>
      <w:r>
        <w:t>缺乏基本的保障，</w:t>
      </w:r>
      <w:r>
        <w:rPr>
          <w:rFonts w:hint="eastAsia"/>
        </w:rPr>
        <w:t>同时有</w:t>
      </w:r>
      <w:r>
        <w:t>指控</w:t>
      </w:r>
      <w:r>
        <w:rPr>
          <w:rFonts w:hint="eastAsia"/>
        </w:rPr>
        <w:t>称</w:t>
      </w:r>
      <w:r>
        <w:t>由此导致了很多被隔离单独监禁的案例。</w:t>
      </w:r>
    </w:p>
    <w:p w:rsidR="00000000" w:rsidRDefault="00000000">
      <w:pPr>
        <w:pStyle w:val="ad"/>
        <w:spacing w:after="320"/>
        <w:ind w:left="1530"/>
        <w:rPr>
          <w:rFonts w:eastAsia="SimHei"/>
        </w:rPr>
      </w:pPr>
      <w:r>
        <w:rPr>
          <w:rFonts w:eastAsia="SimHei"/>
        </w:rPr>
        <w:t>缔约国应当使审判前拘留的做法符合国际人权准则，并保证被剥夺自由的人士之基本权利得到保障，其中包括人身不受侵犯权、通知亲属的权利和接触由自己选择的律师和医生的权利。缔约国应当保证，为制止恐怖主义而采取的任何措施都是依据安全理事会第</w:t>
      </w:r>
      <w:r>
        <w:rPr>
          <w:rFonts w:eastAsia="SimHei"/>
          <w:b/>
        </w:rPr>
        <w:t>1373</w:t>
      </w:r>
      <w:r>
        <w:rPr>
          <w:rFonts w:eastAsia="SimHei"/>
        </w:rPr>
        <w:t>(</w:t>
      </w:r>
      <w:r>
        <w:rPr>
          <w:rFonts w:eastAsia="SimHei"/>
          <w:b/>
        </w:rPr>
        <w:t>2001</w:t>
      </w:r>
      <w:r>
        <w:rPr>
          <w:rFonts w:eastAsia="SimHei"/>
        </w:rPr>
        <w:t>)</w:t>
      </w:r>
      <w:r>
        <w:rPr>
          <w:rFonts w:eastAsia="SimHei"/>
        </w:rPr>
        <w:t>和</w:t>
      </w:r>
      <w:r>
        <w:rPr>
          <w:rFonts w:eastAsia="SimHei"/>
          <w:b/>
        </w:rPr>
        <w:t>1566</w:t>
      </w:r>
      <w:r>
        <w:rPr>
          <w:rFonts w:eastAsia="SimHei"/>
        </w:rPr>
        <w:t>(</w:t>
      </w:r>
      <w:r>
        <w:rPr>
          <w:rFonts w:eastAsia="SimHei"/>
          <w:b/>
        </w:rPr>
        <w:t>2004</w:t>
      </w:r>
      <w:r>
        <w:rPr>
          <w:rFonts w:eastAsia="SimHei"/>
        </w:rPr>
        <w:t>)</w:t>
      </w:r>
      <w:r>
        <w:rPr>
          <w:rFonts w:eastAsia="SimHei"/>
        </w:rPr>
        <w:t>号决议的，这些决议要求，采取反恐怖主义的措施应当充分尊重包括《公约》在内的国际人权法等各项准则。缔约国应当向委员会提供有关仍然受到审判前拘禁的人数资料。</w:t>
      </w:r>
    </w:p>
    <w:p w:rsidR="00000000" w:rsidRDefault="00000000">
      <w:pPr>
        <w:pStyle w:val="Heading4"/>
      </w:pPr>
      <w:r>
        <w:t>全国人权委员会</w:t>
      </w:r>
    </w:p>
    <w:p w:rsidR="00000000" w:rsidRDefault="00000000">
      <w:pPr>
        <w:widowControl w:val="0"/>
        <w:overflowPunct/>
        <w:autoSpaceDE w:val="0"/>
        <w:autoSpaceDN w:val="0"/>
        <w:ind w:firstLine="525"/>
      </w:pPr>
      <w:r>
        <w:t>1</w:t>
      </w:r>
      <w:r>
        <w:rPr>
          <w:rFonts w:hint="eastAsia"/>
        </w:rPr>
        <w:t>5.</w:t>
      </w:r>
      <w:r>
        <w:t xml:space="preserve"> </w:t>
      </w:r>
      <w:r>
        <w:rPr>
          <w:rFonts w:hint="eastAsia"/>
        </w:rPr>
        <w:t xml:space="preserve"> </w:t>
      </w:r>
      <w:r>
        <w:t>委员会承认全国人权委员会在促进和保护尼泊尔人权方面的重要作用，但是关注缔约国经常不</w:t>
      </w:r>
      <w:r>
        <w:rPr>
          <w:rFonts w:hint="eastAsia"/>
        </w:rPr>
        <w:t>能落</w:t>
      </w:r>
      <w:r>
        <w:t>实该委员会</w:t>
      </w:r>
      <w:r>
        <w:rPr>
          <w:rFonts w:hint="eastAsia"/>
        </w:rPr>
        <w:t>的</w:t>
      </w:r>
      <w:r>
        <w:t>建议。</w:t>
      </w:r>
    </w:p>
    <w:p w:rsidR="00000000" w:rsidRDefault="00000000">
      <w:pPr>
        <w:pStyle w:val="ad"/>
        <w:spacing w:after="320"/>
        <w:rPr>
          <w:rFonts w:eastAsia="SimHei"/>
        </w:rPr>
      </w:pPr>
      <w:r>
        <w:rPr>
          <w:rFonts w:eastAsia="SimHei"/>
        </w:rPr>
        <w:t>缔约国应当采取必要措施，支持全国人权委员会的工作，保证其建议得到充分实施。</w:t>
      </w:r>
    </w:p>
    <w:p w:rsidR="00000000" w:rsidRDefault="00000000">
      <w:pPr>
        <w:pStyle w:val="Heading4"/>
      </w:pPr>
      <w:r>
        <w:t>司法机关的独立性</w:t>
      </w:r>
    </w:p>
    <w:p w:rsidR="00000000" w:rsidRDefault="00000000">
      <w:pPr>
        <w:widowControl w:val="0"/>
        <w:overflowPunct/>
        <w:autoSpaceDE w:val="0"/>
        <w:autoSpaceDN w:val="0"/>
        <w:ind w:firstLine="525"/>
      </w:pPr>
      <w:r>
        <w:t>1</w:t>
      </w:r>
      <w:r>
        <w:rPr>
          <w:rFonts w:hint="eastAsia"/>
        </w:rPr>
        <w:t>6.</w:t>
      </w:r>
      <w:r>
        <w:t xml:space="preserve"> </w:t>
      </w:r>
      <w:r>
        <w:rPr>
          <w:rFonts w:hint="eastAsia"/>
        </w:rPr>
        <w:t xml:space="preserve"> </w:t>
      </w:r>
      <w:r>
        <w:t>委员会表示关注缔约国司法机关</w:t>
      </w:r>
      <w:r>
        <w:rPr>
          <w:rFonts w:hint="eastAsia"/>
        </w:rPr>
        <w:t>的</w:t>
      </w:r>
      <w:r>
        <w:t>独立性和有效性</w:t>
      </w:r>
      <w:r>
        <w:rPr>
          <w:rFonts w:hint="eastAsia"/>
        </w:rPr>
        <w:t>明显削弱</w:t>
      </w:r>
      <w:r>
        <w:t>，与此同时</w:t>
      </w:r>
      <w:r>
        <w:rPr>
          <w:rFonts w:hint="eastAsia"/>
        </w:rPr>
        <w:t>，</w:t>
      </w:r>
      <w:r>
        <w:rPr>
          <w:rFonts w:hint="eastAsia"/>
        </w:rPr>
        <w:t xml:space="preserve"> </w:t>
      </w:r>
      <w:r>
        <w:t>保安部队成员不遵守法院命令，据报告存在</w:t>
      </w:r>
      <w:r>
        <w:rPr>
          <w:rFonts w:hint="eastAsia"/>
        </w:rPr>
        <w:t>重新逮捕的情况，</w:t>
      </w:r>
      <w:r>
        <w:t>包括</w:t>
      </w:r>
      <w:r>
        <w:rPr>
          <w:rFonts w:hint="eastAsia"/>
        </w:rPr>
        <w:t>就</w:t>
      </w:r>
      <w:r>
        <w:t>在最高法院院内发生的重新逮捕。</w:t>
      </w:r>
    </w:p>
    <w:p w:rsidR="00000000" w:rsidRDefault="00000000">
      <w:pPr>
        <w:pStyle w:val="ad"/>
        <w:spacing w:after="240"/>
        <w:rPr>
          <w:rFonts w:eastAsia="SimHei"/>
        </w:rPr>
      </w:pPr>
      <w:r>
        <w:rPr>
          <w:rFonts w:eastAsia="SimHei"/>
        </w:rPr>
        <w:t>缔约国应当作出一切努力，保障司法机关的独立性，其中包括保证保安部队遵守法院命令。缔约国应当向委员会提供有关</w:t>
      </w:r>
      <w:r>
        <w:rPr>
          <w:rFonts w:eastAsia="SimHei" w:hint="eastAsia"/>
        </w:rPr>
        <w:t>皇</w:t>
      </w:r>
      <w:r>
        <w:rPr>
          <w:rFonts w:eastAsia="SimHei"/>
        </w:rPr>
        <w:t>家管制腐败委员会的成员组成情况、授权任务、工作方法和调查方法等资料，其中应说明该委员会是否在充分符合《公约》要求的情况下对宪法方面的事务行使管辖权，并说明其裁决是否受到司法审查。请缔约国提供有关司法部门协调委员会的相同资料。</w:t>
      </w:r>
    </w:p>
    <w:p w:rsidR="00000000" w:rsidRDefault="00000000">
      <w:pPr>
        <w:pStyle w:val="Heading4"/>
        <w:rPr>
          <w:rFonts w:hint="eastAsia"/>
        </w:rPr>
      </w:pPr>
      <w:r>
        <w:t>不</w:t>
      </w:r>
      <w:r>
        <w:rPr>
          <w:rFonts w:hint="eastAsia"/>
        </w:rPr>
        <w:t xml:space="preserve"> </w:t>
      </w:r>
      <w:r>
        <w:t>驱</w:t>
      </w:r>
      <w:r>
        <w:rPr>
          <w:rFonts w:hint="eastAsia"/>
        </w:rPr>
        <w:t xml:space="preserve"> </w:t>
      </w:r>
      <w:r>
        <w:rPr>
          <w:rFonts w:hint="eastAsia"/>
        </w:rPr>
        <w:t>回</w:t>
      </w:r>
    </w:p>
    <w:p w:rsidR="00000000" w:rsidRDefault="00000000">
      <w:pPr>
        <w:widowControl w:val="0"/>
        <w:overflowPunct/>
        <w:autoSpaceDE w:val="0"/>
        <w:autoSpaceDN w:val="0"/>
        <w:ind w:firstLine="525"/>
        <w:rPr>
          <w:rFonts w:hint="eastAsia"/>
        </w:rPr>
      </w:pPr>
      <w:r>
        <w:t xml:space="preserve">17. </w:t>
      </w:r>
      <w:r>
        <w:rPr>
          <w:rFonts w:hint="eastAsia"/>
        </w:rPr>
        <w:t xml:space="preserve"> </w:t>
      </w:r>
      <w:r>
        <w:t>委员会</w:t>
      </w:r>
      <w:r>
        <w:rPr>
          <w:rFonts w:hint="eastAsia"/>
        </w:rPr>
        <w:t>感到</w:t>
      </w:r>
      <w:r>
        <w:t>遗憾的是，缔约国的国内法律没有规定难民和</w:t>
      </w:r>
      <w:r>
        <w:rPr>
          <w:rFonts w:hint="eastAsia"/>
        </w:rPr>
        <w:t>寻求庇护</w:t>
      </w:r>
      <w:r>
        <w:t>者的权利，并关</w:t>
      </w:r>
      <w:r>
        <w:rPr>
          <w:rFonts w:hint="eastAsia"/>
        </w:rPr>
        <w:t>切</w:t>
      </w:r>
      <w:r>
        <w:t>地注意到，缔约国没有加入</w:t>
      </w:r>
      <w:r>
        <w:t>1951</w:t>
      </w:r>
      <w:r>
        <w:t>年《关于难民地位的公约》和其他相关的国际法律文书。委员会同时还对所接到的指控感到担忧，指控</w:t>
      </w:r>
      <w:r>
        <w:rPr>
          <w:rFonts w:hint="eastAsia"/>
        </w:rPr>
        <w:t>说仍然存在驱逐西藏寻求庇护者的案例，而应考虑到</w:t>
      </w:r>
      <w:r>
        <w:t>《公约》第</w:t>
      </w:r>
      <w:r>
        <w:rPr>
          <w:rFonts w:hint="eastAsia"/>
        </w:rPr>
        <w:t>3</w:t>
      </w:r>
      <w:r>
        <w:t>条</w:t>
      </w:r>
      <w:r>
        <w:rPr>
          <w:rFonts w:hint="eastAsia"/>
        </w:rPr>
        <w:t>关于禁止驱回的规定是绝对的。</w:t>
      </w:r>
      <w:r>
        <w:rPr>
          <w:rFonts w:hint="eastAsia"/>
        </w:rPr>
        <w:t>(</w:t>
      </w:r>
      <w:r>
        <w:rPr>
          <w:rFonts w:hint="eastAsia"/>
        </w:rPr>
        <w:t>第</w:t>
      </w:r>
      <w:r>
        <w:rPr>
          <w:rFonts w:hint="eastAsia"/>
        </w:rPr>
        <w:t>3</w:t>
      </w:r>
      <w:r>
        <w:rPr>
          <w:rFonts w:hint="eastAsia"/>
        </w:rPr>
        <w:t>条</w:t>
      </w:r>
      <w:r>
        <w:rPr>
          <w:rFonts w:hint="eastAsia"/>
        </w:rPr>
        <w:t>)</w:t>
      </w:r>
    </w:p>
    <w:p w:rsidR="00000000" w:rsidRDefault="00000000">
      <w:pPr>
        <w:pStyle w:val="ad"/>
        <w:spacing w:after="320"/>
        <w:rPr>
          <w:rFonts w:eastAsia="SimHei" w:hint="eastAsia"/>
        </w:rPr>
      </w:pPr>
      <w:r>
        <w:rPr>
          <w:rFonts w:eastAsia="SimHei" w:hint="eastAsia"/>
        </w:rPr>
        <w:t>委员会建议缔约国考虑加入《关于难民地位的公约》和其他相关的国际文书。此外，委员会建议缔约国颁布旨在禁止不通过适当司法程序驱返人员的法律。缔约国应当向委员会提供有关自</w:t>
      </w:r>
      <w:r>
        <w:rPr>
          <w:rFonts w:eastAsia="SimHei"/>
          <w:b/>
        </w:rPr>
        <w:t>1994</w:t>
      </w:r>
      <w:r>
        <w:rPr>
          <w:rFonts w:eastAsia="SimHei"/>
        </w:rPr>
        <w:t>年以来发生的引渡、迫迁、递解出境、强迫</w:t>
      </w:r>
      <w:r>
        <w:rPr>
          <w:rFonts w:eastAsia="SimHei" w:hint="eastAsia"/>
        </w:rPr>
        <w:t>返回</w:t>
      </w:r>
      <w:r>
        <w:rPr>
          <w:rFonts w:eastAsia="SimHei"/>
        </w:rPr>
        <w:t>和驱逐出境案例数量的资料，以及有关因担忧</w:t>
      </w:r>
      <w:r>
        <w:rPr>
          <w:rFonts w:eastAsia="SimHei" w:hint="eastAsia"/>
        </w:rPr>
        <w:t>会发生</w:t>
      </w:r>
      <w:r>
        <w:rPr>
          <w:rFonts w:eastAsia="SimHei"/>
        </w:rPr>
        <w:t>酷刑而没有实行驱逐出境的案例资料。</w:t>
      </w:r>
    </w:p>
    <w:p w:rsidR="00000000" w:rsidRDefault="00000000">
      <w:pPr>
        <w:pStyle w:val="Heading4"/>
        <w:rPr>
          <w:rFonts w:hint="eastAsia"/>
        </w:rPr>
      </w:pPr>
      <w:r>
        <w:rPr>
          <w:rFonts w:hint="eastAsia"/>
        </w:rPr>
        <w:t>普遍司法管辖</w:t>
      </w:r>
    </w:p>
    <w:p w:rsidR="00000000" w:rsidRDefault="00000000">
      <w:pPr>
        <w:widowControl w:val="0"/>
        <w:overflowPunct/>
        <w:autoSpaceDE w:val="0"/>
        <w:autoSpaceDN w:val="0"/>
        <w:ind w:firstLine="525"/>
        <w:rPr>
          <w:rFonts w:hint="eastAsia"/>
        </w:rPr>
      </w:pPr>
      <w:r>
        <w:t>1</w:t>
      </w:r>
      <w:r>
        <w:rPr>
          <w:rFonts w:hint="eastAsia"/>
        </w:rPr>
        <w:t xml:space="preserve">8.  </w:t>
      </w:r>
      <w:r>
        <w:rPr>
          <w:rFonts w:hint="eastAsia"/>
        </w:rPr>
        <w:t>委员会遗憾地注意到该国国内法中针对酷刑行为不存在普遍司法管辖，而且《刑法》草案的某些条款不符合《公约》第</w:t>
      </w:r>
      <w:r>
        <w:t>5</w:t>
      </w:r>
      <w:r>
        <w:rPr>
          <w:rFonts w:hint="eastAsia"/>
        </w:rPr>
        <w:t>至第</w:t>
      </w:r>
      <w:r>
        <w:t>9</w:t>
      </w:r>
      <w:r>
        <w:rPr>
          <w:rFonts w:hint="eastAsia"/>
        </w:rPr>
        <w:t>条。</w:t>
      </w:r>
    </w:p>
    <w:p w:rsidR="00000000" w:rsidRDefault="00000000">
      <w:pPr>
        <w:pStyle w:val="ad"/>
        <w:spacing w:after="320"/>
        <w:rPr>
          <w:rFonts w:eastAsia="SimHei" w:hint="eastAsia"/>
        </w:rPr>
      </w:pPr>
      <w:r>
        <w:rPr>
          <w:rFonts w:eastAsia="SimHei" w:hint="eastAsia"/>
        </w:rPr>
        <w:t>缔约国应当采取必要措施，保证使酷刑行为在《刑法》草案的普遍司法管辖之下根据《公约》第</w:t>
      </w:r>
      <w:r>
        <w:rPr>
          <w:rFonts w:eastAsia="SimHei" w:hint="eastAsia"/>
          <w:b/>
        </w:rPr>
        <w:t>5</w:t>
      </w:r>
      <w:r>
        <w:rPr>
          <w:rFonts w:eastAsia="SimHei" w:hint="eastAsia"/>
        </w:rPr>
        <w:t>条受到惩处。委员会还应尽一切努力保证遵守《公约》第</w:t>
      </w:r>
      <w:r>
        <w:rPr>
          <w:rFonts w:eastAsia="SimHei"/>
          <w:b/>
        </w:rPr>
        <w:t>6</w:t>
      </w:r>
      <w:r>
        <w:rPr>
          <w:rFonts w:eastAsia="SimHei" w:hint="eastAsia"/>
        </w:rPr>
        <w:t>至第</w:t>
      </w:r>
      <w:r>
        <w:rPr>
          <w:rFonts w:eastAsia="SimHei"/>
          <w:b/>
        </w:rPr>
        <w:t>9</w:t>
      </w:r>
      <w:r>
        <w:rPr>
          <w:rFonts w:eastAsia="SimHei" w:hint="eastAsia"/>
        </w:rPr>
        <w:t>条。</w:t>
      </w:r>
    </w:p>
    <w:p w:rsidR="00000000" w:rsidRDefault="00000000">
      <w:pPr>
        <w:pStyle w:val="Heading4"/>
        <w:rPr>
          <w:rFonts w:hint="eastAsia"/>
        </w:rPr>
      </w:pPr>
      <w:r>
        <w:rPr>
          <w:rFonts w:hint="eastAsia"/>
        </w:rPr>
        <w:t>关于禁止酷刑的教育</w:t>
      </w:r>
    </w:p>
    <w:p w:rsidR="00000000" w:rsidRDefault="00000000">
      <w:pPr>
        <w:widowControl w:val="0"/>
        <w:overflowPunct/>
        <w:autoSpaceDE w:val="0"/>
        <w:autoSpaceDN w:val="0"/>
        <w:ind w:firstLine="525"/>
        <w:rPr>
          <w:rFonts w:hint="eastAsia"/>
        </w:rPr>
      </w:pPr>
      <w:r>
        <w:rPr>
          <w:rFonts w:hint="eastAsia"/>
        </w:rPr>
        <w:t xml:space="preserve">19.  </w:t>
      </w:r>
      <w:r>
        <w:rPr>
          <w:rFonts w:hint="eastAsia"/>
        </w:rPr>
        <w:t>委员会欢迎缔约国在禁止酷刑方面对国家官员展开教育和宣传，同时，对于缺少有关此类教育和培训工作影响的资料表示遗憾。委员会还关注有报告指出，为尼泊尔皇家陆军军官和新兵安排的培训时间已被缩短</w:t>
      </w:r>
      <w:r>
        <w:rPr>
          <w:rFonts w:hint="eastAsia"/>
        </w:rPr>
        <w:t>(</w:t>
      </w:r>
      <w:r>
        <w:rPr>
          <w:rFonts w:hint="eastAsia"/>
        </w:rPr>
        <w:t>第</w:t>
      </w:r>
      <w:r>
        <w:t>10</w:t>
      </w:r>
      <w:r>
        <w:rPr>
          <w:rFonts w:hint="eastAsia"/>
        </w:rPr>
        <w:t>条</w:t>
      </w:r>
      <w:r>
        <w:rPr>
          <w:rFonts w:hint="eastAsia"/>
        </w:rPr>
        <w:t>)</w:t>
      </w:r>
      <w:r>
        <w:rPr>
          <w:rFonts w:hint="eastAsia"/>
        </w:rPr>
        <w:t>。</w:t>
      </w:r>
    </w:p>
    <w:p w:rsidR="00000000" w:rsidRDefault="00000000">
      <w:pPr>
        <w:pStyle w:val="ad"/>
        <w:spacing w:after="320"/>
        <w:rPr>
          <w:rFonts w:eastAsia="SimHei" w:hint="eastAsia"/>
        </w:rPr>
      </w:pPr>
      <w:r>
        <w:rPr>
          <w:rFonts w:eastAsia="SimHei" w:hint="eastAsia"/>
        </w:rPr>
        <w:t>缔约国应当加强其有关禁止酷刑的教育和培训努力，并设置评估和监测机制评价其影响。</w:t>
      </w:r>
    </w:p>
    <w:p w:rsidR="00000000" w:rsidRDefault="00000000">
      <w:pPr>
        <w:pStyle w:val="Heading4"/>
        <w:rPr>
          <w:rFonts w:hint="eastAsia"/>
        </w:rPr>
      </w:pPr>
      <w:r>
        <w:rPr>
          <w:rFonts w:hint="eastAsia"/>
        </w:rPr>
        <w:t>审讯和拘禁</w:t>
      </w:r>
    </w:p>
    <w:p w:rsidR="00000000" w:rsidRDefault="00000000">
      <w:pPr>
        <w:widowControl w:val="0"/>
        <w:overflowPunct/>
        <w:autoSpaceDE w:val="0"/>
        <w:autoSpaceDN w:val="0"/>
        <w:ind w:firstLine="525"/>
        <w:rPr>
          <w:rFonts w:hint="eastAsia"/>
        </w:rPr>
      </w:pPr>
      <w:r>
        <w:t>2</w:t>
      </w:r>
      <w:r>
        <w:rPr>
          <w:rFonts w:hint="eastAsia"/>
        </w:rPr>
        <w:t>0.</w:t>
      </w:r>
      <w:r>
        <w:t xml:space="preserve"> </w:t>
      </w:r>
      <w:r>
        <w:rPr>
          <w:rFonts w:hint="eastAsia"/>
        </w:rPr>
        <w:t xml:space="preserve"> </w:t>
      </w:r>
      <w:r>
        <w:rPr>
          <w:rFonts w:hint="eastAsia"/>
        </w:rPr>
        <w:t>不断</w:t>
      </w:r>
      <w:r>
        <w:t>有可靠指</w:t>
      </w:r>
      <w:r>
        <w:rPr>
          <w:rFonts w:hint="eastAsia"/>
        </w:rPr>
        <w:t>称提到</w:t>
      </w:r>
      <w:r>
        <w:t>，保安部队经常使用《公约》所禁止的审讯方法，委员会对此深感不安</w:t>
      </w:r>
      <w:r>
        <w:t>(</w:t>
      </w:r>
      <w:r>
        <w:t>第</w:t>
      </w:r>
      <w:r>
        <w:t>11</w:t>
      </w:r>
      <w:r>
        <w:t>条</w:t>
      </w:r>
      <w:r>
        <w:t>)</w:t>
      </w:r>
      <w:r>
        <w:t>。</w:t>
      </w:r>
    </w:p>
    <w:p w:rsidR="00000000" w:rsidRDefault="00000000">
      <w:pPr>
        <w:pStyle w:val="ad"/>
        <w:rPr>
          <w:rFonts w:eastAsia="SimHei" w:hint="eastAsia"/>
        </w:rPr>
      </w:pPr>
      <w:r>
        <w:rPr>
          <w:rFonts w:eastAsia="SimHei" w:hint="eastAsia"/>
        </w:rPr>
        <w:t>缔约国必须保证，在任何情况下，执法人员都不得诉诸《公约》所禁止的审讯方法。此外，缔约国应当向委员会提供资料，包括实例，说明为审查适用于执法人员的审讯规则、指示、方法和管理而采取的措施。</w:t>
      </w:r>
    </w:p>
    <w:p w:rsidR="00000000" w:rsidRDefault="00000000">
      <w:pPr>
        <w:widowControl w:val="0"/>
        <w:overflowPunct/>
        <w:autoSpaceDE w:val="0"/>
        <w:autoSpaceDN w:val="0"/>
        <w:ind w:firstLine="525"/>
        <w:rPr>
          <w:rFonts w:hint="eastAsia"/>
        </w:rPr>
      </w:pPr>
      <w:r>
        <w:t>2</w:t>
      </w:r>
      <w:r>
        <w:rPr>
          <w:rFonts w:hint="eastAsia"/>
        </w:rPr>
        <w:t xml:space="preserve">1.  </w:t>
      </w:r>
      <w:r>
        <w:t>委员会关注：</w:t>
      </w:r>
    </w:p>
    <w:p w:rsidR="00000000" w:rsidRDefault="00000000">
      <w:pPr>
        <w:widowControl w:val="0"/>
        <w:numPr>
          <w:ilvl w:val="0"/>
          <w:numId w:val="86"/>
        </w:numPr>
        <w:tabs>
          <w:tab w:val="clear" w:pos="1531"/>
        </w:tabs>
        <w:rPr>
          <w:rFonts w:hint="eastAsia"/>
        </w:rPr>
      </w:pPr>
      <w:r>
        <w:t>在拘禁场所等待宣布判决的在押人员人数很多；</w:t>
      </w:r>
    </w:p>
    <w:p w:rsidR="00000000" w:rsidRDefault="00000000">
      <w:pPr>
        <w:widowControl w:val="0"/>
        <w:numPr>
          <w:ilvl w:val="0"/>
          <w:numId w:val="86"/>
        </w:numPr>
        <w:tabs>
          <w:tab w:val="clear" w:pos="1531"/>
        </w:tabs>
        <w:rPr>
          <w:rFonts w:hint="eastAsia"/>
        </w:rPr>
      </w:pPr>
      <w:r>
        <w:t>对于等待审讯或受到防范性拘禁的受关押者系统地使用军营来关押；</w:t>
      </w:r>
    </w:p>
    <w:p w:rsidR="00000000" w:rsidRDefault="00000000">
      <w:pPr>
        <w:widowControl w:val="0"/>
        <w:numPr>
          <w:ilvl w:val="0"/>
          <w:numId w:val="86"/>
        </w:numPr>
        <w:tabs>
          <w:tab w:val="clear" w:pos="1531"/>
        </w:tabs>
        <w:rPr>
          <w:rFonts w:hint="eastAsia"/>
        </w:rPr>
      </w:pPr>
      <w:r>
        <w:t>对于逮捕和监禁人员的情况缺少有系统的</w:t>
      </w:r>
      <w:r>
        <w:rPr>
          <w:rFonts w:hint="eastAsia"/>
        </w:rPr>
        <w:t>正式</w:t>
      </w:r>
      <w:r>
        <w:t>记录；</w:t>
      </w:r>
    </w:p>
    <w:p w:rsidR="00000000" w:rsidRDefault="00000000">
      <w:pPr>
        <w:widowControl w:val="0"/>
        <w:numPr>
          <w:ilvl w:val="0"/>
          <w:numId w:val="86"/>
        </w:numPr>
        <w:tabs>
          <w:tab w:val="clear" w:pos="1531"/>
        </w:tabs>
        <w:rPr>
          <w:rFonts w:hint="eastAsia"/>
        </w:rPr>
      </w:pPr>
      <w:r>
        <w:t>在</w:t>
      </w:r>
      <w:r>
        <w:t>1996</w:t>
      </w:r>
      <w:r>
        <w:t>年《</w:t>
      </w:r>
      <w:r>
        <w:rPr>
          <w:rFonts w:hint="eastAsia"/>
        </w:rPr>
        <w:t>与</w:t>
      </w:r>
      <w:r>
        <w:t>酷刑</w:t>
      </w:r>
      <w:r>
        <w:rPr>
          <w:rFonts w:hint="eastAsia"/>
        </w:rPr>
        <w:t>有关</w:t>
      </w:r>
      <w:r>
        <w:t>的赔偿法》中有条款规定，</w:t>
      </w:r>
      <w:r>
        <w:rPr>
          <w:rFonts w:hint="eastAsia"/>
        </w:rPr>
        <w:t>如果没有医生在场，</w:t>
      </w:r>
      <w:r>
        <w:t>监禁场所的相关工作人员有权在受监禁者被捕和获释时对其进行医务检</w:t>
      </w:r>
      <w:r>
        <w:rPr>
          <w:rFonts w:hint="eastAsia"/>
        </w:rPr>
        <w:t>查</w:t>
      </w:r>
      <w:r>
        <w:t>。尤其是，委员会关注到，有报告指出，在逮捕和释放时并不常规性地实行医务检</w:t>
      </w:r>
      <w:r>
        <w:rPr>
          <w:rFonts w:hint="eastAsia"/>
        </w:rPr>
        <w:t>查</w:t>
      </w:r>
      <w:r>
        <w:t>；</w:t>
      </w:r>
    </w:p>
    <w:p w:rsidR="00000000" w:rsidRDefault="00000000">
      <w:pPr>
        <w:widowControl w:val="0"/>
        <w:numPr>
          <w:ilvl w:val="0"/>
          <w:numId w:val="86"/>
        </w:numPr>
        <w:tabs>
          <w:tab w:val="clear" w:pos="1531"/>
        </w:tabs>
        <w:rPr>
          <w:rFonts w:hint="eastAsia"/>
        </w:rPr>
      </w:pPr>
      <w:r>
        <w:t>有正式指控指出该国继续采用单独隔离监禁，而且</w:t>
      </w:r>
      <w:r>
        <w:rPr>
          <w:rFonts w:hint="eastAsia"/>
        </w:rPr>
        <w:t>缺少关于</w:t>
      </w:r>
      <w:r>
        <w:t>拘留场所和其他监禁设施的确切数量</w:t>
      </w:r>
      <w:r>
        <w:rPr>
          <w:rFonts w:hint="eastAsia"/>
        </w:rPr>
        <w:t>的资料</w:t>
      </w:r>
      <w:r>
        <w:t>；</w:t>
      </w:r>
    </w:p>
    <w:p w:rsidR="00000000" w:rsidRDefault="00000000">
      <w:pPr>
        <w:widowControl w:val="0"/>
        <w:numPr>
          <w:ilvl w:val="0"/>
          <w:numId w:val="86"/>
        </w:numPr>
        <w:tabs>
          <w:tab w:val="clear" w:pos="1531"/>
        </w:tabs>
        <w:rPr>
          <w:rFonts w:hint="eastAsia"/>
        </w:rPr>
      </w:pPr>
      <w:r>
        <w:t>有指控说，法院颁发的人身保护令得不到遵守；</w:t>
      </w:r>
    </w:p>
    <w:p w:rsidR="00000000" w:rsidRDefault="00000000">
      <w:pPr>
        <w:widowControl w:val="0"/>
        <w:numPr>
          <w:ilvl w:val="0"/>
          <w:numId w:val="86"/>
        </w:numPr>
        <w:tabs>
          <w:tab w:val="clear" w:pos="1531"/>
        </w:tabs>
      </w:pPr>
      <w:r>
        <w:t>该国缺少运作良好的青少年司法体制，</w:t>
      </w:r>
      <w:r>
        <w:rPr>
          <w:rFonts w:hint="eastAsia"/>
        </w:rPr>
        <w:t>使</w:t>
      </w:r>
      <w:r>
        <w:t>儿童常常接受与成人相同的司法程序、法律和侵权行为。委员会尤其关注到，有指控说，有些儿童</w:t>
      </w:r>
      <w:r>
        <w:rPr>
          <w:rFonts w:hint="eastAsia"/>
        </w:rPr>
        <w:t>在</w:t>
      </w:r>
      <w:r>
        <w:t>《恐怖主义和破坏行为</w:t>
      </w:r>
      <w:r>
        <w:t>(</w:t>
      </w:r>
      <w:r>
        <w:t>管制和惩处</w:t>
      </w:r>
      <w:r>
        <w:t>)</w:t>
      </w:r>
      <w:r>
        <w:t>法令》</w:t>
      </w:r>
      <w:r>
        <w:rPr>
          <w:rFonts w:hint="eastAsia"/>
        </w:rPr>
        <w:t>之下被</w:t>
      </w:r>
      <w:r>
        <w:t>长期监禁。</w:t>
      </w:r>
    </w:p>
    <w:p w:rsidR="00000000" w:rsidRDefault="00000000">
      <w:pPr>
        <w:widowControl w:val="0"/>
        <w:overflowPunct/>
        <w:autoSpaceDE w:val="0"/>
        <w:autoSpaceDN w:val="0"/>
        <w:ind w:left="500" w:firstLine="525"/>
        <w:rPr>
          <w:rFonts w:eastAsia="SimHei" w:hint="eastAsia"/>
        </w:rPr>
      </w:pPr>
      <w:r>
        <w:rPr>
          <w:rFonts w:eastAsia="SimHei"/>
        </w:rPr>
        <w:t>据此，缔约国应当：</w:t>
      </w:r>
    </w:p>
    <w:p w:rsidR="00000000" w:rsidRDefault="00000000">
      <w:pPr>
        <w:widowControl w:val="0"/>
        <w:numPr>
          <w:ilvl w:val="0"/>
          <w:numId w:val="94"/>
        </w:numPr>
        <w:tabs>
          <w:tab w:val="clear" w:pos="1531"/>
        </w:tabs>
        <w:rPr>
          <w:rFonts w:eastAsia="SimHei" w:hint="eastAsia"/>
        </w:rPr>
      </w:pPr>
      <w:r>
        <w:rPr>
          <w:rFonts w:eastAsia="SimHei"/>
        </w:rPr>
        <w:t>采取必要措施，尽可能减少审前监禁；</w:t>
      </w:r>
    </w:p>
    <w:p w:rsidR="00000000" w:rsidRDefault="00000000">
      <w:pPr>
        <w:widowControl w:val="0"/>
        <w:numPr>
          <w:ilvl w:val="0"/>
          <w:numId w:val="94"/>
        </w:numPr>
        <w:tabs>
          <w:tab w:val="clear" w:pos="1531"/>
        </w:tabs>
        <w:rPr>
          <w:rFonts w:eastAsia="SimHei" w:hint="eastAsia"/>
        </w:rPr>
      </w:pPr>
      <w:r>
        <w:rPr>
          <w:rFonts w:eastAsia="SimHei"/>
        </w:rPr>
        <w:t>将所有被关押者立刻转向符合国际最低</w:t>
      </w:r>
      <w:r>
        <w:rPr>
          <w:rFonts w:eastAsia="SimHei" w:hint="eastAsia"/>
        </w:rPr>
        <w:t>限度</w:t>
      </w:r>
      <w:r>
        <w:rPr>
          <w:rFonts w:eastAsia="SimHei"/>
        </w:rPr>
        <w:t>标准的合法</w:t>
      </w:r>
      <w:r>
        <w:rPr>
          <w:rFonts w:eastAsia="SimHei" w:hint="eastAsia"/>
        </w:rPr>
        <w:t>指定的</w:t>
      </w:r>
      <w:r>
        <w:rPr>
          <w:rFonts w:eastAsia="SimHei"/>
        </w:rPr>
        <w:t>关押地点；</w:t>
      </w:r>
    </w:p>
    <w:p w:rsidR="00000000" w:rsidRDefault="00000000">
      <w:pPr>
        <w:widowControl w:val="0"/>
        <w:numPr>
          <w:ilvl w:val="0"/>
          <w:numId w:val="94"/>
        </w:numPr>
        <w:tabs>
          <w:tab w:val="clear" w:pos="1531"/>
        </w:tabs>
        <w:rPr>
          <w:rFonts w:eastAsia="SimHei" w:hint="eastAsia"/>
        </w:rPr>
      </w:pPr>
      <w:r>
        <w:rPr>
          <w:rFonts w:eastAsia="SimHei"/>
        </w:rPr>
        <w:t>立即采取步骤，保证</w:t>
      </w:r>
      <w:r>
        <w:rPr>
          <w:rFonts w:eastAsia="SimHei" w:hint="eastAsia"/>
        </w:rPr>
        <w:t>有系统地记录</w:t>
      </w:r>
      <w:r>
        <w:rPr>
          <w:rFonts w:eastAsia="SimHei"/>
        </w:rPr>
        <w:t>所有逮捕和监禁情况、尤其是对青少年的逮捕和监禁情况。缔约国应当考虑对被剥夺自由人员设置中央注册机关，并向国内和国际监督人员开放；</w:t>
      </w:r>
    </w:p>
    <w:p w:rsidR="00000000" w:rsidRDefault="00000000">
      <w:pPr>
        <w:widowControl w:val="0"/>
        <w:numPr>
          <w:ilvl w:val="0"/>
          <w:numId w:val="94"/>
        </w:numPr>
        <w:tabs>
          <w:tab w:val="clear" w:pos="1531"/>
        </w:tabs>
        <w:rPr>
          <w:rFonts w:eastAsia="SimHei" w:hint="eastAsia"/>
        </w:rPr>
      </w:pPr>
      <w:r>
        <w:rPr>
          <w:rFonts w:eastAsia="SimHei"/>
        </w:rPr>
        <w:t>缔约国应当考虑修改</w:t>
      </w:r>
      <w:r>
        <w:rPr>
          <w:rFonts w:eastAsia="SimHei"/>
          <w:b/>
        </w:rPr>
        <w:t>1996</w:t>
      </w:r>
      <w:r>
        <w:rPr>
          <w:rFonts w:eastAsia="SimHei"/>
        </w:rPr>
        <w:t>年《</w:t>
      </w:r>
      <w:r>
        <w:rPr>
          <w:rFonts w:eastAsia="SimHei" w:hint="eastAsia"/>
        </w:rPr>
        <w:t>与</w:t>
      </w:r>
      <w:r>
        <w:rPr>
          <w:rFonts w:eastAsia="SimHei"/>
        </w:rPr>
        <w:t>酷刑</w:t>
      </w:r>
      <w:r>
        <w:rPr>
          <w:rFonts w:eastAsia="SimHei" w:hint="eastAsia"/>
        </w:rPr>
        <w:t>有关</w:t>
      </w:r>
      <w:r>
        <w:rPr>
          <w:rFonts w:eastAsia="SimHei"/>
        </w:rPr>
        <w:t>的赔偿法》相关内容，以便保证所有被关押人</w:t>
      </w:r>
      <w:r>
        <w:rPr>
          <w:rFonts w:eastAsia="SimHei" w:hint="eastAsia"/>
        </w:rPr>
        <w:t>员</w:t>
      </w:r>
      <w:r>
        <w:rPr>
          <w:rFonts w:eastAsia="SimHei"/>
        </w:rPr>
        <w:t>在被捕和获释时都能得到适当的医务检</w:t>
      </w:r>
      <w:r>
        <w:rPr>
          <w:rFonts w:eastAsia="SimHei" w:hint="eastAsia"/>
        </w:rPr>
        <w:t>查</w:t>
      </w:r>
      <w:r>
        <w:rPr>
          <w:rFonts w:eastAsia="SimHei"/>
        </w:rPr>
        <w:t>；</w:t>
      </w:r>
    </w:p>
    <w:p w:rsidR="00000000" w:rsidRDefault="00000000">
      <w:pPr>
        <w:widowControl w:val="0"/>
        <w:numPr>
          <w:ilvl w:val="0"/>
          <w:numId w:val="94"/>
        </w:numPr>
        <w:tabs>
          <w:tab w:val="clear" w:pos="1531"/>
        </w:tabs>
        <w:rPr>
          <w:rFonts w:eastAsia="SimHei" w:hint="eastAsia"/>
        </w:rPr>
      </w:pPr>
      <w:r>
        <w:rPr>
          <w:rFonts w:eastAsia="SimHei"/>
        </w:rPr>
        <w:t>禁止使用单独隔离监禁。委员会建议，</w:t>
      </w:r>
      <w:r>
        <w:rPr>
          <w:rFonts w:eastAsia="SimHei" w:hint="eastAsia"/>
        </w:rPr>
        <w:t>对于</w:t>
      </w:r>
      <w:r>
        <w:rPr>
          <w:rFonts w:eastAsia="SimHei"/>
        </w:rPr>
        <w:t>受到单独隔离监禁的人员应按适当程序</w:t>
      </w:r>
      <w:r>
        <w:rPr>
          <w:rFonts w:eastAsia="SimHei" w:hint="eastAsia"/>
        </w:rPr>
        <w:t>予以</w:t>
      </w:r>
      <w:r>
        <w:rPr>
          <w:rFonts w:eastAsia="SimHei"/>
        </w:rPr>
        <w:t>释</w:t>
      </w:r>
      <w:r>
        <w:rPr>
          <w:rFonts w:eastAsia="SimHei" w:hint="eastAsia"/>
        </w:rPr>
        <w:t>放</w:t>
      </w:r>
      <w:r>
        <w:rPr>
          <w:rFonts w:eastAsia="SimHei"/>
        </w:rPr>
        <w:t>、</w:t>
      </w:r>
      <w:r>
        <w:rPr>
          <w:rFonts w:eastAsia="SimHei" w:hint="eastAsia"/>
        </w:rPr>
        <w:t>起诉和</w:t>
      </w:r>
      <w:r>
        <w:rPr>
          <w:rFonts w:eastAsia="SimHei"/>
        </w:rPr>
        <w:t>审判。缔约国应当向委员会提供有关尼泊尔</w:t>
      </w:r>
      <w:r>
        <w:rPr>
          <w:rFonts w:eastAsia="SimHei" w:hint="eastAsia"/>
        </w:rPr>
        <w:t>皇</w:t>
      </w:r>
      <w:r>
        <w:rPr>
          <w:rFonts w:eastAsia="SimHei"/>
        </w:rPr>
        <w:t>家</w:t>
      </w:r>
      <w:r>
        <w:rPr>
          <w:rFonts w:eastAsia="SimHei" w:hint="eastAsia"/>
        </w:rPr>
        <w:t>陆</w:t>
      </w:r>
      <w:r>
        <w:rPr>
          <w:rFonts w:eastAsia="SimHei"/>
        </w:rPr>
        <w:t>军、武装警察和警方所使用的监禁场所和其他关押设施的确切数量和地点，以及被剥夺自由人员的人数；</w:t>
      </w:r>
    </w:p>
    <w:p w:rsidR="00000000" w:rsidRDefault="00000000">
      <w:pPr>
        <w:widowControl w:val="0"/>
        <w:numPr>
          <w:ilvl w:val="0"/>
          <w:numId w:val="94"/>
        </w:numPr>
        <w:tabs>
          <w:tab w:val="clear" w:pos="1531"/>
        </w:tabs>
        <w:rPr>
          <w:rFonts w:eastAsia="SimHei" w:hint="eastAsia"/>
        </w:rPr>
      </w:pPr>
      <w:r>
        <w:rPr>
          <w:rFonts w:eastAsia="SimHei"/>
        </w:rPr>
        <w:t>缔约国应当采取措施，保证保安人员遵守法院的一切命令，其中包括人身保护令；</w:t>
      </w:r>
    </w:p>
    <w:p w:rsidR="00000000" w:rsidRDefault="00000000">
      <w:pPr>
        <w:widowControl w:val="0"/>
        <w:numPr>
          <w:ilvl w:val="0"/>
          <w:numId w:val="94"/>
        </w:numPr>
        <w:tabs>
          <w:tab w:val="clear" w:pos="1531"/>
        </w:tabs>
        <w:spacing w:after="320"/>
        <w:rPr>
          <w:rFonts w:eastAsia="SimHei"/>
        </w:rPr>
      </w:pPr>
      <w:r>
        <w:rPr>
          <w:rFonts w:eastAsia="SimHei"/>
        </w:rPr>
        <w:t>缔约国应当采取必要步骤，保护青少年不遭受违反《公约》</w:t>
      </w:r>
      <w:r>
        <w:rPr>
          <w:rFonts w:eastAsia="SimHei" w:hint="eastAsia"/>
        </w:rPr>
        <w:t>的</w:t>
      </w:r>
      <w:r>
        <w:rPr>
          <w:rFonts w:eastAsia="SimHei"/>
        </w:rPr>
        <w:t>行为</w:t>
      </w:r>
      <w:r>
        <w:rPr>
          <w:rFonts w:eastAsia="SimHei" w:hint="eastAsia"/>
        </w:rPr>
        <w:t>之害</w:t>
      </w:r>
      <w:r>
        <w:rPr>
          <w:rFonts w:eastAsia="SimHei"/>
        </w:rPr>
        <w:t>，保证少年司法体系能在遵守国际标准而适当运作，按年龄作出不同的处理。</w:t>
      </w:r>
    </w:p>
    <w:p w:rsidR="00000000" w:rsidRDefault="00000000">
      <w:pPr>
        <w:pStyle w:val="Heading4"/>
        <w:rPr>
          <w:rFonts w:hint="eastAsia"/>
        </w:rPr>
      </w:pPr>
      <w:r>
        <w:rPr>
          <w:rFonts w:hint="eastAsia"/>
        </w:rPr>
        <w:t>系统审查所有关押地点</w:t>
      </w:r>
    </w:p>
    <w:p w:rsidR="00000000" w:rsidRDefault="00000000">
      <w:pPr>
        <w:widowControl w:val="0"/>
        <w:overflowPunct/>
        <w:autoSpaceDE w:val="0"/>
        <w:autoSpaceDN w:val="0"/>
        <w:ind w:firstLine="525"/>
      </w:pPr>
      <w:r>
        <w:t>2</w:t>
      </w:r>
      <w:r>
        <w:rPr>
          <w:rFonts w:hint="eastAsia"/>
        </w:rPr>
        <w:t xml:space="preserve">2.  </w:t>
      </w:r>
      <w:r>
        <w:t>委员会关注该国缺少对所有关押地点的有效系统审查，包括国家和国际监督人员经常而不作预先通知地</w:t>
      </w:r>
      <w:r>
        <w:rPr>
          <w:rFonts w:hint="eastAsia"/>
        </w:rPr>
        <w:t>视察</w:t>
      </w:r>
      <w:r>
        <w:t>这些场所。</w:t>
      </w:r>
    </w:p>
    <w:p w:rsidR="00000000" w:rsidRDefault="00000000">
      <w:pPr>
        <w:pStyle w:val="ad"/>
        <w:spacing w:line="326" w:lineRule="auto"/>
        <w:rPr>
          <w:rFonts w:eastAsia="SimHei" w:hint="eastAsia"/>
        </w:rPr>
      </w:pPr>
      <w:r>
        <w:rPr>
          <w:rFonts w:eastAsia="SimHei" w:hint="eastAsia"/>
        </w:rPr>
        <w:t>缔约国应当考虑设置一项全国体系，审查所有关押地点，并对系统审查的结果作出反应。</w:t>
      </w:r>
    </w:p>
    <w:p w:rsidR="00000000" w:rsidRDefault="00000000">
      <w:pPr>
        <w:widowControl w:val="0"/>
        <w:overflowPunct/>
        <w:autoSpaceDE w:val="0"/>
        <w:autoSpaceDN w:val="0"/>
        <w:spacing w:line="326" w:lineRule="auto"/>
        <w:ind w:firstLine="525"/>
      </w:pPr>
      <w:r>
        <w:t>2</w:t>
      </w:r>
      <w:r>
        <w:rPr>
          <w:rFonts w:hint="eastAsia"/>
        </w:rPr>
        <w:t xml:space="preserve">3.  </w:t>
      </w:r>
      <w:r>
        <w:t>委员会</w:t>
      </w:r>
      <w:r>
        <w:rPr>
          <w:rFonts w:hint="eastAsia"/>
        </w:rPr>
        <w:t>还</w:t>
      </w:r>
      <w:r>
        <w:t>关注</w:t>
      </w:r>
      <w:r>
        <w:rPr>
          <w:rFonts w:hint="eastAsia"/>
        </w:rPr>
        <w:t>有些</w:t>
      </w:r>
      <w:r>
        <w:t>情况下不准许本国或国际监督人员进入监禁场所，或者不对其调查访问进行充分合作。委员会</w:t>
      </w:r>
      <w:r>
        <w:rPr>
          <w:rFonts w:hint="eastAsia"/>
        </w:rPr>
        <w:t>还</w:t>
      </w:r>
      <w:r>
        <w:t>关注该国通过了新的《非政府组织行为准则》，这项准则除其他方面外将严重地限制非政府组织的监督能力。</w:t>
      </w:r>
    </w:p>
    <w:p w:rsidR="00000000" w:rsidRDefault="00000000">
      <w:pPr>
        <w:pStyle w:val="ad"/>
        <w:spacing w:after="320" w:line="326" w:lineRule="auto"/>
        <w:rPr>
          <w:rFonts w:eastAsia="SimHei" w:hint="eastAsia"/>
        </w:rPr>
      </w:pPr>
      <w:r>
        <w:rPr>
          <w:rFonts w:eastAsia="SimHei" w:hint="eastAsia"/>
        </w:rPr>
        <w:t>委员会建议缔约国考虑修改《非政府组织行为准则》，使之符合有关保护人权捍卫者的国际人权标准。缔约国应当保证，允许本国和国际监督人员对所有监禁场所展开经常、独立、无须事先通知和不受限制的访问。缔约国应当便利诸如红十字国际委员会、人权高专办、全国人权委员会和本国及国际非政府组织的访问。</w:t>
      </w:r>
    </w:p>
    <w:p w:rsidR="00000000" w:rsidRDefault="00000000">
      <w:pPr>
        <w:pStyle w:val="Heading4"/>
      </w:pPr>
      <w:r>
        <w:rPr>
          <w:rFonts w:hint="eastAsia"/>
        </w:rPr>
        <w:t>有罪不罚</w:t>
      </w:r>
    </w:p>
    <w:p w:rsidR="00000000" w:rsidRDefault="00000000">
      <w:pPr>
        <w:widowControl w:val="0"/>
        <w:overflowPunct/>
        <w:autoSpaceDE w:val="0"/>
        <w:autoSpaceDN w:val="0"/>
        <w:spacing w:line="326" w:lineRule="auto"/>
        <w:ind w:firstLine="525"/>
        <w:rPr>
          <w:rFonts w:hint="eastAsia"/>
        </w:rPr>
      </w:pPr>
      <w:r>
        <w:t>2</w:t>
      </w:r>
      <w:r>
        <w:rPr>
          <w:rFonts w:hint="eastAsia"/>
        </w:rPr>
        <w:t xml:space="preserve">4.  </w:t>
      </w:r>
      <w:r>
        <w:t>委员会关注对于酷刑行为和虐待普遍存在</w:t>
      </w:r>
      <w:r>
        <w:rPr>
          <w:rFonts w:hint="eastAsia"/>
        </w:rPr>
        <w:t>有罪不罚</w:t>
      </w:r>
      <w:r>
        <w:t>的气氛，而且仍然存在关于无逮捕证拘捕、法外处决、监禁期死亡和失踪的指控</w:t>
      </w:r>
      <w:r>
        <w:t>(</w:t>
      </w:r>
      <w:r>
        <w:t>第</w:t>
      </w:r>
      <w:r>
        <w:t>12</w:t>
      </w:r>
      <w:r>
        <w:t>条</w:t>
      </w:r>
      <w:r>
        <w:t>)</w:t>
      </w:r>
      <w:r>
        <w:t>。</w:t>
      </w:r>
    </w:p>
    <w:p w:rsidR="00000000" w:rsidRDefault="00000000">
      <w:pPr>
        <w:pStyle w:val="ad"/>
        <w:spacing w:line="326" w:lineRule="auto"/>
        <w:rPr>
          <w:rFonts w:eastAsia="SimHei" w:hint="eastAsia"/>
        </w:rPr>
      </w:pPr>
      <w:r>
        <w:rPr>
          <w:rFonts w:eastAsia="SimHei" w:hint="eastAsia"/>
        </w:rPr>
        <w:t>缔约国应当发出明确无误的信号，谴责在其管辖范围内对所有人和所有群体的酷刑和虐待行径。缔约国应当采取有效的法律、行政和司法措施，以保证所有有关</w:t>
      </w:r>
      <w:r>
        <w:rPr>
          <w:rFonts w:eastAsia="SimHei"/>
        </w:rPr>
        <w:t>无逮捕证拘捕、法外处决、监禁期死亡和失踪的指控都</w:t>
      </w:r>
      <w:r>
        <w:rPr>
          <w:rFonts w:eastAsia="SimHei" w:hint="eastAsia"/>
        </w:rPr>
        <w:t>得</w:t>
      </w:r>
      <w:r>
        <w:rPr>
          <w:rFonts w:eastAsia="SimHei"/>
        </w:rPr>
        <w:t>到</w:t>
      </w:r>
      <w:r>
        <w:rPr>
          <w:rFonts w:eastAsia="SimHei" w:hint="eastAsia"/>
        </w:rPr>
        <w:t>及时</w:t>
      </w:r>
      <w:r>
        <w:rPr>
          <w:rFonts w:eastAsia="SimHei"/>
        </w:rPr>
        <w:t>的调查、审讯，对责任人进行惩处。对于</w:t>
      </w:r>
      <w:r>
        <w:rPr>
          <w:rFonts w:eastAsia="SimHei" w:hint="eastAsia"/>
        </w:rPr>
        <w:t>按</w:t>
      </w:r>
      <w:r>
        <w:rPr>
          <w:rFonts w:eastAsia="SimHei"/>
        </w:rPr>
        <w:t>基本事实上就</w:t>
      </w:r>
      <w:r>
        <w:rPr>
          <w:rFonts w:eastAsia="SimHei" w:hint="eastAsia"/>
        </w:rPr>
        <w:t>基本</w:t>
      </w:r>
      <w:r>
        <w:rPr>
          <w:rFonts w:eastAsia="SimHei"/>
        </w:rPr>
        <w:t>证明存在酷刑的案例，受到指控的人在调查期间应当停职或调职。</w:t>
      </w:r>
    </w:p>
    <w:p w:rsidR="00000000" w:rsidRDefault="00000000">
      <w:pPr>
        <w:widowControl w:val="0"/>
        <w:overflowPunct/>
        <w:autoSpaceDE w:val="0"/>
        <w:autoSpaceDN w:val="0"/>
        <w:spacing w:line="326" w:lineRule="auto"/>
        <w:ind w:firstLine="525"/>
        <w:rPr>
          <w:rFonts w:hint="eastAsia"/>
        </w:rPr>
      </w:pPr>
      <w:r>
        <w:t>2</w:t>
      </w:r>
      <w:r>
        <w:rPr>
          <w:rFonts w:hint="eastAsia"/>
        </w:rPr>
        <w:t xml:space="preserve">5.  </w:t>
      </w:r>
      <w:r>
        <w:t>委员会</w:t>
      </w:r>
      <w:r>
        <w:rPr>
          <w:rFonts w:hint="eastAsia"/>
        </w:rPr>
        <w:t>注意</w:t>
      </w:r>
      <w:r>
        <w:t>到该国在保安部队内设立了人权</w:t>
      </w:r>
      <w:r>
        <w:rPr>
          <w:rFonts w:hint="eastAsia"/>
        </w:rPr>
        <w:t>单位</w:t>
      </w:r>
      <w:r>
        <w:t>，但关注</w:t>
      </w:r>
      <w:r>
        <w:rPr>
          <w:rFonts w:hint="eastAsia"/>
        </w:rPr>
        <w:t>该国</w:t>
      </w:r>
      <w:r>
        <w:t>没有独立的机构能够对执法人员所犯的酷刑和虐待行为进行调查。</w:t>
      </w:r>
    </w:p>
    <w:p w:rsidR="00000000" w:rsidRDefault="00000000">
      <w:pPr>
        <w:pStyle w:val="ad"/>
        <w:spacing w:after="320" w:line="326" w:lineRule="auto"/>
        <w:rPr>
          <w:rFonts w:eastAsia="SimHei"/>
        </w:rPr>
      </w:pPr>
      <w:r>
        <w:rPr>
          <w:rFonts w:eastAsia="SimHei"/>
        </w:rPr>
        <w:t>缔约国应当建立独立的机构，调查执法人员所犯的酷刑和虐待行为。缔约国应当向委员会提供有关特别警察法院的授权任务、作用、组成情况和判例等资料。</w:t>
      </w:r>
    </w:p>
    <w:p w:rsidR="00000000" w:rsidRDefault="00000000">
      <w:pPr>
        <w:pStyle w:val="Heading4"/>
        <w:rPr>
          <w:rFonts w:hint="eastAsia"/>
        </w:rPr>
      </w:pPr>
      <w:r>
        <w:rPr>
          <w:rFonts w:hint="eastAsia"/>
        </w:rPr>
        <w:t>处于社会边际和不利地位的群体或种姓</w:t>
      </w:r>
    </w:p>
    <w:p w:rsidR="00000000" w:rsidRDefault="00000000">
      <w:pPr>
        <w:widowControl w:val="0"/>
        <w:overflowPunct/>
        <w:autoSpaceDE w:val="0"/>
        <w:autoSpaceDN w:val="0"/>
        <w:spacing w:line="326" w:lineRule="auto"/>
        <w:ind w:firstLine="525"/>
        <w:rPr>
          <w:rFonts w:hint="eastAsia"/>
        </w:rPr>
      </w:pPr>
      <w:r>
        <w:t>2</w:t>
      </w:r>
      <w:r>
        <w:rPr>
          <w:rFonts w:hint="eastAsia"/>
        </w:rPr>
        <w:t xml:space="preserve">6.  </w:t>
      </w:r>
      <w:r>
        <w:t>尽管缔约国承认该国存在种姓歧视，而且尽管建立了全国达利特委员会，但本委员会仍然严重关注到该国对于诸如达利特人等处于社会边际和不利地位的群体或种姓继续</w:t>
      </w:r>
      <w:r>
        <w:rPr>
          <w:rFonts w:hint="eastAsia"/>
        </w:rPr>
        <w:t>存在</w:t>
      </w:r>
      <w:r>
        <w:t>大规模的根深蒂固的歧视。委员会</w:t>
      </w:r>
      <w:r>
        <w:rPr>
          <w:rFonts w:hint="eastAsia"/>
        </w:rPr>
        <w:t>还</w:t>
      </w:r>
      <w:r>
        <w:t>关注长期的种姓歧视现象由于目前该国的冲突而更形顽固。</w:t>
      </w:r>
    </w:p>
    <w:p w:rsidR="00000000" w:rsidRDefault="00000000">
      <w:pPr>
        <w:pStyle w:val="ad"/>
        <w:spacing w:after="320"/>
        <w:rPr>
          <w:rFonts w:eastAsia="SimHei"/>
        </w:rPr>
      </w:pPr>
      <w:r>
        <w:rPr>
          <w:rFonts w:eastAsia="SimHei" w:hint="eastAsia"/>
        </w:rPr>
        <w:t>委员会重申，缔约国有责任保护社会的所有成员，尤其是诸如达利特人等处于社会边际和不利地位的群体和种姓。缔约国应当采取具体步骤，保障这些人的人身不受侵犯，保证设置问责机制，从而保证种姓不会成为欺凌、非法关押和酷刑的依据，并采取步骤保证其警察和保安部队具有更多的种姓和族裔代表性。缔约国应当在其下次定期报告中列入有关种姓歧视的资料。</w:t>
      </w:r>
    </w:p>
    <w:p w:rsidR="00000000" w:rsidRDefault="00000000">
      <w:pPr>
        <w:pStyle w:val="Heading4"/>
        <w:rPr>
          <w:rFonts w:hint="eastAsia"/>
        </w:rPr>
      </w:pPr>
      <w:r>
        <w:rPr>
          <w:rFonts w:hint="eastAsia"/>
        </w:rPr>
        <w:t>基于性别的暴力</w:t>
      </w:r>
    </w:p>
    <w:p w:rsidR="00000000" w:rsidRDefault="00000000">
      <w:pPr>
        <w:widowControl w:val="0"/>
        <w:overflowPunct/>
        <w:autoSpaceDE w:val="0"/>
        <w:autoSpaceDN w:val="0"/>
        <w:ind w:firstLine="525"/>
      </w:pPr>
      <w:r>
        <w:t>2</w:t>
      </w:r>
      <w:r>
        <w:rPr>
          <w:rFonts w:hint="eastAsia"/>
        </w:rPr>
        <w:t xml:space="preserve">7.  </w:t>
      </w:r>
      <w:r>
        <w:t>委员会关注</w:t>
      </w:r>
      <w:r>
        <w:rPr>
          <w:rFonts w:hint="eastAsia"/>
        </w:rPr>
        <w:t>仍</w:t>
      </w:r>
      <w:r>
        <w:t>有指控称，对于受监禁的妇女和儿童存在执法人员基于性别的暴力和欺凌，其中包括性暴力行为。</w:t>
      </w:r>
    </w:p>
    <w:p w:rsidR="00000000" w:rsidRDefault="00000000">
      <w:pPr>
        <w:pStyle w:val="ad"/>
        <w:spacing w:after="320"/>
        <w:rPr>
          <w:rFonts w:eastAsia="SimHei" w:hint="eastAsia"/>
        </w:rPr>
      </w:pPr>
      <w:r>
        <w:rPr>
          <w:rFonts w:eastAsia="SimHei" w:hint="eastAsia"/>
        </w:rPr>
        <w:t>缔约国应当保证设置程序来监测执法人员的行为，并应当及时公正地调查有关酷刑和虐待、包括性暴力的所有指控，以便惩处肇事者。缔约国应当向委员会提供已经受到过调查和审讯、其肇事者已受惩办的有关对受监禁妇女和儿童实施基于性别的暴力和欺凌的案例清单。</w:t>
      </w:r>
    </w:p>
    <w:p w:rsidR="00000000" w:rsidRDefault="00000000">
      <w:pPr>
        <w:pStyle w:val="Heading4"/>
      </w:pPr>
      <w:r>
        <w:t>申</w:t>
      </w:r>
      <w:r>
        <w:rPr>
          <w:rFonts w:hint="eastAsia"/>
        </w:rPr>
        <w:t xml:space="preserve"> </w:t>
      </w:r>
      <w:r>
        <w:t>诉</w:t>
      </w:r>
      <w:r>
        <w:rPr>
          <w:rFonts w:hint="eastAsia"/>
        </w:rPr>
        <w:t xml:space="preserve"> </w:t>
      </w:r>
      <w:r>
        <w:t>权</w:t>
      </w:r>
    </w:p>
    <w:p w:rsidR="00000000" w:rsidRDefault="00000000">
      <w:pPr>
        <w:widowControl w:val="0"/>
        <w:overflowPunct/>
        <w:autoSpaceDE w:val="0"/>
        <w:autoSpaceDN w:val="0"/>
        <w:ind w:firstLine="525"/>
      </w:pPr>
      <w:r>
        <w:t>2</w:t>
      </w:r>
      <w:r>
        <w:rPr>
          <w:rFonts w:hint="eastAsia"/>
        </w:rPr>
        <w:t xml:space="preserve">8.  </w:t>
      </w:r>
      <w:r>
        <w:t>委员会关注到：</w:t>
      </w:r>
    </w:p>
    <w:p w:rsidR="00000000" w:rsidRDefault="00000000">
      <w:pPr>
        <w:widowControl w:val="0"/>
        <w:numPr>
          <w:ilvl w:val="0"/>
          <w:numId w:val="89"/>
        </w:numPr>
        <w:tabs>
          <w:tab w:val="clear" w:pos="1531"/>
        </w:tabs>
      </w:pPr>
      <w:r>
        <w:t>根据</w:t>
      </w:r>
      <w:r>
        <w:t>1996</w:t>
      </w:r>
      <w:r>
        <w:t>年《</w:t>
      </w:r>
      <w:r>
        <w:rPr>
          <w:rFonts w:hint="eastAsia"/>
        </w:rPr>
        <w:t>与</w:t>
      </w:r>
      <w:r>
        <w:t>酷刑</w:t>
      </w:r>
      <w:r>
        <w:rPr>
          <w:rFonts w:hint="eastAsia"/>
        </w:rPr>
        <w:t>有关</w:t>
      </w:r>
      <w:r>
        <w:t>的赔偿法》中规定的规则，酷刑行为的</w:t>
      </w:r>
      <w:r>
        <w:rPr>
          <w:rFonts w:hint="eastAsia"/>
        </w:rPr>
        <w:t>举</w:t>
      </w:r>
      <w:r>
        <w:t>证责任</w:t>
      </w:r>
      <w:r>
        <w:rPr>
          <w:rFonts w:hint="eastAsia"/>
        </w:rPr>
        <w:t>被归于</w:t>
      </w:r>
      <w:r>
        <w:t>受害者</w:t>
      </w:r>
      <w:r>
        <w:rPr>
          <w:rFonts w:hint="eastAsia"/>
        </w:rPr>
        <w:t>承担</w:t>
      </w:r>
      <w:r>
        <w:t>，而</w:t>
      </w:r>
      <w:r>
        <w:rPr>
          <w:rFonts w:hint="eastAsia"/>
        </w:rPr>
        <w:t>且</w:t>
      </w:r>
      <w:r>
        <w:t>根据《恐怖主义和破坏行为</w:t>
      </w:r>
      <w:r>
        <w:t>(</w:t>
      </w:r>
      <w:r>
        <w:t>管制和惩处</w:t>
      </w:r>
      <w:r>
        <w:t>)</w:t>
      </w:r>
      <w:r>
        <w:t>法令》，</w:t>
      </w:r>
      <w:r>
        <w:rPr>
          <w:rFonts w:hint="eastAsia"/>
        </w:rPr>
        <w:t>就</w:t>
      </w:r>
      <w:r>
        <w:t>酷刑行为提出申诉并展开索赔程序的法定时限为</w:t>
      </w:r>
      <w:r>
        <w:t>35</w:t>
      </w:r>
      <w:r>
        <w:t>天；</w:t>
      </w:r>
    </w:p>
    <w:p w:rsidR="00000000" w:rsidRDefault="00000000">
      <w:pPr>
        <w:widowControl w:val="0"/>
        <w:numPr>
          <w:ilvl w:val="0"/>
          <w:numId w:val="89"/>
        </w:numPr>
        <w:tabs>
          <w:tab w:val="clear" w:pos="1531"/>
        </w:tabs>
      </w:pPr>
      <w:r>
        <w:rPr>
          <w:rFonts w:hint="eastAsia"/>
        </w:rPr>
        <w:t>有</w:t>
      </w:r>
      <w:r>
        <w:t>指控</w:t>
      </w:r>
      <w:r>
        <w:rPr>
          <w:rFonts w:hint="eastAsia"/>
        </w:rPr>
        <w:t>称存在</w:t>
      </w:r>
      <w:r>
        <w:t>对于报告酷刑行为的人发出重新逮捕的恫吓和</w:t>
      </w:r>
      <w:r>
        <w:rPr>
          <w:rFonts w:hint="eastAsia"/>
        </w:rPr>
        <w:t>威胁的情况</w:t>
      </w:r>
      <w:r>
        <w:t>，而且该国没有保护证人的法律和机制</w:t>
      </w:r>
      <w:r>
        <w:t>(</w:t>
      </w:r>
      <w:r>
        <w:t>第</w:t>
      </w:r>
      <w:r>
        <w:t>13</w:t>
      </w:r>
      <w:r>
        <w:t>条</w:t>
      </w:r>
      <w:r>
        <w:t>)</w:t>
      </w:r>
      <w:r>
        <w:t>。</w:t>
      </w:r>
    </w:p>
    <w:p w:rsidR="00000000" w:rsidRDefault="00000000">
      <w:pPr>
        <w:ind w:left="1020"/>
        <w:rPr>
          <w:rFonts w:eastAsia="SimHei"/>
        </w:rPr>
      </w:pPr>
      <w:r>
        <w:rPr>
          <w:rFonts w:eastAsia="SimHei"/>
        </w:rPr>
        <w:t>因此，缔约国应当：</w:t>
      </w:r>
    </w:p>
    <w:p w:rsidR="00000000" w:rsidRDefault="00000000">
      <w:pPr>
        <w:widowControl w:val="0"/>
        <w:numPr>
          <w:ilvl w:val="0"/>
          <w:numId w:val="91"/>
        </w:numPr>
        <w:tabs>
          <w:tab w:val="clear" w:pos="1531"/>
        </w:tabs>
        <w:rPr>
          <w:rFonts w:eastAsia="SimHei"/>
        </w:rPr>
      </w:pPr>
      <w:r>
        <w:rPr>
          <w:rFonts w:eastAsia="SimHei"/>
        </w:rPr>
        <w:t>向酷刑受害者公布</w:t>
      </w:r>
      <w:r>
        <w:rPr>
          <w:rFonts w:eastAsia="SimHei" w:hint="eastAsia"/>
        </w:rPr>
        <w:t>所有</w:t>
      </w:r>
      <w:r>
        <w:rPr>
          <w:rFonts w:eastAsia="SimHei"/>
        </w:rPr>
        <w:t>独立调查的结果。缔约国应当修改其现有的和计划中的法律，</w:t>
      </w:r>
      <w:r>
        <w:rPr>
          <w:rFonts w:eastAsia="SimHei" w:hint="eastAsia"/>
        </w:rPr>
        <w:t>撤消就</w:t>
      </w:r>
      <w:r>
        <w:rPr>
          <w:rFonts w:eastAsia="SimHei"/>
        </w:rPr>
        <w:t>酷刑行为提出申诉的限制，而索赔的法律行为可以在调查结果公布之日以后两年内展开；</w:t>
      </w:r>
    </w:p>
    <w:p w:rsidR="00000000" w:rsidRDefault="00000000">
      <w:pPr>
        <w:widowControl w:val="0"/>
        <w:numPr>
          <w:ilvl w:val="0"/>
          <w:numId w:val="91"/>
        </w:numPr>
        <w:overflowPunct/>
        <w:autoSpaceDE w:val="0"/>
        <w:autoSpaceDN w:val="0"/>
        <w:spacing w:after="320"/>
        <w:rPr>
          <w:rFonts w:eastAsia="SimHei"/>
        </w:rPr>
      </w:pPr>
      <w:r>
        <w:rPr>
          <w:rFonts w:eastAsia="SimHei"/>
        </w:rPr>
        <w:t>考虑通过立法和行政措施保护证人，保证</w:t>
      </w:r>
      <w:r>
        <w:rPr>
          <w:rFonts w:eastAsia="SimHei" w:hint="eastAsia"/>
        </w:rPr>
        <w:t>所有</w:t>
      </w:r>
      <w:r>
        <w:rPr>
          <w:rFonts w:eastAsia="SimHei"/>
        </w:rPr>
        <w:t>报告酷刑行为和虐待</w:t>
      </w:r>
      <w:r>
        <w:rPr>
          <w:rFonts w:eastAsia="SimHei" w:hint="eastAsia"/>
        </w:rPr>
        <w:t>行为</w:t>
      </w:r>
      <w:r>
        <w:rPr>
          <w:rFonts w:eastAsia="SimHei"/>
        </w:rPr>
        <w:t>的人都得到适当保护。</w:t>
      </w:r>
    </w:p>
    <w:p w:rsidR="00000000" w:rsidRDefault="00000000">
      <w:pPr>
        <w:pStyle w:val="Heading4"/>
      </w:pPr>
      <w:r>
        <w:rPr>
          <w:rFonts w:hint="eastAsia"/>
        </w:rPr>
        <w:t>对酷刑受害人的赔偿</w:t>
      </w:r>
    </w:p>
    <w:p w:rsidR="00000000" w:rsidRDefault="00000000">
      <w:pPr>
        <w:widowControl w:val="0"/>
        <w:overflowPunct/>
        <w:autoSpaceDE w:val="0"/>
        <w:autoSpaceDN w:val="0"/>
        <w:ind w:firstLine="525"/>
      </w:pPr>
      <w:r>
        <w:rPr>
          <w:rFonts w:hint="eastAsia"/>
        </w:rPr>
        <w:t xml:space="preserve">29.  </w:t>
      </w:r>
      <w:r>
        <w:t>委员会</w:t>
      </w:r>
      <w:r>
        <w:rPr>
          <w:rFonts w:hint="eastAsia"/>
        </w:rPr>
        <w:t>注意</w:t>
      </w:r>
      <w:r>
        <w:t>到司法机关已作出</w:t>
      </w:r>
      <w:r>
        <w:rPr>
          <w:rFonts w:hint="eastAsia"/>
        </w:rPr>
        <w:t>一些关于</w:t>
      </w:r>
      <w:r>
        <w:t>赔偿</w:t>
      </w:r>
      <w:r>
        <w:rPr>
          <w:rFonts w:hint="eastAsia"/>
        </w:rPr>
        <w:t>的裁定</w:t>
      </w:r>
      <w:r>
        <w:t>，但是</w:t>
      </w:r>
      <w:r>
        <w:rPr>
          <w:rFonts w:hint="eastAsia"/>
        </w:rPr>
        <w:t>也</w:t>
      </w:r>
      <w:r>
        <w:t>遗憾</w:t>
      </w:r>
      <w:r>
        <w:rPr>
          <w:rFonts w:hint="eastAsia"/>
        </w:rPr>
        <w:t>地注意到</w:t>
      </w:r>
      <w:r>
        <w:t>，至今为止只</w:t>
      </w:r>
      <w:r>
        <w:rPr>
          <w:rFonts w:hint="eastAsia"/>
        </w:rPr>
        <w:t>有</w:t>
      </w:r>
      <w:r>
        <w:t>一个案</w:t>
      </w:r>
      <w:r>
        <w:rPr>
          <w:rFonts w:hint="eastAsia"/>
        </w:rPr>
        <w:t>件中支</w:t>
      </w:r>
      <w:r>
        <w:t>付了赔偿。此外，委员会关注法院或国家人权委员会</w:t>
      </w:r>
      <w:r>
        <w:rPr>
          <w:rFonts w:hint="eastAsia"/>
        </w:rPr>
        <w:t>裁定</w:t>
      </w:r>
      <w:r>
        <w:t>的赔偿方面存在过分拖延</w:t>
      </w:r>
      <w:r>
        <w:rPr>
          <w:rFonts w:hint="eastAsia"/>
        </w:rPr>
        <w:t>的情况</w:t>
      </w:r>
      <w:r>
        <w:t>(</w:t>
      </w:r>
      <w:r>
        <w:t>第</w:t>
      </w:r>
      <w:r>
        <w:t>14</w:t>
      </w:r>
      <w:r>
        <w:t>条</w:t>
      </w:r>
      <w:r>
        <w:t>)</w:t>
      </w:r>
      <w:r>
        <w:t>。</w:t>
      </w:r>
    </w:p>
    <w:p w:rsidR="00000000" w:rsidRDefault="00000000">
      <w:pPr>
        <w:pStyle w:val="ad"/>
        <w:spacing w:after="240"/>
        <w:rPr>
          <w:rFonts w:eastAsia="SimHei" w:hint="eastAsia"/>
        </w:rPr>
      </w:pPr>
      <w:r>
        <w:rPr>
          <w:rFonts w:eastAsia="SimHei" w:hint="eastAsia"/>
        </w:rPr>
        <w:t>缔约国应当保证，法院判决的或全国人权委员会裁定的赔偿应当及时地支付。缔约国应当向委员会说明给予酷刑受害者的赔偿总金额。</w:t>
      </w:r>
    </w:p>
    <w:p w:rsidR="00000000" w:rsidRDefault="00000000">
      <w:pPr>
        <w:pStyle w:val="Heading4"/>
        <w:rPr>
          <w:rFonts w:hint="eastAsia"/>
        </w:rPr>
      </w:pPr>
      <w:r>
        <w:rPr>
          <w:rFonts w:hint="eastAsia"/>
        </w:rPr>
        <w:t>酷刑取得的口供的使用</w:t>
      </w:r>
    </w:p>
    <w:p w:rsidR="00000000" w:rsidRDefault="00000000">
      <w:pPr>
        <w:widowControl w:val="0"/>
        <w:overflowPunct/>
        <w:autoSpaceDE w:val="0"/>
        <w:autoSpaceDN w:val="0"/>
        <w:ind w:firstLine="525"/>
      </w:pPr>
      <w:r>
        <w:t>3</w:t>
      </w:r>
      <w:r>
        <w:rPr>
          <w:rFonts w:hint="eastAsia"/>
        </w:rPr>
        <w:t xml:space="preserve">0.  </w:t>
      </w:r>
      <w:r>
        <w:t>委员会关注</w:t>
      </w:r>
      <w:r>
        <w:rPr>
          <w:rFonts w:hint="eastAsia"/>
        </w:rPr>
        <w:t>有</w:t>
      </w:r>
      <w:r>
        <w:t>指控</w:t>
      </w:r>
      <w:r>
        <w:rPr>
          <w:rFonts w:hint="eastAsia"/>
        </w:rPr>
        <w:t>称</w:t>
      </w:r>
      <w:r>
        <w:t>，在法律诉讼程序中使用了经</w:t>
      </w:r>
      <w:r>
        <w:rPr>
          <w:rFonts w:hint="eastAsia"/>
        </w:rPr>
        <w:t>酷</w:t>
      </w:r>
      <w:r>
        <w:t>刑取</w:t>
      </w:r>
      <w:r>
        <w:rPr>
          <w:rFonts w:hint="eastAsia"/>
        </w:rPr>
        <w:t>得</w:t>
      </w:r>
      <w:r>
        <w:t>的</w:t>
      </w:r>
      <w:r>
        <w:rPr>
          <w:rFonts w:hint="eastAsia"/>
        </w:rPr>
        <w:t>口</w:t>
      </w:r>
      <w:r>
        <w:t>供</w:t>
      </w:r>
      <w:r>
        <w:t>(</w:t>
      </w:r>
      <w:r>
        <w:t>第</w:t>
      </w:r>
      <w:r>
        <w:t>15</w:t>
      </w:r>
      <w:r>
        <w:t>条</w:t>
      </w:r>
      <w:r>
        <w:t>)</w:t>
      </w:r>
      <w:r>
        <w:t>。</w:t>
      </w:r>
    </w:p>
    <w:p w:rsidR="00000000" w:rsidRDefault="00000000">
      <w:pPr>
        <w:pStyle w:val="ad"/>
        <w:spacing w:after="240"/>
        <w:rPr>
          <w:rFonts w:eastAsia="SimHei"/>
        </w:rPr>
      </w:pPr>
      <w:r>
        <w:rPr>
          <w:rFonts w:eastAsia="SimHei"/>
        </w:rPr>
        <w:t>缔约国应当向委员会提供规定</w:t>
      </w:r>
      <w:r>
        <w:rPr>
          <w:rFonts w:eastAsia="SimHei" w:hint="eastAsia"/>
        </w:rPr>
        <w:t>不允许将酷</w:t>
      </w:r>
      <w:r>
        <w:rPr>
          <w:rFonts w:eastAsia="SimHei"/>
        </w:rPr>
        <w:t>刑取得的</w:t>
      </w:r>
      <w:r>
        <w:rPr>
          <w:rFonts w:eastAsia="SimHei" w:hint="eastAsia"/>
        </w:rPr>
        <w:t>口</w:t>
      </w:r>
      <w:r>
        <w:rPr>
          <w:rFonts w:eastAsia="SimHei"/>
        </w:rPr>
        <w:t>供接受为证词的法律和判例资料。</w:t>
      </w:r>
    </w:p>
    <w:p w:rsidR="00000000" w:rsidRDefault="00000000">
      <w:pPr>
        <w:pStyle w:val="Heading4"/>
        <w:rPr>
          <w:rFonts w:hint="eastAsia"/>
        </w:rPr>
      </w:pPr>
      <w:r>
        <w:rPr>
          <w:rFonts w:hint="eastAsia"/>
        </w:rPr>
        <w:t>虐</w:t>
      </w:r>
      <w:r>
        <w:rPr>
          <w:rFonts w:hint="eastAsia"/>
        </w:rPr>
        <w:t xml:space="preserve">  </w:t>
      </w:r>
      <w:r>
        <w:rPr>
          <w:rFonts w:hint="eastAsia"/>
        </w:rPr>
        <w:t>待</w:t>
      </w:r>
    </w:p>
    <w:p w:rsidR="00000000" w:rsidRDefault="00000000">
      <w:pPr>
        <w:widowControl w:val="0"/>
        <w:overflowPunct/>
        <w:autoSpaceDE w:val="0"/>
        <w:autoSpaceDN w:val="0"/>
        <w:ind w:firstLine="525"/>
        <w:rPr>
          <w:rFonts w:hint="eastAsia"/>
        </w:rPr>
      </w:pPr>
      <w:r>
        <w:t>3</w:t>
      </w:r>
      <w:r>
        <w:rPr>
          <w:rFonts w:hint="eastAsia"/>
        </w:rPr>
        <w:t xml:space="preserve">1.  </w:t>
      </w:r>
      <w:r>
        <w:t>委员会关注有指控称，拘押条件很恶劣，特别是</w:t>
      </w:r>
      <w:r>
        <w:rPr>
          <w:rFonts w:hint="eastAsia"/>
        </w:rPr>
        <w:t>拥挤</w:t>
      </w:r>
      <w:r>
        <w:t>、卫生条件差、工作人员短缺，</w:t>
      </w:r>
      <w:r>
        <w:rPr>
          <w:rFonts w:hint="eastAsia"/>
        </w:rPr>
        <w:t>及</w:t>
      </w:r>
      <w:r>
        <w:t>对受关押者缺乏医务照料</w:t>
      </w:r>
      <w:r>
        <w:t>(</w:t>
      </w:r>
      <w:r>
        <w:t>第</w:t>
      </w:r>
      <w:r>
        <w:t>16</w:t>
      </w:r>
      <w:r>
        <w:t>条</w:t>
      </w:r>
      <w:r>
        <w:t>)</w:t>
      </w:r>
      <w:r>
        <w:t>。</w:t>
      </w:r>
    </w:p>
    <w:p w:rsidR="00000000" w:rsidRDefault="00000000">
      <w:pPr>
        <w:pStyle w:val="ad"/>
        <w:spacing w:after="240"/>
        <w:rPr>
          <w:rFonts w:eastAsia="SimHei" w:hint="eastAsia"/>
        </w:rPr>
      </w:pPr>
      <w:r>
        <w:rPr>
          <w:rFonts w:eastAsia="SimHei" w:hint="eastAsia"/>
        </w:rPr>
        <w:t>委员会建议缔约国采取一切必要措施改进拘押条件。</w:t>
      </w:r>
    </w:p>
    <w:p w:rsidR="00000000" w:rsidRDefault="00000000">
      <w:pPr>
        <w:pStyle w:val="Heading4"/>
        <w:rPr>
          <w:rFonts w:hint="eastAsia"/>
        </w:rPr>
      </w:pPr>
      <w:r>
        <w:rPr>
          <w:rFonts w:hint="eastAsia"/>
        </w:rPr>
        <w:t>人口贩运</w:t>
      </w:r>
    </w:p>
    <w:p w:rsidR="00000000" w:rsidRDefault="00000000">
      <w:pPr>
        <w:rPr>
          <w:rFonts w:hint="eastAsia"/>
        </w:rPr>
      </w:pPr>
      <w:r>
        <w:rPr>
          <w:rFonts w:hint="eastAsia"/>
        </w:rPr>
        <w:tab/>
      </w:r>
      <w:r>
        <w:t>3</w:t>
      </w:r>
      <w:r>
        <w:rPr>
          <w:rFonts w:hint="eastAsia"/>
        </w:rPr>
        <w:t xml:space="preserve">2.  </w:t>
      </w:r>
      <w:r>
        <w:t>委员会关注</w:t>
      </w:r>
      <w:r>
        <w:rPr>
          <w:rFonts w:hint="eastAsia"/>
        </w:rPr>
        <w:t>一直</w:t>
      </w:r>
      <w:r>
        <w:t>有报告称存在贩运妇女儿童的行为，并有指控称有些官员也参与了人口贩运的行为。</w:t>
      </w:r>
    </w:p>
    <w:p w:rsidR="00000000" w:rsidRDefault="00000000">
      <w:pPr>
        <w:pStyle w:val="ad"/>
        <w:spacing w:after="240"/>
        <w:rPr>
          <w:rFonts w:eastAsia="SimHei" w:hint="eastAsia"/>
        </w:rPr>
      </w:pPr>
      <w:r>
        <w:rPr>
          <w:rFonts w:eastAsia="SimHei" w:hint="eastAsia"/>
        </w:rPr>
        <w:t>缔约国应当加强国际合作机制，制止人口贩运，惩处有责任人，并向所有受害者提供保护和补救。</w:t>
      </w:r>
    </w:p>
    <w:p w:rsidR="00000000" w:rsidRDefault="00000000">
      <w:pPr>
        <w:pStyle w:val="Heading4"/>
      </w:pPr>
      <w:r>
        <w:rPr>
          <w:rFonts w:hint="eastAsia"/>
        </w:rPr>
        <w:t>儿</w:t>
      </w:r>
      <w:r>
        <w:rPr>
          <w:rFonts w:hint="eastAsia"/>
        </w:rPr>
        <w:t xml:space="preserve"> </w:t>
      </w:r>
      <w:r>
        <w:rPr>
          <w:rFonts w:hint="eastAsia"/>
        </w:rPr>
        <w:t>童</w:t>
      </w:r>
      <w:r>
        <w:rPr>
          <w:rFonts w:hint="eastAsia"/>
        </w:rPr>
        <w:t xml:space="preserve"> </w:t>
      </w:r>
      <w:r>
        <w:rPr>
          <w:rFonts w:hint="eastAsia"/>
        </w:rPr>
        <w:t>兵</w:t>
      </w:r>
    </w:p>
    <w:p w:rsidR="00000000" w:rsidRDefault="00000000">
      <w:pPr>
        <w:widowControl w:val="0"/>
        <w:overflowPunct/>
        <w:autoSpaceDE w:val="0"/>
        <w:autoSpaceDN w:val="0"/>
        <w:ind w:firstLine="525"/>
      </w:pPr>
      <w:r>
        <w:t>3</w:t>
      </w:r>
      <w:r>
        <w:rPr>
          <w:rFonts w:hint="eastAsia"/>
        </w:rPr>
        <w:t xml:space="preserve">3.  </w:t>
      </w:r>
      <w:r>
        <w:t>委员会关注有指控称，保安部队使用儿童应充当间谍和信使。委员会</w:t>
      </w:r>
      <w:r>
        <w:rPr>
          <w:rFonts w:hint="eastAsia"/>
        </w:rPr>
        <w:t>还</w:t>
      </w:r>
      <w:r>
        <w:t>关注有报告称尼泊尔共产党</w:t>
      </w:r>
      <w:r>
        <w:rPr>
          <w:rFonts w:hint="eastAsia"/>
          <w:spacing w:val="-50"/>
        </w:rPr>
        <w:t>―</w:t>
      </w:r>
      <w:r>
        <w:rPr>
          <w:rFonts w:hint="eastAsia"/>
        </w:rPr>
        <w:t>―</w:t>
      </w:r>
      <w:r>
        <w:t>毛派招募并绑架儿童</w:t>
      </w:r>
      <w:r>
        <w:t>(</w:t>
      </w:r>
      <w:r>
        <w:t>第</w:t>
      </w:r>
      <w:r>
        <w:t>16</w:t>
      </w:r>
      <w:r>
        <w:t>条</w:t>
      </w:r>
      <w:r>
        <w:t>)</w:t>
      </w:r>
      <w:r>
        <w:t>。</w:t>
      </w:r>
    </w:p>
    <w:p w:rsidR="00000000" w:rsidRDefault="00000000">
      <w:pPr>
        <w:pStyle w:val="ad"/>
        <w:rPr>
          <w:rFonts w:eastAsia="SimHei"/>
        </w:rPr>
      </w:pPr>
      <w:r>
        <w:rPr>
          <w:rFonts w:eastAsia="SimHei" w:hint="eastAsia"/>
        </w:rPr>
        <w:t>缔约国应当采取有效措施，防止保安部队使用儿童充当间谍和信使。缔约国还应采取必要步骤，立即全面地防止尼泊尔共产党</w:t>
      </w:r>
      <w:r>
        <w:rPr>
          <w:rFonts w:eastAsia="SimHei" w:hint="eastAsia"/>
          <w:spacing w:val="-50"/>
        </w:rPr>
        <w:t>―</w:t>
      </w:r>
      <w:r>
        <w:rPr>
          <w:rFonts w:eastAsia="SimHei" w:hint="eastAsia"/>
        </w:rPr>
        <w:t>―毛派绑架儿童，并帮助以前的儿童兵重归社会。缔约国并应当考虑批准《儿童权利公约关于儿童卷入武装冲突问题的任择议定书》。</w:t>
      </w:r>
    </w:p>
    <w:p w:rsidR="00000000" w:rsidRDefault="00000000">
      <w:pPr>
        <w:widowControl w:val="0"/>
        <w:overflowPunct/>
        <w:autoSpaceDE w:val="0"/>
        <w:autoSpaceDN w:val="0"/>
        <w:ind w:firstLine="525"/>
        <w:rPr>
          <w:rFonts w:hint="eastAsia"/>
        </w:rPr>
      </w:pPr>
      <w:r>
        <w:t>3</w:t>
      </w:r>
      <w:r>
        <w:rPr>
          <w:rFonts w:hint="eastAsia"/>
        </w:rPr>
        <w:t xml:space="preserve">4.  </w:t>
      </w:r>
      <w:r>
        <w:t>委员会</w:t>
      </w:r>
      <w:r>
        <w:rPr>
          <w:rFonts w:hint="eastAsia"/>
        </w:rPr>
        <w:t>还</w:t>
      </w:r>
      <w:r>
        <w:t>建议缔约国：</w:t>
      </w:r>
    </w:p>
    <w:p w:rsidR="00000000" w:rsidRDefault="00000000">
      <w:pPr>
        <w:widowControl w:val="0"/>
        <w:numPr>
          <w:ilvl w:val="0"/>
          <w:numId w:val="93"/>
        </w:numPr>
        <w:tabs>
          <w:tab w:val="clear" w:pos="1531"/>
        </w:tabs>
      </w:pPr>
      <w:r>
        <w:t>考虑根据《公约》第</w:t>
      </w:r>
      <w:r>
        <w:t>21</w:t>
      </w:r>
      <w:r>
        <w:t>和</w:t>
      </w:r>
      <w:r>
        <w:t>22</w:t>
      </w:r>
      <w:r>
        <w:t>条作出</w:t>
      </w:r>
      <w:r>
        <w:rPr>
          <w:rFonts w:hint="eastAsia"/>
        </w:rPr>
        <w:t>声明</w:t>
      </w:r>
      <w:r>
        <w:t>；</w:t>
      </w:r>
    </w:p>
    <w:p w:rsidR="00000000" w:rsidRDefault="00000000">
      <w:pPr>
        <w:widowControl w:val="0"/>
        <w:numPr>
          <w:ilvl w:val="0"/>
          <w:numId w:val="93"/>
        </w:numPr>
        <w:tabs>
          <w:tab w:val="clear" w:pos="1531"/>
        </w:tabs>
      </w:pPr>
      <w:r>
        <w:t>考虑加入《公约</w:t>
      </w:r>
      <w:r>
        <w:rPr>
          <w:rFonts w:hint="eastAsia"/>
        </w:rPr>
        <w:t>》</w:t>
      </w:r>
      <w:r>
        <w:t>的</w:t>
      </w:r>
      <w:r>
        <w:rPr>
          <w:rFonts w:hint="eastAsia"/>
        </w:rPr>
        <w:t>《</w:t>
      </w:r>
      <w:r>
        <w:t>任择议定书》；</w:t>
      </w:r>
    </w:p>
    <w:p w:rsidR="00000000" w:rsidRDefault="00000000">
      <w:pPr>
        <w:widowControl w:val="0"/>
        <w:numPr>
          <w:ilvl w:val="0"/>
          <w:numId w:val="93"/>
        </w:numPr>
        <w:tabs>
          <w:tab w:val="clear" w:pos="1531"/>
        </w:tabs>
      </w:pPr>
      <w:r>
        <w:t>考虑加入《国际刑事法院罗马规约》；</w:t>
      </w:r>
    </w:p>
    <w:p w:rsidR="00000000" w:rsidRDefault="00000000">
      <w:pPr>
        <w:widowControl w:val="0"/>
        <w:numPr>
          <w:ilvl w:val="0"/>
          <w:numId w:val="93"/>
        </w:numPr>
        <w:tabs>
          <w:tab w:val="clear" w:pos="1531"/>
        </w:tabs>
      </w:pPr>
      <w:r>
        <w:t>考虑加入《一九四九年八月十二日日内瓦四公约的附加议定书》和《关于保护非国际性武装冲突受难者的附加议定书》</w:t>
      </w:r>
      <w:r>
        <w:t>(</w:t>
      </w:r>
      <w:r>
        <w:t>第二议定书</w:t>
      </w:r>
      <w:r>
        <w:t>)</w:t>
      </w:r>
      <w:r>
        <w:t>。</w:t>
      </w:r>
    </w:p>
    <w:p w:rsidR="00000000" w:rsidRDefault="00000000">
      <w:pPr>
        <w:widowControl w:val="0"/>
        <w:overflowPunct/>
        <w:autoSpaceDE w:val="0"/>
        <w:autoSpaceDN w:val="0"/>
        <w:ind w:firstLine="525"/>
      </w:pPr>
      <w:r>
        <w:t>3</w:t>
      </w:r>
      <w:r>
        <w:rPr>
          <w:rFonts w:hint="eastAsia"/>
        </w:rPr>
        <w:t xml:space="preserve">5.  </w:t>
      </w:r>
      <w:r>
        <w:t>缔约国应当向委员会提供资料，说明有关人权保护委员会、全国保护和促进人权协调委员会以及在警察、尼泊尔</w:t>
      </w:r>
      <w:r>
        <w:rPr>
          <w:rFonts w:hint="eastAsia"/>
        </w:rPr>
        <w:t>皇</w:t>
      </w:r>
      <w:r>
        <w:t>家</w:t>
      </w:r>
      <w:r>
        <w:rPr>
          <w:rFonts w:hint="eastAsia"/>
        </w:rPr>
        <w:t>陆军</w:t>
      </w:r>
      <w:r>
        <w:t>和武装警察部队内设立的人权</w:t>
      </w:r>
      <w:r>
        <w:rPr>
          <w:rFonts w:hint="eastAsia"/>
        </w:rPr>
        <w:t>单位</w:t>
      </w:r>
      <w:r>
        <w:t>的人员组成情况、授权任务、工作方法，以及调查和所取得的结果等方面的情况。</w:t>
      </w:r>
    </w:p>
    <w:p w:rsidR="00000000" w:rsidRDefault="00000000">
      <w:pPr>
        <w:widowControl w:val="0"/>
        <w:overflowPunct/>
        <w:autoSpaceDE w:val="0"/>
        <w:autoSpaceDN w:val="0"/>
        <w:ind w:firstLine="525"/>
      </w:pPr>
      <w:r>
        <w:rPr>
          <w:rFonts w:hint="eastAsia"/>
        </w:rPr>
        <w:t xml:space="preserve">36.  </w:t>
      </w:r>
      <w:r>
        <w:t>委员会</w:t>
      </w:r>
      <w:r>
        <w:rPr>
          <w:rFonts w:hint="eastAsia"/>
        </w:rPr>
        <w:t>请</w:t>
      </w:r>
      <w:r>
        <w:t>缔约国在其下次定期报告中提供详细统计数据，说明向行政</w:t>
      </w:r>
      <w:r>
        <w:rPr>
          <w:rFonts w:hint="eastAsia"/>
        </w:rPr>
        <w:t>机关</w:t>
      </w:r>
      <w:r>
        <w:t>报告的有关酷刑和其他形式的残忍、不人道或有辱人格待遇或处罚的案例，以及相关的调查、审讯和刑事及纪律处分，包括军事法庭的详细程序，这些资料除其他方面外还应当按性别、族裔群体、种姓、地理区域、</w:t>
      </w:r>
      <w:r>
        <w:t>(</w:t>
      </w:r>
      <w:r>
        <w:t>如有发生，还包括</w:t>
      </w:r>
      <w:r>
        <w:t>)</w:t>
      </w:r>
      <w:r>
        <w:t>剥夺自由的种类和地点，同时</w:t>
      </w:r>
      <w:r>
        <w:rPr>
          <w:rFonts w:hint="eastAsia"/>
        </w:rPr>
        <w:t>应</w:t>
      </w:r>
      <w:r>
        <w:t>特别注意受关押的青少年情况。此外，还</w:t>
      </w:r>
      <w:r>
        <w:rPr>
          <w:rFonts w:hint="eastAsia"/>
        </w:rPr>
        <w:t>请提供</w:t>
      </w:r>
      <w:r>
        <w:t>有关</w:t>
      </w:r>
      <w:r>
        <w:rPr>
          <w:rFonts w:hint="eastAsia"/>
        </w:rPr>
        <w:t>赔偿</w:t>
      </w:r>
      <w:r>
        <w:t>受害者和</w:t>
      </w:r>
      <w:r>
        <w:rPr>
          <w:rFonts w:hint="eastAsia"/>
        </w:rPr>
        <w:t>受害者</w:t>
      </w:r>
      <w:r>
        <w:t>康复</w:t>
      </w:r>
      <w:r>
        <w:rPr>
          <w:rFonts w:hint="eastAsia"/>
        </w:rPr>
        <w:t>的</w:t>
      </w:r>
      <w:r>
        <w:t>情况。</w:t>
      </w:r>
    </w:p>
    <w:p w:rsidR="00000000" w:rsidRDefault="00000000">
      <w:pPr>
        <w:widowControl w:val="0"/>
        <w:overflowPunct/>
        <w:autoSpaceDE w:val="0"/>
        <w:autoSpaceDN w:val="0"/>
        <w:ind w:firstLine="525"/>
      </w:pPr>
      <w:r>
        <w:br w:type="page"/>
        <w:t>3</w:t>
      </w:r>
      <w:r>
        <w:rPr>
          <w:rFonts w:hint="eastAsia"/>
        </w:rPr>
        <w:t xml:space="preserve">7.  </w:t>
      </w:r>
      <w:r>
        <w:t>鼓励缔约国以适当的语文，通过官方的网站、新闻媒体和非政府组织，广泛散发其第二次定期报告以及本结论和建议。</w:t>
      </w:r>
    </w:p>
    <w:p w:rsidR="00000000" w:rsidRDefault="00000000">
      <w:pPr>
        <w:widowControl w:val="0"/>
        <w:overflowPunct/>
        <w:autoSpaceDE w:val="0"/>
        <w:autoSpaceDN w:val="0"/>
        <w:ind w:firstLine="525"/>
      </w:pPr>
      <w:r>
        <w:t>3</w:t>
      </w:r>
      <w:r>
        <w:rPr>
          <w:rFonts w:hint="eastAsia"/>
        </w:rPr>
        <w:t xml:space="preserve">8.  </w:t>
      </w:r>
      <w:r>
        <w:t>委员会</w:t>
      </w:r>
      <w:r>
        <w:rPr>
          <w:rFonts w:hint="eastAsia"/>
        </w:rPr>
        <w:t>请</w:t>
      </w:r>
      <w:r>
        <w:t>缔约国</w:t>
      </w:r>
      <w:r>
        <w:rPr>
          <w:rFonts w:hint="eastAsia"/>
        </w:rPr>
        <w:t>在一年内提供资料，说明委员会在上文第</w:t>
      </w:r>
      <w:r>
        <w:t>13</w:t>
      </w:r>
      <w:r>
        <w:t>、</w:t>
      </w:r>
      <w:r>
        <w:t>14</w:t>
      </w:r>
      <w:r>
        <w:rPr>
          <w:rFonts w:hint="eastAsia"/>
        </w:rPr>
        <w:t>、</w:t>
      </w:r>
      <w:r>
        <w:t>21(b)</w:t>
      </w:r>
      <w:r>
        <w:t>、</w:t>
      </w:r>
      <w:r>
        <w:t>21(c)</w:t>
      </w:r>
      <w:r>
        <w:t>、</w:t>
      </w:r>
      <w:r>
        <w:t>21(e)</w:t>
      </w:r>
      <w:r>
        <w:t>、</w:t>
      </w:r>
      <w:r>
        <w:t>25</w:t>
      </w:r>
      <w:r>
        <w:t>、</w:t>
      </w:r>
      <w:r>
        <w:t>27</w:t>
      </w:r>
      <w:r>
        <w:t>和</w:t>
      </w:r>
      <w:r>
        <w:t>29</w:t>
      </w:r>
      <w:r>
        <w:rPr>
          <w:rFonts w:hint="eastAsia"/>
        </w:rPr>
        <w:t>段中所提建议的落实情况。</w:t>
      </w:r>
    </w:p>
    <w:p w:rsidR="00000000" w:rsidRDefault="00000000">
      <w:pPr>
        <w:widowControl w:val="0"/>
        <w:overflowPunct/>
        <w:autoSpaceDE w:val="0"/>
        <w:autoSpaceDN w:val="0"/>
        <w:ind w:firstLine="525"/>
      </w:pPr>
      <w:r>
        <w:rPr>
          <w:rFonts w:hint="eastAsia"/>
        </w:rPr>
        <w:t xml:space="preserve">39.  </w:t>
      </w:r>
      <w:r>
        <w:rPr>
          <w:rFonts w:hint="eastAsia"/>
        </w:rPr>
        <w:t>请缔约国于原为第五次定期报告提交日期的</w:t>
      </w:r>
      <w:r>
        <w:t>2008</w:t>
      </w:r>
      <w:r>
        <w:t>年</w:t>
      </w:r>
      <w:r>
        <w:t>6</w:t>
      </w:r>
      <w:r>
        <w:t>月</w:t>
      </w:r>
      <w:r>
        <w:t>18</w:t>
      </w:r>
      <w:r>
        <w:t>日</w:t>
      </w:r>
      <w:r>
        <w:rPr>
          <w:rFonts w:hint="eastAsia"/>
        </w:rPr>
        <w:t>以前，提交下一次定期报告，对该报告将视为是第三、第四和第五次报告的合订本。</w:t>
      </w:r>
    </w:p>
    <w:p w:rsidR="00000000" w:rsidRDefault="00000000"/>
    <w:p w:rsidR="00000000" w:rsidRDefault="00000000"/>
    <w:p w:rsidR="00000000" w:rsidRDefault="00000000">
      <w:pPr>
        <w:jc w:val="center"/>
        <w:rPr>
          <w:rFonts w:hint="eastAsia"/>
        </w:rPr>
      </w:pPr>
      <w:r>
        <w:t>--  --  --  --  --</w:t>
      </w:r>
    </w:p>
    <w:p w:rsidR="00000000" w:rsidRDefault="00000000"/>
    <w:sectPr w:rsidR="00000000">
      <w:headerReference w:type="even" r:id="rId7"/>
      <w:headerReference w:type="default" r:id="rId8"/>
      <w:headerReference w:type="first" r:id="rId9"/>
      <w:footerReference w:type="first" r:id="rId10"/>
      <w:pgSz w:w="11906" w:h="16838" w:code="9"/>
      <w:pgMar w:top="1985" w:right="851" w:bottom="1985" w:left="1701"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07-41142 (C)</w:t>
          </w:r>
        </w:p>
      </w:tc>
      <w:tc>
        <w:tcPr>
          <w:tcW w:w="1050" w:type="dxa"/>
        </w:tcPr>
        <w:p w:rsidR="00000000" w:rsidRDefault="00000000">
          <w:pPr>
            <w:pStyle w:val="Footer"/>
          </w:pPr>
          <w:r>
            <w:t>190407</w:t>
          </w:r>
        </w:p>
      </w:tc>
      <w:tc>
        <w:tcPr>
          <w:tcW w:w="6061" w:type="dxa"/>
        </w:tcPr>
        <w:p w:rsidR="00000000" w:rsidRDefault="00000000">
          <w:pPr>
            <w:pStyle w:val="Footer"/>
          </w:pPr>
          <w:r>
            <w:t>200407</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CAT/C/NPL/CO/2</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CAT/C/NPL/CO/2</w:t>
    </w:r>
  </w:p>
  <w:p w:rsidR="00000000" w:rsidRDefault="00000000">
    <w:pPr>
      <w:pStyle w:val="Header"/>
    </w:pPr>
    <w:r>
      <w:tab/>
    </w:r>
    <w:r>
      <w:tab/>
    </w:r>
    <w:r>
      <w:tab/>
    </w:r>
    <w:r>
      <w:tab/>
      <w:t xml:space="preserve">page </w:t>
    </w:r>
    <w:r>
      <w:fldChar w:fldCharType="begin"/>
    </w:r>
    <w:r>
      <w:instrText xml:space="preserve"> PAGE </w:instrText>
    </w:r>
    <w:r>
      <w:fldChar w:fldCharType="separate"/>
    </w:r>
    <w:r>
      <w:rPr>
        <w:noProof/>
      </w:rPr>
      <w:t>11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page" w:horzAnchor="margin" w:tblpY="991"/>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668"/>
      <w:gridCol w:w="4810"/>
      <w:gridCol w:w="2986"/>
    </w:tblGrid>
    <w:tr w:rsidR="00000000">
      <w:tc>
        <w:tcPr>
          <w:tcW w:w="1668" w:type="dxa"/>
          <w:tcBorders>
            <w:top w:val="nil"/>
            <w:left w:val="nil"/>
            <w:bottom w:val="single" w:sz="8" w:space="0" w:color="auto"/>
            <w:right w:val="nil"/>
          </w:tcBorders>
          <w:vAlign w:val="center"/>
        </w:tcPr>
        <w:p w:rsidR="00000000" w:rsidRDefault="00000000">
          <w:pPr>
            <w:pStyle w:val="1L"/>
            <w:framePr w:w="0" w:hRule="auto" w:hSpace="0" w:wrap="auto" w:vAnchor="margin" w:hAnchor="text" w:xAlign="left" w:yAlign="inline"/>
            <w:rPr>
              <w:rFonts w:ascii="Time New Roman" w:hAnsi="Time New Roman"/>
              <w:b/>
            </w:rPr>
          </w:pPr>
          <w:r>
            <w:t>联合国</w:t>
          </w:r>
        </w:p>
      </w:tc>
      <w:tc>
        <w:tcPr>
          <w:tcW w:w="4810" w:type="dxa"/>
          <w:tcBorders>
            <w:top w:val="nil"/>
            <w:left w:val="nil"/>
            <w:bottom w:val="single" w:sz="8" w:space="0" w:color="auto"/>
            <w:right w:val="nil"/>
          </w:tcBorders>
        </w:tcPr>
        <w:p w:rsidR="00000000" w:rsidRDefault="00000000">
          <w:pPr>
            <w:pStyle w:val="1L"/>
            <w:framePr w:w="0" w:hRule="auto" w:hSpace="0" w:wrap="auto" w:vAnchor="margin" w:hAnchor="text" w:xAlign="left" w:yAlign="inline"/>
          </w:pPr>
        </w:p>
      </w:tc>
      <w:tc>
        <w:tcPr>
          <w:tcW w:w="2986" w:type="dxa"/>
          <w:tcBorders>
            <w:top w:val="nil"/>
            <w:left w:val="nil"/>
            <w:bottom w:val="single" w:sz="8" w:space="0" w:color="auto"/>
            <w:right w:val="nil"/>
          </w:tcBorders>
          <w:vAlign w:val="bottom"/>
        </w:tcPr>
        <w:p w:rsidR="00000000" w:rsidRDefault="00000000">
          <w:pPr>
            <w:pStyle w:val="1R1"/>
            <w:jc w:val="right"/>
            <w:rPr>
              <w:rFonts w:ascii="Univers" w:hAnsi="Univers"/>
              <w:b w:val="0"/>
              <w:sz w:val="72"/>
            </w:rPr>
          </w:pPr>
          <w:r>
            <w:t>CAT</w:t>
          </w:r>
        </w:p>
      </w:tc>
    </w:tr>
    <w:bookmarkStart w:id="0" w:name="_MON_1204096976"/>
    <w:bookmarkStart w:id="1" w:name="_MON_1204096987"/>
    <w:bookmarkStart w:id="2" w:name="_MON_1204097013"/>
    <w:bookmarkEnd w:id="0"/>
    <w:bookmarkEnd w:id="1"/>
    <w:bookmarkEnd w:id="2"/>
    <w:tr w:rsidR="00000000">
      <w:tc>
        <w:tcPr>
          <w:tcW w:w="1668" w:type="dxa"/>
          <w:tcBorders>
            <w:top w:val="single" w:sz="8" w:space="0" w:color="auto"/>
            <w:left w:val="nil"/>
            <w:bottom w:val="single" w:sz="24"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6016939" r:id="rId2"/>
            </w:object>
          </w:r>
        </w:p>
      </w:tc>
      <w:tc>
        <w:tcPr>
          <w:tcW w:w="4810" w:type="dxa"/>
          <w:tcBorders>
            <w:top w:val="single" w:sz="8" w:space="0" w:color="auto"/>
            <w:left w:val="nil"/>
            <w:bottom w:val="single" w:sz="24" w:space="0" w:color="auto"/>
            <w:right w:val="nil"/>
          </w:tcBorders>
        </w:tcPr>
        <w:p w:rsidR="00000000" w:rsidRDefault="00000000">
          <w:pPr>
            <w:pStyle w:val="1m1"/>
            <w:spacing w:line="312" w:lineRule="auto"/>
            <w:rPr>
              <w:rFonts w:ascii="Time New Roman" w:hAnsi="Time New Roman"/>
              <w:spacing w:val="0"/>
              <w:sz w:val="32"/>
            </w:rPr>
          </w:pPr>
        </w:p>
        <w:p w:rsidR="00000000" w:rsidRDefault="00000000">
          <w:pPr>
            <w:pStyle w:val="1m1"/>
            <w:spacing w:line="312" w:lineRule="auto"/>
            <w:rPr>
              <w:rFonts w:ascii="Time New Roman" w:hAnsi="Time New Roman"/>
              <w:spacing w:val="0"/>
              <w:sz w:val="32"/>
            </w:rPr>
          </w:pPr>
          <w:r>
            <w:rPr>
              <w:rFonts w:ascii="Time New Roman" w:hAnsi="Time New Roman" w:hint="eastAsia"/>
              <w:spacing w:val="0"/>
              <w:sz w:val="32"/>
            </w:rPr>
            <w:t>禁止酷刑和其他残忍、不人道</w:t>
          </w:r>
        </w:p>
        <w:p w:rsidR="00000000" w:rsidRDefault="00000000">
          <w:pPr>
            <w:pStyle w:val="1m1"/>
            <w:spacing w:line="312" w:lineRule="auto"/>
            <w:rPr>
              <w:rFonts w:ascii="Time New Roman" w:hAnsi="Time New Roman"/>
              <w:spacing w:val="0"/>
              <w:sz w:val="32"/>
            </w:rPr>
          </w:pPr>
          <w:r>
            <w:rPr>
              <w:rFonts w:ascii="Time New Roman" w:hAnsi="Time New Roman" w:hint="eastAsia"/>
              <w:spacing w:val="0"/>
              <w:sz w:val="32"/>
            </w:rPr>
            <w:t>或有辱人格的待遇或处罚公约</w:t>
          </w:r>
        </w:p>
        <w:p w:rsidR="00000000" w:rsidRDefault="00000000">
          <w:pPr>
            <w:pStyle w:val="1m1"/>
            <w:spacing w:before="480"/>
          </w:pPr>
        </w:p>
      </w:tc>
      <w:tc>
        <w:tcPr>
          <w:tcW w:w="2986" w:type="dxa"/>
          <w:tcBorders>
            <w:top w:val="single" w:sz="8" w:space="0" w:color="auto"/>
            <w:left w:val="nil"/>
            <w:bottom w:val="single" w:sz="24" w:space="0" w:color="auto"/>
            <w:right w:val="nil"/>
          </w:tcBorders>
        </w:tcPr>
        <w:p w:rsidR="00000000" w:rsidRDefault="00000000">
          <w:pPr>
            <w:pStyle w:val="Header"/>
          </w:pPr>
        </w:p>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CAT/C/NPL/CO/2</w:t>
          </w:r>
          <w:r>
            <w:rPr>
              <w:vertAlign w:val="superscript"/>
            </w:rPr>
            <w:t>*</w:t>
          </w:r>
        </w:p>
        <w:p w:rsidR="00000000" w:rsidRDefault="00000000">
          <w:pPr>
            <w:pStyle w:val="Header"/>
          </w:pPr>
          <w:r>
            <w:t>13 April 2007</w:t>
          </w:r>
        </w:p>
        <w:p w:rsidR="00000000" w:rsidRDefault="00000000">
          <w:pPr>
            <w:pStyle w:val="Header"/>
          </w:pPr>
        </w:p>
        <w:p w:rsidR="00000000" w:rsidRDefault="00000000">
          <w:pPr>
            <w:pStyle w:val="Header"/>
          </w:pPr>
          <w:r>
            <w:t>CHINESE</w:t>
          </w:r>
        </w:p>
        <w:p w:rsidR="00000000" w:rsidRDefault="00000000">
          <w:pPr>
            <w:pStyle w:val="Header"/>
          </w:pPr>
          <w:r>
            <w:t>Original:</w:t>
          </w:r>
          <w:r>
            <w:tab/>
            <w:t>ENGLISH</w:t>
          </w:r>
        </w:p>
        <w:p w:rsidR="00000000" w:rsidRDefault="00000000">
          <w:pPr>
            <w:pStyle w:val="Header"/>
          </w:pPr>
        </w:p>
      </w:tc>
    </w:tr>
    <w:tr w:rsidR="00000000">
      <w:trPr>
        <w:trHeight w:val="293"/>
      </w:trPr>
      <w:tc>
        <w:tcPr>
          <w:tcW w:w="1668" w:type="dxa"/>
          <w:tcBorders>
            <w:top w:val="single" w:sz="24" w:space="0" w:color="auto"/>
            <w:left w:val="nil"/>
            <w:bottom w:val="nil"/>
            <w:right w:val="nil"/>
          </w:tcBorders>
          <w:noWrap/>
        </w:tcPr>
        <w:p w:rsidR="00000000" w:rsidRDefault="00000000">
          <w:pPr>
            <w:rPr>
              <w:sz w:val="16"/>
            </w:rPr>
          </w:pPr>
        </w:p>
      </w:tc>
      <w:tc>
        <w:tcPr>
          <w:tcW w:w="4810" w:type="dxa"/>
          <w:tcBorders>
            <w:top w:val="single" w:sz="24" w:space="0" w:color="auto"/>
            <w:left w:val="nil"/>
            <w:bottom w:val="nil"/>
            <w:right w:val="nil"/>
          </w:tcBorders>
          <w:noWrap/>
        </w:tcPr>
        <w:p w:rsidR="00000000" w:rsidRDefault="00000000">
          <w:pPr>
            <w:pStyle w:val="1m1"/>
            <w:spacing w:line="240" w:lineRule="auto"/>
            <w:rPr>
              <w:sz w:val="16"/>
            </w:rPr>
          </w:pPr>
        </w:p>
      </w:tc>
      <w:tc>
        <w:tcPr>
          <w:tcW w:w="2986" w:type="dxa"/>
          <w:tcBorders>
            <w:top w:val="single" w:sz="24" w:space="0" w:color="auto"/>
            <w:left w:val="nil"/>
            <w:bottom w:val="nil"/>
            <w:right w:val="nil"/>
          </w:tcBorders>
          <w:noWrap/>
        </w:tcPr>
        <w:p w:rsidR="00000000" w:rsidRDefault="00000000">
          <w:pPr>
            <w:rPr>
              <w:sz w:val="16"/>
            </w:rPr>
          </w:pPr>
        </w:p>
      </w:tc>
    </w:tr>
  </w:tbl>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4">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5">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
    <w:nsid w:val="0C705CE8"/>
    <w:multiLevelType w:val="hybridMultilevel"/>
    <w:tmpl w:val="E64EED24"/>
    <w:lvl w:ilvl="0" w:tplc="3CC6DD78">
      <w:start w:val="1"/>
      <w:numFmt w:val="lowerLetter"/>
      <w:lvlText w:val="（%1）"/>
      <w:lvlJc w:val="left"/>
      <w:pPr>
        <w:tabs>
          <w:tab w:val="num" w:pos="1245"/>
        </w:tabs>
        <w:ind w:left="1245" w:hanging="720"/>
      </w:pPr>
      <w:rPr>
        <w:rFonts w:hint="default"/>
      </w:rPr>
    </w:lvl>
    <w:lvl w:ilvl="1" w:tplc="04090019" w:tentative="1">
      <w:start w:val="1"/>
      <w:numFmt w:val="ideographTraditional"/>
      <w:lvlText w:val="%2、"/>
      <w:lvlJc w:val="left"/>
      <w:pPr>
        <w:tabs>
          <w:tab w:val="num" w:pos="1485"/>
        </w:tabs>
        <w:ind w:left="1485" w:hanging="480"/>
      </w:pPr>
    </w:lvl>
    <w:lvl w:ilvl="2" w:tplc="0409001B" w:tentative="1">
      <w:start w:val="1"/>
      <w:numFmt w:val="lowerRoman"/>
      <w:lvlText w:val="%3."/>
      <w:lvlJc w:val="right"/>
      <w:pPr>
        <w:tabs>
          <w:tab w:val="num" w:pos="1965"/>
        </w:tabs>
        <w:ind w:left="1965" w:hanging="480"/>
      </w:pPr>
    </w:lvl>
    <w:lvl w:ilvl="3" w:tplc="0409000F" w:tentative="1">
      <w:start w:val="1"/>
      <w:numFmt w:val="decimal"/>
      <w:lvlText w:val="%4."/>
      <w:lvlJc w:val="left"/>
      <w:pPr>
        <w:tabs>
          <w:tab w:val="num" w:pos="2445"/>
        </w:tabs>
        <w:ind w:left="2445" w:hanging="480"/>
      </w:pPr>
    </w:lvl>
    <w:lvl w:ilvl="4" w:tplc="04090019" w:tentative="1">
      <w:start w:val="1"/>
      <w:numFmt w:val="ideographTraditional"/>
      <w:lvlText w:val="%5、"/>
      <w:lvlJc w:val="left"/>
      <w:pPr>
        <w:tabs>
          <w:tab w:val="num" w:pos="2925"/>
        </w:tabs>
        <w:ind w:left="2925" w:hanging="480"/>
      </w:pPr>
    </w:lvl>
    <w:lvl w:ilvl="5" w:tplc="0409001B" w:tentative="1">
      <w:start w:val="1"/>
      <w:numFmt w:val="lowerRoman"/>
      <w:lvlText w:val="%6."/>
      <w:lvlJc w:val="right"/>
      <w:pPr>
        <w:tabs>
          <w:tab w:val="num" w:pos="3405"/>
        </w:tabs>
        <w:ind w:left="3405" w:hanging="480"/>
      </w:pPr>
    </w:lvl>
    <w:lvl w:ilvl="6" w:tplc="0409000F" w:tentative="1">
      <w:start w:val="1"/>
      <w:numFmt w:val="decimal"/>
      <w:lvlText w:val="%7."/>
      <w:lvlJc w:val="left"/>
      <w:pPr>
        <w:tabs>
          <w:tab w:val="num" w:pos="3885"/>
        </w:tabs>
        <w:ind w:left="3885" w:hanging="480"/>
      </w:pPr>
    </w:lvl>
    <w:lvl w:ilvl="7" w:tplc="04090019" w:tentative="1">
      <w:start w:val="1"/>
      <w:numFmt w:val="ideographTraditional"/>
      <w:lvlText w:val="%8、"/>
      <w:lvlJc w:val="left"/>
      <w:pPr>
        <w:tabs>
          <w:tab w:val="num" w:pos="4365"/>
        </w:tabs>
        <w:ind w:left="4365" w:hanging="480"/>
      </w:pPr>
    </w:lvl>
    <w:lvl w:ilvl="8" w:tplc="0409001B" w:tentative="1">
      <w:start w:val="1"/>
      <w:numFmt w:val="lowerRoman"/>
      <w:lvlText w:val="%9."/>
      <w:lvlJc w:val="right"/>
      <w:pPr>
        <w:tabs>
          <w:tab w:val="num" w:pos="4845"/>
        </w:tabs>
        <w:ind w:left="4845" w:hanging="480"/>
      </w:pPr>
    </w:lvl>
  </w:abstractNum>
  <w:abstractNum w:abstractNumId="8">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9">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
    <w:nsid w:val="0F3341AE"/>
    <w:multiLevelType w:val="hybridMultilevel"/>
    <w:tmpl w:val="AACE2EB2"/>
    <w:lvl w:ilvl="0" w:tplc="C1C2B68C">
      <w:start w:val="1"/>
      <w:numFmt w:val="lowerLetter"/>
      <w:lvlText w:val="(%1)"/>
      <w:lvlJc w:val="left"/>
      <w:pPr>
        <w:tabs>
          <w:tab w:val="num" w:pos="1350"/>
        </w:tabs>
        <w:ind w:left="1350" w:hanging="825"/>
      </w:pPr>
      <w:rPr>
        <w:rFonts w:hint="default"/>
      </w:rPr>
    </w:lvl>
    <w:lvl w:ilvl="1" w:tplc="04090019" w:tentative="1">
      <w:start w:val="1"/>
      <w:numFmt w:val="ideographTraditional"/>
      <w:lvlText w:val="%2、"/>
      <w:lvlJc w:val="left"/>
      <w:pPr>
        <w:tabs>
          <w:tab w:val="num" w:pos="1485"/>
        </w:tabs>
        <w:ind w:left="1485" w:hanging="480"/>
      </w:pPr>
    </w:lvl>
    <w:lvl w:ilvl="2" w:tplc="0409001B" w:tentative="1">
      <w:start w:val="1"/>
      <w:numFmt w:val="lowerRoman"/>
      <w:lvlText w:val="%3."/>
      <w:lvlJc w:val="right"/>
      <w:pPr>
        <w:tabs>
          <w:tab w:val="num" w:pos="1965"/>
        </w:tabs>
        <w:ind w:left="1965" w:hanging="480"/>
      </w:pPr>
    </w:lvl>
    <w:lvl w:ilvl="3" w:tplc="0409000F" w:tentative="1">
      <w:start w:val="1"/>
      <w:numFmt w:val="decimal"/>
      <w:lvlText w:val="%4."/>
      <w:lvlJc w:val="left"/>
      <w:pPr>
        <w:tabs>
          <w:tab w:val="num" w:pos="2445"/>
        </w:tabs>
        <w:ind w:left="2445" w:hanging="480"/>
      </w:pPr>
    </w:lvl>
    <w:lvl w:ilvl="4" w:tplc="04090019" w:tentative="1">
      <w:start w:val="1"/>
      <w:numFmt w:val="ideographTraditional"/>
      <w:lvlText w:val="%5、"/>
      <w:lvlJc w:val="left"/>
      <w:pPr>
        <w:tabs>
          <w:tab w:val="num" w:pos="2925"/>
        </w:tabs>
        <w:ind w:left="2925" w:hanging="480"/>
      </w:pPr>
    </w:lvl>
    <w:lvl w:ilvl="5" w:tplc="0409001B" w:tentative="1">
      <w:start w:val="1"/>
      <w:numFmt w:val="lowerRoman"/>
      <w:lvlText w:val="%6."/>
      <w:lvlJc w:val="right"/>
      <w:pPr>
        <w:tabs>
          <w:tab w:val="num" w:pos="3405"/>
        </w:tabs>
        <w:ind w:left="3405" w:hanging="480"/>
      </w:pPr>
    </w:lvl>
    <w:lvl w:ilvl="6" w:tplc="0409000F" w:tentative="1">
      <w:start w:val="1"/>
      <w:numFmt w:val="decimal"/>
      <w:lvlText w:val="%7."/>
      <w:lvlJc w:val="left"/>
      <w:pPr>
        <w:tabs>
          <w:tab w:val="num" w:pos="3885"/>
        </w:tabs>
        <w:ind w:left="3885" w:hanging="480"/>
      </w:pPr>
    </w:lvl>
    <w:lvl w:ilvl="7" w:tplc="04090019" w:tentative="1">
      <w:start w:val="1"/>
      <w:numFmt w:val="ideographTraditional"/>
      <w:lvlText w:val="%8、"/>
      <w:lvlJc w:val="left"/>
      <w:pPr>
        <w:tabs>
          <w:tab w:val="num" w:pos="4365"/>
        </w:tabs>
        <w:ind w:left="4365" w:hanging="480"/>
      </w:pPr>
    </w:lvl>
    <w:lvl w:ilvl="8" w:tplc="0409001B" w:tentative="1">
      <w:start w:val="1"/>
      <w:numFmt w:val="lowerRoman"/>
      <w:lvlText w:val="%9."/>
      <w:lvlJc w:val="right"/>
      <w:pPr>
        <w:tabs>
          <w:tab w:val="num" w:pos="4845"/>
        </w:tabs>
        <w:ind w:left="4845" w:hanging="480"/>
      </w:pPr>
    </w:lvl>
  </w:abstractNum>
  <w:abstractNum w:abstractNumId="11">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4">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5">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
    <w:nsid w:val="17D153E8"/>
    <w:multiLevelType w:val="hybridMultilevel"/>
    <w:tmpl w:val="CC50A7C2"/>
    <w:lvl w:ilvl="0" w:tplc="562089FE">
      <w:start w:val="1"/>
      <w:numFmt w:val="lowerLetter"/>
      <w:lvlRestart w:val="0"/>
      <w:lvlText w:val="(%1)"/>
      <w:lvlJc w:val="right"/>
      <w:pPr>
        <w:tabs>
          <w:tab w:val="num" w:pos="1531"/>
        </w:tabs>
        <w:ind w:left="1531" w:hanging="227"/>
      </w:pPr>
      <w:rPr>
        <w:rFonts w:ascii="Times New Roman" w:hAnsi="Times New Roman"/>
        <w:b w:val="0"/>
        <w:i w:val="0"/>
        <w:sz w:val="24"/>
      </w:rPr>
    </w:lvl>
    <w:lvl w:ilvl="1" w:tplc="2DC0A2E4">
      <w:start w:val="1"/>
      <w:numFmt w:val="lowerLetter"/>
      <w:lvlText w:val="(%2)"/>
      <w:lvlJc w:val="left"/>
      <w:pPr>
        <w:tabs>
          <w:tab w:val="num" w:pos="1305"/>
        </w:tabs>
        <w:ind w:left="1305" w:hanging="825"/>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19">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20">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1">
    <w:nsid w:val="1EAF66B6"/>
    <w:multiLevelType w:val="hybridMultilevel"/>
    <w:tmpl w:val="83908F4C"/>
    <w:lvl w:ilvl="0" w:tplc="5B1A8450">
      <w:start w:val="1"/>
      <w:numFmt w:val="lowerLetter"/>
      <w:lvlText w:val="（%1）"/>
      <w:lvlJc w:val="left"/>
      <w:pPr>
        <w:tabs>
          <w:tab w:val="num" w:pos="1245"/>
        </w:tabs>
        <w:ind w:left="1245" w:hanging="720"/>
      </w:pPr>
      <w:rPr>
        <w:rFonts w:hint="default"/>
      </w:rPr>
    </w:lvl>
    <w:lvl w:ilvl="1" w:tplc="04090019" w:tentative="1">
      <w:start w:val="1"/>
      <w:numFmt w:val="ideographTraditional"/>
      <w:lvlText w:val="%2、"/>
      <w:lvlJc w:val="left"/>
      <w:pPr>
        <w:tabs>
          <w:tab w:val="num" w:pos="1485"/>
        </w:tabs>
        <w:ind w:left="1485" w:hanging="480"/>
      </w:pPr>
    </w:lvl>
    <w:lvl w:ilvl="2" w:tplc="0409001B" w:tentative="1">
      <w:start w:val="1"/>
      <w:numFmt w:val="lowerRoman"/>
      <w:lvlText w:val="%3."/>
      <w:lvlJc w:val="right"/>
      <w:pPr>
        <w:tabs>
          <w:tab w:val="num" w:pos="1965"/>
        </w:tabs>
        <w:ind w:left="1965" w:hanging="480"/>
      </w:pPr>
    </w:lvl>
    <w:lvl w:ilvl="3" w:tplc="0409000F" w:tentative="1">
      <w:start w:val="1"/>
      <w:numFmt w:val="decimal"/>
      <w:lvlText w:val="%4."/>
      <w:lvlJc w:val="left"/>
      <w:pPr>
        <w:tabs>
          <w:tab w:val="num" w:pos="2445"/>
        </w:tabs>
        <w:ind w:left="2445" w:hanging="480"/>
      </w:pPr>
    </w:lvl>
    <w:lvl w:ilvl="4" w:tplc="04090019" w:tentative="1">
      <w:start w:val="1"/>
      <w:numFmt w:val="ideographTraditional"/>
      <w:lvlText w:val="%5、"/>
      <w:lvlJc w:val="left"/>
      <w:pPr>
        <w:tabs>
          <w:tab w:val="num" w:pos="2925"/>
        </w:tabs>
        <w:ind w:left="2925" w:hanging="480"/>
      </w:pPr>
    </w:lvl>
    <w:lvl w:ilvl="5" w:tplc="0409001B" w:tentative="1">
      <w:start w:val="1"/>
      <w:numFmt w:val="lowerRoman"/>
      <w:lvlText w:val="%6."/>
      <w:lvlJc w:val="right"/>
      <w:pPr>
        <w:tabs>
          <w:tab w:val="num" w:pos="3405"/>
        </w:tabs>
        <w:ind w:left="3405" w:hanging="480"/>
      </w:pPr>
    </w:lvl>
    <w:lvl w:ilvl="6" w:tplc="0409000F" w:tentative="1">
      <w:start w:val="1"/>
      <w:numFmt w:val="decimal"/>
      <w:lvlText w:val="%7."/>
      <w:lvlJc w:val="left"/>
      <w:pPr>
        <w:tabs>
          <w:tab w:val="num" w:pos="3885"/>
        </w:tabs>
        <w:ind w:left="3885" w:hanging="480"/>
      </w:pPr>
    </w:lvl>
    <w:lvl w:ilvl="7" w:tplc="04090019" w:tentative="1">
      <w:start w:val="1"/>
      <w:numFmt w:val="ideographTraditional"/>
      <w:lvlText w:val="%8、"/>
      <w:lvlJc w:val="left"/>
      <w:pPr>
        <w:tabs>
          <w:tab w:val="num" w:pos="4365"/>
        </w:tabs>
        <w:ind w:left="4365" w:hanging="480"/>
      </w:pPr>
    </w:lvl>
    <w:lvl w:ilvl="8" w:tplc="0409001B" w:tentative="1">
      <w:start w:val="1"/>
      <w:numFmt w:val="lowerRoman"/>
      <w:lvlText w:val="%9."/>
      <w:lvlJc w:val="right"/>
      <w:pPr>
        <w:tabs>
          <w:tab w:val="num" w:pos="4845"/>
        </w:tabs>
        <w:ind w:left="4845" w:hanging="480"/>
      </w:pPr>
    </w:lvl>
  </w:abstractNum>
  <w:abstractNum w:abstractNumId="22">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23">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24">
    <w:nsid w:val="22C87E69"/>
    <w:multiLevelType w:val="hybridMultilevel"/>
    <w:tmpl w:val="88DCEBAE"/>
    <w:lvl w:ilvl="0" w:tplc="562089FE">
      <w:start w:val="1"/>
      <w:numFmt w:val="lowerLetter"/>
      <w:lvlRestart w:val="0"/>
      <w:lvlText w:val="(%1)"/>
      <w:lvlJc w:val="right"/>
      <w:pPr>
        <w:tabs>
          <w:tab w:val="num" w:pos="2056"/>
        </w:tabs>
        <w:ind w:left="2056" w:hanging="227"/>
      </w:pPr>
      <w:rPr>
        <w:rFonts w:ascii="Times New Roman" w:hAnsi="Times New Roman"/>
        <w:b w:val="0"/>
        <w:i w:val="0"/>
        <w:sz w:val="24"/>
      </w:rPr>
    </w:lvl>
    <w:lvl w:ilvl="1" w:tplc="04090019" w:tentative="1">
      <w:start w:val="1"/>
      <w:numFmt w:val="ideographTraditional"/>
      <w:lvlText w:val="%2、"/>
      <w:lvlJc w:val="left"/>
      <w:pPr>
        <w:tabs>
          <w:tab w:val="num" w:pos="1485"/>
        </w:tabs>
        <w:ind w:left="1485" w:hanging="480"/>
      </w:pPr>
    </w:lvl>
    <w:lvl w:ilvl="2" w:tplc="0409001B" w:tentative="1">
      <w:start w:val="1"/>
      <w:numFmt w:val="lowerRoman"/>
      <w:lvlText w:val="%3."/>
      <w:lvlJc w:val="right"/>
      <w:pPr>
        <w:tabs>
          <w:tab w:val="num" w:pos="1965"/>
        </w:tabs>
        <w:ind w:left="1965" w:hanging="480"/>
      </w:pPr>
    </w:lvl>
    <w:lvl w:ilvl="3" w:tplc="0409000F" w:tentative="1">
      <w:start w:val="1"/>
      <w:numFmt w:val="decimal"/>
      <w:lvlText w:val="%4."/>
      <w:lvlJc w:val="left"/>
      <w:pPr>
        <w:tabs>
          <w:tab w:val="num" w:pos="2445"/>
        </w:tabs>
        <w:ind w:left="2445" w:hanging="480"/>
      </w:pPr>
    </w:lvl>
    <w:lvl w:ilvl="4" w:tplc="04090019" w:tentative="1">
      <w:start w:val="1"/>
      <w:numFmt w:val="ideographTraditional"/>
      <w:lvlText w:val="%5、"/>
      <w:lvlJc w:val="left"/>
      <w:pPr>
        <w:tabs>
          <w:tab w:val="num" w:pos="2925"/>
        </w:tabs>
        <w:ind w:left="2925" w:hanging="480"/>
      </w:pPr>
    </w:lvl>
    <w:lvl w:ilvl="5" w:tplc="0409001B" w:tentative="1">
      <w:start w:val="1"/>
      <w:numFmt w:val="lowerRoman"/>
      <w:lvlText w:val="%6."/>
      <w:lvlJc w:val="right"/>
      <w:pPr>
        <w:tabs>
          <w:tab w:val="num" w:pos="3405"/>
        </w:tabs>
        <w:ind w:left="3405" w:hanging="480"/>
      </w:pPr>
    </w:lvl>
    <w:lvl w:ilvl="6" w:tplc="0409000F" w:tentative="1">
      <w:start w:val="1"/>
      <w:numFmt w:val="decimal"/>
      <w:lvlText w:val="%7."/>
      <w:lvlJc w:val="left"/>
      <w:pPr>
        <w:tabs>
          <w:tab w:val="num" w:pos="3885"/>
        </w:tabs>
        <w:ind w:left="3885" w:hanging="480"/>
      </w:pPr>
    </w:lvl>
    <w:lvl w:ilvl="7" w:tplc="04090019" w:tentative="1">
      <w:start w:val="1"/>
      <w:numFmt w:val="ideographTraditional"/>
      <w:lvlText w:val="%8、"/>
      <w:lvlJc w:val="left"/>
      <w:pPr>
        <w:tabs>
          <w:tab w:val="num" w:pos="4365"/>
        </w:tabs>
        <w:ind w:left="4365" w:hanging="480"/>
      </w:pPr>
    </w:lvl>
    <w:lvl w:ilvl="8" w:tplc="0409001B" w:tentative="1">
      <w:start w:val="1"/>
      <w:numFmt w:val="lowerRoman"/>
      <w:lvlText w:val="%9."/>
      <w:lvlJc w:val="right"/>
      <w:pPr>
        <w:tabs>
          <w:tab w:val="num" w:pos="4845"/>
        </w:tabs>
        <w:ind w:left="4845" w:hanging="480"/>
      </w:pPr>
    </w:lvl>
  </w:abstractNum>
  <w:abstractNum w:abstractNumId="25">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27">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8">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9">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30">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31">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32">
    <w:nsid w:val="361D35F1"/>
    <w:multiLevelType w:val="hybridMultilevel"/>
    <w:tmpl w:val="5204D45C"/>
    <w:lvl w:ilvl="0" w:tplc="562089F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4">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35">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36">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37">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38">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9">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40">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41">
    <w:nsid w:val="441D4E85"/>
    <w:multiLevelType w:val="hybridMultilevel"/>
    <w:tmpl w:val="2D4E9370"/>
    <w:lvl w:ilvl="0" w:tplc="562089FE">
      <w:start w:val="1"/>
      <w:numFmt w:val="lowerLetter"/>
      <w:lvlRestart w:val="0"/>
      <w:lvlText w:val="(%1)"/>
      <w:lvlJc w:val="right"/>
      <w:pPr>
        <w:tabs>
          <w:tab w:val="num" w:pos="2056"/>
        </w:tabs>
        <w:ind w:left="2056" w:hanging="227"/>
      </w:pPr>
      <w:rPr>
        <w:rFonts w:ascii="Times New Roman" w:hAnsi="Times New Roman"/>
        <w:b w:val="0"/>
        <w:i w:val="0"/>
        <w:sz w:val="24"/>
      </w:rPr>
    </w:lvl>
    <w:lvl w:ilvl="1" w:tplc="04090019">
      <w:start w:val="1"/>
      <w:numFmt w:val="ideographTraditional"/>
      <w:lvlText w:val="%2、"/>
      <w:lvlJc w:val="left"/>
      <w:pPr>
        <w:tabs>
          <w:tab w:val="num" w:pos="1485"/>
        </w:tabs>
        <w:ind w:left="1485" w:hanging="480"/>
      </w:pPr>
    </w:lvl>
    <w:lvl w:ilvl="2" w:tplc="0409001B" w:tentative="1">
      <w:start w:val="1"/>
      <w:numFmt w:val="lowerRoman"/>
      <w:lvlText w:val="%3."/>
      <w:lvlJc w:val="right"/>
      <w:pPr>
        <w:tabs>
          <w:tab w:val="num" w:pos="1965"/>
        </w:tabs>
        <w:ind w:left="1965" w:hanging="480"/>
      </w:pPr>
    </w:lvl>
    <w:lvl w:ilvl="3" w:tplc="0409000F" w:tentative="1">
      <w:start w:val="1"/>
      <w:numFmt w:val="decimal"/>
      <w:lvlText w:val="%4."/>
      <w:lvlJc w:val="left"/>
      <w:pPr>
        <w:tabs>
          <w:tab w:val="num" w:pos="2445"/>
        </w:tabs>
        <w:ind w:left="2445" w:hanging="480"/>
      </w:pPr>
    </w:lvl>
    <w:lvl w:ilvl="4" w:tplc="04090019" w:tentative="1">
      <w:start w:val="1"/>
      <w:numFmt w:val="ideographTraditional"/>
      <w:lvlText w:val="%5、"/>
      <w:lvlJc w:val="left"/>
      <w:pPr>
        <w:tabs>
          <w:tab w:val="num" w:pos="2925"/>
        </w:tabs>
        <w:ind w:left="2925" w:hanging="480"/>
      </w:pPr>
    </w:lvl>
    <w:lvl w:ilvl="5" w:tplc="0409001B" w:tentative="1">
      <w:start w:val="1"/>
      <w:numFmt w:val="lowerRoman"/>
      <w:lvlText w:val="%6."/>
      <w:lvlJc w:val="right"/>
      <w:pPr>
        <w:tabs>
          <w:tab w:val="num" w:pos="3405"/>
        </w:tabs>
        <w:ind w:left="3405" w:hanging="480"/>
      </w:pPr>
    </w:lvl>
    <w:lvl w:ilvl="6" w:tplc="0409000F" w:tentative="1">
      <w:start w:val="1"/>
      <w:numFmt w:val="decimal"/>
      <w:lvlText w:val="%7."/>
      <w:lvlJc w:val="left"/>
      <w:pPr>
        <w:tabs>
          <w:tab w:val="num" w:pos="3885"/>
        </w:tabs>
        <w:ind w:left="3885" w:hanging="480"/>
      </w:pPr>
    </w:lvl>
    <w:lvl w:ilvl="7" w:tplc="04090019" w:tentative="1">
      <w:start w:val="1"/>
      <w:numFmt w:val="ideographTraditional"/>
      <w:lvlText w:val="%8、"/>
      <w:lvlJc w:val="left"/>
      <w:pPr>
        <w:tabs>
          <w:tab w:val="num" w:pos="4365"/>
        </w:tabs>
        <w:ind w:left="4365" w:hanging="480"/>
      </w:pPr>
    </w:lvl>
    <w:lvl w:ilvl="8" w:tplc="0409001B" w:tentative="1">
      <w:start w:val="1"/>
      <w:numFmt w:val="lowerRoman"/>
      <w:lvlText w:val="%9."/>
      <w:lvlJc w:val="right"/>
      <w:pPr>
        <w:tabs>
          <w:tab w:val="num" w:pos="4845"/>
        </w:tabs>
        <w:ind w:left="4845" w:hanging="480"/>
      </w:pPr>
    </w:lvl>
  </w:abstractNum>
  <w:abstractNum w:abstractNumId="42">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43">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4">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5">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6">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7">
    <w:nsid w:val="4B845CA5"/>
    <w:multiLevelType w:val="hybridMultilevel"/>
    <w:tmpl w:val="C66EFAB0"/>
    <w:lvl w:ilvl="0" w:tplc="562089FE">
      <w:start w:val="1"/>
      <w:numFmt w:val="lowerLetter"/>
      <w:lvlRestart w:val="0"/>
      <w:lvlText w:val="(%1)"/>
      <w:lvlJc w:val="right"/>
      <w:pPr>
        <w:tabs>
          <w:tab w:val="num" w:pos="2056"/>
        </w:tabs>
        <w:ind w:left="2056" w:hanging="227"/>
      </w:pPr>
      <w:rPr>
        <w:rFonts w:ascii="Times New Roman" w:hAnsi="Times New Roman"/>
        <w:b w:val="0"/>
        <w:i w:val="0"/>
        <w:sz w:val="24"/>
      </w:rPr>
    </w:lvl>
    <w:lvl w:ilvl="1" w:tplc="04090019">
      <w:start w:val="1"/>
      <w:numFmt w:val="ideographTraditional"/>
      <w:lvlText w:val="%2、"/>
      <w:lvlJc w:val="left"/>
      <w:pPr>
        <w:tabs>
          <w:tab w:val="num" w:pos="1485"/>
        </w:tabs>
        <w:ind w:left="1485" w:hanging="480"/>
      </w:pPr>
    </w:lvl>
    <w:lvl w:ilvl="2" w:tplc="0409001B" w:tentative="1">
      <w:start w:val="1"/>
      <w:numFmt w:val="lowerRoman"/>
      <w:lvlText w:val="%3."/>
      <w:lvlJc w:val="right"/>
      <w:pPr>
        <w:tabs>
          <w:tab w:val="num" w:pos="1965"/>
        </w:tabs>
        <w:ind w:left="1965" w:hanging="480"/>
      </w:pPr>
    </w:lvl>
    <w:lvl w:ilvl="3" w:tplc="0409000F" w:tentative="1">
      <w:start w:val="1"/>
      <w:numFmt w:val="decimal"/>
      <w:lvlText w:val="%4."/>
      <w:lvlJc w:val="left"/>
      <w:pPr>
        <w:tabs>
          <w:tab w:val="num" w:pos="2445"/>
        </w:tabs>
        <w:ind w:left="2445" w:hanging="480"/>
      </w:pPr>
    </w:lvl>
    <w:lvl w:ilvl="4" w:tplc="04090019" w:tentative="1">
      <w:start w:val="1"/>
      <w:numFmt w:val="ideographTraditional"/>
      <w:lvlText w:val="%5、"/>
      <w:lvlJc w:val="left"/>
      <w:pPr>
        <w:tabs>
          <w:tab w:val="num" w:pos="2925"/>
        </w:tabs>
        <w:ind w:left="2925" w:hanging="480"/>
      </w:pPr>
    </w:lvl>
    <w:lvl w:ilvl="5" w:tplc="0409001B" w:tentative="1">
      <w:start w:val="1"/>
      <w:numFmt w:val="lowerRoman"/>
      <w:lvlText w:val="%6."/>
      <w:lvlJc w:val="right"/>
      <w:pPr>
        <w:tabs>
          <w:tab w:val="num" w:pos="3405"/>
        </w:tabs>
        <w:ind w:left="3405" w:hanging="480"/>
      </w:pPr>
    </w:lvl>
    <w:lvl w:ilvl="6" w:tplc="0409000F" w:tentative="1">
      <w:start w:val="1"/>
      <w:numFmt w:val="decimal"/>
      <w:lvlText w:val="%7."/>
      <w:lvlJc w:val="left"/>
      <w:pPr>
        <w:tabs>
          <w:tab w:val="num" w:pos="3885"/>
        </w:tabs>
        <w:ind w:left="3885" w:hanging="480"/>
      </w:pPr>
    </w:lvl>
    <w:lvl w:ilvl="7" w:tplc="04090019" w:tentative="1">
      <w:start w:val="1"/>
      <w:numFmt w:val="ideographTraditional"/>
      <w:lvlText w:val="%8、"/>
      <w:lvlJc w:val="left"/>
      <w:pPr>
        <w:tabs>
          <w:tab w:val="num" w:pos="4365"/>
        </w:tabs>
        <w:ind w:left="4365" w:hanging="480"/>
      </w:pPr>
    </w:lvl>
    <w:lvl w:ilvl="8" w:tplc="0409001B" w:tentative="1">
      <w:start w:val="1"/>
      <w:numFmt w:val="lowerRoman"/>
      <w:lvlText w:val="%9."/>
      <w:lvlJc w:val="right"/>
      <w:pPr>
        <w:tabs>
          <w:tab w:val="num" w:pos="4845"/>
        </w:tabs>
        <w:ind w:left="4845" w:hanging="480"/>
      </w:pPr>
    </w:lvl>
  </w:abstractNum>
  <w:abstractNum w:abstractNumId="48">
    <w:nsid w:val="4C4E059F"/>
    <w:multiLevelType w:val="hybridMultilevel"/>
    <w:tmpl w:val="B6AEC11C"/>
    <w:lvl w:ilvl="0" w:tplc="562089F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50">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51">
    <w:nsid w:val="4DCB3725"/>
    <w:multiLevelType w:val="hybridMultilevel"/>
    <w:tmpl w:val="72FA52CE"/>
    <w:lvl w:ilvl="0" w:tplc="562089F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53">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4">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55">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56">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57">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58">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59">
    <w:nsid w:val="565C4AFA"/>
    <w:multiLevelType w:val="hybridMultilevel"/>
    <w:tmpl w:val="40D0F904"/>
    <w:lvl w:ilvl="0" w:tplc="562089F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0">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61">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2">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63">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64">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5">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6">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7">
    <w:nsid w:val="5DB70211"/>
    <w:multiLevelType w:val="hybridMultilevel"/>
    <w:tmpl w:val="E222D122"/>
    <w:lvl w:ilvl="0" w:tplc="117AD4D0">
      <w:start w:val="1"/>
      <w:numFmt w:val="lowerLetter"/>
      <w:lvlText w:val="（%1）"/>
      <w:lvlJc w:val="left"/>
      <w:pPr>
        <w:tabs>
          <w:tab w:val="num" w:pos="1245"/>
        </w:tabs>
        <w:ind w:left="1245" w:hanging="720"/>
      </w:pPr>
      <w:rPr>
        <w:rFonts w:hint="default"/>
      </w:rPr>
    </w:lvl>
    <w:lvl w:ilvl="1" w:tplc="04090019" w:tentative="1">
      <w:start w:val="1"/>
      <w:numFmt w:val="ideographTraditional"/>
      <w:lvlText w:val="%2、"/>
      <w:lvlJc w:val="left"/>
      <w:pPr>
        <w:tabs>
          <w:tab w:val="num" w:pos="1485"/>
        </w:tabs>
        <w:ind w:left="1485" w:hanging="480"/>
      </w:pPr>
    </w:lvl>
    <w:lvl w:ilvl="2" w:tplc="0409001B" w:tentative="1">
      <w:start w:val="1"/>
      <w:numFmt w:val="lowerRoman"/>
      <w:lvlText w:val="%3."/>
      <w:lvlJc w:val="right"/>
      <w:pPr>
        <w:tabs>
          <w:tab w:val="num" w:pos="1965"/>
        </w:tabs>
        <w:ind w:left="1965" w:hanging="480"/>
      </w:pPr>
    </w:lvl>
    <w:lvl w:ilvl="3" w:tplc="0409000F" w:tentative="1">
      <w:start w:val="1"/>
      <w:numFmt w:val="decimal"/>
      <w:lvlText w:val="%4."/>
      <w:lvlJc w:val="left"/>
      <w:pPr>
        <w:tabs>
          <w:tab w:val="num" w:pos="2445"/>
        </w:tabs>
        <w:ind w:left="2445" w:hanging="480"/>
      </w:pPr>
    </w:lvl>
    <w:lvl w:ilvl="4" w:tplc="04090019" w:tentative="1">
      <w:start w:val="1"/>
      <w:numFmt w:val="ideographTraditional"/>
      <w:lvlText w:val="%5、"/>
      <w:lvlJc w:val="left"/>
      <w:pPr>
        <w:tabs>
          <w:tab w:val="num" w:pos="2925"/>
        </w:tabs>
        <w:ind w:left="2925" w:hanging="480"/>
      </w:pPr>
    </w:lvl>
    <w:lvl w:ilvl="5" w:tplc="0409001B" w:tentative="1">
      <w:start w:val="1"/>
      <w:numFmt w:val="lowerRoman"/>
      <w:lvlText w:val="%6."/>
      <w:lvlJc w:val="right"/>
      <w:pPr>
        <w:tabs>
          <w:tab w:val="num" w:pos="3405"/>
        </w:tabs>
        <w:ind w:left="3405" w:hanging="480"/>
      </w:pPr>
    </w:lvl>
    <w:lvl w:ilvl="6" w:tplc="0409000F" w:tentative="1">
      <w:start w:val="1"/>
      <w:numFmt w:val="decimal"/>
      <w:lvlText w:val="%7."/>
      <w:lvlJc w:val="left"/>
      <w:pPr>
        <w:tabs>
          <w:tab w:val="num" w:pos="3885"/>
        </w:tabs>
        <w:ind w:left="3885" w:hanging="480"/>
      </w:pPr>
    </w:lvl>
    <w:lvl w:ilvl="7" w:tplc="04090019" w:tentative="1">
      <w:start w:val="1"/>
      <w:numFmt w:val="ideographTraditional"/>
      <w:lvlText w:val="%8、"/>
      <w:lvlJc w:val="left"/>
      <w:pPr>
        <w:tabs>
          <w:tab w:val="num" w:pos="4365"/>
        </w:tabs>
        <w:ind w:left="4365" w:hanging="480"/>
      </w:pPr>
    </w:lvl>
    <w:lvl w:ilvl="8" w:tplc="0409001B" w:tentative="1">
      <w:start w:val="1"/>
      <w:numFmt w:val="lowerRoman"/>
      <w:lvlText w:val="%9."/>
      <w:lvlJc w:val="right"/>
      <w:pPr>
        <w:tabs>
          <w:tab w:val="num" w:pos="4845"/>
        </w:tabs>
        <w:ind w:left="4845" w:hanging="480"/>
      </w:pPr>
    </w:lvl>
  </w:abstractNum>
  <w:abstractNum w:abstractNumId="68">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69">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70">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1">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72">
    <w:nsid w:val="63B26160"/>
    <w:multiLevelType w:val="hybridMultilevel"/>
    <w:tmpl w:val="9B28B54C"/>
    <w:lvl w:ilvl="0" w:tplc="04090011">
      <w:start w:val="1"/>
      <w:numFmt w:val="upperLetter"/>
      <w:lvlText w:val="%1."/>
      <w:lvlJc w:val="left"/>
      <w:pPr>
        <w:tabs>
          <w:tab w:val="num" w:pos="480"/>
        </w:tabs>
        <w:ind w:left="480" w:hanging="480"/>
      </w:pPr>
      <w:rPr>
        <w:rFonts w:hint="default"/>
      </w:rPr>
    </w:lvl>
    <w:lvl w:ilvl="1" w:tplc="ABBCC582">
      <w:start w:val="2"/>
      <w:numFmt w:val="upperLetter"/>
      <w:lvlText w:val="%2."/>
      <w:lvlJc w:val="left"/>
      <w:pPr>
        <w:tabs>
          <w:tab w:val="num" w:pos="1500"/>
        </w:tabs>
        <w:ind w:left="1500" w:hanging="10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3">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74">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75">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6">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77">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78">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9">
    <w:nsid w:val="6DB745CA"/>
    <w:multiLevelType w:val="hybridMultilevel"/>
    <w:tmpl w:val="381E6560"/>
    <w:lvl w:ilvl="0" w:tplc="562089F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0">
    <w:nsid w:val="6DEE2482"/>
    <w:multiLevelType w:val="hybridMultilevel"/>
    <w:tmpl w:val="8514CC4A"/>
    <w:lvl w:ilvl="0" w:tplc="562089FE">
      <w:start w:val="1"/>
      <w:numFmt w:val="lowerLetter"/>
      <w:lvlRestart w:val="0"/>
      <w:lvlText w:val="(%1)"/>
      <w:lvlJc w:val="right"/>
      <w:pPr>
        <w:tabs>
          <w:tab w:val="num" w:pos="2056"/>
        </w:tabs>
        <w:ind w:left="2056" w:hanging="227"/>
      </w:pPr>
      <w:rPr>
        <w:rFonts w:ascii="Times New Roman" w:hAnsi="Times New Roman"/>
        <w:b w:val="0"/>
        <w:i w:val="0"/>
        <w:sz w:val="24"/>
      </w:rPr>
    </w:lvl>
    <w:lvl w:ilvl="1" w:tplc="04090019">
      <w:start w:val="1"/>
      <w:numFmt w:val="ideographTraditional"/>
      <w:lvlText w:val="%2、"/>
      <w:lvlJc w:val="left"/>
      <w:pPr>
        <w:tabs>
          <w:tab w:val="num" w:pos="1485"/>
        </w:tabs>
        <w:ind w:left="1485" w:hanging="480"/>
      </w:pPr>
    </w:lvl>
    <w:lvl w:ilvl="2" w:tplc="0409001B" w:tentative="1">
      <w:start w:val="1"/>
      <w:numFmt w:val="lowerRoman"/>
      <w:lvlText w:val="%3."/>
      <w:lvlJc w:val="right"/>
      <w:pPr>
        <w:tabs>
          <w:tab w:val="num" w:pos="1965"/>
        </w:tabs>
        <w:ind w:left="1965" w:hanging="480"/>
      </w:pPr>
    </w:lvl>
    <w:lvl w:ilvl="3" w:tplc="0409000F" w:tentative="1">
      <w:start w:val="1"/>
      <w:numFmt w:val="decimal"/>
      <w:lvlText w:val="%4."/>
      <w:lvlJc w:val="left"/>
      <w:pPr>
        <w:tabs>
          <w:tab w:val="num" w:pos="2445"/>
        </w:tabs>
        <w:ind w:left="2445" w:hanging="480"/>
      </w:pPr>
    </w:lvl>
    <w:lvl w:ilvl="4" w:tplc="04090019" w:tentative="1">
      <w:start w:val="1"/>
      <w:numFmt w:val="ideographTraditional"/>
      <w:lvlText w:val="%5、"/>
      <w:lvlJc w:val="left"/>
      <w:pPr>
        <w:tabs>
          <w:tab w:val="num" w:pos="2925"/>
        </w:tabs>
        <w:ind w:left="2925" w:hanging="480"/>
      </w:pPr>
    </w:lvl>
    <w:lvl w:ilvl="5" w:tplc="0409001B" w:tentative="1">
      <w:start w:val="1"/>
      <w:numFmt w:val="lowerRoman"/>
      <w:lvlText w:val="%6."/>
      <w:lvlJc w:val="right"/>
      <w:pPr>
        <w:tabs>
          <w:tab w:val="num" w:pos="3405"/>
        </w:tabs>
        <w:ind w:left="3405" w:hanging="480"/>
      </w:pPr>
    </w:lvl>
    <w:lvl w:ilvl="6" w:tplc="0409000F" w:tentative="1">
      <w:start w:val="1"/>
      <w:numFmt w:val="decimal"/>
      <w:lvlText w:val="%7."/>
      <w:lvlJc w:val="left"/>
      <w:pPr>
        <w:tabs>
          <w:tab w:val="num" w:pos="3885"/>
        </w:tabs>
        <w:ind w:left="3885" w:hanging="480"/>
      </w:pPr>
    </w:lvl>
    <w:lvl w:ilvl="7" w:tplc="04090019" w:tentative="1">
      <w:start w:val="1"/>
      <w:numFmt w:val="ideographTraditional"/>
      <w:lvlText w:val="%8、"/>
      <w:lvlJc w:val="left"/>
      <w:pPr>
        <w:tabs>
          <w:tab w:val="num" w:pos="4365"/>
        </w:tabs>
        <w:ind w:left="4365" w:hanging="480"/>
      </w:pPr>
    </w:lvl>
    <w:lvl w:ilvl="8" w:tplc="0409001B" w:tentative="1">
      <w:start w:val="1"/>
      <w:numFmt w:val="lowerRoman"/>
      <w:lvlText w:val="%9."/>
      <w:lvlJc w:val="right"/>
      <w:pPr>
        <w:tabs>
          <w:tab w:val="num" w:pos="4845"/>
        </w:tabs>
        <w:ind w:left="4845" w:hanging="480"/>
      </w:pPr>
    </w:lvl>
  </w:abstractNum>
  <w:abstractNum w:abstractNumId="81">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2">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3">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4">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5">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86">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8">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89">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90">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91">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2">
    <w:nsid w:val="7E8035EA"/>
    <w:multiLevelType w:val="singleLevel"/>
    <w:tmpl w:val="B4A25A9E"/>
    <w:lvl w:ilvl="0">
      <w:start w:val="1"/>
      <w:numFmt w:val="lowerLetter"/>
      <w:lvlText w:val="(%1)"/>
      <w:legacy w:legacy="1" w:legacySpace="0" w:legacyIndent="425"/>
      <w:lvlJc w:val="left"/>
      <w:pPr>
        <w:ind w:left="1446" w:hanging="425"/>
      </w:pPr>
    </w:lvl>
  </w:abstractNum>
  <w:abstractNum w:abstractNumId="93">
    <w:nsid w:val="7F605C64"/>
    <w:multiLevelType w:val="hybridMultilevel"/>
    <w:tmpl w:val="84EE03F8"/>
    <w:lvl w:ilvl="0" w:tplc="562089F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55"/>
  </w:num>
  <w:num w:numId="2">
    <w:abstractNumId w:val="35"/>
  </w:num>
  <w:num w:numId="3">
    <w:abstractNumId w:val="29"/>
  </w:num>
  <w:num w:numId="4">
    <w:abstractNumId w:val="30"/>
  </w:num>
  <w:num w:numId="5">
    <w:abstractNumId w:val="87"/>
  </w:num>
  <w:num w:numId="6">
    <w:abstractNumId w:val="0"/>
  </w:num>
  <w:num w:numId="7">
    <w:abstractNumId w:val="45"/>
  </w:num>
  <w:num w:numId="8">
    <w:abstractNumId w:val="27"/>
  </w:num>
  <w:num w:numId="9">
    <w:abstractNumId w:val="9"/>
  </w:num>
  <w:num w:numId="10">
    <w:abstractNumId w:val="15"/>
  </w:num>
  <w:num w:numId="11">
    <w:abstractNumId w:val="81"/>
  </w:num>
  <w:num w:numId="12">
    <w:abstractNumId w:val="19"/>
  </w:num>
  <w:num w:numId="13">
    <w:abstractNumId w:val="85"/>
  </w:num>
  <w:num w:numId="14">
    <w:abstractNumId w:val="52"/>
  </w:num>
  <w:num w:numId="15">
    <w:abstractNumId w:val="56"/>
  </w:num>
  <w:num w:numId="16">
    <w:abstractNumId w:val="4"/>
  </w:num>
  <w:num w:numId="17">
    <w:abstractNumId w:val="91"/>
  </w:num>
  <w:num w:numId="18">
    <w:abstractNumId w:val="78"/>
  </w:num>
  <w:num w:numId="19">
    <w:abstractNumId w:val="75"/>
  </w:num>
  <w:num w:numId="20">
    <w:abstractNumId w:val="6"/>
  </w:num>
  <w:num w:numId="21">
    <w:abstractNumId w:val="54"/>
  </w:num>
  <w:num w:numId="22">
    <w:abstractNumId w:val="58"/>
  </w:num>
  <w:num w:numId="23">
    <w:abstractNumId w:val="89"/>
  </w:num>
  <w:num w:numId="24">
    <w:abstractNumId w:val="68"/>
  </w:num>
  <w:num w:numId="25">
    <w:abstractNumId w:val="65"/>
  </w:num>
  <w:num w:numId="26">
    <w:abstractNumId w:val="44"/>
  </w:num>
  <w:num w:numId="27">
    <w:abstractNumId w:val="12"/>
  </w:num>
  <w:num w:numId="28">
    <w:abstractNumId w:val="8"/>
  </w:num>
  <w:num w:numId="29">
    <w:abstractNumId w:val="92"/>
  </w:num>
  <w:num w:numId="30">
    <w:abstractNumId w:val="1"/>
  </w:num>
  <w:num w:numId="31">
    <w:abstractNumId w:val="18"/>
  </w:num>
  <w:num w:numId="32">
    <w:abstractNumId w:val="84"/>
  </w:num>
  <w:num w:numId="33">
    <w:abstractNumId w:val="28"/>
  </w:num>
  <w:num w:numId="34">
    <w:abstractNumId w:val="74"/>
  </w:num>
  <w:num w:numId="35">
    <w:abstractNumId w:val="73"/>
  </w:num>
  <w:num w:numId="36">
    <w:abstractNumId w:val="36"/>
  </w:num>
  <w:num w:numId="37">
    <w:abstractNumId w:val="60"/>
  </w:num>
  <w:num w:numId="38">
    <w:abstractNumId w:val="64"/>
  </w:num>
  <w:num w:numId="39">
    <w:abstractNumId w:val="82"/>
  </w:num>
  <w:num w:numId="40">
    <w:abstractNumId w:val="5"/>
  </w:num>
  <w:num w:numId="41">
    <w:abstractNumId w:val="33"/>
  </w:num>
  <w:num w:numId="42">
    <w:abstractNumId w:val="90"/>
  </w:num>
  <w:num w:numId="43">
    <w:abstractNumId w:val="63"/>
  </w:num>
  <w:num w:numId="44">
    <w:abstractNumId w:val="76"/>
  </w:num>
  <w:num w:numId="45">
    <w:abstractNumId w:val="26"/>
  </w:num>
  <w:num w:numId="46">
    <w:abstractNumId w:val="34"/>
  </w:num>
  <w:num w:numId="47">
    <w:abstractNumId w:val="14"/>
  </w:num>
  <w:num w:numId="48">
    <w:abstractNumId w:val="69"/>
  </w:num>
  <w:num w:numId="49">
    <w:abstractNumId w:val="61"/>
  </w:num>
  <w:num w:numId="50">
    <w:abstractNumId w:val="38"/>
  </w:num>
  <w:num w:numId="51">
    <w:abstractNumId w:val="16"/>
  </w:num>
  <w:num w:numId="52">
    <w:abstractNumId w:val="62"/>
  </w:num>
  <w:num w:numId="53">
    <w:abstractNumId w:val="13"/>
  </w:num>
  <w:num w:numId="54">
    <w:abstractNumId w:val="37"/>
  </w:num>
  <w:num w:numId="55">
    <w:abstractNumId w:val="49"/>
  </w:num>
  <w:num w:numId="56">
    <w:abstractNumId w:val="88"/>
  </w:num>
  <w:num w:numId="57">
    <w:abstractNumId w:val="57"/>
  </w:num>
  <w:num w:numId="58">
    <w:abstractNumId w:val="39"/>
  </w:num>
  <w:num w:numId="59">
    <w:abstractNumId w:val="31"/>
  </w:num>
  <w:num w:numId="60">
    <w:abstractNumId w:val="3"/>
  </w:num>
  <w:num w:numId="61">
    <w:abstractNumId w:val="50"/>
  </w:num>
  <w:num w:numId="62">
    <w:abstractNumId w:val="22"/>
  </w:num>
  <w:num w:numId="63">
    <w:abstractNumId w:val="71"/>
  </w:num>
  <w:num w:numId="64">
    <w:abstractNumId w:val="70"/>
  </w:num>
  <w:num w:numId="65">
    <w:abstractNumId w:val="2"/>
  </w:num>
  <w:num w:numId="66">
    <w:abstractNumId w:val="53"/>
  </w:num>
  <w:num w:numId="67">
    <w:abstractNumId w:val="20"/>
  </w:num>
  <w:num w:numId="68">
    <w:abstractNumId w:val="46"/>
  </w:num>
  <w:num w:numId="69">
    <w:abstractNumId w:val="11"/>
  </w:num>
  <w:num w:numId="70">
    <w:abstractNumId w:val="66"/>
  </w:num>
  <w:num w:numId="71">
    <w:abstractNumId w:val="43"/>
  </w:num>
  <w:num w:numId="72">
    <w:abstractNumId w:val="83"/>
  </w:num>
  <w:num w:numId="73">
    <w:abstractNumId w:val="77"/>
  </w:num>
  <w:num w:numId="74">
    <w:abstractNumId w:val="23"/>
  </w:num>
  <w:num w:numId="75">
    <w:abstractNumId w:val="40"/>
  </w:num>
  <w:num w:numId="76">
    <w:abstractNumId w:val="42"/>
  </w:num>
  <w:num w:numId="77">
    <w:abstractNumId w:val="25"/>
  </w:num>
  <w:num w:numId="78">
    <w:abstractNumId w:val="86"/>
  </w:num>
  <w:num w:numId="79">
    <w:abstractNumId w:val="72"/>
  </w:num>
  <w:num w:numId="80">
    <w:abstractNumId w:val="7"/>
  </w:num>
  <w:num w:numId="81">
    <w:abstractNumId w:val="21"/>
  </w:num>
  <w:num w:numId="82">
    <w:abstractNumId w:val="67"/>
  </w:num>
  <w:num w:numId="83">
    <w:abstractNumId w:val="32"/>
  </w:num>
  <w:num w:numId="84">
    <w:abstractNumId w:val="24"/>
  </w:num>
  <w:num w:numId="85">
    <w:abstractNumId w:val="10"/>
  </w:num>
  <w:num w:numId="86">
    <w:abstractNumId w:val="17"/>
  </w:num>
  <w:num w:numId="87">
    <w:abstractNumId w:val="93"/>
  </w:num>
  <w:num w:numId="88">
    <w:abstractNumId w:val="41"/>
  </w:num>
  <w:num w:numId="89">
    <w:abstractNumId w:val="48"/>
  </w:num>
  <w:num w:numId="90">
    <w:abstractNumId w:val="80"/>
  </w:num>
  <w:num w:numId="91">
    <w:abstractNumId w:val="59"/>
  </w:num>
  <w:num w:numId="92">
    <w:abstractNumId w:val="47"/>
  </w:num>
  <w:num w:numId="93">
    <w:abstractNumId w:val="79"/>
  </w:num>
  <w:num w:numId="94">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customStyle="1" w:styleId="a4">
    <w:name w:val="横眉"/>
    <w:basedOn w:val="Header"/>
    <w:autoRedefine/>
    <w:pPr>
      <w:tabs>
        <w:tab w:val="left" w:pos="1202"/>
      </w:tabs>
      <w:snapToGrid/>
      <w:spacing w:line="160" w:lineRule="exact"/>
    </w:pPr>
    <w:rPr>
      <w:snapToGrid/>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overflowPunct/>
      <w:spacing w:line="240" w:lineRule="auto"/>
      <w:jc w:val="left"/>
    </w:pPr>
    <w:rPr>
      <w:rFonts w:eastAsia="KaiTi_GB2312"/>
      <w:spacing w:val="0"/>
      <w:lang w:val="en-GB" w:eastAsia="en-US"/>
    </w:rPr>
  </w:style>
  <w:style w:type="character" w:styleId="PageNumber">
    <w:name w:val="page number"/>
    <w:semiHidden/>
    <w:rPr>
      <w:rFonts w:ascii="Times New Roman" w:hAnsi="Times New Roman"/>
      <w:spacing w:val="0"/>
      <w:kern w:val="0"/>
      <w:sz w:val="24"/>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正文缩进"/>
    <w:basedOn w:val="Normal"/>
    <w:pPr>
      <w:ind w:left="1021" w:firstLine="510"/>
    </w:p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英文本"/>
    <w:basedOn w:val="EndnoteText"/>
    <w:pPr>
      <w:keepLines w:val="0"/>
      <w:overflowPunct/>
      <w:spacing w:after="120" w:line="240" w:lineRule="auto"/>
      <w:ind w:firstLine="0"/>
      <w:jc w:val="left"/>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960</Words>
  <Characters>5477</Characters>
  <Application>Microsoft Office Word</Application>
  <DocSecurity>4</DocSecurity>
  <Lines>45</Lines>
  <Paragraphs>10</Paragraphs>
  <ScaleCrop>false</ScaleCrop>
  <HeadingPairs>
    <vt:vector size="4" baseType="variant">
      <vt:variant>
        <vt:lpstr>题目</vt:lpstr>
      </vt:variant>
      <vt:variant>
        <vt:i4>1</vt:i4>
      </vt:variant>
      <vt:variant>
        <vt:lpstr>标题</vt:lpstr>
      </vt:variant>
      <vt:variant>
        <vt:i4>7</vt:i4>
      </vt:variant>
    </vt:vector>
  </HeadingPairs>
  <TitlesOfParts>
    <vt:vector size="8" baseType="lpstr">
      <vt:lpstr>禁止酷刑委员会</vt:lpstr>
      <vt:lpstr>    审议缔约国根据《公约》第19条提交的报告</vt:lpstr>
      <vt:lpstr>        禁止酷刑委员会的结论和建议</vt:lpstr>
      <vt:lpstr>        尼 泊 尔</vt:lpstr>
      <vt:lpstr>        A.  导  言</vt:lpstr>
      <vt:lpstr>        B.  积极方面</vt:lpstr>
      <vt:lpstr>        C.  阻碍实施《公约》的因素和困难</vt:lpstr>
      <vt:lpstr>        D.  关注的问题和建议</vt:lpstr>
    </vt:vector>
  </TitlesOfParts>
  <Company>Chinese Unit - GE</Company>
  <LinksUpToDate>false</LinksUpToDate>
  <CharactersWithSpaces>6726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禁止酷刑委员会</dc:title>
  <dc:subject/>
  <dc:creator>CSD</dc:creator>
  <cp:keywords/>
  <dc:description>禁止酷刑和其他残忍、不人道或有辱人格的待遇或处罚公约</dc:description>
  <cp:lastModifiedBy>TIAN</cp:lastModifiedBy>
  <cp:revision>2</cp:revision>
  <cp:lastPrinted>2007-04-20T07:46:00Z</cp:lastPrinted>
  <dcterms:created xsi:type="dcterms:W3CDTF">2007-04-20T07:49:00Z</dcterms:created>
  <dcterms:modified xsi:type="dcterms:W3CDTF">2007-04-20T07:49:00Z</dcterms:modified>
  <cp:category>CAT</cp:category>
</cp:coreProperties>
</file>