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4F9A1F" w14:textId="77777777" w:rsidR="00907D71" w:rsidRPr="00D43930" w:rsidRDefault="00907D71" w:rsidP="00907D71">
      <w:pPr>
        <w:spacing w:line="240" w:lineRule="auto"/>
        <w:rPr>
          <w:sz w:val="6"/>
          <w:lang w:eastAsia="zh-CN"/>
        </w:rPr>
        <w:sectPr w:rsidR="00907D71" w:rsidRPr="00D43930" w:rsidSect="00005E2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D43930">
        <w:rPr>
          <w:rStyle w:val="CommentReference"/>
          <w:szCs w:val="20"/>
        </w:rPr>
        <w:commentReference w:id="0"/>
      </w:r>
    </w:p>
    <w:p w14:paraId="222847C6" w14:textId="77777777" w:rsidR="00005E27" w:rsidRPr="00D43930" w:rsidRDefault="00005E27" w:rsidP="00D439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snapToGrid w:val="0"/>
          <w:lang w:eastAsia="zh-CN"/>
        </w:rPr>
      </w:pPr>
      <w:r w:rsidRPr="00D43930">
        <w:rPr>
          <w:snapToGrid w:val="0"/>
          <w:lang w:eastAsia="zh-CN"/>
        </w:rPr>
        <w:t>Comité para la Eliminación de la Discriminación contra la Mujer</w:t>
      </w:r>
    </w:p>
    <w:p w14:paraId="7E56491F" w14:textId="77777777" w:rsidR="00005E27" w:rsidRPr="00A75E1A" w:rsidRDefault="00005E27" w:rsidP="00005E27">
      <w:pPr>
        <w:pStyle w:val="Session"/>
        <w:rPr>
          <w:lang w:eastAsia="zh-CN"/>
        </w:rPr>
      </w:pPr>
      <w:r w:rsidRPr="00A75E1A">
        <w:rPr>
          <w:lang w:eastAsia="zh-CN"/>
        </w:rPr>
        <w:t>71</w:t>
      </w:r>
      <w:r w:rsidRPr="00A75E1A">
        <w:rPr>
          <w:vertAlign w:val="superscript"/>
          <w:lang w:eastAsia="zh-CN"/>
        </w:rPr>
        <w:t>er</w:t>
      </w:r>
      <w:r w:rsidRPr="00A75E1A">
        <w:rPr>
          <w:lang w:eastAsia="zh-CN"/>
        </w:rPr>
        <w:t xml:space="preserve"> período de sesiones</w:t>
      </w:r>
    </w:p>
    <w:p w14:paraId="4F40346E" w14:textId="77777777" w:rsidR="00005E27" w:rsidRPr="00D43930" w:rsidRDefault="00005E27" w:rsidP="00005E27">
      <w:pPr>
        <w:rPr>
          <w:lang w:eastAsia="zh-CN"/>
        </w:rPr>
      </w:pPr>
      <w:r w:rsidRPr="00D43930">
        <w:rPr>
          <w:lang w:eastAsia="zh-CN"/>
        </w:rPr>
        <w:t>22 de octubre a 9 de noviembre de 2018</w:t>
      </w:r>
    </w:p>
    <w:p w14:paraId="6D2837B3" w14:textId="77777777" w:rsidR="00005E27" w:rsidRPr="00D43930" w:rsidRDefault="00005E27" w:rsidP="00005E27">
      <w:pPr>
        <w:pStyle w:val="AgendaItemNormal"/>
        <w:rPr>
          <w:lang w:val="es-ES_tradnl" w:eastAsia="zh-CN"/>
        </w:rPr>
      </w:pPr>
      <w:r w:rsidRPr="00D43930">
        <w:rPr>
          <w:lang w:val="es-ES_tradnl" w:eastAsia="zh-CN"/>
        </w:rPr>
        <w:t>Tema 2 del programa provisional</w:t>
      </w:r>
    </w:p>
    <w:p w14:paraId="3AEDC2C4" w14:textId="3BF11759" w:rsidR="00005E27" w:rsidRPr="00D43930" w:rsidRDefault="00005E27" w:rsidP="00005E27">
      <w:pPr>
        <w:pStyle w:val="AgendaTitleH2"/>
        <w:ind w:left="1267" w:right="1260" w:hanging="1267"/>
        <w:rPr>
          <w:lang w:eastAsia="zh-CN"/>
        </w:rPr>
      </w:pPr>
      <w:r w:rsidRPr="00D43930">
        <w:rPr>
          <w:lang w:eastAsia="zh-CN"/>
        </w:rPr>
        <w:t>Aprobación del programa y organización de los trabajos</w:t>
      </w:r>
    </w:p>
    <w:p w14:paraId="2B19784A" w14:textId="617E4882" w:rsidR="00005E27" w:rsidRPr="00D43930" w:rsidRDefault="00005E27" w:rsidP="00005E27">
      <w:pPr>
        <w:spacing w:line="120" w:lineRule="exact"/>
        <w:rPr>
          <w:sz w:val="10"/>
          <w:lang w:eastAsia="zh-CN"/>
        </w:rPr>
      </w:pPr>
    </w:p>
    <w:p w14:paraId="44B08083" w14:textId="21F67C2F" w:rsidR="00005E27" w:rsidRPr="00D00184" w:rsidRDefault="00005E27" w:rsidP="00D00184">
      <w:pPr>
        <w:spacing w:line="120" w:lineRule="exact"/>
        <w:rPr>
          <w:sz w:val="10"/>
          <w:lang w:eastAsia="zh-CN"/>
        </w:rPr>
      </w:pPr>
    </w:p>
    <w:p w14:paraId="0806D14C" w14:textId="77777777" w:rsidR="00D00184" w:rsidRPr="00D43930" w:rsidRDefault="00D00184" w:rsidP="00005E27">
      <w:pPr>
        <w:spacing w:line="120" w:lineRule="exact"/>
        <w:rPr>
          <w:sz w:val="10"/>
          <w:lang w:eastAsia="zh-CN"/>
        </w:rPr>
      </w:pPr>
    </w:p>
    <w:p w14:paraId="4E55B30B" w14:textId="0860171D" w:rsidR="00005E27" w:rsidRPr="00D43930" w:rsidRDefault="00005E27" w:rsidP="00005E27">
      <w:pPr>
        <w:pStyle w:val="TitleHCH"/>
        <w:rPr>
          <w:lang w:eastAsia="zh-CN"/>
        </w:rPr>
      </w:pPr>
      <w:r w:rsidRPr="00D43930">
        <w:rPr>
          <w:lang w:eastAsia="zh-CN"/>
        </w:rPr>
        <w:tab/>
      </w:r>
      <w:r w:rsidRPr="00D43930">
        <w:rPr>
          <w:lang w:eastAsia="zh-CN"/>
        </w:rPr>
        <w:tab/>
        <w:t>Programa provisional anotado</w:t>
      </w:r>
    </w:p>
    <w:p w14:paraId="696379AA" w14:textId="33810D28" w:rsidR="00005E27" w:rsidRPr="00D43930" w:rsidRDefault="00005E27" w:rsidP="00005E27">
      <w:pPr>
        <w:pStyle w:val="SingleTxt"/>
        <w:spacing w:after="0" w:line="120" w:lineRule="exact"/>
        <w:rPr>
          <w:sz w:val="10"/>
          <w:lang w:eastAsia="zh-CN"/>
        </w:rPr>
      </w:pPr>
    </w:p>
    <w:p w14:paraId="78E27D36" w14:textId="3A059739" w:rsidR="00005E27" w:rsidRPr="00D43930" w:rsidRDefault="00005E27" w:rsidP="00005E27">
      <w:pPr>
        <w:pStyle w:val="SingleTxt"/>
        <w:spacing w:after="0" w:line="120" w:lineRule="exact"/>
        <w:rPr>
          <w:sz w:val="10"/>
          <w:lang w:eastAsia="zh-CN"/>
        </w:rPr>
      </w:pPr>
    </w:p>
    <w:p w14:paraId="48C27EAB" w14:textId="18879F85" w:rsidR="00005E27" w:rsidRPr="00D43930" w:rsidRDefault="00005E27" w:rsidP="00005E27">
      <w:pPr>
        <w:pStyle w:val="TitleH1"/>
        <w:rPr>
          <w:lang w:eastAsia="zh-CN"/>
        </w:rPr>
      </w:pPr>
      <w:r w:rsidRPr="00D43930">
        <w:rPr>
          <w:lang w:eastAsia="zh-CN"/>
        </w:rPr>
        <w:tab/>
      </w:r>
      <w:r w:rsidRPr="00D43930">
        <w:rPr>
          <w:lang w:eastAsia="zh-CN"/>
        </w:rPr>
        <w:tab/>
        <w:t>Programa provisional</w:t>
      </w:r>
    </w:p>
    <w:p w14:paraId="25FF7B1F" w14:textId="739A2274" w:rsidR="00005E27" w:rsidRPr="00D43930" w:rsidRDefault="00005E27" w:rsidP="00005E27">
      <w:pPr>
        <w:pStyle w:val="SingleTxt"/>
        <w:spacing w:after="0" w:line="120" w:lineRule="exact"/>
        <w:rPr>
          <w:sz w:val="10"/>
          <w:lang w:eastAsia="zh-CN"/>
        </w:rPr>
      </w:pPr>
    </w:p>
    <w:p w14:paraId="7B28B8B5" w14:textId="6442E406" w:rsidR="00005E27" w:rsidRPr="00D43930" w:rsidRDefault="00005E27" w:rsidP="00D43930">
      <w:pPr>
        <w:pStyle w:val="SingleTxt"/>
        <w:spacing w:after="0" w:line="120" w:lineRule="exact"/>
        <w:jc w:val="left"/>
        <w:rPr>
          <w:sz w:val="10"/>
          <w:lang w:eastAsia="zh-CN"/>
        </w:rPr>
      </w:pPr>
    </w:p>
    <w:p w14:paraId="68823F82" w14:textId="77777777" w:rsidR="00005E27" w:rsidRPr="00D43930" w:rsidRDefault="00005E27" w:rsidP="00D43930">
      <w:pPr>
        <w:pStyle w:val="SingleTxt"/>
        <w:jc w:val="left"/>
        <w:rPr>
          <w:lang w:eastAsia="zh-CN"/>
        </w:rPr>
      </w:pPr>
      <w:r w:rsidRPr="00D43930">
        <w:rPr>
          <w:lang w:eastAsia="zh-CN"/>
        </w:rPr>
        <w:t>1.</w:t>
      </w:r>
      <w:r w:rsidRPr="00D43930">
        <w:rPr>
          <w:lang w:eastAsia="zh-CN"/>
        </w:rPr>
        <w:tab/>
        <w:t>Apertura del período de sesiones.</w:t>
      </w:r>
    </w:p>
    <w:p w14:paraId="67CB52D0" w14:textId="77777777" w:rsidR="00005E27" w:rsidRPr="00D43930" w:rsidRDefault="00005E27" w:rsidP="00D43930">
      <w:pPr>
        <w:pStyle w:val="SingleTxt"/>
        <w:jc w:val="left"/>
        <w:rPr>
          <w:lang w:eastAsia="zh-CN"/>
        </w:rPr>
      </w:pPr>
      <w:r w:rsidRPr="00D43930">
        <w:rPr>
          <w:lang w:eastAsia="zh-CN"/>
        </w:rPr>
        <w:t>2.</w:t>
      </w:r>
      <w:r w:rsidRPr="00D43930">
        <w:rPr>
          <w:lang w:eastAsia="zh-CN"/>
        </w:rPr>
        <w:tab/>
        <w:t>Aprobación del programa y organización de los trabajos.</w:t>
      </w:r>
    </w:p>
    <w:p w14:paraId="7E34E7AD" w14:textId="43CE8545" w:rsidR="00005E27" w:rsidRPr="00D43930" w:rsidRDefault="00005E27" w:rsidP="00D43930">
      <w:pPr>
        <w:pStyle w:val="SingleTxt"/>
        <w:ind w:left="1742" w:hanging="475"/>
        <w:jc w:val="left"/>
        <w:rPr>
          <w:lang w:eastAsia="zh-CN"/>
        </w:rPr>
      </w:pPr>
      <w:r w:rsidRPr="00D43930">
        <w:rPr>
          <w:lang w:eastAsia="zh-CN"/>
        </w:rPr>
        <w:t>3.</w:t>
      </w:r>
      <w:r w:rsidRPr="00D43930">
        <w:rPr>
          <w:lang w:eastAsia="zh-CN"/>
        </w:rPr>
        <w:tab/>
        <w:t>Informe de la Presidencia sobre las actividades realizadas entre los períodos de sesiones 70º y 71º del Comité.</w:t>
      </w:r>
    </w:p>
    <w:p w14:paraId="4EA8CA30" w14:textId="1AE85390" w:rsidR="00005E27" w:rsidRPr="00D43930" w:rsidRDefault="00005E27" w:rsidP="00D43930">
      <w:pPr>
        <w:pStyle w:val="SingleTxt"/>
        <w:ind w:left="1742" w:hanging="475"/>
        <w:jc w:val="left"/>
        <w:rPr>
          <w:lang w:eastAsia="zh-CN"/>
        </w:rPr>
      </w:pPr>
      <w:r w:rsidRPr="00D43930">
        <w:rPr>
          <w:lang w:eastAsia="zh-CN"/>
        </w:rPr>
        <w:t>4.</w:t>
      </w:r>
      <w:r w:rsidRPr="00D43930">
        <w:rPr>
          <w:lang w:eastAsia="zh-CN"/>
        </w:rPr>
        <w:tab/>
        <w:t>Examen de los informes presentados por los Estados partes en virtud del artículo 18 de la Convención sobre la Eliminación de Todas las Formas de Discriminación contra la Mujer.</w:t>
      </w:r>
    </w:p>
    <w:p w14:paraId="3C617478" w14:textId="1BC9ACE0" w:rsidR="00005E27" w:rsidRPr="00D43930" w:rsidRDefault="00005E27" w:rsidP="00D43930">
      <w:pPr>
        <w:pStyle w:val="SingleTxt"/>
        <w:ind w:left="1742" w:hanging="475"/>
        <w:jc w:val="left"/>
        <w:rPr>
          <w:lang w:eastAsia="zh-CN"/>
        </w:rPr>
      </w:pPr>
      <w:r w:rsidRPr="00D43930">
        <w:rPr>
          <w:lang w:eastAsia="zh-CN"/>
        </w:rPr>
        <w:t>5.</w:t>
      </w:r>
      <w:r w:rsidRPr="00D43930">
        <w:rPr>
          <w:lang w:eastAsia="zh-CN"/>
        </w:rPr>
        <w:tab/>
        <w:t>Seguimiento del examen de los informes presentados por los Estados partes en virtud del artículo 18 de la Convención.</w:t>
      </w:r>
    </w:p>
    <w:p w14:paraId="01BE020E" w14:textId="77777777" w:rsidR="00005E27" w:rsidRPr="00D43930" w:rsidRDefault="00005E27" w:rsidP="00D43930">
      <w:pPr>
        <w:pStyle w:val="SingleTxt"/>
        <w:jc w:val="left"/>
        <w:rPr>
          <w:lang w:eastAsia="zh-CN"/>
        </w:rPr>
      </w:pPr>
      <w:r w:rsidRPr="00D43930">
        <w:rPr>
          <w:lang w:eastAsia="zh-CN"/>
        </w:rPr>
        <w:t>6.</w:t>
      </w:r>
      <w:r w:rsidRPr="00D43930">
        <w:rPr>
          <w:lang w:eastAsia="zh-CN"/>
        </w:rPr>
        <w:tab/>
        <w:t>Aplicación de los artículos 21 y 22 de la Convención.</w:t>
      </w:r>
    </w:p>
    <w:p w14:paraId="71617A1F" w14:textId="77777777" w:rsidR="00005E27" w:rsidRPr="00D43930" w:rsidRDefault="00005E27" w:rsidP="00D43930">
      <w:pPr>
        <w:pStyle w:val="SingleTxt"/>
        <w:jc w:val="left"/>
        <w:rPr>
          <w:lang w:eastAsia="zh-CN"/>
        </w:rPr>
      </w:pPr>
      <w:r w:rsidRPr="00D43930">
        <w:rPr>
          <w:lang w:eastAsia="zh-CN"/>
        </w:rPr>
        <w:t>7.</w:t>
      </w:r>
      <w:r w:rsidRPr="00D43930">
        <w:rPr>
          <w:lang w:eastAsia="zh-CN"/>
        </w:rPr>
        <w:tab/>
        <w:t>Medios de agilizar los trabajos del Comité.</w:t>
      </w:r>
    </w:p>
    <w:p w14:paraId="4396E974" w14:textId="46AB2380" w:rsidR="00005E27" w:rsidRPr="00D43930" w:rsidRDefault="00005E27" w:rsidP="00D43930">
      <w:pPr>
        <w:pStyle w:val="SingleTxt"/>
        <w:ind w:left="1742" w:hanging="475"/>
        <w:jc w:val="left"/>
        <w:rPr>
          <w:lang w:eastAsia="zh-CN"/>
        </w:rPr>
      </w:pPr>
      <w:r w:rsidRPr="00D43930">
        <w:rPr>
          <w:lang w:eastAsia="zh-CN"/>
        </w:rPr>
        <w:t>8.</w:t>
      </w:r>
      <w:r w:rsidRPr="00D43930">
        <w:rPr>
          <w:lang w:eastAsia="zh-CN"/>
        </w:rPr>
        <w:tab/>
        <w:t>Actividades del Comité en relación con el Protocolo Facultativo de la Convención.</w:t>
      </w:r>
    </w:p>
    <w:p w14:paraId="0F86F12B" w14:textId="77777777" w:rsidR="00005E27" w:rsidRPr="00D43930" w:rsidRDefault="00005E27" w:rsidP="00D43930">
      <w:pPr>
        <w:pStyle w:val="SingleTxt"/>
        <w:jc w:val="left"/>
        <w:rPr>
          <w:lang w:eastAsia="zh-CN"/>
        </w:rPr>
      </w:pPr>
      <w:r w:rsidRPr="00D43930">
        <w:rPr>
          <w:lang w:eastAsia="zh-CN"/>
        </w:rPr>
        <w:t>9.</w:t>
      </w:r>
      <w:r w:rsidRPr="00D43930">
        <w:rPr>
          <w:lang w:eastAsia="zh-CN"/>
        </w:rPr>
        <w:tab/>
        <w:t>Programa provisional del 72º período de sesiones del Comité.</w:t>
      </w:r>
    </w:p>
    <w:p w14:paraId="7BFAA29A" w14:textId="17883378" w:rsidR="00005E27" w:rsidRPr="00D43930" w:rsidRDefault="00005E27" w:rsidP="00D43930">
      <w:pPr>
        <w:pStyle w:val="SingleTxt"/>
        <w:jc w:val="left"/>
        <w:rPr>
          <w:lang w:eastAsia="zh-CN"/>
        </w:rPr>
      </w:pPr>
      <w:r w:rsidRPr="00D43930">
        <w:rPr>
          <w:lang w:eastAsia="zh-CN"/>
        </w:rPr>
        <w:t>10.</w:t>
      </w:r>
      <w:r w:rsidRPr="00D43930">
        <w:rPr>
          <w:lang w:eastAsia="zh-CN"/>
        </w:rPr>
        <w:tab/>
        <w:t>Aprobación del informe del Comité sobre su 71</w:t>
      </w:r>
      <w:r w:rsidRPr="00D43930">
        <w:rPr>
          <w:vertAlign w:val="superscript"/>
          <w:lang w:eastAsia="zh-CN"/>
        </w:rPr>
        <w:t>er</w:t>
      </w:r>
      <w:r w:rsidRPr="00D43930">
        <w:rPr>
          <w:lang w:eastAsia="zh-CN"/>
        </w:rPr>
        <w:t xml:space="preserve"> período de sesiones.</w:t>
      </w:r>
    </w:p>
    <w:p w14:paraId="5F2B41C2" w14:textId="650C88B9" w:rsidR="00005E27" w:rsidRPr="00D1796D" w:rsidRDefault="00005E27" w:rsidP="00D1796D">
      <w:pPr>
        <w:pStyle w:val="SingleTxt"/>
        <w:spacing w:after="0" w:line="120" w:lineRule="exact"/>
        <w:rPr>
          <w:sz w:val="10"/>
          <w:lang w:eastAsia="zh-CN"/>
        </w:rPr>
      </w:pPr>
    </w:p>
    <w:p w14:paraId="2CE5FF78" w14:textId="77777777" w:rsidR="00D1796D" w:rsidRPr="00D43930" w:rsidRDefault="00D1796D" w:rsidP="00005E27">
      <w:pPr>
        <w:pStyle w:val="SingleTxt"/>
        <w:spacing w:after="0" w:line="120" w:lineRule="exact"/>
        <w:rPr>
          <w:sz w:val="10"/>
          <w:lang w:eastAsia="zh-CN"/>
        </w:rPr>
      </w:pPr>
    </w:p>
    <w:p w14:paraId="6882D954" w14:textId="2F43A0A3" w:rsidR="00005E27" w:rsidRPr="00D43930" w:rsidRDefault="00005E27" w:rsidP="00D439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lang w:eastAsia="zh-CN"/>
        </w:rPr>
        <w:tab/>
      </w:r>
      <w:r w:rsidRPr="00D43930">
        <w:rPr>
          <w:lang w:eastAsia="zh-CN"/>
        </w:rPr>
        <w:tab/>
        <w:t>Anotaciones</w:t>
      </w:r>
    </w:p>
    <w:p w14:paraId="50764C61" w14:textId="2502D9E1" w:rsidR="00005E27" w:rsidRPr="00D1796D" w:rsidRDefault="00005E27" w:rsidP="00D1796D">
      <w:pPr>
        <w:pStyle w:val="SingleTxt"/>
        <w:spacing w:after="0" w:line="120" w:lineRule="exact"/>
        <w:rPr>
          <w:sz w:val="10"/>
          <w:lang w:eastAsia="zh-CN"/>
        </w:rPr>
      </w:pPr>
    </w:p>
    <w:p w14:paraId="796D557E" w14:textId="77777777" w:rsidR="00D1796D" w:rsidRPr="00D43930" w:rsidRDefault="00D1796D" w:rsidP="00005E27">
      <w:pPr>
        <w:pStyle w:val="SingleTxt"/>
        <w:spacing w:after="0" w:line="120" w:lineRule="exact"/>
        <w:rPr>
          <w:sz w:val="10"/>
          <w:lang w:eastAsia="zh-CN"/>
        </w:rPr>
      </w:pPr>
    </w:p>
    <w:p w14:paraId="7ED8644C" w14:textId="4F59651D" w:rsidR="00005E27" w:rsidRPr="00D43930" w:rsidRDefault="00005E27" w:rsidP="00005E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lang w:eastAsia="zh-CN"/>
        </w:rPr>
        <w:tab/>
        <w:t>1.</w:t>
      </w:r>
      <w:r w:rsidRPr="00D43930">
        <w:rPr>
          <w:lang w:eastAsia="zh-CN"/>
        </w:rPr>
        <w:tab/>
        <w:t>Apertura del período de sesiones</w:t>
      </w:r>
    </w:p>
    <w:p w14:paraId="3388ECAB" w14:textId="16A6EDB6" w:rsidR="00005E27" w:rsidRPr="00D43930" w:rsidRDefault="00005E27" w:rsidP="00005E27">
      <w:pPr>
        <w:pStyle w:val="SingleTxt"/>
        <w:spacing w:after="0" w:line="120" w:lineRule="exact"/>
        <w:rPr>
          <w:sz w:val="10"/>
          <w:lang w:eastAsia="zh-CN"/>
        </w:rPr>
      </w:pPr>
    </w:p>
    <w:p w14:paraId="4E8CB051" w14:textId="3031C356" w:rsidR="00005E27" w:rsidRPr="00D43930" w:rsidRDefault="00005E27" w:rsidP="00005E27">
      <w:pPr>
        <w:pStyle w:val="SingleTxt"/>
        <w:rPr>
          <w:lang w:eastAsia="zh-CN"/>
        </w:rPr>
      </w:pPr>
      <w:r w:rsidRPr="00D43930">
        <w:rPr>
          <w:lang w:eastAsia="zh-CN"/>
        </w:rPr>
        <w:t>La Presidencia del Comité para la Eliminación de la Discriminación contra la Mujer inaugurará el 71</w:t>
      </w:r>
      <w:r w:rsidRPr="00D43930">
        <w:rPr>
          <w:vertAlign w:val="superscript"/>
          <w:lang w:eastAsia="zh-CN"/>
        </w:rPr>
        <w:t>er</w:t>
      </w:r>
      <w:r w:rsidRPr="00D43930">
        <w:rPr>
          <w:lang w:eastAsia="zh-CN"/>
        </w:rPr>
        <w:t xml:space="preserve"> período de sesiones del Comité.</w:t>
      </w:r>
    </w:p>
    <w:p w14:paraId="001F9283" w14:textId="0B01FD2C" w:rsidR="00005E27" w:rsidRPr="00D43930" w:rsidRDefault="00005E27" w:rsidP="00005E27">
      <w:pPr>
        <w:pStyle w:val="SingleTxt"/>
        <w:spacing w:after="0" w:line="120" w:lineRule="exact"/>
        <w:rPr>
          <w:sz w:val="10"/>
          <w:lang w:eastAsia="zh-CN"/>
        </w:rPr>
      </w:pPr>
    </w:p>
    <w:p w14:paraId="0655053F" w14:textId="3FE11A82" w:rsidR="00005E27" w:rsidRPr="00D43930" w:rsidRDefault="00005E27" w:rsidP="00005E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lang w:eastAsia="zh-CN"/>
        </w:rPr>
        <w:lastRenderedPageBreak/>
        <w:tab/>
        <w:t>2.</w:t>
      </w:r>
      <w:r w:rsidRPr="00D43930">
        <w:rPr>
          <w:lang w:eastAsia="zh-CN"/>
        </w:rPr>
        <w:tab/>
        <w:t>Aprobación del programa y organización de los trabajos</w:t>
      </w:r>
    </w:p>
    <w:p w14:paraId="39C2C352" w14:textId="0C1F9F45" w:rsidR="00005E27" w:rsidRPr="00D43930" w:rsidRDefault="00005E27" w:rsidP="00005E27">
      <w:pPr>
        <w:pStyle w:val="SingleTxt"/>
        <w:keepNext/>
        <w:keepLines/>
        <w:spacing w:after="0" w:line="120" w:lineRule="exact"/>
        <w:rPr>
          <w:sz w:val="10"/>
          <w:lang w:eastAsia="zh-CN"/>
        </w:rPr>
      </w:pPr>
    </w:p>
    <w:p w14:paraId="06B6F1FF" w14:textId="77777777" w:rsidR="00005E27" w:rsidRPr="00D43930" w:rsidRDefault="00005E27" w:rsidP="00005E27">
      <w:pPr>
        <w:pStyle w:val="SingleTxt"/>
        <w:rPr>
          <w:lang w:eastAsia="zh-CN"/>
        </w:rPr>
      </w:pPr>
      <w:r w:rsidRPr="00D43930">
        <w:rPr>
          <w:lang w:eastAsia="zh-CN"/>
        </w:rPr>
        <w:t>El artículo 9 del reglamento dispone que la aprobación del programa será el primer tema sustantivo del programa provisional de cada período de sesiones. En el artículo 7 se establece que el Secretario General, en consulta con la Presidencia del Comité, preparará el programa provisional de cada período de sesiones de conformidad con las disposiciones pertinentes de los artículos 17 a 22 de la Convención.</w:t>
      </w:r>
    </w:p>
    <w:p w14:paraId="336E6847" w14:textId="22D7F8ED" w:rsidR="00005E27" w:rsidRPr="00D43930" w:rsidRDefault="00005E27" w:rsidP="00005E27">
      <w:pPr>
        <w:pStyle w:val="SingleTxt"/>
        <w:rPr>
          <w:lang w:eastAsia="zh-CN"/>
        </w:rPr>
      </w:pPr>
      <w:r w:rsidRPr="00D43930">
        <w:rPr>
          <w:lang w:eastAsia="zh-CN"/>
        </w:rPr>
        <w:t>En su 70º período de sesiones, el Comité aprobó el programa provisional de su 71</w:t>
      </w:r>
      <w:r w:rsidRPr="00D43930">
        <w:rPr>
          <w:vertAlign w:val="superscript"/>
          <w:lang w:eastAsia="zh-CN"/>
        </w:rPr>
        <w:t>er</w:t>
      </w:r>
      <w:r w:rsidRPr="00D43930">
        <w:rPr>
          <w:lang w:eastAsia="zh-CN"/>
        </w:rPr>
        <w:t xml:space="preserve"> período de sesiones.</w:t>
      </w:r>
    </w:p>
    <w:p w14:paraId="5275732A" w14:textId="349FB47F" w:rsidR="00005E27" w:rsidRPr="00D43930" w:rsidRDefault="00005E27" w:rsidP="00005E27">
      <w:pPr>
        <w:pStyle w:val="SingleTxt"/>
        <w:spacing w:after="0" w:line="120" w:lineRule="exact"/>
        <w:rPr>
          <w:sz w:val="10"/>
          <w:lang w:eastAsia="zh-CN"/>
        </w:rPr>
      </w:pPr>
    </w:p>
    <w:p w14:paraId="2DA33ED1" w14:textId="7E62BD18" w:rsidR="00005E27" w:rsidRPr="00D43930" w:rsidRDefault="00005E27" w:rsidP="00D439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eastAsia="zh-CN"/>
        </w:rPr>
      </w:pPr>
      <w:r w:rsidRPr="00D43930">
        <w:rPr>
          <w:lang w:eastAsia="zh-CN"/>
        </w:rPr>
        <w:tab/>
        <w:t>3.</w:t>
      </w:r>
      <w:r w:rsidRPr="00D43930">
        <w:rPr>
          <w:lang w:eastAsia="zh-CN"/>
        </w:rPr>
        <w:tab/>
        <w:t>Informe de la Presidencia sobre las actividades realizadas entre los períodos de sesiones 70º y 71</w:t>
      </w:r>
      <w:r w:rsidRPr="00D43930">
        <w:rPr>
          <w:vertAlign w:val="superscript"/>
          <w:lang w:eastAsia="zh-CN"/>
        </w:rPr>
        <w:t>er</w:t>
      </w:r>
      <w:r w:rsidRPr="00D43930">
        <w:rPr>
          <w:lang w:eastAsia="zh-CN"/>
        </w:rPr>
        <w:t xml:space="preserve"> del Comité</w:t>
      </w:r>
    </w:p>
    <w:p w14:paraId="2CFD3329" w14:textId="775615A7" w:rsidR="00005E27" w:rsidRPr="00D43930" w:rsidRDefault="00005E27" w:rsidP="00005E27">
      <w:pPr>
        <w:pStyle w:val="SingleTxt"/>
        <w:spacing w:after="0" w:line="120" w:lineRule="exact"/>
        <w:rPr>
          <w:sz w:val="10"/>
          <w:lang w:eastAsia="zh-CN"/>
        </w:rPr>
      </w:pPr>
    </w:p>
    <w:p w14:paraId="6AAD954A" w14:textId="1DD8BC53" w:rsidR="00005E27" w:rsidRPr="00D43930" w:rsidRDefault="00005E27" w:rsidP="00005E27">
      <w:pPr>
        <w:pStyle w:val="SingleTxt"/>
        <w:rPr>
          <w:lang w:eastAsia="zh-CN"/>
        </w:rPr>
      </w:pPr>
      <w:r w:rsidRPr="00D43930">
        <w:rPr>
          <w:lang w:eastAsia="zh-CN"/>
        </w:rPr>
        <w:t>La Presidencia informará al Comité sobre las actividades y los acontecimientos relacionados con la labor del Comité que hayan ocurrido desde el período de sesiones anterior.</w:t>
      </w:r>
    </w:p>
    <w:p w14:paraId="1EBD8A3B" w14:textId="53438322" w:rsidR="00F61DB2" w:rsidRPr="00D43930" w:rsidRDefault="00F61DB2" w:rsidP="00F61DB2">
      <w:pPr>
        <w:pStyle w:val="SingleTxt"/>
        <w:spacing w:after="0" w:line="120" w:lineRule="exact"/>
        <w:rPr>
          <w:sz w:val="10"/>
          <w:lang w:eastAsia="zh-CN"/>
        </w:rPr>
      </w:pPr>
    </w:p>
    <w:p w14:paraId="20452F05" w14:textId="6984462A" w:rsidR="00005E27" w:rsidRPr="00D43930" w:rsidRDefault="00005E27" w:rsidP="00F61D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lang w:eastAsia="zh-CN"/>
        </w:rPr>
        <w:tab/>
      </w:r>
      <w:r w:rsidRPr="00D43930">
        <w:rPr>
          <w:lang w:eastAsia="zh-CN"/>
        </w:rPr>
        <w:tab/>
        <w:t>Documentación</w:t>
      </w:r>
    </w:p>
    <w:p w14:paraId="12849BB7" w14:textId="25FC0137" w:rsidR="00F61DB2" w:rsidRPr="00D43930" w:rsidRDefault="00F61DB2" w:rsidP="00F61DB2">
      <w:pPr>
        <w:pStyle w:val="SingleTxt"/>
        <w:spacing w:after="0" w:line="120" w:lineRule="exact"/>
        <w:rPr>
          <w:sz w:val="10"/>
          <w:lang w:eastAsia="zh-CN"/>
        </w:rPr>
      </w:pPr>
    </w:p>
    <w:p w14:paraId="1929A551" w14:textId="05AE6C2E" w:rsidR="00005E27" w:rsidRPr="00D43930" w:rsidRDefault="00005E27" w:rsidP="00005E27">
      <w:pPr>
        <w:pStyle w:val="SingleTxt"/>
        <w:rPr>
          <w:lang w:eastAsia="zh-CN"/>
        </w:rPr>
      </w:pPr>
      <w:r w:rsidRPr="00D43930">
        <w:rPr>
          <w:lang w:eastAsia="zh-CN"/>
        </w:rPr>
        <w:t>Programa provisional anotado (</w:t>
      </w:r>
      <w:hyperlink r:id="rId15" w:history="1">
        <w:r w:rsidRPr="00D43930">
          <w:rPr>
            <w:rStyle w:val="Hyperlink"/>
            <w:lang w:eastAsia="zh-CN"/>
          </w:rPr>
          <w:t>CEDAW/C/71/1</w:t>
        </w:r>
      </w:hyperlink>
      <w:r w:rsidRPr="00D43930">
        <w:rPr>
          <w:lang w:eastAsia="zh-CN"/>
        </w:rPr>
        <w:t>)</w:t>
      </w:r>
    </w:p>
    <w:p w14:paraId="52082C9C" w14:textId="08CBC9E3" w:rsidR="00F61DB2" w:rsidRPr="00D43930" w:rsidRDefault="00F61DB2" w:rsidP="00F61DB2">
      <w:pPr>
        <w:pStyle w:val="SingleTxt"/>
        <w:spacing w:after="0" w:line="120" w:lineRule="exact"/>
        <w:rPr>
          <w:sz w:val="10"/>
          <w:lang w:eastAsia="zh-CN"/>
        </w:rPr>
      </w:pPr>
    </w:p>
    <w:p w14:paraId="6DB7C760" w14:textId="709818DE" w:rsidR="00005E27" w:rsidRPr="00D43930" w:rsidRDefault="00005E27" w:rsidP="00F61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lang w:eastAsia="zh-CN"/>
        </w:rPr>
        <w:tab/>
        <w:t>4.</w:t>
      </w:r>
      <w:r w:rsidRPr="00D43930">
        <w:rPr>
          <w:lang w:eastAsia="zh-CN"/>
        </w:rPr>
        <w:tab/>
        <w:t>Examen de los informes presentados por los Estados partes en virtud del artículo 18 de la Convención sobre la Eliminación de Todas las Formas de Discriminación contra la Mujer</w:t>
      </w:r>
    </w:p>
    <w:p w14:paraId="15FEF24A" w14:textId="595E42F2" w:rsidR="00F61DB2" w:rsidRPr="00D43930" w:rsidRDefault="00F61DB2" w:rsidP="00F61DB2">
      <w:pPr>
        <w:pStyle w:val="SingleTxt"/>
        <w:spacing w:after="0" w:line="120" w:lineRule="exact"/>
        <w:rPr>
          <w:sz w:val="10"/>
          <w:lang w:eastAsia="zh-CN"/>
        </w:rPr>
      </w:pPr>
    </w:p>
    <w:p w14:paraId="3E689B7F" w14:textId="77777777" w:rsidR="00005E27" w:rsidRPr="00D43930" w:rsidRDefault="00005E27" w:rsidP="00005E27">
      <w:pPr>
        <w:pStyle w:val="SingleTxt"/>
        <w:rPr>
          <w:lang w:eastAsia="zh-CN"/>
        </w:rPr>
      </w:pPr>
      <w:r w:rsidRPr="00D43930">
        <w:rPr>
          <w:lang w:eastAsia="zh-CN"/>
        </w:rPr>
        <w:t>El artículo 18 de la Convención dispone que los Estados partes presentarán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4E222716" w14:textId="2131CD34" w:rsidR="00005E27" w:rsidRPr="00D43930" w:rsidRDefault="00005E27" w:rsidP="00005E27">
      <w:pPr>
        <w:pStyle w:val="SingleTxt"/>
        <w:rPr>
          <w:lang w:eastAsia="zh-CN"/>
        </w:rPr>
      </w:pPr>
      <w:r w:rsidRPr="00D43930">
        <w:rPr>
          <w:lang w:eastAsia="zh-CN"/>
        </w:rPr>
        <w:t>Se prevé examinar los informes de los siguientes Estados partes en el 71</w:t>
      </w:r>
      <w:r w:rsidRPr="00D43930">
        <w:rPr>
          <w:vertAlign w:val="superscript"/>
          <w:lang w:eastAsia="zh-CN"/>
        </w:rPr>
        <w:t>er</w:t>
      </w:r>
      <w:r w:rsidRPr="00D43930">
        <w:rPr>
          <w:lang w:eastAsia="zh-CN"/>
        </w:rPr>
        <w:t xml:space="preserve"> período de sesiones del Comité: Bahamas, Congo, ex República Yugoslava de Macedonia, Mauricio (en el marco del procedimiento simplificado de presentación de informes), Nepal, República Democrática Popular Lao, Samoa y </w:t>
      </w:r>
      <w:r w:rsidR="00A75DF6" w:rsidRPr="00A75E1A">
        <w:rPr>
          <w:lang w:eastAsia="zh-CN"/>
        </w:rPr>
        <w:t>Tayikistán</w:t>
      </w:r>
      <w:r w:rsidRPr="00D43930">
        <w:rPr>
          <w:lang w:eastAsia="zh-CN"/>
        </w:rPr>
        <w:t>.</w:t>
      </w:r>
    </w:p>
    <w:p w14:paraId="0F424991" w14:textId="77777777" w:rsidR="00005E27" w:rsidRPr="00D43930" w:rsidRDefault="00005E27" w:rsidP="00005E27">
      <w:pPr>
        <w:pStyle w:val="SingleTxt"/>
        <w:rPr>
          <w:lang w:eastAsia="zh-CN"/>
        </w:rPr>
      </w:pPr>
      <w:r w:rsidRPr="00D43930">
        <w:rPr>
          <w:lang w:eastAsia="zh-CN"/>
        </w:rPr>
        <w:t>El artículo 51 del reglamento dispone que los representantes de los Estados partes asistirán a las sesiones del Comité en las que se vayan a examinar sus respectivos informes, participarán en las deliberaciones y responderán a las preguntas relativas a dichos informes.</w:t>
      </w:r>
    </w:p>
    <w:p w14:paraId="7D0CF998" w14:textId="77777777" w:rsidR="00005E27" w:rsidRPr="00D43930" w:rsidRDefault="00005E27" w:rsidP="00005E27">
      <w:pPr>
        <w:pStyle w:val="SingleTxt"/>
        <w:rPr>
          <w:lang w:eastAsia="zh-CN"/>
        </w:rPr>
      </w:pPr>
      <w:r w:rsidRPr="00D43930">
        <w:rPr>
          <w:lang w:eastAsia="zh-CN"/>
        </w:rPr>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75D025B7" w14:textId="7EFFEE23" w:rsidR="00005E27" w:rsidRPr="00D43930" w:rsidRDefault="00005E27" w:rsidP="00005E27">
      <w:pPr>
        <w:pStyle w:val="SingleTxt"/>
        <w:rPr>
          <w:lang w:eastAsia="zh-CN"/>
        </w:rPr>
      </w:pPr>
      <w:r w:rsidRPr="00D43930">
        <w:rPr>
          <w:lang w:eastAsia="zh-CN"/>
        </w:rPr>
        <w:t>Antes de cada período de sesiones se reúne un grupo de trabajo del Comité con el fin de preparar listas de las cuestiones y preguntas relativas a los informes que hay que transmitir a los Estados partes antes de las sesiones en las que se vayan a examinar sus informes. El grupo de trabajo anterior al 71</w:t>
      </w:r>
      <w:r w:rsidRPr="00D43930">
        <w:rPr>
          <w:vertAlign w:val="superscript"/>
          <w:lang w:eastAsia="zh-CN"/>
        </w:rPr>
        <w:t>er</w:t>
      </w:r>
      <w:r w:rsidRPr="00D43930">
        <w:rPr>
          <w:lang w:eastAsia="zh-CN"/>
        </w:rPr>
        <w:t xml:space="preserve"> período de sesiones se reunió en Ginebra del 12 al 16 de marzo de 2018. El Comité tendrá ante sí el informe del grupo de trabajo anterior al período de sesiones (</w:t>
      </w:r>
      <w:hyperlink r:id="rId16" w:history="1">
        <w:r w:rsidRPr="00D43930">
          <w:rPr>
            <w:rStyle w:val="Hyperlink"/>
            <w:lang w:eastAsia="zh-CN"/>
          </w:rPr>
          <w:t>CEDAW/C/PSWG/71/1</w:t>
        </w:r>
      </w:hyperlink>
      <w:r w:rsidRPr="00D43930">
        <w:rPr>
          <w:lang w:eastAsia="zh-CN"/>
        </w:rPr>
        <w:t>) y las respuestas de los Estados partes a las listas de cuestiones y preguntas.</w:t>
      </w:r>
    </w:p>
    <w:p w14:paraId="58A0DC81" w14:textId="31E0F670" w:rsidR="00005E27" w:rsidRPr="00D43930" w:rsidRDefault="00005E27" w:rsidP="00F61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lang w:eastAsia="zh-CN"/>
        </w:rPr>
        <w:lastRenderedPageBreak/>
        <w:tab/>
      </w:r>
      <w:r w:rsidRPr="00D43930">
        <w:rPr>
          <w:lang w:eastAsia="zh-CN"/>
        </w:rPr>
        <w:tab/>
        <w:t>Documentación</w:t>
      </w:r>
    </w:p>
    <w:p w14:paraId="1E5AF896" w14:textId="67B88824" w:rsidR="00005E27" w:rsidRPr="00D43930" w:rsidRDefault="00005E27" w:rsidP="00F61DB2">
      <w:pPr>
        <w:pStyle w:val="SingleTxt"/>
        <w:spacing w:after="0" w:line="120" w:lineRule="exact"/>
        <w:rPr>
          <w:sz w:val="10"/>
          <w:lang w:eastAsia="zh-CN"/>
        </w:rPr>
      </w:pPr>
    </w:p>
    <w:p w14:paraId="3249D526" w14:textId="079C8461" w:rsidR="00005E27" w:rsidRPr="00D43930" w:rsidRDefault="00F61DB2" w:rsidP="00F61D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lang w:eastAsia="zh-CN"/>
        </w:rPr>
        <w:tab/>
      </w:r>
      <w:r w:rsidRPr="00D43930">
        <w:rPr>
          <w:lang w:eastAsia="zh-CN"/>
        </w:rPr>
        <w:tab/>
      </w:r>
      <w:r w:rsidR="00005E27" w:rsidRPr="00D43930">
        <w:rPr>
          <w:lang w:eastAsia="zh-CN"/>
        </w:rPr>
        <w:t>Informes</w:t>
      </w:r>
    </w:p>
    <w:p w14:paraId="1A8F2E52" w14:textId="66646712" w:rsidR="00F61DB2" w:rsidRPr="00D43930" w:rsidRDefault="00F61DB2" w:rsidP="00F61DB2">
      <w:pPr>
        <w:pStyle w:val="SingleTxt"/>
        <w:spacing w:after="0" w:line="120" w:lineRule="exact"/>
        <w:rPr>
          <w:sz w:val="10"/>
          <w:lang w:eastAsia="zh-CN"/>
        </w:rPr>
      </w:pPr>
    </w:p>
    <w:p w14:paraId="5582EB4B" w14:textId="5EF55D07" w:rsidR="00005E27" w:rsidRPr="00D43930" w:rsidRDefault="00005E27" w:rsidP="00D43930">
      <w:pPr>
        <w:pStyle w:val="SingleTxt"/>
        <w:jc w:val="left"/>
        <w:rPr>
          <w:lang w:eastAsia="zh-CN"/>
        </w:rPr>
      </w:pPr>
      <w:r w:rsidRPr="00D43930">
        <w:rPr>
          <w:lang w:eastAsia="zh-CN"/>
        </w:rPr>
        <w:t>Sexto informe periódico de las Bahamas (</w:t>
      </w:r>
      <w:hyperlink r:id="rId17" w:history="1">
        <w:r w:rsidRPr="00D43930">
          <w:rPr>
            <w:rStyle w:val="Hyperlink"/>
            <w:lang w:eastAsia="zh-CN"/>
          </w:rPr>
          <w:t>CEDAW/C/BHS/6</w:t>
        </w:r>
      </w:hyperlink>
      <w:r w:rsidRPr="00D43930">
        <w:rPr>
          <w:lang w:eastAsia="zh-CN"/>
        </w:rPr>
        <w:t>);</w:t>
      </w:r>
    </w:p>
    <w:p w14:paraId="1A8989F2" w14:textId="5A494718" w:rsidR="00005E27" w:rsidRPr="00D43930" w:rsidRDefault="00005E27" w:rsidP="00D43930">
      <w:pPr>
        <w:pStyle w:val="SingleTxt"/>
        <w:jc w:val="left"/>
        <w:rPr>
          <w:lang w:eastAsia="zh-CN"/>
        </w:rPr>
      </w:pPr>
      <w:r w:rsidRPr="00D43930">
        <w:rPr>
          <w:lang w:eastAsia="zh-CN"/>
        </w:rPr>
        <w:t>Séptimo informe periódico del Congo (</w:t>
      </w:r>
      <w:hyperlink r:id="rId18" w:history="1">
        <w:r w:rsidRPr="00D43930">
          <w:rPr>
            <w:rStyle w:val="Hyperlink"/>
            <w:lang w:eastAsia="zh-CN"/>
          </w:rPr>
          <w:t>CEDAW/C/COG/7</w:t>
        </w:r>
      </w:hyperlink>
      <w:r w:rsidRPr="00D43930">
        <w:rPr>
          <w:lang w:eastAsia="zh-CN"/>
        </w:rPr>
        <w:t>);</w:t>
      </w:r>
    </w:p>
    <w:p w14:paraId="297DB965" w14:textId="42A01C3B" w:rsidR="00005E27" w:rsidRPr="00D43930" w:rsidRDefault="00005E27" w:rsidP="00D43930">
      <w:pPr>
        <w:pStyle w:val="SingleTxt"/>
        <w:jc w:val="left"/>
        <w:rPr>
          <w:lang w:eastAsia="zh-CN"/>
        </w:rPr>
      </w:pPr>
      <w:r w:rsidRPr="00D43930">
        <w:rPr>
          <w:lang w:eastAsia="zh-CN"/>
        </w:rPr>
        <w:t>Sexto informe periódico de la ex República Yugoslava de Macedonia (</w:t>
      </w:r>
      <w:hyperlink r:id="rId19" w:history="1">
        <w:r w:rsidRPr="00D43930">
          <w:rPr>
            <w:rStyle w:val="Hyperlink"/>
            <w:lang w:eastAsia="zh-CN"/>
          </w:rPr>
          <w:t>CEDAW/C/MKD/6</w:t>
        </w:r>
      </w:hyperlink>
      <w:r w:rsidRPr="00D43930">
        <w:rPr>
          <w:lang w:eastAsia="zh-CN"/>
        </w:rPr>
        <w:t>);</w:t>
      </w:r>
    </w:p>
    <w:p w14:paraId="573E1F2C" w14:textId="23FD0E56" w:rsidR="00005E27" w:rsidRPr="00D43930" w:rsidRDefault="00005E27" w:rsidP="00D43930">
      <w:pPr>
        <w:pStyle w:val="SingleTxt"/>
        <w:jc w:val="left"/>
        <w:rPr>
          <w:lang w:eastAsia="zh-CN"/>
        </w:rPr>
      </w:pPr>
      <w:r w:rsidRPr="00D43930">
        <w:rPr>
          <w:lang w:eastAsia="zh-CN"/>
        </w:rPr>
        <w:t>Octavo informe periódico de Mauricio (</w:t>
      </w:r>
      <w:hyperlink r:id="rId20" w:history="1">
        <w:r w:rsidRPr="00D43930">
          <w:rPr>
            <w:rStyle w:val="Hyperlink"/>
            <w:lang w:eastAsia="zh-CN"/>
          </w:rPr>
          <w:t>CEDAW/C/MUS/8</w:t>
        </w:r>
      </w:hyperlink>
      <w:r w:rsidRPr="00D43930">
        <w:rPr>
          <w:lang w:eastAsia="zh-CN"/>
        </w:rPr>
        <w:t>; presentado en el marco del procedimiento simplificado);</w:t>
      </w:r>
    </w:p>
    <w:p w14:paraId="053EBFC4" w14:textId="61F1668A" w:rsidR="00005E27" w:rsidRPr="00D43930" w:rsidRDefault="00005E27" w:rsidP="00D43930">
      <w:pPr>
        <w:pStyle w:val="SingleTxt"/>
        <w:jc w:val="left"/>
        <w:rPr>
          <w:lang w:eastAsia="zh-CN"/>
        </w:rPr>
      </w:pPr>
      <w:r w:rsidRPr="00D43930">
        <w:rPr>
          <w:lang w:eastAsia="zh-CN"/>
        </w:rPr>
        <w:t>Sexto informe periódico de Nepal (</w:t>
      </w:r>
      <w:hyperlink r:id="rId21" w:history="1">
        <w:r w:rsidRPr="00D43930">
          <w:rPr>
            <w:rStyle w:val="Hyperlink"/>
            <w:lang w:eastAsia="zh-CN"/>
          </w:rPr>
          <w:t>CEDAW/C/NPL/6</w:t>
        </w:r>
      </w:hyperlink>
      <w:r w:rsidRPr="00D43930">
        <w:rPr>
          <w:lang w:eastAsia="zh-CN"/>
        </w:rPr>
        <w:t>);</w:t>
      </w:r>
    </w:p>
    <w:p w14:paraId="534F8171" w14:textId="21B19CA7" w:rsidR="00005E27" w:rsidRPr="00D43930" w:rsidRDefault="00005E27" w:rsidP="00D43930">
      <w:pPr>
        <w:pStyle w:val="SingleTxt"/>
        <w:jc w:val="left"/>
        <w:rPr>
          <w:lang w:eastAsia="zh-CN"/>
        </w:rPr>
      </w:pPr>
      <w:r w:rsidRPr="00D43930">
        <w:rPr>
          <w:lang w:eastAsia="zh-CN"/>
        </w:rPr>
        <w:t>Informes periódicos octavo y noveno combinados de la República Democrática Popular Lao (</w:t>
      </w:r>
      <w:hyperlink r:id="rId22" w:history="1">
        <w:r w:rsidRPr="00D43930">
          <w:rPr>
            <w:rStyle w:val="Hyperlink"/>
            <w:lang w:eastAsia="zh-CN"/>
          </w:rPr>
          <w:t>CEDAW/C/LAO/8-9</w:t>
        </w:r>
      </w:hyperlink>
      <w:r w:rsidRPr="00D43930">
        <w:rPr>
          <w:lang w:eastAsia="zh-CN"/>
        </w:rPr>
        <w:t>);</w:t>
      </w:r>
    </w:p>
    <w:p w14:paraId="2C25B195" w14:textId="60EDE14E" w:rsidR="00005E27" w:rsidRPr="00D43930" w:rsidRDefault="00005E27" w:rsidP="00D43930">
      <w:pPr>
        <w:pStyle w:val="SingleTxt"/>
        <w:jc w:val="left"/>
        <w:rPr>
          <w:lang w:eastAsia="zh-CN"/>
        </w:rPr>
      </w:pPr>
      <w:r w:rsidRPr="00D43930">
        <w:rPr>
          <w:lang w:eastAsia="zh-CN"/>
        </w:rPr>
        <w:t>Sexto informe periódico de Samoa (</w:t>
      </w:r>
      <w:hyperlink r:id="rId23" w:history="1">
        <w:r w:rsidRPr="00D43930">
          <w:rPr>
            <w:rStyle w:val="Hyperlink"/>
            <w:lang w:eastAsia="zh-CN"/>
          </w:rPr>
          <w:t>CEDAW/C/WSM/6</w:t>
        </w:r>
      </w:hyperlink>
      <w:r w:rsidRPr="00D43930">
        <w:rPr>
          <w:lang w:eastAsia="zh-CN"/>
        </w:rPr>
        <w:t>);</w:t>
      </w:r>
    </w:p>
    <w:p w14:paraId="3D1A5953" w14:textId="0D456AAF" w:rsidR="00005E27" w:rsidRPr="00D43930" w:rsidRDefault="00005E27" w:rsidP="00D43930">
      <w:pPr>
        <w:pStyle w:val="SingleTxt"/>
        <w:jc w:val="left"/>
        <w:rPr>
          <w:lang w:eastAsia="zh-CN"/>
        </w:rPr>
      </w:pPr>
      <w:r w:rsidRPr="00D43930">
        <w:rPr>
          <w:lang w:eastAsia="zh-CN"/>
        </w:rPr>
        <w:t>Sexto informe periódico de Tayikistán (</w:t>
      </w:r>
      <w:hyperlink r:id="rId24" w:history="1">
        <w:r w:rsidRPr="00D43930">
          <w:rPr>
            <w:rStyle w:val="Hyperlink"/>
            <w:lang w:eastAsia="zh-CN"/>
          </w:rPr>
          <w:t>CEDAW/C/TJK/6</w:t>
        </w:r>
      </w:hyperlink>
      <w:r w:rsidRPr="00D43930">
        <w:rPr>
          <w:lang w:eastAsia="zh-CN"/>
        </w:rPr>
        <w:t>).</w:t>
      </w:r>
    </w:p>
    <w:p w14:paraId="6AA83C4E" w14:textId="0DFC4DC5" w:rsidR="00F61DB2" w:rsidRPr="00D43930" w:rsidRDefault="00F61DB2" w:rsidP="00F61DB2">
      <w:pPr>
        <w:pStyle w:val="SingleTxt"/>
        <w:spacing w:after="0" w:line="120" w:lineRule="exact"/>
        <w:rPr>
          <w:sz w:val="10"/>
          <w:lang w:eastAsia="zh-CN"/>
        </w:rPr>
      </w:pPr>
    </w:p>
    <w:p w14:paraId="36E1A7D5" w14:textId="63B80E3F" w:rsidR="00005E27" w:rsidRPr="00D43930" w:rsidRDefault="00005E27" w:rsidP="00F61D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b/>
          <w:lang w:eastAsia="zh-CN"/>
        </w:rPr>
        <w:tab/>
      </w:r>
      <w:r w:rsidRPr="00D43930">
        <w:rPr>
          <w:b/>
          <w:lang w:eastAsia="zh-CN"/>
        </w:rPr>
        <w:tab/>
      </w:r>
      <w:r w:rsidRPr="00D43930">
        <w:rPr>
          <w:lang w:eastAsia="zh-CN"/>
        </w:rPr>
        <w:t>Listas de cuestiones y preguntas</w:t>
      </w:r>
    </w:p>
    <w:p w14:paraId="2707812C" w14:textId="03136733" w:rsidR="00F61DB2" w:rsidRPr="00D43930" w:rsidRDefault="00F61DB2" w:rsidP="00F61DB2">
      <w:pPr>
        <w:pStyle w:val="SingleTxt"/>
        <w:spacing w:after="0" w:line="120" w:lineRule="exact"/>
        <w:rPr>
          <w:sz w:val="10"/>
          <w:lang w:eastAsia="zh-CN"/>
        </w:rPr>
      </w:pPr>
    </w:p>
    <w:p w14:paraId="09F078B0" w14:textId="699293D4" w:rsidR="00005E27" w:rsidRPr="00D43930" w:rsidRDefault="00005E27" w:rsidP="00D43930">
      <w:pPr>
        <w:pStyle w:val="SingleTxt"/>
        <w:jc w:val="left"/>
        <w:rPr>
          <w:lang w:eastAsia="zh-CN"/>
        </w:rPr>
      </w:pPr>
      <w:r w:rsidRPr="00D43930">
        <w:rPr>
          <w:lang w:eastAsia="zh-CN"/>
        </w:rPr>
        <w:t>Bahamas (</w:t>
      </w:r>
      <w:hyperlink r:id="rId25" w:history="1">
        <w:r w:rsidRPr="00D43930">
          <w:rPr>
            <w:rStyle w:val="Hyperlink"/>
            <w:lang w:eastAsia="zh-CN"/>
          </w:rPr>
          <w:t>CEDAW/C/BHS/Q/6</w:t>
        </w:r>
      </w:hyperlink>
      <w:r w:rsidRPr="00D43930">
        <w:rPr>
          <w:lang w:eastAsia="zh-CN"/>
        </w:rPr>
        <w:t>);</w:t>
      </w:r>
    </w:p>
    <w:p w14:paraId="6952B766" w14:textId="736B9598" w:rsidR="00005E27" w:rsidRPr="00D43930" w:rsidRDefault="00005E27" w:rsidP="00D43930">
      <w:pPr>
        <w:pStyle w:val="SingleTxt"/>
        <w:jc w:val="left"/>
        <w:rPr>
          <w:lang w:eastAsia="zh-CN"/>
        </w:rPr>
      </w:pPr>
      <w:r w:rsidRPr="00D43930">
        <w:rPr>
          <w:lang w:eastAsia="zh-CN"/>
        </w:rPr>
        <w:t>Congo (</w:t>
      </w:r>
      <w:hyperlink r:id="rId26" w:history="1">
        <w:r w:rsidRPr="00D43930">
          <w:rPr>
            <w:rStyle w:val="Hyperlink"/>
            <w:lang w:eastAsia="zh-CN"/>
          </w:rPr>
          <w:t>CEDAW/C/COG/Q/7</w:t>
        </w:r>
      </w:hyperlink>
      <w:r w:rsidRPr="00D43930">
        <w:rPr>
          <w:lang w:eastAsia="zh-CN"/>
        </w:rPr>
        <w:t>);</w:t>
      </w:r>
    </w:p>
    <w:p w14:paraId="2552BE7D" w14:textId="0E9A0E13" w:rsidR="00005E27" w:rsidRPr="00D43930" w:rsidRDefault="00742ED4" w:rsidP="00D43930">
      <w:pPr>
        <w:pStyle w:val="SingleTxt"/>
        <w:jc w:val="left"/>
        <w:rPr>
          <w:lang w:eastAsia="zh-CN"/>
        </w:rPr>
      </w:pPr>
      <w:r>
        <w:rPr>
          <w:lang w:eastAsia="zh-CN"/>
        </w:rPr>
        <w:t>e</w:t>
      </w:r>
      <w:r w:rsidRPr="00D43930">
        <w:rPr>
          <w:lang w:eastAsia="zh-CN"/>
        </w:rPr>
        <w:t xml:space="preserve">x </w:t>
      </w:r>
      <w:r w:rsidR="00005E27" w:rsidRPr="00D43930">
        <w:rPr>
          <w:lang w:eastAsia="zh-CN"/>
        </w:rPr>
        <w:t>República Yugoslava de Macedonia (</w:t>
      </w:r>
      <w:hyperlink r:id="rId27" w:history="1">
        <w:r w:rsidR="00005E27" w:rsidRPr="00D43930">
          <w:rPr>
            <w:rStyle w:val="Hyperlink"/>
            <w:lang w:eastAsia="zh-CN"/>
          </w:rPr>
          <w:t>CEDAW/C/MKD/Q/6</w:t>
        </w:r>
      </w:hyperlink>
      <w:r w:rsidR="00005E27" w:rsidRPr="00D43930">
        <w:rPr>
          <w:lang w:eastAsia="zh-CN"/>
        </w:rPr>
        <w:t>);</w:t>
      </w:r>
    </w:p>
    <w:p w14:paraId="7262939B" w14:textId="3F006847" w:rsidR="00005E27" w:rsidRPr="00D43930" w:rsidRDefault="00005E27" w:rsidP="00D43930">
      <w:pPr>
        <w:pStyle w:val="SingleTxt"/>
        <w:jc w:val="left"/>
        <w:rPr>
          <w:lang w:eastAsia="zh-CN"/>
        </w:rPr>
      </w:pPr>
      <w:r w:rsidRPr="00D43930">
        <w:rPr>
          <w:lang w:eastAsia="zh-CN"/>
        </w:rPr>
        <w:t>Mauricio (</w:t>
      </w:r>
      <w:hyperlink r:id="rId28" w:history="1">
        <w:r w:rsidRPr="00D43930">
          <w:rPr>
            <w:rStyle w:val="Hyperlink"/>
            <w:lang w:eastAsia="zh-CN"/>
          </w:rPr>
          <w:t>CEDAW/C/MUS/QRP/8</w:t>
        </w:r>
      </w:hyperlink>
      <w:r w:rsidRPr="00D43930">
        <w:rPr>
          <w:lang w:eastAsia="zh-CN"/>
        </w:rPr>
        <w:t>);</w:t>
      </w:r>
    </w:p>
    <w:p w14:paraId="4AC5851D" w14:textId="76AFCBDF" w:rsidR="00005E27" w:rsidRPr="00D43930" w:rsidRDefault="00005E27" w:rsidP="00D43930">
      <w:pPr>
        <w:pStyle w:val="SingleTxt"/>
        <w:jc w:val="left"/>
        <w:rPr>
          <w:lang w:eastAsia="zh-CN"/>
        </w:rPr>
      </w:pPr>
      <w:r w:rsidRPr="00D43930">
        <w:rPr>
          <w:lang w:eastAsia="zh-CN"/>
        </w:rPr>
        <w:t>Nepal (</w:t>
      </w:r>
      <w:hyperlink r:id="rId29" w:history="1">
        <w:r w:rsidRPr="00D43930">
          <w:rPr>
            <w:rStyle w:val="Hyperlink"/>
            <w:lang w:eastAsia="zh-CN"/>
          </w:rPr>
          <w:t>CEDAW/C/NPL/Q/6</w:t>
        </w:r>
      </w:hyperlink>
      <w:r w:rsidRPr="00D43930">
        <w:rPr>
          <w:lang w:eastAsia="zh-CN"/>
        </w:rPr>
        <w:t xml:space="preserve">); </w:t>
      </w:r>
    </w:p>
    <w:p w14:paraId="16908147" w14:textId="52F0A3B7" w:rsidR="00005E27" w:rsidRPr="00D43930" w:rsidRDefault="00005E27" w:rsidP="00D43930">
      <w:pPr>
        <w:pStyle w:val="SingleTxt"/>
        <w:jc w:val="left"/>
        <w:rPr>
          <w:lang w:eastAsia="zh-CN"/>
        </w:rPr>
      </w:pPr>
      <w:r w:rsidRPr="00D43930">
        <w:rPr>
          <w:lang w:eastAsia="zh-CN"/>
        </w:rPr>
        <w:t>República Democrática Popular Lao (</w:t>
      </w:r>
      <w:hyperlink r:id="rId30" w:history="1">
        <w:r w:rsidRPr="00D43930">
          <w:rPr>
            <w:rStyle w:val="Hyperlink"/>
            <w:lang w:eastAsia="zh-CN"/>
          </w:rPr>
          <w:t>CEDAW/C/LAO/Q/8-9</w:t>
        </w:r>
      </w:hyperlink>
      <w:r w:rsidRPr="00D43930">
        <w:rPr>
          <w:lang w:eastAsia="zh-CN"/>
        </w:rPr>
        <w:t>);</w:t>
      </w:r>
    </w:p>
    <w:p w14:paraId="40BC4F2B" w14:textId="5253EE77" w:rsidR="00005E27" w:rsidRPr="00D00184" w:rsidRDefault="00005E27" w:rsidP="00D43930">
      <w:pPr>
        <w:pStyle w:val="SingleTxt"/>
        <w:jc w:val="left"/>
        <w:rPr>
          <w:lang w:val="en-US" w:eastAsia="zh-CN"/>
        </w:rPr>
      </w:pPr>
      <w:r w:rsidRPr="00D00184">
        <w:rPr>
          <w:lang w:val="en-US" w:eastAsia="zh-CN"/>
        </w:rPr>
        <w:t>Samoa (</w:t>
      </w:r>
      <w:hyperlink r:id="rId31" w:history="1">
        <w:r w:rsidRPr="00D00184">
          <w:rPr>
            <w:rStyle w:val="Hyperlink"/>
            <w:lang w:val="en-US" w:eastAsia="zh-CN"/>
          </w:rPr>
          <w:t>CEDAW/C/WSM/Q/6</w:t>
        </w:r>
      </w:hyperlink>
      <w:r w:rsidRPr="00D00184">
        <w:rPr>
          <w:lang w:val="en-US" w:eastAsia="zh-CN"/>
        </w:rPr>
        <w:t>);</w:t>
      </w:r>
    </w:p>
    <w:p w14:paraId="1335FE50" w14:textId="471A9BA2" w:rsidR="00005E27" w:rsidRPr="00D43930" w:rsidRDefault="00005E27" w:rsidP="00D43930">
      <w:pPr>
        <w:pStyle w:val="SingleTxt"/>
        <w:jc w:val="left"/>
        <w:rPr>
          <w:lang w:eastAsia="zh-CN"/>
        </w:rPr>
      </w:pPr>
      <w:r w:rsidRPr="00D43930">
        <w:rPr>
          <w:lang w:eastAsia="zh-CN"/>
        </w:rPr>
        <w:t>Tayikistán (</w:t>
      </w:r>
      <w:hyperlink r:id="rId32" w:history="1">
        <w:r w:rsidRPr="00D43930">
          <w:rPr>
            <w:rStyle w:val="Hyperlink"/>
            <w:lang w:eastAsia="zh-CN"/>
          </w:rPr>
          <w:t>CEDAW/C/TJK/6</w:t>
        </w:r>
      </w:hyperlink>
      <w:r w:rsidR="004617E3" w:rsidRPr="00D43930">
        <w:rPr>
          <w:lang w:eastAsia="zh-CN"/>
        </w:rPr>
        <w:t>)</w:t>
      </w:r>
      <w:r w:rsidR="004617E3">
        <w:rPr>
          <w:lang w:eastAsia="zh-CN"/>
        </w:rPr>
        <w:t>.</w:t>
      </w:r>
    </w:p>
    <w:p w14:paraId="0D3BEC3C" w14:textId="16E528D2" w:rsidR="00F61DB2" w:rsidRPr="00D43930" w:rsidRDefault="00F61DB2" w:rsidP="00F61DB2">
      <w:pPr>
        <w:pStyle w:val="SingleTxt"/>
        <w:spacing w:after="0" w:line="120" w:lineRule="exact"/>
        <w:rPr>
          <w:sz w:val="10"/>
          <w:lang w:eastAsia="zh-CN"/>
        </w:rPr>
      </w:pPr>
    </w:p>
    <w:p w14:paraId="196A06CD" w14:textId="07EA1EE1" w:rsidR="00005E27" w:rsidRPr="00D43930" w:rsidRDefault="00005E27" w:rsidP="00F61D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b/>
          <w:lang w:eastAsia="zh-CN"/>
        </w:rPr>
        <w:tab/>
      </w:r>
      <w:r w:rsidRPr="00D43930">
        <w:rPr>
          <w:b/>
          <w:lang w:eastAsia="zh-CN"/>
        </w:rPr>
        <w:tab/>
      </w:r>
      <w:r w:rsidRPr="00D43930">
        <w:rPr>
          <w:lang w:eastAsia="zh-CN"/>
        </w:rPr>
        <w:t>Respuestas a las listas de cuestiones y preguntas</w:t>
      </w:r>
    </w:p>
    <w:p w14:paraId="3BAF448D" w14:textId="6852ADBC" w:rsidR="00F61DB2" w:rsidRPr="00D43930" w:rsidRDefault="00F61DB2" w:rsidP="00F61DB2">
      <w:pPr>
        <w:pStyle w:val="SingleTxt"/>
        <w:spacing w:after="0" w:line="120" w:lineRule="exact"/>
        <w:rPr>
          <w:sz w:val="10"/>
          <w:lang w:eastAsia="zh-CN"/>
        </w:rPr>
      </w:pPr>
    </w:p>
    <w:p w14:paraId="1393A1BE" w14:textId="013A4596" w:rsidR="00005E27" w:rsidRPr="00D43930" w:rsidRDefault="00005E27" w:rsidP="00005E27">
      <w:pPr>
        <w:pStyle w:val="SingleTxt"/>
        <w:rPr>
          <w:lang w:eastAsia="zh-CN"/>
        </w:rPr>
      </w:pPr>
      <w:r w:rsidRPr="00D43930">
        <w:rPr>
          <w:lang w:eastAsia="zh-CN"/>
        </w:rPr>
        <w:t>Bahamas (</w:t>
      </w:r>
      <w:hyperlink r:id="rId33" w:history="1">
        <w:r w:rsidRPr="00D43930">
          <w:rPr>
            <w:rStyle w:val="Hyperlink"/>
            <w:lang w:eastAsia="zh-CN"/>
          </w:rPr>
          <w:t>CEDAW/C/BHS/Q/6/Add.1</w:t>
        </w:r>
      </w:hyperlink>
      <w:r w:rsidRPr="00D43930">
        <w:rPr>
          <w:lang w:eastAsia="zh-CN"/>
        </w:rPr>
        <w:t>);</w:t>
      </w:r>
    </w:p>
    <w:p w14:paraId="21B0C380" w14:textId="1FD9835A" w:rsidR="00005E27" w:rsidRPr="00D43930" w:rsidRDefault="00005E27" w:rsidP="00005E27">
      <w:pPr>
        <w:pStyle w:val="SingleTxt"/>
        <w:rPr>
          <w:lang w:eastAsia="zh-CN"/>
        </w:rPr>
      </w:pPr>
      <w:r w:rsidRPr="00D43930">
        <w:rPr>
          <w:lang w:eastAsia="zh-CN"/>
        </w:rPr>
        <w:t>Congo (</w:t>
      </w:r>
      <w:hyperlink r:id="rId34" w:history="1">
        <w:r w:rsidRPr="00D43930">
          <w:rPr>
            <w:rStyle w:val="Hyperlink"/>
            <w:lang w:eastAsia="zh-CN"/>
          </w:rPr>
          <w:t>CEDAW/C/COG/Q/7/Add.1</w:t>
        </w:r>
      </w:hyperlink>
      <w:r w:rsidRPr="00D43930">
        <w:rPr>
          <w:lang w:eastAsia="zh-CN"/>
        </w:rPr>
        <w:t>);</w:t>
      </w:r>
      <w:bookmarkStart w:id="1" w:name="_Hlk522013366"/>
      <w:bookmarkEnd w:id="1"/>
    </w:p>
    <w:p w14:paraId="1548D84C" w14:textId="62D1808C" w:rsidR="00005E27" w:rsidRPr="00D43930" w:rsidRDefault="004617E3" w:rsidP="00005E27">
      <w:pPr>
        <w:pStyle w:val="SingleTxt"/>
        <w:rPr>
          <w:lang w:eastAsia="zh-CN"/>
        </w:rPr>
      </w:pPr>
      <w:r>
        <w:rPr>
          <w:lang w:eastAsia="zh-CN"/>
        </w:rPr>
        <w:t>e</w:t>
      </w:r>
      <w:r w:rsidRPr="00D43930">
        <w:rPr>
          <w:lang w:eastAsia="zh-CN"/>
        </w:rPr>
        <w:t xml:space="preserve">x </w:t>
      </w:r>
      <w:r w:rsidR="00005E27" w:rsidRPr="00D43930">
        <w:rPr>
          <w:lang w:eastAsia="zh-CN"/>
        </w:rPr>
        <w:t>República Yugoslava de Macedonia (</w:t>
      </w:r>
      <w:hyperlink r:id="rId35" w:history="1">
        <w:r w:rsidR="00005E27" w:rsidRPr="00D43930">
          <w:rPr>
            <w:rStyle w:val="Hyperlink"/>
            <w:lang w:eastAsia="zh-CN"/>
          </w:rPr>
          <w:t>CEDAW/C/MKD/Q/6/Add.1</w:t>
        </w:r>
      </w:hyperlink>
      <w:r w:rsidR="00005E27" w:rsidRPr="00D43930">
        <w:rPr>
          <w:lang w:eastAsia="zh-CN"/>
        </w:rPr>
        <w:t>);</w:t>
      </w:r>
    </w:p>
    <w:p w14:paraId="269EAA70" w14:textId="1A5FC2EA" w:rsidR="00005E27" w:rsidRPr="00D43930" w:rsidRDefault="00005E27" w:rsidP="00005E27">
      <w:pPr>
        <w:pStyle w:val="SingleTxt"/>
        <w:rPr>
          <w:lang w:eastAsia="zh-CN"/>
        </w:rPr>
      </w:pPr>
      <w:r w:rsidRPr="00D43930">
        <w:rPr>
          <w:lang w:eastAsia="zh-CN"/>
        </w:rPr>
        <w:t>Nepal (</w:t>
      </w:r>
      <w:hyperlink r:id="rId36" w:history="1">
        <w:r w:rsidRPr="00D43930">
          <w:rPr>
            <w:rStyle w:val="Hyperlink"/>
            <w:lang w:eastAsia="zh-CN"/>
          </w:rPr>
          <w:t>CEDAW/C/NPL/Q/6/Add.1</w:t>
        </w:r>
      </w:hyperlink>
      <w:r w:rsidRPr="00D43930">
        <w:rPr>
          <w:lang w:eastAsia="zh-CN"/>
        </w:rPr>
        <w:t>);</w:t>
      </w:r>
      <w:bookmarkStart w:id="2" w:name="_Hlk522013375"/>
      <w:bookmarkEnd w:id="2"/>
    </w:p>
    <w:p w14:paraId="2FFD4176" w14:textId="541EDDEA" w:rsidR="00005E27" w:rsidRPr="00D43930" w:rsidRDefault="00005E27" w:rsidP="00005E27">
      <w:pPr>
        <w:pStyle w:val="SingleTxt"/>
        <w:rPr>
          <w:lang w:eastAsia="zh-CN"/>
        </w:rPr>
      </w:pPr>
      <w:r w:rsidRPr="00D43930">
        <w:rPr>
          <w:lang w:eastAsia="zh-CN"/>
        </w:rPr>
        <w:t>República Democrática Popular Lao (</w:t>
      </w:r>
      <w:hyperlink r:id="rId37" w:history="1">
        <w:r w:rsidRPr="00D43930">
          <w:rPr>
            <w:rStyle w:val="Hyperlink"/>
            <w:lang w:eastAsia="zh-CN"/>
          </w:rPr>
          <w:t>CEDAW/C/LAO/Q/8-9/Add.1</w:t>
        </w:r>
      </w:hyperlink>
      <w:r w:rsidRPr="00D43930">
        <w:rPr>
          <w:lang w:eastAsia="zh-CN"/>
        </w:rPr>
        <w:t>);</w:t>
      </w:r>
    </w:p>
    <w:p w14:paraId="21C51D3E" w14:textId="5E6716DD" w:rsidR="00005E27" w:rsidRPr="00742ED4" w:rsidRDefault="00005E27" w:rsidP="00005E27">
      <w:pPr>
        <w:pStyle w:val="SingleTxt"/>
        <w:rPr>
          <w:lang w:val="en-US" w:eastAsia="zh-CN"/>
        </w:rPr>
      </w:pPr>
      <w:r w:rsidRPr="00D00184">
        <w:rPr>
          <w:lang w:val="en-US" w:eastAsia="zh-CN"/>
        </w:rPr>
        <w:t>Samoa (</w:t>
      </w:r>
      <w:hyperlink r:id="rId38" w:history="1">
        <w:r w:rsidRPr="00D00184">
          <w:rPr>
            <w:rStyle w:val="Hyperlink"/>
            <w:lang w:val="en-US" w:eastAsia="zh-CN"/>
          </w:rPr>
          <w:t>CEDAW/C/WSM/Q/6/Add.1</w:t>
        </w:r>
      </w:hyperlink>
      <w:r w:rsidRPr="00D00184">
        <w:rPr>
          <w:lang w:val="en-US" w:eastAsia="zh-CN"/>
        </w:rPr>
        <w:t>);</w:t>
      </w:r>
      <w:bookmarkStart w:id="3" w:name="_Hlk522013385"/>
      <w:bookmarkEnd w:id="3"/>
    </w:p>
    <w:p w14:paraId="21FF910B" w14:textId="243AC481" w:rsidR="00005E27" w:rsidRPr="00742ED4" w:rsidRDefault="00005E27" w:rsidP="00005E27">
      <w:pPr>
        <w:pStyle w:val="SingleTxt"/>
        <w:rPr>
          <w:lang w:val="en-US" w:eastAsia="zh-CN"/>
        </w:rPr>
      </w:pPr>
      <w:r w:rsidRPr="00742ED4">
        <w:rPr>
          <w:lang w:val="en-US" w:eastAsia="zh-CN"/>
        </w:rPr>
        <w:t>Tayikistán (</w:t>
      </w:r>
      <w:hyperlink r:id="rId39" w:history="1">
        <w:r w:rsidRPr="00D00184">
          <w:rPr>
            <w:rStyle w:val="Hyperlink"/>
            <w:lang w:val="en-US" w:eastAsia="zh-CN"/>
          </w:rPr>
          <w:t>CEDAW/C/TJK/Q/6/Add.1</w:t>
        </w:r>
      </w:hyperlink>
      <w:r w:rsidRPr="00D00184">
        <w:rPr>
          <w:lang w:val="en-US" w:eastAsia="zh-CN"/>
        </w:rPr>
        <w:t>).</w:t>
      </w:r>
    </w:p>
    <w:p w14:paraId="584A335D" w14:textId="281D65CE" w:rsidR="00F61DB2" w:rsidRPr="00742ED4" w:rsidRDefault="00F61DB2" w:rsidP="00F61DB2">
      <w:pPr>
        <w:pStyle w:val="SingleTxt"/>
        <w:spacing w:after="0" w:line="120" w:lineRule="exact"/>
        <w:rPr>
          <w:sz w:val="10"/>
          <w:lang w:val="en-US" w:eastAsia="zh-CN"/>
        </w:rPr>
      </w:pPr>
    </w:p>
    <w:p w14:paraId="646C0B57" w14:textId="1109520B" w:rsidR="00005E27" w:rsidRPr="00D43930" w:rsidRDefault="00005E27" w:rsidP="00D439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eastAsia="zh-CN"/>
        </w:rPr>
      </w:pPr>
      <w:r w:rsidRPr="00742ED4">
        <w:rPr>
          <w:lang w:val="en-US" w:eastAsia="zh-CN"/>
        </w:rPr>
        <w:tab/>
      </w:r>
      <w:r w:rsidRPr="00D43930">
        <w:rPr>
          <w:lang w:eastAsia="zh-CN"/>
        </w:rPr>
        <w:t>5.</w:t>
      </w:r>
      <w:r w:rsidRPr="00D43930">
        <w:rPr>
          <w:lang w:eastAsia="zh-CN"/>
        </w:rPr>
        <w:tab/>
        <w:t>Seguimiento del examen de los informes presentados por los Estados partes en virtud del artículo 18 de la Convención</w:t>
      </w:r>
    </w:p>
    <w:p w14:paraId="2D9D19A8" w14:textId="190A3489" w:rsidR="00F61DB2" w:rsidRPr="00D43930" w:rsidRDefault="00F61DB2" w:rsidP="00F61DB2">
      <w:pPr>
        <w:pStyle w:val="SingleTxt"/>
        <w:spacing w:after="0" w:line="120" w:lineRule="exact"/>
        <w:rPr>
          <w:sz w:val="10"/>
          <w:lang w:eastAsia="zh-CN"/>
        </w:rPr>
      </w:pPr>
    </w:p>
    <w:p w14:paraId="1FFBF93A" w14:textId="1F01F0CD" w:rsidR="00005E27" w:rsidRPr="00D43930" w:rsidRDefault="00005E27" w:rsidP="00005E27">
      <w:pPr>
        <w:pStyle w:val="SingleTxt"/>
        <w:rPr>
          <w:lang w:eastAsia="zh-CN"/>
        </w:rPr>
      </w:pPr>
      <w:r w:rsidRPr="00D43930">
        <w:rPr>
          <w:lang w:eastAsia="zh-CN"/>
        </w:rPr>
        <w:t>El Comité examinará cuestiones relacionadas con el seguimiento de las observaciones finales.</w:t>
      </w:r>
    </w:p>
    <w:p w14:paraId="287FAA30" w14:textId="5F4D1CDE" w:rsidR="00F61DB2" w:rsidRPr="00D43930" w:rsidRDefault="00F61DB2" w:rsidP="00F61DB2">
      <w:pPr>
        <w:pStyle w:val="SingleTxt"/>
        <w:spacing w:after="0" w:line="120" w:lineRule="exact"/>
        <w:rPr>
          <w:sz w:val="10"/>
          <w:lang w:eastAsia="zh-CN"/>
        </w:rPr>
      </w:pPr>
    </w:p>
    <w:p w14:paraId="2094D9C6" w14:textId="5DAA6CC3" w:rsidR="00005E27" w:rsidRPr="00D43930" w:rsidRDefault="00005E27" w:rsidP="00F61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lang w:eastAsia="zh-CN"/>
        </w:rPr>
        <w:tab/>
        <w:t>6.</w:t>
      </w:r>
      <w:r w:rsidRPr="00D43930">
        <w:rPr>
          <w:lang w:eastAsia="zh-CN"/>
        </w:rPr>
        <w:tab/>
        <w:t>Aplicación de los artículos 21 y 22 de la Convención</w:t>
      </w:r>
    </w:p>
    <w:p w14:paraId="6E1B6DEC" w14:textId="30AB6884" w:rsidR="00F61DB2" w:rsidRPr="00D43930" w:rsidRDefault="00F61DB2" w:rsidP="00F61DB2">
      <w:pPr>
        <w:pStyle w:val="SingleTxt"/>
        <w:spacing w:after="0" w:line="120" w:lineRule="exact"/>
        <w:rPr>
          <w:sz w:val="10"/>
          <w:lang w:eastAsia="zh-CN"/>
        </w:rPr>
      </w:pPr>
    </w:p>
    <w:p w14:paraId="09734126" w14:textId="77777777" w:rsidR="00005E27" w:rsidRPr="00D43930" w:rsidRDefault="00005E27" w:rsidP="00005E27">
      <w:pPr>
        <w:pStyle w:val="SingleTxt"/>
        <w:rPr>
          <w:lang w:eastAsia="zh-CN"/>
        </w:rPr>
      </w:pPr>
      <w:r w:rsidRPr="00D43930">
        <w:rPr>
          <w:lang w:eastAsia="zh-CN"/>
        </w:rPr>
        <w:t xml:space="preserve">El artículo 21 de la Convención dispone que el Comité podrá formular sugerencias y recomendaciones de carácter general basadas en el examen de los informes y de los datos transmitidos por los Estados partes. Dispone también que esas sugerencias y </w:t>
      </w:r>
      <w:r w:rsidRPr="00D43930">
        <w:rPr>
          <w:lang w:eastAsia="zh-CN"/>
        </w:rPr>
        <w:lastRenderedPageBreak/>
        <w:t>recomendaciones de carácter general se incluirán en el informe del Comité a la Asamblea General junto con las observaciones, si las hubiere, de los Estados partes.</w:t>
      </w:r>
    </w:p>
    <w:p w14:paraId="2596F578" w14:textId="45DB8510" w:rsidR="00005E27" w:rsidRPr="00D43930" w:rsidRDefault="00005E27" w:rsidP="00005E27">
      <w:pPr>
        <w:pStyle w:val="SingleTxt"/>
        <w:rPr>
          <w:lang w:eastAsia="zh-CN"/>
        </w:rPr>
      </w:pPr>
      <w:r w:rsidRPr="00D43930">
        <w:rPr>
          <w:lang w:eastAsia="zh-CN"/>
        </w:rPr>
        <w:t>El artículo 22 de la Convención dispone que los organismos especializados tendrán derecho a estar representados en el examen de la aplicación de las disposiciones de la Convención que correspondan a sus ámbitos de competencia, y el Comité podrá invitarlos a que presenten informes sobre la aplicación de la Convención en esos ámbitos.</w:t>
      </w:r>
    </w:p>
    <w:p w14:paraId="118C9B4B" w14:textId="70366C51" w:rsidR="00F61DB2" w:rsidRPr="00D43930" w:rsidRDefault="00F61DB2" w:rsidP="00F61DB2">
      <w:pPr>
        <w:pStyle w:val="SingleTxt"/>
        <w:spacing w:after="0" w:line="120" w:lineRule="exact"/>
        <w:rPr>
          <w:sz w:val="10"/>
          <w:lang w:eastAsia="zh-CN"/>
        </w:rPr>
      </w:pPr>
    </w:p>
    <w:p w14:paraId="2B53CBF2" w14:textId="0108FFD1" w:rsidR="00005E27" w:rsidRPr="00D43930" w:rsidRDefault="00005E27" w:rsidP="00F61D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b/>
          <w:lang w:eastAsia="zh-CN"/>
        </w:rPr>
        <w:tab/>
      </w:r>
      <w:r w:rsidRPr="00D43930">
        <w:rPr>
          <w:lang w:eastAsia="zh-CN"/>
        </w:rPr>
        <w:tab/>
        <w:t>Documentación</w:t>
      </w:r>
    </w:p>
    <w:p w14:paraId="514A9A9D" w14:textId="0686FAC7" w:rsidR="00F61DB2" w:rsidRPr="00D43930" w:rsidRDefault="00F61DB2" w:rsidP="00F61DB2">
      <w:pPr>
        <w:pStyle w:val="SingleTxt"/>
        <w:spacing w:after="0" w:line="120" w:lineRule="exact"/>
        <w:rPr>
          <w:sz w:val="10"/>
          <w:lang w:eastAsia="zh-CN"/>
        </w:rPr>
      </w:pPr>
    </w:p>
    <w:p w14:paraId="48C3C41A" w14:textId="39389EE3" w:rsidR="00005E27" w:rsidRPr="00D43930" w:rsidRDefault="00005E27" w:rsidP="00005E27">
      <w:pPr>
        <w:pStyle w:val="SingleTxt"/>
        <w:rPr>
          <w:lang w:eastAsia="zh-CN"/>
        </w:rPr>
      </w:pPr>
      <w:r w:rsidRPr="00D43930">
        <w:rPr>
          <w:lang w:eastAsia="zh-CN"/>
        </w:rPr>
        <w:t>Informes presentados por los organismos especializados de las Naciones Unidas sobre la aplicación de la Convención en sus ámbitos de competencia</w:t>
      </w:r>
      <w:r w:rsidR="004617E3">
        <w:rPr>
          <w:lang w:eastAsia="zh-CN"/>
        </w:rPr>
        <w:t>.</w:t>
      </w:r>
    </w:p>
    <w:p w14:paraId="350D62DB" w14:textId="44CD5EC8" w:rsidR="00F61DB2" w:rsidRPr="00D43930" w:rsidRDefault="00F61DB2" w:rsidP="00F61DB2">
      <w:pPr>
        <w:pStyle w:val="SingleTxt"/>
        <w:spacing w:after="0" w:line="120" w:lineRule="exact"/>
        <w:rPr>
          <w:sz w:val="10"/>
          <w:lang w:eastAsia="zh-CN"/>
        </w:rPr>
      </w:pPr>
    </w:p>
    <w:p w14:paraId="1946F456" w14:textId="4F778452" w:rsidR="00005E27" w:rsidRPr="00D43930" w:rsidRDefault="00005E27" w:rsidP="00F61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lang w:eastAsia="zh-CN"/>
        </w:rPr>
        <w:tab/>
        <w:t>7.</w:t>
      </w:r>
      <w:r w:rsidRPr="00D43930">
        <w:rPr>
          <w:lang w:eastAsia="zh-CN"/>
        </w:rPr>
        <w:tab/>
        <w:t>Medios de agilizar los trabajos del Comité</w:t>
      </w:r>
    </w:p>
    <w:p w14:paraId="371C29D6" w14:textId="376034F4" w:rsidR="00F61DB2" w:rsidRPr="00D43930" w:rsidRDefault="00F61DB2" w:rsidP="00F61DB2">
      <w:pPr>
        <w:pStyle w:val="SingleTxt"/>
        <w:spacing w:after="0" w:line="120" w:lineRule="exact"/>
        <w:rPr>
          <w:sz w:val="10"/>
          <w:lang w:eastAsia="zh-CN"/>
        </w:rPr>
      </w:pPr>
    </w:p>
    <w:p w14:paraId="52184761" w14:textId="23FF0F63" w:rsidR="00005E27" w:rsidRPr="00D43930" w:rsidRDefault="00005E27" w:rsidP="00005E27">
      <w:pPr>
        <w:pStyle w:val="SingleTxt"/>
        <w:rPr>
          <w:lang w:eastAsia="zh-CN"/>
        </w:rPr>
      </w:pPr>
      <w:r w:rsidRPr="00D43930">
        <w:rPr>
          <w:lang w:eastAsia="zh-CN"/>
        </w:rPr>
        <w:t>El Comité examinará cuestiones relacionadas con sus métodos de trabajo.</w:t>
      </w:r>
    </w:p>
    <w:p w14:paraId="0AFE13F9" w14:textId="393F4E05" w:rsidR="00F61DB2" w:rsidRPr="00D43930" w:rsidRDefault="00F61DB2" w:rsidP="00F61DB2">
      <w:pPr>
        <w:pStyle w:val="SingleTxt"/>
        <w:spacing w:after="0" w:line="120" w:lineRule="exact"/>
        <w:rPr>
          <w:sz w:val="10"/>
          <w:lang w:eastAsia="zh-CN"/>
        </w:rPr>
      </w:pPr>
    </w:p>
    <w:p w14:paraId="087740AA" w14:textId="17B1E16F" w:rsidR="00005E27" w:rsidRPr="00D43930" w:rsidRDefault="00005E27" w:rsidP="00F61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lang w:eastAsia="zh-CN"/>
        </w:rPr>
        <w:tab/>
        <w:t>8.</w:t>
      </w:r>
      <w:r w:rsidRPr="00D43930">
        <w:rPr>
          <w:lang w:eastAsia="zh-CN"/>
        </w:rPr>
        <w:tab/>
        <w:t>Actividades del Comité en relación con el Protocolo Facultativo de la Convención</w:t>
      </w:r>
    </w:p>
    <w:p w14:paraId="1E221679" w14:textId="2ECF0D4C" w:rsidR="00F61DB2" w:rsidRPr="00D43930" w:rsidRDefault="00F61DB2" w:rsidP="00F61DB2">
      <w:pPr>
        <w:pStyle w:val="SingleTxt"/>
        <w:spacing w:after="0" w:line="120" w:lineRule="exact"/>
        <w:rPr>
          <w:sz w:val="10"/>
          <w:lang w:eastAsia="zh-CN"/>
        </w:rPr>
      </w:pPr>
    </w:p>
    <w:p w14:paraId="61F866DD" w14:textId="77777777" w:rsidR="00005E27" w:rsidRPr="00D43930" w:rsidRDefault="00005E27" w:rsidP="00005E27">
      <w:pPr>
        <w:pStyle w:val="SingleTxt"/>
        <w:rPr>
          <w:lang w:eastAsia="zh-CN"/>
        </w:rPr>
      </w:pPr>
      <w:r w:rsidRPr="00D43930">
        <w:rPr>
          <w:lang w:eastAsia="zh-CN"/>
        </w:rPr>
        <w:t>El 42º período de sesiones del Grupo de Trabajo sobre las Comunicaciones Presentadas en virtud del Protocolo Facultativo se celebrará del 17 al 19 de octubre de 2018 en Ginebra.</w:t>
      </w:r>
    </w:p>
    <w:p w14:paraId="118F1377" w14:textId="77777777" w:rsidR="00005E27" w:rsidRPr="00D43930" w:rsidRDefault="00005E27" w:rsidP="00005E27">
      <w:pPr>
        <w:pStyle w:val="SingleTxt"/>
        <w:rPr>
          <w:lang w:eastAsia="zh-CN"/>
        </w:rPr>
      </w:pPr>
      <w:r w:rsidRPr="00D43930">
        <w:rPr>
          <w:lang w:eastAsia="zh-CN"/>
        </w:rPr>
        <w:t>El 11º período de sesiones del Grupo de Trabajo sobre Investigaciones con arreglo al Protocolo Facultativo se celebrará los días 18 y 19 de octubre de 2018 en Ginebra.</w:t>
      </w:r>
    </w:p>
    <w:p w14:paraId="38EA7447" w14:textId="1E709758" w:rsidR="00005E27" w:rsidRPr="00D43930" w:rsidRDefault="00005E27" w:rsidP="00005E27">
      <w:pPr>
        <w:pStyle w:val="SingleTxt"/>
        <w:rPr>
          <w:lang w:eastAsia="zh-CN"/>
        </w:rPr>
      </w:pPr>
      <w:r w:rsidRPr="00D43930">
        <w:rPr>
          <w:lang w:eastAsia="zh-CN"/>
        </w:rPr>
        <w:t>En su 71</w:t>
      </w:r>
      <w:r w:rsidRPr="00D43930">
        <w:rPr>
          <w:vertAlign w:val="superscript"/>
          <w:lang w:eastAsia="zh-CN"/>
        </w:rPr>
        <w:t>er</w:t>
      </w:r>
      <w:r w:rsidRPr="00D43930">
        <w:rPr>
          <w:lang w:eastAsia="zh-CN"/>
        </w:rPr>
        <w:t xml:space="preserve"> período de sesiones, el Comité continuará cumpliendo su mandato en virtud de los artículos 2 y 8 del Protocolo Facultativo de la Convención.</w:t>
      </w:r>
    </w:p>
    <w:p w14:paraId="606ABAB3" w14:textId="7110C213" w:rsidR="00F61DB2" w:rsidRPr="00D43930" w:rsidRDefault="00F61DB2" w:rsidP="00F61DB2">
      <w:pPr>
        <w:pStyle w:val="SingleTxt"/>
        <w:spacing w:after="0" w:line="120" w:lineRule="exact"/>
        <w:rPr>
          <w:sz w:val="10"/>
          <w:lang w:eastAsia="zh-CN"/>
        </w:rPr>
      </w:pPr>
    </w:p>
    <w:p w14:paraId="157B9C8A" w14:textId="44C5F5B7" w:rsidR="00005E27" w:rsidRPr="00D43930" w:rsidRDefault="00005E27" w:rsidP="00F61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lang w:eastAsia="zh-CN"/>
        </w:rPr>
        <w:tab/>
        <w:t>9.</w:t>
      </w:r>
      <w:r w:rsidRPr="00D43930">
        <w:rPr>
          <w:lang w:eastAsia="zh-CN"/>
        </w:rPr>
        <w:tab/>
        <w:t>Programa provisional del 72º período de sesiones del Comité</w:t>
      </w:r>
    </w:p>
    <w:p w14:paraId="79703D0E" w14:textId="276B8ECE" w:rsidR="00F61DB2" w:rsidRPr="00D43930" w:rsidRDefault="00F61DB2" w:rsidP="00F61DB2">
      <w:pPr>
        <w:pStyle w:val="SingleTxt"/>
        <w:spacing w:after="0" w:line="120" w:lineRule="exact"/>
        <w:rPr>
          <w:sz w:val="10"/>
          <w:lang w:eastAsia="zh-CN"/>
        </w:rPr>
      </w:pPr>
    </w:p>
    <w:p w14:paraId="42311E51" w14:textId="218BFA59" w:rsidR="00005E27" w:rsidRPr="00D43930" w:rsidRDefault="00005E27" w:rsidP="00F61D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b/>
          <w:lang w:eastAsia="zh-CN"/>
        </w:rPr>
        <w:tab/>
      </w:r>
      <w:r w:rsidRPr="00D43930">
        <w:rPr>
          <w:b/>
          <w:lang w:eastAsia="zh-CN"/>
        </w:rPr>
        <w:tab/>
      </w:r>
      <w:r w:rsidRPr="00D43930">
        <w:rPr>
          <w:lang w:eastAsia="zh-CN"/>
        </w:rPr>
        <w:t>Documentación</w:t>
      </w:r>
    </w:p>
    <w:p w14:paraId="120FF330" w14:textId="03E98077" w:rsidR="00F61DB2" w:rsidRPr="00D43930" w:rsidRDefault="00F61DB2" w:rsidP="00F61DB2">
      <w:pPr>
        <w:pStyle w:val="SingleTxt"/>
        <w:spacing w:after="0" w:line="120" w:lineRule="exact"/>
        <w:rPr>
          <w:sz w:val="10"/>
          <w:lang w:eastAsia="zh-CN"/>
        </w:rPr>
      </w:pPr>
    </w:p>
    <w:p w14:paraId="7164EE80" w14:textId="74709453" w:rsidR="00005E27" w:rsidRPr="00D43930" w:rsidRDefault="00005E27" w:rsidP="00005E27">
      <w:pPr>
        <w:pStyle w:val="SingleTxt"/>
        <w:rPr>
          <w:lang w:eastAsia="zh-CN"/>
        </w:rPr>
      </w:pPr>
      <w:r w:rsidRPr="00D43930">
        <w:rPr>
          <w:lang w:eastAsia="zh-CN"/>
        </w:rPr>
        <w:t>Programa provisional anotado del 72º perío</w:t>
      </w:r>
      <w:bookmarkStart w:id="4" w:name="_GoBack"/>
      <w:bookmarkEnd w:id="4"/>
      <w:r w:rsidRPr="00D43930">
        <w:rPr>
          <w:lang w:eastAsia="zh-CN"/>
        </w:rPr>
        <w:t>do de sesiones (</w:t>
      </w:r>
      <w:hyperlink r:id="rId40" w:history="1">
        <w:r w:rsidRPr="00D43930">
          <w:rPr>
            <w:rStyle w:val="Hyperlink"/>
            <w:lang w:eastAsia="zh-CN"/>
          </w:rPr>
          <w:t>CEDAW/C/72/1</w:t>
        </w:r>
      </w:hyperlink>
      <w:r w:rsidRPr="00D43930">
        <w:rPr>
          <w:lang w:eastAsia="zh-CN"/>
        </w:rPr>
        <w:t>).</w:t>
      </w:r>
    </w:p>
    <w:p w14:paraId="07037298" w14:textId="4EBD24F8" w:rsidR="00F61DB2" w:rsidRPr="00D43930" w:rsidRDefault="00F61DB2" w:rsidP="00F61DB2">
      <w:pPr>
        <w:pStyle w:val="SingleTxt"/>
        <w:spacing w:after="0" w:line="120" w:lineRule="exact"/>
        <w:rPr>
          <w:sz w:val="10"/>
          <w:lang w:eastAsia="zh-CN"/>
        </w:rPr>
      </w:pPr>
    </w:p>
    <w:p w14:paraId="022EB6C2" w14:textId="279AFD0A" w:rsidR="00005E27" w:rsidRPr="00D43930" w:rsidRDefault="00005E27" w:rsidP="00F61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D43930">
        <w:rPr>
          <w:lang w:eastAsia="zh-CN"/>
        </w:rPr>
        <w:tab/>
        <w:t>10.</w:t>
      </w:r>
      <w:r w:rsidRPr="00D43930">
        <w:rPr>
          <w:lang w:eastAsia="zh-CN"/>
        </w:rPr>
        <w:tab/>
        <w:t>Aprobación del informe del Comité sobre su 71</w:t>
      </w:r>
      <w:r w:rsidRPr="00D43930">
        <w:rPr>
          <w:vertAlign w:val="superscript"/>
          <w:lang w:eastAsia="zh-CN"/>
        </w:rPr>
        <w:t>er</w:t>
      </w:r>
      <w:r w:rsidRPr="00D43930">
        <w:rPr>
          <w:lang w:eastAsia="zh-CN"/>
        </w:rPr>
        <w:t xml:space="preserve"> período de sesiones</w:t>
      </w:r>
    </w:p>
    <w:p w14:paraId="614288B9" w14:textId="77777777" w:rsidR="00D43930" w:rsidRPr="00D43930" w:rsidRDefault="00D43930" w:rsidP="00D43930">
      <w:pPr>
        <w:pStyle w:val="SingleTxt"/>
        <w:spacing w:after="0" w:line="120" w:lineRule="exact"/>
        <w:rPr>
          <w:sz w:val="10"/>
          <w:lang w:eastAsia="zh-CN"/>
        </w:rPr>
      </w:pPr>
    </w:p>
    <w:p w14:paraId="7FEA3103" w14:textId="6312BF52" w:rsidR="00005E27" w:rsidRPr="00D43930" w:rsidRDefault="00005E27" w:rsidP="00005E27">
      <w:pPr>
        <w:pStyle w:val="SingleTxt"/>
        <w:rPr>
          <w:lang w:eastAsia="zh-CN"/>
        </w:rPr>
      </w:pPr>
      <w:r w:rsidRPr="00D43930">
        <w:rPr>
          <w:noProof/>
          <w:w w:val="100"/>
          <w:lang w:eastAsia="zh-CN"/>
        </w:rPr>
        <mc:AlternateContent>
          <mc:Choice Requires="wps">
            <w:drawing>
              <wp:anchor distT="0" distB="0" distL="114300" distR="114300" simplePos="0" relativeHeight="251659264" behindDoc="0" locked="0" layoutInCell="1" allowOverlap="1" wp14:anchorId="0FBA94B5" wp14:editId="721D84F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00C21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05E27" w:rsidRPr="00D43930" w:rsidSect="00005E2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24T16:04:00Z" w:initials="Start">
    <w:p w14:paraId="54D3E9B3" w14:textId="77777777" w:rsidR="00907D71" w:rsidRPr="00005E27" w:rsidRDefault="00907D71">
      <w:pPr>
        <w:pStyle w:val="CommentText"/>
        <w:rPr>
          <w:lang w:val="en-US"/>
        </w:rPr>
      </w:pPr>
      <w:r>
        <w:fldChar w:fldCharType="begin"/>
      </w:r>
      <w:r w:rsidRPr="00005E27">
        <w:rPr>
          <w:rStyle w:val="CommentReference"/>
          <w:lang w:val="en-US"/>
        </w:rPr>
        <w:instrText xml:space="preserve"> </w:instrText>
      </w:r>
      <w:r w:rsidRPr="00005E27">
        <w:rPr>
          <w:lang w:val="en-US"/>
        </w:rPr>
        <w:instrText>PAGE \# "'Page: '#'</w:instrText>
      </w:r>
      <w:r w:rsidRPr="00005E27">
        <w:rPr>
          <w:lang w:val="en-US"/>
        </w:rPr>
        <w:br/>
        <w:instrText>'"</w:instrText>
      </w:r>
      <w:r w:rsidRPr="00005E27">
        <w:rPr>
          <w:rStyle w:val="CommentReference"/>
          <w:lang w:val="en-US"/>
        </w:rPr>
        <w:instrText xml:space="preserve"> </w:instrText>
      </w:r>
      <w:r>
        <w:fldChar w:fldCharType="end"/>
      </w:r>
      <w:r>
        <w:rPr>
          <w:rStyle w:val="CommentReference"/>
        </w:rPr>
        <w:annotationRef/>
      </w:r>
      <w:r w:rsidRPr="00005E27">
        <w:rPr>
          <w:lang w:val="en-US"/>
        </w:rPr>
        <w:t>&lt;&lt;ODS JOB NO&gt;&gt;N1825898S&lt;&lt;ODS JOB NO&gt;&gt;</w:t>
      </w:r>
    </w:p>
    <w:p w14:paraId="60B96126" w14:textId="77777777" w:rsidR="00907D71" w:rsidRDefault="00907D71">
      <w:pPr>
        <w:pStyle w:val="CommentText"/>
      </w:pPr>
      <w:r>
        <w:t>&lt;&lt;ODS DOC SYMBOL1&gt;&gt;CEDAW/C/71/1&lt;&lt;ODS DOC SYMBOL1&gt;&gt;</w:t>
      </w:r>
    </w:p>
    <w:p w14:paraId="42D0E8F0" w14:textId="77777777" w:rsidR="00907D71" w:rsidRDefault="00907D7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D0E8F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E532EE" w14:textId="77777777" w:rsidR="00993F90" w:rsidRDefault="00993F90" w:rsidP="00556720">
      <w:r>
        <w:separator/>
      </w:r>
    </w:p>
  </w:endnote>
  <w:endnote w:type="continuationSeparator" w:id="0">
    <w:p w14:paraId="5D680F0E" w14:textId="77777777" w:rsidR="00993F90" w:rsidRDefault="00993F9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07D71" w14:paraId="11B1961A" w14:textId="77777777" w:rsidTr="00907D71">
      <w:tc>
        <w:tcPr>
          <w:tcW w:w="4920" w:type="dxa"/>
          <w:shd w:val="clear" w:color="auto" w:fill="auto"/>
        </w:tcPr>
        <w:p w14:paraId="6926B5CA" w14:textId="77777777" w:rsidR="00907D71" w:rsidRPr="00907D71" w:rsidRDefault="00907D71" w:rsidP="00907D7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18-13389</w:t>
          </w:r>
          <w:r>
            <w:rPr>
              <w:b w:val="0"/>
              <w:color w:val="000000"/>
              <w:w w:val="103"/>
              <w:sz w:val="14"/>
            </w:rPr>
            <w:fldChar w:fldCharType="end"/>
          </w:r>
        </w:p>
      </w:tc>
      <w:tc>
        <w:tcPr>
          <w:tcW w:w="4920" w:type="dxa"/>
          <w:shd w:val="clear" w:color="auto" w:fill="auto"/>
        </w:tcPr>
        <w:p w14:paraId="0D18F667" w14:textId="21C27549" w:rsidR="00907D71" w:rsidRPr="00907D71" w:rsidRDefault="00907D71" w:rsidP="00907D7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F04B5">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F04B5">
            <w:rPr>
              <w:color w:val="000000"/>
              <w:w w:val="103"/>
            </w:rPr>
            <w:t>4</w:t>
          </w:r>
          <w:r>
            <w:rPr>
              <w:color w:val="000000"/>
              <w:w w:val="103"/>
            </w:rPr>
            <w:fldChar w:fldCharType="end"/>
          </w:r>
        </w:p>
      </w:tc>
    </w:tr>
  </w:tbl>
  <w:p w14:paraId="64D81E43" w14:textId="77777777" w:rsidR="00907D71" w:rsidRPr="00907D71" w:rsidRDefault="00907D71" w:rsidP="00907D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07D71" w14:paraId="630A6BAE" w14:textId="77777777" w:rsidTr="00907D71">
      <w:tc>
        <w:tcPr>
          <w:tcW w:w="4920" w:type="dxa"/>
          <w:shd w:val="clear" w:color="auto" w:fill="auto"/>
        </w:tcPr>
        <w:p w14:paraId="79735174" w14:textId="5FFC19AB" w:rsidR="00907D71" w:rsidRPr="00907D71" w:rsidRDefault="00907D71" w:rsidP="00907D7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F04B5">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F04B5">
            <w:rPr>
              <w:color w:val="000000"/>
              <w:w w:val="103"/>
            </w:rPr>
            <w:t>4</w:t>
          </w:r>
          <w:r>
            <w:rPr>
              <w:color w:val="000000"/>
              <w:w w:val="103"/>
            </w:rPr>
            <w:fldChar w:fldCharType="end"/>
          </w:r>
        </w:p>
      </w:tc>
      <w:tc>
        <w:tcPr>
          <w:tcW w:w="4920" w:type="dxa"/>
          <w:shd w:val="clear" w:color="auto" w:fill="auto"/>
        </w:tcPr>
        <w:p w14:paraId="5808C214" w14:textId="77777777" w:rsidR="00907D71" w:rsidRPr="00907D71" w:rsidRDefault="00907D71" w:rsidP="00907D7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18-13389</w:t>
          </w:r>
          <w:r>
            <w:rPr>
              <w:b w:val="0"/>
              <w:color w:val="000000"/>
              <w:w w:val="103"/>
              <w:sz w:val="14"/>
            </w:rPr>
            <w:fldChar w:fldCharType="end"/>
          </w:r>
        </w:p>
      </w:tc>
    </w:tr>
  </w:tbl>
  <w:p w14:paraId="21D1DA10" w14:textId="77777777" w:rsidR="00907D71" w:rsidRPr="00907D71" w:rsidRDefault="00907D71" w:rsidP="00907D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73BAE" w14:textId="77777777" w:rsidR="00907D71" w:rsidRPr="00907D71" w:rsidRDefault="00907D71" w:rsidP="00907D71">
    <w:pPr>
      <w:pStyle w:val="Footer"/>
      <w:spacing w:line="120" w:lineRule="exact"/>
      <w:rPr>
        <w:b w:val="0"/>
        <w:sz w:val="10"/>
      </w:rPr>
    </w:pPr>
    <w:r>
      <w:rPr>
        <w:b w:val="0"/>
        <w:sz w:val="10"/>
      </w:rPr>
      <w:drawing>
        <wp:anchor distT="0" distB="0" distL="114300" distR="114300" simplePos="0" relativeHeight="251658240" behindDoc="0" locked="0" layoutInCell="1" allowOverlap="1" wp14:anchorId="37154C4C" wp14:editId="471CC54B">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71/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1/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07D71" w14:paraId="1B4EEF1F" w14:textId="77777777" w:rsidTr="00907D71">
      <w:tc>
        <w:tcPr>
          <w:tcW w:w="3830" w:type="dxa"/>
          <w:shd w:val="clear" w:color="auto" w:fill="auto"/>
        </w:tcPr>
        <w:p w14:paraId="3119736E" w14:textId="7E1B40D0" w:rsidR="00907D71" w:rsidRDefault="00907D71" w:rsidP="00907D71">
          <w:pPr>
            <w:pStyle w:val="ReleaseDate"/>
          </w:pPr>
          <w:r>
            <w:t>18-13389 (S)</w:t>
          </w:r>
          <w:r w:rsidR="00005E27">
            <w:t xml:space="preserve">    230818    28</w:t>
          </w:r>
          <w:r>
            <w:t>0818</w:t>
          </w:r>
        </w:p>
        <w:p w14:paraId="386E080C" w14:textId="77777777" w:rsidR="00907D71" w:rsidRPr="00907D71" w:rsidRDefault="00907D71" w:rsidP="00907D7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*1813389*</w:t>
          </w:r>
        </w:p>
      </w:tc>
      <w:tc>
        <w:tcPr>
          <w:tcW w:w="4920" w:type="dxa"/>
          <w:shd w:val="clear" w:color="auto" w:fill="auto"/>
        </w:tcPr>
        <w:p w14:paraId="703779F7" w14:textId="77777777" w:rsidR="00907D71" w:rsidRDefault="00907D71" w:rsidP="00907D71">
          <w:pPr>
            <w:pStyle w:val="Footer"/>
            <w:jc w:val="right"/>
            <w:rPr>
              <w:b w:val="0"/>
              <w:sz w:val="20"/>
            </w:rPr>
          </w:pPr>
          <w:r>
            <w:rPr>
              <w:b w:val="0"/>
              <w:sz w:val="20"/>
            </w:rPr>
            <w:drawing>
              <wp:inline distT="0" distB="0" distL="0" distR="0" wp14:anchorId="35C9A53D" wp14:editId="13D4EA9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E382B70" w14:textId="77777777" w:rsidR="00907D71" w:rsidRPr="00907D71" w:rsidRDefault="00907D71" w:rsidP="00907D7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8B2E4E" w14:textId="77777777" w:rsidR="00993F90" w:rsidRDefault="00993F90" w:rsidP="00556720">
      <w:r>
        <w:separator/>
      </w:r>
    </w:p>
  </w:footnote>
  <w:footnote w:type="continuationSeparator" w:id="0">
    <w:p w14:paraId="356D1871" w14:textId="77777777" w:rsidR="00993F90" w:rsidRDefault="00993F90"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907D71" w14:paraId="6AC4186B" w14:textId="77777777" w:rsidTr="00907D71">
      <w:trPr>
        <w:trHeight w:hRule="exact" w:val="864"/>
      </w:trPr>
      <w:tc>
        <w:tcPr>
          <w:tcW w:w="4939" w:type="dxa"/>
          <w:shd w:val="clear" w:color="auto" w:fill="auto"/>
          <w:vAlign w:val="bottom"/>
        </w:tcPr>
        <w:p w14:paraId="07250F2A" w14:textId="77777777" w:rsidR="00907D71" w:rsidRPr="00907D71" w:rsidRDefault="00907D71" w:rsidP="00907D7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CEDAW/C/71/1</w:t>
          </w:r>
          <w:r>
            <w:rPr>
              <w:b/>
              <w:color w:val="000000"/>
            </w:rPr>
            <w:fldChar w:fldCharType="end"/>
          </w:r>
        </w:p>
      </w:tc>
      <w:tc>
        <w:tcPr>
          <w:tcW w:w="4920" w:type="dxa"/>
          <w:shd w:val="clear" w:color="auto" w:fill="auto"/>
          <w:vAlign w:val="bottom"/>
        </w:tcPr>
        <w:p w14:paraId="33C369F1" w14:textId="77777777" w:rsidR="00907D71" w:rsidRDefault="00907D71" w:rsidP="00907D71">
          <w:pPr>
            <w:pStyle w:val="Header"/>
          </w:pPr>
        </w:p>
      </w:tc>
    </w:tr>
  </w:tbl>
  <w:p w14:paraId="7FE9A0DA" w14:textId="77777777" w:rsidR="00907D71" w:rsidRPr="00907D71" w:rsidRDefault="00907D71" w:rsidP="00907D7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907D71" w14:paraId="6C8FD38A" w14:textId="77777777" w:rsidTr="00907D71">
      <w:trPr>
        <w:trHeight w:hRule="exact" w:val="864"/>
      </w:trPr>
      <w:tc>
        <w:tcPr>
          <w:tcW w:w="4939" w:type="dxa"/>
          <w:shd w:val="clear" w:color="auto" w:fill="auto"/>
          <w:vAlign w:val="bottom"/>
        </w:tcPr>
        <w:p w14:paraId="09CF4ECF" w14:textId="77777777" w:rsidR="00907D71" w:rsidRDefault="00907D71" w:rsidP="00907D71">
          <w:pPr>
            <w:pStyle w:val="Header"/>
          </w:pPr>
        </w:p>
      </w:tc>
      <w:tc>
        <w:tcPr>
          <w:tcW w:w="4920" w:type="dxa"/>
          <w:shd w:val="clear" w:color="auto" w:fill="auto"/>
          <w:vAlign w:val="bottom"/>
        </w:tcPr>
        <w:p w14:paraId="710F21C7" w14:textId="77777777" w:rsidR="00907D71" w:rsidRPr="00907D71" w:rsidRDefault="00907D71" w:rsidP="00907D7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CEDAW/C/71/1</w:t>
          </w:r>
          <w:r>
            <w:rPr>
              <w:b/>
              <w:color w:val="000000"/>
            </w:rPr>
            <w:fldChar w:fldCharType="end"/>
          </w:r>
        </w:p>
      </w:tc>
    </w:tr>
  </w:tbl>
  <w:p w14:paraId="64B345E6" w14:textId="77777777" w:rsidR="00907D71" w:rsidRPr="00907D71" w:rsidRDefault="00907D71" w:rsidP="00907D7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07D71" w14:paraId="3603E266" w14:textId="77777777" w:rsidTr="00907D71">
      <w:trPr>
        <w:gridAfter w:val="1"/>
        <w:wAfter w:w="15" w:type="dxa"/>
        <w:trHeight w:hRule="exact" w:val="864"/>
      </w:trPr>
      <w:tc>
        <w:tcPr>
          <w:tcW w:w="1267" w:type="dxa"/>
          <w:tcBorders>
            <w:bottom w:val="single" w:sz="4" w:space="0" w:color="auto"/>
          </w:tcBorders>
          <w:shd w:val="clear" w:color="auto" w:fill="auto"/>
          <w:vAlign w:val="bottom"/>
        </w:tcPr>
        <w:p w14:paraId="5355B5A2" w14:textId="77777777" w:rsidR="00907D71" w:rsidRDefault="00907D71" w:rsidP="00907D71">
          <w:pPr>
            <w:pStyle w:val="Header"/>
            <w:spacing w:after="120"/>
          </w:pPr>
        </w:p>
      </w:tc>
      <w:tc>
        <w:tcPr>
          <w:tcW w:w="2059" w:type="dxa"/>
          <w:tcBorders>
            <w:bottom w:val="single" w:sz="4" w:space="0" w:color="auto"/>
          </w:tcBorders>
          <w:shd w:val="clear" w:color="auto" w:fill="auto"/>
          <w:vAlign w:val="bottom"/>
        </w:tcPr>
        <w:p w14:paraId="1A25F5C6" w14:textId="77777777" w:rsidR="00907D71" w:rsidRPr="00907D71" w:rsidRDefault="00907D71" w:rsidP="00907D7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D527250" w14:textId="77777777" w:rsidR="00907D71" w:rsidRDefault="00907D71" w:rsidP="00907D71">
          <w:pPr>
            <w:pStyle w:val="Header"/>
            <w:spacing w:after="120"/>
          </w:pPr>
        </w:p>
      </w:tc>
      <w:tc>
        <w:tcPr>
          <w:tcW w:w="6480" w:type="dxa"/>
          <w:gridSpan w:val="3"/>
          <w:tcBorders>
            <w:bottom w:val="single" w:sz="4" w:space="0" w:color="auto"/>
          </w:tcBorders>
          <w:shd w:val="clear" w:color="auto" w:fill="auto"/>
          <w:vAlign w:val="bottom"/>
        </w:tcPr>
        <w:p w14:paraId="1EF8488C" w14:textId="77777777" w:rsidR="00907D71" w:rsidRPr="00907D71" w:rsidRDefault="00907D71" w:rsidP="00907D71">
          <w:pPr>
            <w:spacing w:after="80" w:line="240" w:lineRule="auto"/>
            <w:jc w:val="right"/>
            <w:rPr>
              <w:position w:val="-4"/>
            </w:rPr>
          </w:pPr>
          <w:r>
            <w:rPr>
              <w:position w:val="-4"/>
              <w:sz w:val="40"/>
            </w:rPr>
            <w:t>CEDAW</w:t>
          </w:r>
          <w:r>
            <w:rPr>
              <w:position w:val="-4"/>
            </w:rPr>
            <w:t>/C/71/1</w:t>
          </w:r>
        </w:p>
      </w:tc>
    </w:tr>
    <w:tr w:rsidR="00907D71" w:rsidRPr="00907D71" w14:paraId="01FAF56A" w14:textId="77777777" w:rsidTr="00907D71">
      <w:trPr>
        <w:trHeight w:hRule="exact" w:val="2880"/>
      </w:trPr>
      <w:tc>
        <w:tcPr>
          <w:tcW w:w="1267" w:type="dxa"/>
          <w:tcBorders>
            <w:top w:val="single" w:sz="4" w:space="0" w:color="auto"/>
            <w:bottom w:val="single" w:sz="12" w:space="0" w:color="auto"/>
          </w:tcBorders>
          <w:shd w:val="clear" w:color="auto" w:fill="auto"/>
        </w:tcPr>
        <w:p w14:paraId="4E113E18" w14:textId="77777777" w:rsidR="00907D71" w:rsidRPr="00907D71" w:rsidRDefault="00907D71" w:rsidP="00907D71">
          <w:pPr>
            <w:pStyle w:val="Header"/>
            <w:spacing w:before="120"/>
            <w:jc w:val="center"/>
          </w:pPr>
          <w:r>
            <w:t xml:space="preserve"> </w:t>
          </w:r>
          <w:r>
            <w:drawing>
              <wp:inline distT="0" distB="0" distL="0" distR="0" wp14:anchorId="30B50B65" wp14:editId="2C82F59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87ECCC" w14:textId="77777777" w:rsidR="00907D71" w:rsidRPr="00907D71" w:rsidRDefault="00907D71" w:rsidP="00907D7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7940BED" w14:textId="77777777" w:rsidR="00907D71" w:rsidRPr="00005E27" w:rsidRDefault="00907D71" w:rsidP="00907D71">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759A5750" w14:textId="77777777" w:rsidR="00907D71" w:rsidRDefault="00907D71" w:rsidP="00907D71">
          <w:pPr>
            <w:pStyle w:val="Distribution"/>
            <w:spacing w:before="240"/>
          </w:pPr>
          <w:r>
            <w:t>Distr. general</w:t>
          </w:r>
        </w:p>
        <w:p w14:paraId="3D149E8F" w14:textId="77777777" w:rsidR="00907D71" w:rsidRDefault="00907D71" w:rsidP="00907D71">
          <w:pPr>
            <w:pStyle w:val="Publication"/>
          </w:pPr>
          <w:r>
            <w:t>14 de agosto de 2018</w:t>
          </w:r>
        </w:p>
        <w:p w14:paraId="5B13AF96" w14:textId="77777777" w:rsidR="00907D71" w:rsidRDefault="00907D71" w:rsidP="00907D71">
          <w:pPr>
            <w:rPr>
              <w:lang w:val="es-ES"/>
            </w:rPr>
          </w:pPr>
          <w:r>
            <w:rPr>
              <w:lang w:val="es-ES"/>
            </w:rPr>
            <w:t>Español</w:t>
          </w:r>
        </w:p>
        <w:p w14:paraId="1D43ECF4" w14:textId="1A672E0E" w:rsidR="00907D71" w:rsidRDefault="00907D71" w:rsidP="00907D71">
          <w:pPr>
            <w:pStyle w:val="Original"/>
          </w:pPr>
          <w:r>
            <w:t>Original: inglés</w:t>
          </w:r>
        </w:p>
        <w:p w14:paraId="035E90BA" w14:textId="277088FA" w:rsidR="00567E2B" w:rsidRPr="00D43930" w:rsidRDefault="00567E2B" w:rsidP="00D43930">
          <w:pPr>
            <w:spacing w:line="120" w:lineRule="exact"/>
            <w:rPr>
              <w:sz w:val="10"/>
              <w:lang w:val="es-ES"/>
            </w:rPr>
          </w:pPr>
        </w:p>
        <w:p w14:paraId="51E60FDA" w14:textId="40DCF1A0" w:rsidR="00907D71" w:rsidRPr="00907D71" w:rsidRDefault="00567E2B" w:rsidP="00567E2B">
          <w:pPr>
            <w:rPr>
              <w:lang w:val="es-ES"/>
            </w:rPr>
          </w:pPr>
          <w:r>
            <w:rPr>
              <w:lang w:val="es-ES"/>
            </w:rPr>
            <w:t>Español, francés e inglés únicamente</w:t>
          </w:r>
        </w:p>
      </w:tc>
    </w:tr>
  </w:tbl>
  <w:p w14:paraId="13A5A779" w14:textId="77777777" w:rsidR="00907D71" w:rsidRPr="00D43930" w:rsidRDefault="00907D71" w:rsidP="00907D71">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9208BA4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CCE750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E3ACC24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9692DD2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3389*"/>
    <w:docVar w:name="CreationDt" w:val="24/08/2018 4:04: PM"/>
    <w:docVar w:name="DocCategory" w:val="Doc"/>
    <w:docVar w:name="DocType" w:val="Final"/>
    <w:docVar w:name="DutyStation" w:val="New York"/>
    <w:docVar w:name="FooterJN" w:val="18-13389"/>
    <w:docVar w:name="jobn" w:val="18-13389 (S)"/>
    <w:docVar w:name="jobnDT" w:val="18-13389 (S)   240818"/>
    <w:docVar w:name="jobnDTDT" w:val="18-13389 (S)   240818   240818"/>
    <w:docVar w:name="JobNo" w:val="1813389S"/>
    <w:docVar w:name="JobNo2" w:val="18258984:04: PM"/>
    <w:docVar w:name="LocalDrive" w:val="0"/>
    <w:docVar w:name="OandT" w:val="NB/Amarilys Gonzalez"/>
    <w:docVar w:name="sss1" w:val="CEDAW/C/71/1"/>
    <w:docVar w:name="sss2" w:val="-"/>
    <w:docVar w:name="Symbol1" w:val="CEDAW/C/71/1"/>
    <w:docVar w:name="Symbol2" w:val="-"/>
  </w:docVars>
  <w:rsids>
    <w:rsidRoot w:val="00993F90"/>
    <w:rsid w:val="00005E27"/>
    <w:rsid w:val="00017FCF"/>
    <w:rsid w:val="00020A67"/>
    <w:rsid w:val="00024D1E"/>
    <w:rsid w:val="00065018"/>
    <w:rsid w:val="00085F5C"/>
    <w:rsid w:val="000C4C9C"/>
    <w:rsid w:val="000C7612"/>
    <w:rsid w:val="000D7986"/>
    <w:rsid w:val="000E0CF3"/>
    <w:rsid w:val="000F04B5"/>
    <w:rsid w:val="000F5173"/>
    <w:rsid w:val="0011115C"/>
    <w:rsid w:val="001263EE"/>
    <w:rsid w:val="001A3A17"/>
    <w:rsid w:val="001F0FB0"/>
    <w:rsid w:val="00214645"/>
    <w:rsid w:val="00235F25"/>
    <w:rsid w:val="00245AAE"/>
    <w:rsid w:val="002540F2"/>
    <w:rsid w:val="00262329"/>
    <w:rsid w:val="002706A2"/>
    <w:rsid w:val="002F1C1D"/>
    <w:rsid w:val="00300BF5"/>
    <w:rsid w:val="00333F73"/>
    <w:rsid w:val="00364B01"/>
    <w:rsid w:val="0038182B"/>
    <w:rsid w:val="003933FC"/>
    <w:rsid w:val="003A01BC"/>
    <w:rsid w:val="003B0143"/>
    <w:rsid w:val="003C5E36"/>
    <w:rsid w:val="003D67CA"/>
    <w:rsid w:val="003D6EC0"/>
    <w:rsid w:val="003E3B08"/>
    <w:rsid w:val="003E723B"/>
    <w:rsid w:val="003F281F"/>
    <w:rsid w:val="00405DB8"/>
    <w:rsid w:val="00420B10"/>
    <w:rsid w:val="00425B6F"/>
    <w:rsid w:val="0042676C"/>
    <w:rsid w:val="00426D65"/>
    <w:rsid w:val="0044179B"/>
    <w:rsid w:val="004617E3"/>
    <w:rsid w:val="004B4C46"/>
    <w:rsid w:val="004C410F"/>
    <w:rsid w:val="004D17DB"/>
    <w:rsid w:val="0054233B"/>
    <w:rsid w:val="00556720"/>
    <w:rsid w:val="00567E2B"/>
    <w:rsid w:val="005832B1"/>
    <w:rsid w:val="00583D31"/>
    <w:rsid w:val="005B6F9A"/>
    <w:rsid w:val="005C49C8"/>
    <w:rsid w:val="005D089B"/>
    <w:rsid w:val="005D1F51"/>
    <w:rsid w:val="005E363E"/>
    <w:rsid w:val="00630929"/>
    <w:rsid w:val="00656B89"/>
    <w:rsid w:val="00674235"/>
    <w:rsid w:val="00677827"/>
    <w:rsid w:val="006B63BE"/>
    <w:rsid w:val="00742ED4"/>
    <w:rsid w:val="007C5E21"/>
    <w:rsid w:val="00832245"/>
    <w:rsid w:val="008350F0"/>
    <w:rsid w:val="00852A7B"/>
    <w:rsid w:val="00855FFA"/>
    <w:rsid w:val="008723C3"/>
    <w:rsid w:val="00894FA3"/>
    <w:rsid w:val="008F3E1E"/>
    <w:rsid w:val="008F5C2D"/>
    <w:rsid w:val="00907D71"/>
    <w:rsid w:val="00922E8F"/>
    <w:rsid w:val="00926813"/>
    <w:rsid w:val="009457D2"/>
    <w:rsid w:val="00993F90"/>
    <w:rsid w:val="009E1969"/>
    <w:rsid w:val="00A20AC0"/>
    <w:rsid w:val="00A458DD"/>
    <w:rsid w:val="00A73BBC"/>
    <w:rsid w:val="00A75DF6"/>
    <w:rsid w:val="00A75E1A"/>
    <w:rsid w:val="00A83B39"/>
    <w:rsid w:val="00A8524E"/>
    <w:rsid w:val="00A966CD"/>
    <w:rsid w:val="00AB6E73"/>
    <w:rsid w:val="00AF38EB"/>
    <w:rsid w:val="00B40947"/>
    <w:rsid w:val="00B51113"/>
    <w:rsid w:val="00B565FD"/>
    <w:rsid w:val="00B95B84"/>
    <w:rsid w:val="00B9620C"/>
    <w:rsid w:val="00BB778A"/>
    <w:rsid w:val="00BE158C"/>
    <w:rsid w:val="00BF5B27"/>
    <w:rsid w:val="00BF6BE0"/>
    <w:rsid w:val="00C02934"/>
    <w:rsid w:val="00C04769"/>
    <w:rsid w:val="00C33BFE"/>
    <w:rsid w:val="00C44A8F"/>
    <w:rsid w:val="00C473FC"/>
    <w:rsid w:val="00C51FB7"/>
    <w:rsid w:val="00C779E4"/>
    <w:rsid w:val="00C868EB"/>
    <w:rsid w:val="00CA0E8B"/>
    <w:rsid w:val="00D00184"/>
    <w:rsid w:val="00D15D85"/>
    <w:rsid w:val="00D1796D"/>
    <w:rsid w:val="00D43930"/>
    <w:rsid w:val="00DA119C"/>
    <w:rsid w:val="00DC7B16"/>
    <w:rsid w:val="00DD0432"/>
    <w:rsid w:val="00DF34AE"/>
    <w:rsid w:val="00E33AEC"/>
    <w:rsid w:val="00E445F9"/>
    <w:rsid w:val="00E662D9"/>
    <w:rsid w:val="00E7541B"/>
    <w:rsid w:val="00EC6195"/>
    <w:rsid w:val="00F05CDF"/>
    <w:rsid w:val="00F20D11"/>
    <w:rsid w:val="00F27BF6"/>
    <w:rsid w:val="00F30184"/>
    <w:rsid w:val="00F31052"/>
    <w:rsid w:val="00F32866"/>
    <w:rsid w:val="00F41482"/>
    <w:rsid w:val="00F5593E"/>
    <w:rsid w:val="00F61DB2"/>
    <w:rsid w:val="00F754C3"/>
    <w:rsid w:val="00F94BC6"/>
    <w:rsid w:val="00FA0EFB"/>
    <w:rsid w:val="00FC3B2F"/>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380C4D"/>
  <w15:chartTrackingRefBased/>
  <w15:docId w15:val="{AF188659-B0C6-4353-99E6-1171585D2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111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B51113"/>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51113"/>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51113"/>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51113"/>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51113"/>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51113"/>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51113"/>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51113"/>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51113"/>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511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51113"/>
    <w:pPr>
      <w:keepNext/>
      <w:keepLines/>
      <w:spacing w:line="270" w:lineRule="exact"/>
      <w:outlineLvl w:val="0"/>
    </w:pPr>
    <w:rPr>
      <w:b/>
      <w:kern w:val="14"/>
      <w:sz w:val="24"/>
    </w:rPr>
  </w:style>
  <w:style w:type="paragraph" w:customStyle="1" w:styleId="HCh">
    <w:name w:val="_ H _Ch"/>
    <w:basedOn w:val="H1"/>
    <w:next w:val="Normal"/>
    <w:qFormat/>
    <w:rsid w:val="00B51113"/>
    <w:pPr>
      <w:spacing w:line="300" w:lineRule="exact"/>
    </w:pPr>
    <w:rPr>
      <w:spacing w:val="-2"/>
      <w:sz w:val="28"/>
    </w:rPr>
  </w:style>
  <w:style w:type="paragraph" w:customStyle="1" w:styleId="HM">
    <w:name w:val="_ H __M"/>
    <w:basedOn w:val="HCh"/>
    <w:next w:val="Normal"/>
    <w:qFormat/>
    <w:rsid w:val="00B51113"/>
    <w:pPr>
      <w:spacing w:line="360" w:lineRule="exact"/>
    </w:pPr>
    <w:rPr>
      <w:spacing w:val="-3"/>
      <w:w w:val="99"/>
      <w:sz w:val="34"/>
    </w:rPr>
  </w:style>
  <w:style w:type="paragraph" w:customStyle="1" w:styleId="H23">
    <w:name w:val="_ H_2/3"/>
    <w:basedOn w:val="H1"/>
    <w:next w:val="SingleTxt"/>
    <w:qFormat/>
    <w:rsid w:val="00B51113"/>
    <w:pPr>
      <w:spacing w:line="240" w:lineRule="exact"/>
      <w:outlineLvl w:val="1"/>
    </w:pPr>
    <w:rPr>
      <w:spacing w:val="2"/>
      <w:sz w:val="20"/>
    </w:rPr>
  </w:style>
  <w:style w:type="paragraph" w:customStyle="1" w:styleId="H4">
    <w:name w:val="_ H_4"/>
    <w:basedOn w:val="Normal"/>
    <w:next w:val="SingleTxt"/>
    <w:qFormat/>
    <w:rsid w:val="00B51113"/>
    <w:pPr>
      <w:keepNext/>
      <w:keepLines/>
      <w:tabs>
        <w:tab w:val="right" w:pos="360"/>
      </w:tabs>
      <w:outlineLvl w:val="3"/>
    </w:pPr>
    <w:rPr>
      <w:i/>
      <w:spacing w:val="3"/>
      <w:kern w:val="14"/>
    </w:rPr>
  </w:style>
  <w:style w:type="paragraph" w:customStyle="1" w:styleId="H56">
    <w:name w:val="_ H_5/6"/>
    <w:basedOn w:val="Normal"/>
    <w:next w:val="Normal"/>
    <w:qFormat/>
    <w:rsid w:val="00B51113"/>
    <w:pPr>
      <w:keepNext/>
      <w:keepLines/>
      <w:tabs>
        <w:tab w:val="right" w:pos="360"/>
      </w:tabs>
      <w:outlineLvl w:val="4"/>
    </w:pPr>
    <w:rPr>
      <w:kern w:val="14"/>
    </w:rPr>
  </w:style>
  <w:style w:type="paragraph" w:customStyle="1" w:styleId="DualTxt">
    <w:name w:val="__Dual Txt"/>
    <w:basedOn w:val="Normal"/>
    <w:qFormat/>
    <w:rsid w:val="00B5111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5111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51113"/>
    <w:pPr>
      <w:spacing w:line="540" w:lineRule="exact"/>
    </w:pPr>
    <w:rPr>
      <w:spacing w:val="-8"/>
      <w:w w:val="96"/>
      <w:sz w:val="57"/>
    </w:rPr>
  </w:style>
  <w:style w:type="paragraph" w:customStyle="1" w:styleId="SS">
    <w:name w:val="__S_S"/>
    <w:basedOn w:val="HCh"/>
    <w:next w:val="Normal"/>
    <w:qFormat/>
    <w:rsid w:val="00B51113"/>
    <w:pPr>
      <w:ind w:left="1267" w:right="1267"/>
    </w:pPr>
  </w:style>
  <w:style w:type="paragraph" w:customStyle="1" w:styleId="SingleTxt">
    <w:name w:val="__Single Txt"/>
    <w:basedOn w:val="Normal"/>
    <w:qFormat/>
    <w:rsid w:val="00B511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5111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5111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B51113"/>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51113"/>
    <w:rPr>
      <w:rFonts w:ascii="Tahoma" w:hAnsi="Tahoma" w:cs="Tahoma"/>
      <w:sz w:val="16"/>
      <w:szCs w:val="16"/>
    </w:rPr>
  </w:style>
  <w:style w:type="character" w:customStyle="1" w:styleId="BalloonTextChar">
    <w:name w:val="Balloon Text Char"/>
    <w:basedOn w:val="DefaultParagraphFont"/>
    <w:link w:val="BalloonText"/>
    <w:semiHidden/>
    <w:rsid w:val="00B51113"/>
    <w:rPr>
      <w:rFonts w:ascii="Tahoma" w:eastAsiaTheme="minorHAnsi" w:hAnsi="Tahoma" w:cs="Tahoma"/>
      <w:spacing w:val="4"/>
      <w:w w:val="103"/>
      <w:sz w:val="16"/>
      <w:szCs w:val="16"/>
      <w:lang w:val="es-ES" w:eastAsia="en-US"/>
    </w:rPr>
  </w:style>
  <w:style w:type="paragraph" w:customStyle="1" w:styleId="Bullet1">
    <w:name w:val="Bullet 1"/>
    <w:basedOn w:val="Normal"/>
    <w:qFormat/>
    <w:rsid w:val="00B51113"/>
    <w:pPr>
      <w:numPr>
        <w:numId w:val="13"/>
      </w:numPr>
      <w:spacing w:after="120"/>
      <w:ind w:right="1264"/>
      <w:jc w:val="both"/>
    </w:pPr>
  </w:style>
  <w:style w:type="paragraph" w:customStyle="1" w:styleId="Bullet2">
    <w:name w:val="Bullet 2"/>
    <w:basedOn w:val="Normal"/>
    <w:qFormat/>
    <w:rsid w:val="00B51113"/>
    <w:pPr>
      <w:numPr>
        <w:numId w:val="14"/>
      </w:numPr>
      <w:spacing w:after="120"/>
      <w:ind w:right="1264"/>
      <w:jc w:val="both"/>
    </w:pPr>
  </w:style>
  <w:style w:type="paragraph" w:customStyle="1" w:styleId="Bullet3">
    <w:name w:val="Bullet 3"/>
    <w:basedOn w:val="SingleTxt"/>
    <w:qFormat/>
    <w:rsid w:val="00B51113"/>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51113"/>
    <w:pPr>
      <w:spacing w:line="240" w:lineRule="auto"/>
    </w:pPr>
    <w:rPr>
      <w:b/>
      <w:bCs/>
      <w:color w:val="4F81BD"/>
      <w:sz w:val="18"/>
      <w:szCs w:val="18"/>
    </w:rPr>
  </w:style>
  <w:style w:type="character" w:styleId="CommentReference">
    <w:name w:val="annotation reference"/>
    <w:semiHidden/>
    <w:rsid w:val="00B51113"/>
    <w:rPr>
      <w:sz w:val="6"/>
    </w:rPr>
  </w:style>
  <w:style w:type="paragraph" w:customStyle="1" w:styleId="Distribution">
    <w:name w:val="Distribution"/>
    <w:next w:val="Normal"/>
    <w:autoRedefine/>
    <w:qFormat/>
    <w:rsid w:val="00B5111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5111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5111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51113"/>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51113"/>
    <w:pPr>
      <w:spacing w:after="80"/>
    </w:pPr>
  </w:style>
  <w:style w:type="character" w:customStyle="1" w:styleId="EndnoteTextChar">
    <w:name w:val="Endnote Text Char"/>
    <w:basedOn w:val="DefaultParagraphFont"/>
    <w:link w:val="EndnoteText"/>
    <w:semiHidden/>
    <w:rsid w:val="00B51113"/>
    <w:rPr>
      <w:rFonts w:ascii="Times New Roman" w:eastAsiaTheme="minorHAnsi" w:hAnsi="Times New Roman" w:cs="Times New Roman"/>
      <w:spacing w:val="5"/>
      <w:w w:val="104"/>
      <w:sz w:val="17"/>
      <w:lang w:val="es-ES" w:eastAsia="en-US"/>
    </w:rPr>
  </w:style>
  <w:style w:type="paragraph" w:styleId="Footer">
    <w:name w:val="footer"/>
    <w:link w:val="FooterChar"/>
    <w:qFormat/>
    <w:rsid w:val="00B51113"/>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51113"/>
    <w:rPr>
      <w:rFonts w:ascii="Times New Roman" w:eastAsiaTheme="minorHAnsi" w:hAnsi="Times New Roman" w:cs="Times New Roman"/>
      <w:b/>
      <w:noProof/>
      <w:sz w:val="17"/>
      <w:lang w:val="en-US" w:eastAsia="en-US"/>
    </w:rPr>
  </w:style>
  <w:style w:type="character" w:styleId="FootnoteReference">
    <w:name w:val="footnote reference"/>
    <w:semiHidden/>
    <w:rsid w:val="00B5111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5111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5111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51113"/>
    <w:pPr>
      <w:spacing w:before="240"/>
    </w:pPr>
    <w:rPr>
      <w:b/>
      <w:spacing w:val="-2"/>
      <w:w w:val="100"/>
    </w:rPr>
  </w:style>
  <w:style w:type="paragraph" w:customStyle="1" w:styleId="HdChapterBdLg">
    <w:name w:val="Hd Chapter Bd Lg"/>
    <w:basedOn w:val="HdChapterBD"/>
    <w:next w:val="Normal"/>
    <w:qFormat/>
    <w:rsid w:val="00B51113"/>
    <w:rPr>
      <w:spacing w:val="-3"/>
      <w:w w:val="99"/>
      <w:kern w:val="14"/>
      <w:sz w:val="34"/>
      <w:szCs w:val="34"/>
    </w:rPr>
  </w:style>
  <w:style w:type="paragraph" w:styleId="Header">
    <w:name w:val="header"/>
    <w:link w:val="HeaderChar"/>
    <w:qFormat/>
    <w:rsid w:val="00B51113"/>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51113"/>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5111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5111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51113"/>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5111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5111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5111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5111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5111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5111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51113"/>
    <w:pPr>
      <w:keepNext/>
      <w:spacing w:before="190" w:line="270" w:lineRule="exact"/>
    </w:pPr>
    <w:rPr>
      <w:b/>
      <w:kern w:val="14"/>
      <w:sz w:val="24"/>
    </w:rPr>
  </w:style>
  <w:style w:type="paragraph" w:customStyle="1" w:styleId="JournalHeading2">
    <w:name w:val="Journal_Heading2"/>
    <w:basedOn w:val="Normal"/>
    <w:next w:val="Normal"/>
    <w:qFormat/>
    <w:rsid w:val="00B51113"/>
    <w:pPr>
      <w:keepNext/>
      <w:keepLines/>
      <w:spacing w:before="240"/>
      <w:outlineLvl w:val="1"/>
    </w:pPr>
    <w:rPr>
      <w:b/>
      <w:spacing w:val="2"/>
      <w:kern w:val="14"/>
    </w:rPr>
  </w:style>
  <w:style w:type="paragraph" w:customStyle="1" w:styleId="JournalHeading4">
    <w:name w:val="Journal_Heading4"/>
    <w:basedOn w:val="Normal"/>
    <w:next w:val="Normal"/>
    <w:qFormat/>
    <w:rsid w:val="00B51113"/>
    <w:pPr>
      <w:keepNext/>
      <w:keepLines/>
      <w:spacing w:before="240"/>
      <w:outlineLvl w:val="3"/>
    </w:pPr>
    <w:rPr>
      <w:i/>
      <w:kern w:val="14"/>
    </w:rPr>
  </w:style>
  <w:style w:type="character" w:styleId="LineNumber">
    <w:name w:val="line number"/>
    <w:qFormat/>
    <w:rsid w:val="00B51113"/>
    <w:rPr>
      <w:sz w:val="14"/>
    </w:rPr>
  </w:style>
  <w:style w:type="paragraph" w:styleId="NoSpacing">
    <w:name w:val="No Spacing"/>
    <w:basedOn w:val="Normal"/>
    <w:uiPriority w:val="1"/>
    <w:rsid w:val="00B51113"/>
    <w:pPr>
      <w:spacing w:line="240" w:lineRule="auto"/>
    </w:pPr>
  </w:style>
  <w:style w:type="paragraph" w:customStyle="1" w:styleId="NormalBullet">
    <w:name w:val="Normal Bullet"/>
    <w:basedOn w:val="Normal"/>
    <w:next w:val="Normal"/>
    <w:qFormat/>
    <w:rsid w:val="00B51113"/>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B51113"/>
    <w:pPr>
      <w:tabs>
        <w:tab w:val="left" w:leader="dot" w:pos="2218"/>
        <w:tab w:val="left" w:pos="2707"/>
        <w:tab w:val="right" w:leader="dot" w:pos="9835"/>
      </w:tabs>
    </w:pPr>
    <w:rPr>
      <w:kern w:val="14"/>
    </w:rPr>
  </w:style>
  <w:style w:type="paragraph" w:customStyle="1" w:styleId="Original">
    <w:name w:val="Original"/>
    <w:next w:val="Normal"/>
    <w:autoRedefine/>
    <w:qFormat/>
    <w:rsid w:val="00B5111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5111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B5111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B51113"/>
    <w:pPr>
      <w:tabs>
        <w:tab w:val="right" w:pos="9965"/>
      </w:tabs>
      <w:spacing w:line="210" w:lineRule="exact"/>
    </w:pPr>
    <w:rPr>
      <w:spacing w:val="5"/>
      <w:w w:val="104"/>
      <w:kern w:val="14"/>
      <w:sz w:val="17"/>
    </w:rPr>
  </w:style>
  <w:style w:type="paragraph" w:customStyle="1" w:styleId="SmallX">
    <w:name w:val="SmallX"/>
    <w:basedOn w:val="Small"/>
    <w:next w:val="Normal"/>
    <w:qFormat/>
    <w:rsid w:val="00B51113"/>
    <w:pPr>
      <w:spacing w:line="180" w:lineRule="exact"/>
      <w:jc w:val="right"/>
    </w:pPr>
    <w:rPr>
      <w:spacing w:val="6"/>
      <w:w w:val="106"/>
      <w:sz w:val="14"/>
    </w:rPr>
  </w:style>
  <w:style w:type="paragraph" w:customStyle="1" w:styleId="TitleHCH">
    <w:name w:val="Title_H_CH"/>
    <w:basedOn w:val="HCh"/>
    <w:next w:val="SingleTxt"/>
    <w:qFormat/>
    <w:rsid w:val="00B511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511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51113"/>
    <w:pPr>
      <w:outlineLvl w:val="9"/>
    </w:pPr>
    <w:rPr>
      <w:rFonts w:eastAsiaTheme="majorEastAsia" w:cstheme="majorBidi"/>
      <w:lang w:bidi="en-US"/>
    </w:rPr>
  </w:style>
  <w:style w:type="paragraph" w:customStyle="1" w:styleId="XLarge">
    <w:name w:val="XLarge"/>
    <w:basedOn w:val="HM"/>
    <w:qFormat/>
    <w:rsid w:val="00B51113"/>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907D71"/>
    <w:pPr>
      <w:spacing w:line="240" w:lineRule="auto"/>
    </w:pPr>
    <w:rPr>
      <w:szCs w:val="20"/>
    </w:rPr>
  </w:style>
  <w:style w:type="character" w:customStyle="1" w:styleId="CommentTextChar">
    <w:name w:val="Comment Text Char"/>
    <w:basedOn w:val="DefaultParagraphFont"/>
    <w:link w:val="CommentText"/>
    <w:uiPriority w:val="99"/>
    <w:semiHidden/>
    <w:rsid w:val="00907D71"/>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907D71"/>
    <w:rPr>
      <w:b/>
      <w:bCs/>
    </w:rPr>
  </w:style>
  <w:style w:type="character" w:customStyle="1" w:styleId="CommentSubjectChar">
    <w:name w:val="Comment Subject Char"/>
    <w:basedOn w:val="CommentTextChar"/>
    <w:link w:val="CommentSubject"/>
    <w:uiPriority w:val="99"/>
    <w:semiHidden/>
    <w:rsid w:val="00907D71"/>
    <w:rPr>
      <w:rFonts w:ascii="Times New Roman" w:eastAsiaTheme="minorHAnsi" w:hAnsi="Times New Roman" w:cs="Times New Roman"/>
      <w:b/>
      <w:bCs/>
      <w:spacing w:val="4"/>
      <w:w w:val="103"/>
      <w:sz w:val="20"/>
      <w:szCs w:val="20"/>
      <w:lang w:val="es-ES_tradnl" w:eastAsia="en-US"/>
    </w:rPr>
  </w:style>
  <w:style w:type="character" w:styleId="Hyperlink">
    <w:name w:val="Hyperlink"/>
    <w:basedOn w:val="DefaultParagraphFont"/>
    <w:uiPriority w:val="99"/>
    <w:unhideWhenUsed/>
    <w:rsid w:val="00F61DB2"/>
    <w:rPr>
      <w:color w:val="0000FF" w:themeColor="hyperlink"/>
      <w:u w:val="none"/>
    </w:rPr>
  </w:style>
  <w:style w:type="character" w:styleId="FollowedHyperlink">
    <w:name w:val="FollowedHyperlink"/>
    <w:basedOn w:val="DefaultParagraphFont"/>
    <w:uiPriority w:val="99"/>
    <w:semiHidden/>
    <w:unhideWhenUsed/>
    <w:rsid w:val="00F61DB2"/>
    <w:rPr>
      <w:color w:val="0000FF"/>
      <w:u w:val="none"/>
    </w:rPr>
  </w:style>
  <w:style w:type="character" w:styleId="UnresolvedMention">
    <w:name w:val="Unresolved Mention"/>
    <w:basedOn w:val="DefaultParagraphFont"/>
    <w:uiPriority w:val="99"/>
    <w:semiHidden/>
    <w:unhideWhenUsed/>
    <w:rsid w:val="00F61DB2"/>
    <w:rPr>
      <w:color w:val="808080"/>
      <w:shd w:val="clear" w:color="auto" w:fill="E6E6E6"/>
    </w:rPr>
  </w:style>
  <w:style w:type="paragraph" w:styleId="Revision">
    <w:name w:val="Revision"/>
    <w:hidden/>
    <w:uiPriority w:val="99"/>
    <w:semiHidden/>
    <w:rsid w:val="00A75E1A"/>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OG/7" TargetMode="External"/><Relationship Id="rId26" Type="http://schemas.openxmlformats.org/officeDocument/2006/relationships/hyperlink" Target="https://undocs.org/sp/CEDAW/C/COG/Q/7" TargetMode="External"/><Relationship Id="rId39" Type="http://schemas.openxmlformats.org/officeDocument/2006/relationships/hyperlink" Target="https://undocs.org/sp/CEDAW/C/TJK/Q/6/Add.1" TargetMode="External"/><Relationship Id="rId3" Type="http://schemas.openxmlformats.org/officeDocument/2006/relationships/settings" Target="settings.xml"/><Relationship Id="rId21" Type="http://schemas.openxmlformats.org/officeDocument/2006/relationships/hyperlink" Target="https://undocs.org/sp/CEDAW/C/NPL/6" TargetMode="External"/><Relationship Id="rId34" Type="http://schemas.openxmlformats.org/officeDocument/2006/relationships/hyperlink" Target="https://undocs.org/sp/CEDAW/C/COG/Q/7/Add.1"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BHS/6" TargetMode="External"/><Relationship Id="rId25" Type="http://schemas.openxmlformats.org/officeDocument/2006/relationships/hyperlink" Target="https://undocs.org/sp/CEDAW/C/BHS/Q/6" TargetMode="External"/><Relationship Id="rId33" Type="http://schemas.openxmlformats.org/officeDocument/2006/relationships/hyperlink" Target="https://undocs.org/sp/CEDAW/C/BHS/Q/6/Add.1" TargetMode="External"/><Relationship Id="rId38" Type="http://schemas.openxmlformats.org/officeDocument/2006/relationships/hyperlink" Target="https://undocs.org/sp/CEDAW/C/WSM/Q/6/Add.1" TargetMode="External"/><Relationship Id="rId2" Type="http://schemas.openxmlformats.org/officeDocument/2006/relationships/styles" Target="styles.xml"/><Relationship Id="rId16" Type="http://schemas.openxmlformats.org/officeDocument/2006/relationships/hyperlink" Target="https://undocs.org/sp/CEDAW/C/PSWG/71/1" TargetMode="External"/><Relationship Id="rId20" Type="http://schemas.openxmlformats.org/officeDocument/2006/relationships/hyperlink" Target="https://undocs.org/sp/CEDAW/C/MUS/8" TargetMode="External"/><Relationship Id="rId29" Type="http://schemas.openxmlformats.org/officeDocument/2006/relationships/hyperlink" Target="https://undocs.org/sp/CEDAW/C/NPL/Q/6"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TJK/6" TargetMode="External"/><Relationship Id="rId32" Type="http://schemas.openxmlformats.org/officeDocument/2006/relationships/hyperlink" Target="https://undocs.org/sp/CEDAW/C/TJK/6" TargetMode="External"/><Relationship Id="rId37" Type="http://schemas.openxmlformats.org/officeDocument/2006/relationships/hyperlink" Target="https://undocs.org/sp/CEDAW/C/LAO/Q/8-9/Add.1" TargetMode="External"/><Relationship Id="rId40" Type="http://schemas.openxmlformats.org/officeDocument/2006/relationships/hyperlink" Target="https://undocs.org/sp/CEDAW/C/72/1" TargetMode="External"/><Relationship Id="rId5" Type="http://schemas.openxmlformats.org/officeDocument/2006/relationships/footnotes" Target="footnotes.xml"/><Relationship Id="rId15" Type="http://schemas.openxmlformats.org/officeDocument/2006/relationships/hyperlink" Target="https://undocs.org/sp/CEDAW/C/71/1" TargetMode="External"/><Relationship Id="rId23" Type="http://schemas.openxmlformats.org/officeDocument/2006/relationships/hyperlink" Target="https://undocs.org/sp/CEDAW/C/WSM/6" TargetMode="External"/><Relationship Id="rId28" Type="http://schemas.openxmlformats.org/officeDocument/2006/relationships/hyperlink" Target="https://undocs.org/sp/CEDAW/C/MUS/QRP/8" TargetMode="External"/><Relationship Id="rId36" Type="http://schemas.openxmlformats.org/officeDocument/2006/relationships/hyperlink" Target="https://undocs.org/sp/CEDAW/C/NPL/Q/6/Add.1" TargetMode="External"/><Relationship Id="rId10" Type="http://schemas.openxmlformats.org/officeDocument/2006/relationships/footer" Target="footer2.xml"/><Relationship Id="rId19" Type="http://schemas.openxmlformats.org/officeDocument/2006/relationships/hyperlink" Target="https://undocs.org/sp/CEDAW/C/MKD/6" TargetMode="External"/><Relationship Id="rId31" Type="http://schemas.openxmlformats.org/officeDocument/2006/relationships/hyperlink" Target="https://undocs.org/sp/CEDAW/C/WSM/Q/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LAO/8-9" TargetMode="External"/><Relationship Id="rId27" Type="http://schemas.openxmlformats.org/officeDocument/2006/relationships/hyperlink" Target="https://undocs.org/sp/CEDAW/C/MKD/Q/6" TargetMode="External"/><Relationship Id="rId30" Type="http://schemas.openxmlformats.org/officeDocument/2006/relationships/hyperlink" Target="https://undocs.org/sp/CEDAW/C/LAO/Q/8-9" TargetMode="External"/><Relationship Id="rId35" Type="http://schemas.openxmlformats.org/officeDocument/2006/relationships/hyperlink" Target="https://undocs.org/sp/CEDAW/C/MKD/Q/6/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1657</Words>
  <Characters>7724</Characters>
  <Application>Microsoft Office Word</Application>
  <DocSecurity>0</DocSecurity>
  <Lines>351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Adalgiza Duran</cp:lastModifiedBy>
  <cp:revision>2</cp:revision>
  <dcterms:created xsi:type="dcterms:W3CDTF">2018-08-28T16:03:00Z</dcterms:created>
  <dcterms:modified xsi:type="dcterms:W3CDTF">2018-08-28T16:03:00Z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1813389</vt:lpwstr>
  </property>
  <property fmtid="{D5CDD505-2E9C-101B-9397-08002B2CF9AE}" pid="3" name="ODSRefJobNo">
    <vt:lpwstr>1825898</vt:lpwstr>
  </property>
  <property fmtid="{D5CDD505-2E9C-101B-9397-08002B2CF9AE}" pid="4" name="Symbol1">
    <vt:lpwstr>CEDAW/C/71/1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Ojo! persona que lee: Nota del traductor. TPU: el traductor cambió el orden de estos documentos y los organizó alfabéticamente. Por favor, organizar siguiendo las normas que ustedes aplican. Gracias.</vt:lpwstr>
  </property>
  <property fmtid="{D5CDD505-2E9C-101B-9397-08002B2CF9AE}" pid="9" name="DraftPages">
    <vt:lpwstr> </vt:lpwstr>
  </property>
  <property fmtid="{D5CDD505-2E9C-101B-9397-08002B2CF9AE}" pid="10" name="Operator">
    <vt:lpwstr>NB</vt:lpwstr>
  </property>
  <property fmtid="{D5CDD505-2E9C-101B-9397-08002B2CF9AE}" pid="11" name="Translator">
    <vt:lpwstr>Amarilys Gonzalez</vt:lpwstr>
  </property>
  <property fmtid="{D5CDD505-2E9C-101B-9397-08002B2CF9AE}" pid="12" name="Release Date">
    <vt:lpwstr>230818</vt:lpwstr>
  </property>
  <property fmtid="{D5CDD505-2E9C-101B-9397-08002B2CF9AE}" pid="13" name="Session">
    <vt:lpwstr>71er período de sesiones_x000d_</vt:lpwstr>
  </property>
  <property fmtid="{D5CDD505-2E9C-101B-9397-08002B2CF9AE}" pid="14" name="Agenda">
    <vt:lpwstr>Tema 2 del programa provisional_x000d_</vt:lpwstr>
  </property>
  <property fmtid="{D5CDD505-2E9C-101B-9397-08002B2CF9AE}" pid="15" name="Agenda Title1">
    <vt:lpwstr>Aprobación del programa y organización de los trabajos_x000d_</vt:lpwstr>
  </property>
  <property fmtid="{D5CDD505-2E9C-101B-9397-08002B2CF9AE}" pid="16" name="Title1">
    <vt:lpwstr>		Programa provisional anotado_x000d_</vt:lpwstr>
  </property>
  <property fmtid="{D5CDD505-2E9C-101B-9397-08002B2CF9AE}" pid="17" name="Title2">
    <vt:lpwstr>		Programa provisional_x000d_</vt:lpwstr>
  </property>
</Properties>
</file>