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808"/>
        <w:gridCol w:w="3414"/>
        <w:gridCol w:w="1436"/>
        <w:gridCol w:w="2700"/>
      </w:tblGrid>
      <w:tr w:rsidR="00C74DE1">
        <w:trPr>
          <w:trHeight w:val="900"/>
        </w:trPr>
        <w:tc>
          <w:tcPr>
            <w:tcW w:w="5222" w:type="dxa"/>
            <w:gridSpan w:val="2"/>
            <w:tcBorders>
              <w:bottom w:val="single" w:sz="4" w:space="0" w:color="000000"/>
            </w:tcBorders>
          </w:tcPr>
          <w:p w:rsidR="00C74DE1" w:rsidRDefault="00C74DE1">
            <w:pPr>
              <w:snapToGrid w:val="0"/>
              <w:rPr>
                <w:rFonts w:ascii="Arial" w:hAnsi="Arial" w:cs="Arial"/>
                <w:b/>
                <w:sz w:val="28"/>
                <w:lang w:val="ru-RU"/>
              </w:rPr>
            </w:pPr>
            <w:r>
              <w:rPr>
                <w:rFonts w:ascii="Arial" w:hAnsi="Arial" w:cs="Arial"/>
                <w:b/>
                <w:sz w:val="28"/>
                <w:lang w:val="ru-RU"/>
              </w:rPr>
              <w:t xml:space="preserve">ОРГАНИЗАЦИЯ </w:t>
            </w:r>
            <w:r>
              <w:rPr>
                <w:rFonts w:ascii="Arial" w:hAnsi="Arial" w:cs="Arial"/>
                <w:b/>
                <w:sz w:val="28"/>
                <w:lang w:val="ru-RU"/>
              </w:rPr>
              <w:br/>
              <w:t>ОБЪЕДИНЕННЫХ НАЦИЙ</w:t>
            </w:r>
          </w:p>
        </w:tc>
        <w:tc>
          <w:tcPr>
            <w:tcW w:w="1436" w:type="dxa"/>
            <w:tcBorders>
              <w:bottom w:val="single" w:sz="4" w:space="0" w:color="000000"/>
            </w:tcBorders>
          </w:tcPr>
          <w:p w:rsidR="00C74DE1" w:rsidRDefault="00C74DE1">
            <w:pPr>
              <w:snapToGrid w:val="0"/>
              <w:rPr>
                <w:lang w:val="ru-RU"/>
              </w:rPr>
            </w:pPr>
          </w:p>
        </w:tc>
        <w:tc>
          <w:tcPr>
            <w:tcW w:w="2700" w:type="dxa"/>
            <w:tcBorders>
              <w:bottom w:val="single" w:sz="4" w:space="0" w:color="000000"/>
            </w:tcBorders>
          </w:tcPr>
          <w:p w:rsidR="00C74DE1" w:rsidRDefault="00C74DE1">
            <w:pPr>
              <w:snapToGrid w:val="0"/>
              <w:jc w:val="right"/>
              <w:rPr>
                <w:rFonts w:ascii="Arial" w:hAnsi="Arial" w:cs="Arial"/>
                <w:b/>
                <w:iCs/>
                <w:sz w:val="72"/>
                <w:lang w:val="ru-RU"/>
              </w:rPr>
            </w:pPr>
            <w:r>
              <w:rPr>
                <w:rFonts w:ascii="Arial" w:hAnsi="Arial" w:cs="Arial"/>
                <w:b/>
                <w:iCs/>
                <w:sz w:val="72"/>
                <w:lang w:val="ru-RU"/>
              </w:rPr>
              <w:t>CERD</w:t>
            </w:r>
          </w:p>
        </w:tc>
      </w:tr>
      <w:tr w:rsidR="00C74DE1">
        <w:trPr>
          <w:trHeight w:val="2708"/>
        </w:trPr>
        <w:tc>
          <w:tcPr>
            <w:tcW w:w="1808" w:type="dxa"/>
            <w:tcBorders>
              <w:top w:val="single" w:sz="4" w:space="0" w:color="000000"/>
              <w:bottom w:val="single" w:sz="4" w:space="0" w:color="000000"/>
            </w:tcBorders>
          </w:tcPr>
          <w:p w:rsidR="00C74DE1" w:rsidRDefault="00C74DE1">
            <w:pPr>
              <w:snapToGrid w:val="0"/>
              <w:spacing w:before="240"/>
              <w:ind w:left="113"/>
              <w:rPr>
                <w:b/>
                <w:bCs/>
                <w:iCs/>
                <w:sz w:val="28"/>
                <w:lang w:val="ru-RU"/>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ed="t">
                  <v:fill color2="black"/>
                  <v:imagedata r:id="rId7" o:title=""/>
                </v:shape>
                <o:OLEObject Type="Embed" ProgID="Word.Picture.8" ShapeID="_x0000_i1025" DrawAspect="Content" ObjectID="_1395486039" r:id="rId8"/>
              </w:object>
            </w:r>
          </w:p>
        </w:tc>
        <w:tc>
          <w:tcPr>
            <w:tcW w:w="4850" w:type="dxa"/>
            <w:gridSpan w:val="2"/>
            <w:tcBorders>
              <w:top w:val="single" w:sz="4" w:space="0" w:color="000000"/>
              <w:bottom w:val="single" w:sz="4" w:space="0" w:color="000000"/>
            </w:tcBorders>
          </w:tcPr>
          <w:p w:rsidR="00C74DE1" w:rsidRDefault="00C74DE1">
            <w:pPr>
              <w:snapToGrid w:val="0"/>
              <w:spacing w:before="240"/>
              <w:rPr>
                <w:b/>
                <w:bCs/>
                <w:iCs/>
                <w:sz w:val="28"/>
                <w:lang w:val="ru-RU"/>
              </w:rPr>
            </w:pPr>
            <w:r>
              <w:rPr>
                <w:b/>
                <w:bCs/>
                <w:iCs/>
                <w:sz w:val="28"/>
                <w:lang w:val="ru-RU"/>
              </w:rPr>
              <w:t xml:space="preserve">МЕЖДУНАРОДНАЯ </w:t>
            </w:r>
            <w:r>
              <w:rPr>
                <w:b/>
                <w:bCs/>
                <w:iCs/>
                <w:sz w:val="28"/>
                <w:lang w:val="ru-RU"/>
              </w:rPr>
              <w:br/>
              <w:t xml:space="preserve">КОНВЕНЦИЯ </w:t>
            </w:r>
            <w:r>
              <w:rPr>
                <w:b/>
                <w:bCs/>
                <w:iCs/>
                <w:sz w:val="28"/>
                <w:lang w:val="ru-RU"/>
              </w:rPr>
              <w:br/>
              <w:t xml:space="preserve">О ЛИКВИДАЦИИ </w:t>
            </w:r>
            <w:r>
              <w:rPr>
                <w:b/>
                <w:bCs/>
                <w:iCs/>
                <w:sz w:val="28"/>
                <w:lang w:val="ru-RU"/>
              </w:rPr>
              <w:br/>
              <w:t xml:space="preserve">ВСЕХ ФОРМ </w:t>
            </w:r>
            <w:r>
              <w:rPr>
                <w:b/>
                <w:bCs/>
                <w:iCs/>
                <w:sz w:val="28"/>
                <w:lang w:val="ru-RU"/>
              </w:rPr>
              <w:br/>
              <w:t>РАСОВОЙ ДИСКРИМИНАЦИИ</w:t>
            </w:r>
          </w:p>
        </w:tc>
        <w:tc>
          <w:tcPr>
            <w:tcW w:w="2700" w:type="dxa"/>
            <w:tcBorders>
              <w:top w:val="single" w:sz="4" w:space="0" w:color="000000"/>
              <w:bottom w:val="single" w:sz="4" w:space="0" w:color="000000"/>
            </w:tcBorders>
          </w:tcPr>
          <w:p w:rsidR="00C74DE1" w:rsidRDefault="00C74DE1">
            <w:pPr>
              <w:snapToGrid w:val="0"/>
              <w:rPr>
                <w:lang w:val="ru-RU"/>
              </w:rPr>
            </w:pPr>
          </w:p>
          <w:p w:rsidR="00C74DE1" w:rsidRDefault="00C74DE1">
            <w:pPr>
              <w:rPr>
                <w:lang w:val="ru-RU"/>
              </w:rPr>
            </w:pPr>
            <w:r>
              <w:rPr>
                <w:lang w:val="ru-RU"/>
              </w:rPr>
              <w:t>Distr.</w:t>
            </w:r>
            <w:r>
              <w:rPr>
                <w:lang w:val="ru-RU"/>
              </w:rPr>
              <w:br/>
              <w:t>GENERAL</w:t>
            </w:r>
          </w:p>
          <w:p w:rsidR="00C74DE1" w:rsidRDefault="00C74DE1">
            <w:pPr>
              <w:pStyle w:val="a"/>
              <w:widowControl/>
              <w:tabs>
                <w:tab w:val="left" w:pos="567"/>
                <w:tab w:val="left" w:pos="1134"/>
                <w:tab w:val="left" w:pos="1701"/>
                <w:tab w:val="left" w:pos="2268"/>
                <w:tab w:val="left" w:pos="6237"/>
              </w:tabs>
              <w:spacing w:line="216" w:lineRule="auto"/>
              <w:rPr>
                <w:rFonts w:ascii="Times New Roman" w:hAnsi="Times New Roman"/>
              </w:rPr>
            </w:pPr>
          </w:p>
          <w:p w:rsidR="00C74DE1" w:rsidRDefault="00C74DE1">
            <w:pPr>
              <w:rPr>
                <w:lang w:val="ru-RU"/>
              </w:rPr>
            </w:pPr>
            <w:r>
              <w:rPr>
                <w:lang w:val="ru-RU"/>
              </w:rPr>
              <w:t>CERD/C/SR.1883</w:t>
            </w:r>
          </w:p>
          <w:p w:rsidR="00C74DE1" w:rsidRDefault="00C74DE1">
            <w:pPr>
              <w:spacing w:after="240" w:line="216" w:lineRule="auto"/>
              <w:rPr>
                <w:lang w:val="ru-RU"/>
              </w:rPr>
            </w:pPr>
            <w:r>
              <w:rPr>
                <w:lang w:val="ru-RU"/>
              </w:rPr>
              <w:t>19 August 2009</w:t>
            </w:r>
          </w:p>
          <w:p w:rsidR="00C74DE1" w:rsidRDefault="00C74DE1">
            <w:pPr>
              <w:rPr>
                <w:lang w:val="ru-RU"/>
              </w:rPr>
            </w:pPr>
            <w:r>
              <w:rPr>
                <w:lang w:val="ru-RU"/>
              </w:rPr>
              <w:t>RUSSIAN</w:t>
            </w:r>
          </w:p>
          <w:p w:rsidR="00C74DE1" w:rsidRDefault="00C74DE1">
            <w:pPr>
              <w:spacing w:line="216" w:lineRule="auto"/>
              <w:rPr>
                <w:lang w:val="ru-RU"/>
              </w:rPr>
            </w:pPr>
            <w:r>
              <w:rPr>
                <w:lang w:val="ru-RU"/>
              </w:rPr>
              <w:t>Original:  FRANÇAIS</w:t>
            </w:r>
          </w:p>
        </w:tc>
      </w:tr>
    </w:tbl>
    <w:p w:rsidR="00C74DE1" w:rsidRDefault="00C74DE1">
      <w:pPr>
        <w:spacing w:before="240" w:after="240"/>
        <w:jc w:val="center"/>
        <w:rPr>
          <w:szCs w:val="24"/>
          <w:lang w:val="ru-RU"/>
        </w:rPr>
      </w:pPr>
      <w:r>
        <w:rPr>
          <w:szCs w:val="24"/>
          <w:lang w:val="ru-RU"/>
        </w:rPr>
        <w:t>КОМИТЕТ ПО ЛИКВИДАЦИИ РАСОВОЙ ДИСКРИМИНАЦИИ</w:t>
      </w:r>
    </w:p>
    <w:p w:rsidR="00C74DE1" w:rsidRDefault="00C74DE1">
      <w:pPr>
        <w:spacing w:after="240"/>
        <w:jc w:val="center"/>
        <w:rPr>
          <w:szCs w:val="24"/>
          <w:lang w:val="ru-RU"/>
        </w:rPr>
      </w:pPr>
      <w:r>
        <w:rPr>
          <w:szCs w:val="24"/>
          <w:lang w:val="ru-RU"/>
        </w:rPr>
        <w:t xml:space="preserve">Семьдесят третья сессия </w:t>
      </w:r>
    </w:p>
    <w:p w:rsidR="00C74DE1" w:rsidRDefault="00C74DE1">
      <w:pPr>
        <w:spacing w:after="240"/>
        <w:jc w:val="center"/>
        <w:rPr>
          <w:szCs w:val="24"/>
          <w:lang w:val="ru-RU"/>
        </w:rPr>
      </w:pPr>
      <w:r>
        <w:rPr>
          <w:szCs w:val="24"/>
          <w:lang w:val="ru-RU"/>
        </w:rPr>
        <w:t>КРАТКИЙ ОТЧЕТ О 1883-м ЗАСЕДАНИИ,</w:t>
      </w:r>
    </w:p>
    <w:p w:rsidR="00C74DE1" w:rsidRDefault="00C74DE1">
      <w:pPr>
        <w:jc w:val="center"/>
        <w:rPr>
          <w:szCs w:val="24"/>
          <w:lang w:val="ru-RU"/>
        </w:rPr>
      </w:pPr>
      <w:r>
        <w:rPr>
          <w:szCs w:val="24"/>
          <w:lang w:val="ru-RU"/>
        </w:rPr>
        <w:t xml:space="preserve">состоявшемся во Дворце </w:t>
      </w:r>
      <w:r>
        <w:rPr>
          <w:lang w:val="ru-RU"/>
        </w:rPr>
        <w:t xml:space="preserve">Вильсона </w:t>
      </w:r>
      <w:r>
        <w:rPr>
          <w:szCs w:val="24"/>
          <w:lang w:val="ru-RU"/>
        </w:rPr>
        <w:t>в Женеве</w:t>
      </w:r>
    </w:p>
    <w:p w:rsidR="00C74DE1" w:rsidRDefault="00C74DE1">
      <w:pPr>
        <w:spacing w:after="240"/>
        <w:jc w:val="center"/>
        <w:rPr>
          <w:szCs w:val="24"/>
          <w:lang w:val="ru-RU"/>
        </w:rPr>
      </w:pPr>
      <w:r>
        <w:rPr>
          <w:szCs w:val="24"/>
          <w:lang w:val="ru-RU"/>
        </w:rPr>
        <w:t>в понедельник, 4 августа 2008 года, в 10 час. 00 мин.</w:t>
      </w:r>
    </w:p>
    <w:p w:rsidR="00C74DE1" w:rsidRDefault="00C74DE1">
      <w:pPr>
        <w:spacing w:after="240"/>
        <w:jc w:val="center"/>
        <w:rPr>
          <w:lang w:val="ru-RU"/>
        </w:rPr>
      </w:pPr>
      <w:r>
        <w:rPr>
          <w:u w:val="single"/>
          <w:lang w:val="ru-RU"/>
        </w:rPr>
        <w:t>Председатель</w:t>
      </w:r>
      <w:r>
        <w:rPr>
          <w:lang w:val="ru-RU"/>
        </w:rPr>
        <w:t>: г-жа ДАХ</w:t>
      </w:r>
    </w:p>
    <w:p w:rsidR="00C74DE1" w:rsidRDefault="00C74DE1">
      <w:pPr>
        <w:spacing w:after="240"/>
        <w:jc w:val="center"/>
        <w:rPr>
          <w:szCs w:val="24"/>
          <w:lang w:val="ru-RU"/>
        </w:rPr>
      </w:pPr>
      <w:r>
        <w:rPr>
          <w:szCs w:val="24"/>
          <w:lang w:val="ru-RU"/>
        </w:rPr>
        <w:t>СОДЕРЖАНИЕ</w:t>
      </w:r>
    </w:p>
    <w:p w:rsidR="00C74DE1" w:rsidRDefault="00C74DE1">
      <w:pPr>
        <w:spacing w:after="240"/>
        <w:rPr>
          <w:lang w:val="ru-RU"/>
        </w:rPr>
      </w:pPr>
      <w:r>
        <w:rPr>
          <w:lang w:val="ru-RU"/>
        </w:rPr>
        <w:t>РАССМОТРЕНИЕ ДОКЛАДОВ, ЗАМЕЧАНИЙ И ИНФОРМАЦИИ, ПРЕДСТАВЛЯЕМЫХ ГОСУДАРСТВАМИ-УЧАСТНИКАМИ В СООТВЕТСТВИИ СО СТАТЬЕЙ 9 КОНВЕНЦИИ (</w:t>
      </w:r>
      <w:r>
        <w:rPr>
          <w:u w:val="single"/>
          <w:lang w:val="ru-RU"/>
        </w:rPr>
        <w:t>продолжение</w:t>
      </w:r>
      <w:r>
        <w:rPr>
          <w:lang w:val="ru-RU"/>
        </w:rPr>
        <w:t>)</w:t>
      </w:r>
    </w:p>
    <w:p w:rsidR="00C74DE1" w:rsidRDefault="00C74DE1">
      <w:pPr>
        <w:ind w:left="540"/>
        <w:rPr>
          <w:lang w:val="ru-RU"/>
        </w:rPr>
      </w:pPr>
      <w:r>
        <w:rPr>
          <w:u w:val="single"/>
          <w:lang w:val="ru-RU"/>
        </w:rPr>
        <w:t>Девятнадцатый периодический доклад Российской Федерации</w:t>
      </w:r>
      <w:r>
        <w:rPr>
          <w:lang w:val="ru-RU"/>
        </w:rPr>
        <w:t xml:space="preserve"> (</w:t>
      </w:r>
      <w:r>
        <w:rPr>
          <w:u w:val="single"/>
          <w:lang w:val="ru-RU"/>
        </w:rPr>
        <w:t>продолжение</w:t>
      </w:r>
      <w:r>
        <w:rPr>
          <w:lang w:val="ru-RU"/>
        </w:rPr>
        <w:t>)</w:t>
      </w:r>
    </w:p>
    <w:p w:rsidR="00C74DE1" w:rsidRDefault="00C74DE1">
      <w:pPr>
        <w:ind w:left="540"/>
        <w:rPr>
          <w:u w:val="single"/>
          <w:lang w:val="ru-RU"/>
        </w:rPr>
      </w:pPr>
    </w:p>
    <w:p w:rsidR="00C74DE1" w:rsidRDefault="00C74DE1">
      <w:pPr>
        <w:ind w:left="540"/>
        <w:rPr>
          <w:u w:val="single"/>
          <w:lang w:val="ru-RU"/>
        </w:rPr>
      </w:pPr>
    </w:p>
    <w:p w:rsidR="00C74DE1" w:rsidRDefault="00C74DE1">
      <w:pPr>
        <w:ind w:left="540"/>
        <w:rPr>
          <w:u w:val="single"/>
          <w:lang w:val="ru-RU"/>
        </w:rPr>
      </w:pPr>
    </w:p>
    <w:p w:rsidR="00C74DE1" w:rsidRDefault="00C74DE1">
      <w:pPr>
        <w:ind w:left="540"/>
        <w:rPr>
          <w:u w:val="single"/>
          <w:lang w:val="ru-RU"/>
        </w:rPr>
      </w:pPr>
    </w:p>
    <w:p w:rsidR="00C74DE1" w:rsidRDefault="00C74DE1">
      <w:pPr>
        <w:spacing w:after="120"/>
        <w:rPr>
          <w:u w:val="single"/>
          <w:lang w:val="ru-RU"/>
        </w:rPr>
      </w:pPr>
      <w:r>
        <w:rPr>
          <w:u w:val="single"/>
          <w:lang w:val="ru-RU"/>
        </w:rPr>
        <w:tab/>
      </w:r>
      <w:r>
        <w:rPr>
          <w:u w:val="single"/>
          <w:lang w:val="ru-RU"/>
        </w:rPr>
        <w:tab/>
      </w:r>
      <w:r>
        <w:rPr>
          <w:u w:val="single"/>
          <w:lang w:val="ru-RU"/>
        </w:rPr>
        <w:tab/>
      </w:r>
      <w:r>
        <w:rPr>
          <w:u w:val="single"/>
          <w:lang w:val="ru-RU"/>
        </w:rPr>
        <w:tab/>
      </w:r>
    </w:p>
    <w:p w:rsidR="00C74DE1" w:rsidRDefault="00C74DE1">
      <w:pPr>
        <w:spacing w:after="120"/>
        <w:ind w:firstLine="576"/>
        <w:rPr>
          <w:color w:val="000000"/>
          <w:szCs w:val="24"/>
          <w:lang w:val="ru-RU"/>
        </w:rPr>
      </w:pPr>
      <w:r>
        <w:rPr>
          <w:color w:val="000000"/>
          <w:szCs w:val="24"/>
          <w:lang w:val="ru-RU"/>
        </w:rPr>
        <w:t>В настоящий отчет могут вноситься поправки.</w:t>
      </w:r>
    </w:p>
    <w:p w:rsidR="00C74DE1" w:rsidRDefault="00C74DE1">
      <w:pPr>
        <w:spacing w:after="120"/>
        <w:rPr>
          <w:color w:val="000000"/>
          <w:szCs w:val="24"/>
          <w:lang w:val="ru-RU"/>
        </w:rPr>
      </w:pPr>
      <w:r>
        <w:rPr>
          <w:color w:val="000000"/>
          <w:szCs w:val="24"/>
          <w:lang w:val="ru-RU"/>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color w:val="000000"/>
          <w:szCs w:val="24"/>
          <w:u w:val="single"/>
          <w:lang w:val="ru-RU"/>
        </w:rPr>
        <w:t>в течение одной недели с момента выпуска настоящего документа</w:t>
      </w:r>
      <w:r>
        <w:rPr>
          <w:color w:val="000000"/>
          <w:szCs w:val="24"/>
          <w:lang w:val="ru-RU"/>
        </w:rPr>
        <w:t xml:space="preserve"> в Секцию редактирования официальных отчетов, комната Е.4108, Дворец Наций, Женева. </w:t>
      </w:r>
    </w:p>
    <w:p w:rsidR="00C74DE1" w:rsidRDefault="00C74DE1">
      <w:pPr>
        <w:spacing w:after="120"/>
        <w:ind w:firstLine="562"/>
        <w:rPr>
          <w:color w:val="000000"/>
          <w:szCs w:val="24"/>
          <w:lang w:val="ru-RU"/>
        </w:rPr>
      </w:pPr>
      <w:r>
        <w:rPr>
          <w:color w:val="000000"/>
          <w:szCs w:val="24"/>
          <w:lang w:val="ru-RU"/>
        </w:rPr>
        <w:t>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p>
    <w:p w:rsidR="00C74DE1" w:rsidRDefault="00C74DE1"/>
    <w:p w:rsidR="00AA0056" w:rsidRPr="00AA0056" w:rsidRDefault="00AA0056"/>
    <w:p w:rsidR="00C74DE1" w:rsidRDefault="00C74DE1">
      <w:pPr>
        <w:rPr>
          <w:lang w:val="ru-RU"/>
        </w:rPr>
      </w:pPr>
      <w:r>
        <w:rPr>
          <w:lang w:val="ru-RU"/>
        </w:rPr>
        <w:t>GE.08-43479 (EXT)</w:t>
      </w:r>
    </w:p>
    <w:p w:rsidR="00C74DE1" w:rsidRDefault="00C74DE1">
      <w:pPr>
        <w:keepNext/>
        <w:pageBreakBefore/>
        <w:spacing w:after="240"/>
        <w:jc w:val="center"/>
        <w:rPr>
          <w:lang w:val="ru-RU"/>
        </w:rPr>
      </w:pPr>
      <w:r>
        <w:rPr>
          <w:u w:val="single"/>
          <w:lang w:val="ru-RU"/>
        </w:rPr>
        <w:t>Заседание открывается в 10 час. 10 мин</w:t>
      </w:r>
      <w:r>
        <w:rPr>
          <w:lang w:val="ru-RU"/>
        </w:rPr>
        <w:t>.</w:t>
      </w:r>
    </w:p>
    <w:p w:rsidR="00C74DE1" w:rsidRDefault="00C74DE1">
      <w:pPr>
        <w:spacing w:after="240"/>
        <w:rPr>
          <w:lang w:val="ru-RU"/>
        </w:rPr>
      </w:pPr>
      <w:r>
        <w:rPr>
          <w:lang w:val="ru-RU"/>
        </w:rPr>
        <w:t>РАССМОТРЕНИЕ ДОКЛАДОВ, ЗАМЕЧАНИЙ И ИНФОРМАЦИИ, ПРЕДСТАВЛЯЕМЫХ ГОСУДАРСТВАМИ-УЧАСТНИКАМИ В СООТВЕТСТВИИ СО СТАТЬЕЙ 9 КОНВЕНЦИИ (пункт 4 повестки дня) (</w:t>
      </w:r>
      <w:r>
        <w:rPr>
          <w:u w:val="single"/>
          <w:lang w:val="ru-RU"/>
        </w:rPr>
        <w:t>продолжение</w:t>
      </w:r>
      <w:r>
        <w:rPr>
          <w:lang w:val="ru-RU"/>
        </w:rPr>
        <w:t>)</w:t>
      </w:r>
    </w:p>
    <w:p w:rsidR="00C74DE1" w:rsidRDefault="00C74DE1">
      <w:pPr>
        <w:spacing w:after="240"/>
        <w:ind w:left="567"/>
        <w:rPr>
          <w:lang w:val="ru-RU"/>
        </w:rPr>
      </w:pPr>
      <w:r>
        <w:rPr>
          <w:u w:val="single"/>
          <w:lang w:val="ru-RU"/>
        </w:rPr>
        <w:t>Девятнадцатый периодический доклад Российской Федерации</w:t>
      </w:r>
      <w:r>
        <w:rPr>
          <w:lang w:val="ru-RU"/>
        </w:rPr>
        <w:t xml:space="preserve"> (CERD/C/RUS/19; HRI/CORE/1/Add.52/Rev.1; список вопросов, подлежащих рассмотрению, документ без условного обозначения, распространенный на заседании только на английском языке)</w:t>
      </w:r>
    </w:p>
    <w:p w:rsidR="00C74DE1" w:rsidRDefault="00C74DE1">
      <w:pPr>
        <w:spacing w:after="240"/>
        <w:rPr>
          <w:iCs/>
          <w:lang w:val="ru-RU"/>
        </w:rPr>
      </w:pPr>
      <w:r>
        <w:rPr>
          <w:iCs/>
          <w:lang w:val="ru-RU"/>
        </w:rPr>
        <w:t>1.</w:t>
      </w:r>
      <w:r>
        <w:rPr>
          <w:iCs/>
          <w:lang w:val="ru-RU"/>
        </w:rPr>
        <w:tab/>
      </w:r>
      <w:r>
        <w:rPr>
          <w:u w:val="single"/>
          <w:lang w:val="ru-RU"/>
        </w:rPr>
        <w:t>По приглашению Председателя делегация Российской Федерации вновь занимает места за столом Комитета</w:t>
      </w:r>
      <w:r>
        <w:rPr>
          <w:iCs/>
          <w:lang w:val="ru-RU"/>
        </w:rPr>
        <w:t xml:space="preserve">. </w:t>
      </w:r>
    </w:p>
    <w:p w:rsidR="00C74DE1" w:rsidRDefault="00C74DE1">
      <w:pPr>
        <w:spacing w:after="240"/>
        <w:rPr>
          <w:lang w:val="ru-RU"/>
        </w:rPr>
      </w:pPr>
      <w:r>
        <w:rPr>
          <w:lang w:val="ru-RU"/>
        </w:rPr>
        <w:t>2.</w:t>
      </w:r>
      <w:r>
        <w:rPr>
          <w:lang w:val="ru-RU"/>
        </w:rPr>
        <w:tab/>
      </w:r>
      <w:r>
        <w:rPr>
          <w:u w:val="single"/>
          <w:lang w:val="ru-RU"/>
        </w:rPr>
        <w:t>Г</w:t>
      </w:r>
      <w:r>
        <w:rPr>
          <w:u w:val="single"/>
          <w:lang w:val="ru-RU"/>
        </w:rPr>
        <w:noBreakHyphen/>
        <w:t>н ТРАВНИКОВ</w:t>
      </w:r>
      <w:r>
        <w:rPr>
          <w:lang w:val="ru-RU"/>
        </w:rPr>
        <w:t xml:space="preserve"> (Российская Федерация), прежде чем приступить к ответам на вопросы, поставленные членами Комитета на предыдущем заседании, говорит о чувстве глубокой скорби, с которым жители Российской Федерации восприняли кончину в воскресенье, 3 августа 2008 года, Александра Солженицына.  Он напоминает, что всю свою жизнь писатель посвятил борьбе за соблюдение принципа терпимости, против всех форм расизма и исключительности, включая те, жертвами которых стали многочисленные репрессированные народы.</w:t>
      </w:r>
    </w:p>
    <w:p w:rsidR="00C74DE1" w:rsidRDefault="00C74DE1">
      <w:pPr>
        <w:spacing w:after="240"/>
        <w:rPr>
          <w:lang w:val="ru-RU"/>
        </w:rPr>
      </w:pPr>
      <w:r>
        <w:rPr>
          <w:lang w:val="ru-RU"/>
        </w:rPr>
        <w:t>3.</w:t>
      </w:r>
      <w:r>
        <w:rPr>
          <w:lang w:val="ru-RU"/>
        </w:rPr>
        <w:tab/>
        <w:t>Напомнив о том, что на предыдущем заседании многие эксперты интересовались причинами, по которым в советском обществе того времени практически отсутствовали проявления экстремизма, нетерпимости и ксенофобии в отличие, по всей видимости, от нынешнего периода, г</w:t>
      </w:r>
      <w:r>
        <w:rPr>
          <w:lang w:val="ru-RU"/>
        </w:rPr>
        <w:noBreakHyphen/>
        <w:t>н Травников сообщает, что все опросы, регулярно проводимые печатными органами, свидетельствуют о том, что население страны особо не озабочено вопросом об этническом происхождении или цвете кожи других ее жителей.  Вместе с тем он поясняет, что за последние 20 лет в стране произошли радикальные перемены в экономической, политической и социальной областях, которые до основания потрясли систему ценностей российского общества и привели к утере традиционных ориентиров.  Своего рода крушение иллюзий в сочетании с общим падением уровня жизни, наблюдавшимся в 90</w:t>
      </w:r>
      <w:r>
        <w:rPr>
          <w:lang w:val="ru-RU"/>
        </w:rPr>
        <w:noBreakHyphen/>
        <w:t>е годы, породило среди большинства россиян чувство отчуждения и разочарования, которые в отдельных случаях выражаются через неприятие людей, непохожих на других.  Государство неустанно принимало воспитательные меры, призванные скорректировать подобный настрой, однако его роль в данном вопросе остается побочной, поскольку в реальной жизни стереотипы зачастую закрепляются на уровне семьи и окружения.  Дети, появившиеся на свет в середине 90</w:t>
      </w:r>
      <w:r>
        <w:rPr>
          <w:lang w:val="ru-RU"/>
        </w:rPr>
        <w:noBreakHyphen/>
        <w:t>х годов, выросли в обществе с радикально изменившимися ценностями; они стали основной средой для распространения ксенофобских теорий, апологетики расизма и национального превосходства.  Власти сталкиваются с беспрецедентными проблемами в борьбе с явлением, распространившимся среди людей самого молодого возраста.  В России убеждены, что решение проблемы следует искать не в репрессиях, а в профилактических мероприятиях, образовании и социальной интеграции.</w:t>
      </w:r>
    </w:p>
    <w:p w:rsidR="00C74DE1" w:rsidRDefault="00C74DE1">
      <w:pPr>
        <w:spacing w:after="240"/>
        <w:rPr>
          <w:lang w:val="ru-RU"/>
        </w:rPr>
      </w:pPr>
      <w:r>
        <w:rPr>
          <w:lang w:val="ru-RU"/>
        </w:rPr>
        <w:t>4.</w:t>
      </w:r>
      <w:r>
        <w:rPr>
          <w:lang w:val="ru-RU"/>
        </w:rPr>
        <w:tab/>
        <w:t>Оратор подчеркивает, что идея о необходимости активного противодействия экстремизму находит широкую поддержку в российском обществе.  Были приняты бесчисленные меры в сфере образования, проводятся различные встречи экспертов, которые регулярно анализируют возникающие в этой сфере проблемы.  На фоне напряженной работы государственных и правоохранительных органов и все более заметных усилий НПО может сложиться впечатление, что проявления расизма приобрели в Российской Федерации невиданный размах, но такое впечатление не соответствует действительности.  Проблема расизма представляется в настоящее время столь заметной потому, что государственные органы и общество в целом умножают усилия в борьбе с этим злом, и по причине выделения государством более значительных ресурсов всем сторонам, которые активно участвуют в этой борьбе.  К тому же наблюдается увеличение числа дел о расовой или религиозной дискриминации, возбуждаемых в порядке уголовного и гражданского судопроизводства, и числа лиц, осужденных за такие деяния.</w:t>
      </w:r>
    </w:p>
    <w:p w:rsidR="00C74DE1" w:rsidRDefault="00C74DE1">
      <w:pPr>
        <w:spacing w:after="240"/>
        <w:rPr>
          <w:lang w:val="ru-RU"/>
        </w:rPr>
      </w:pPr>
      <w:r>
        <w:rPr>
          <w:lang w:val="ru-RU"/>
        </w:rPr>
        <w:t>5.</w:t>
      </w:r>
      <w:r>
        <w:rPr>
          <w:lang w:val="ru-RU"/>
        </w:rPr>
        <w:tab/>
        <w:t>Касаясь выраженной некоторыми членами Комитета озабоченности по данному вопросу, г</w:t>
      </w:r>
      <w:r>
        <w:rPr>
          <w:lang w:val="ru-RU"/>
        </w:rPr>
        <w:noBreakHyphen/>
        <w:t>н Травников признает отсутствие в российском законодательстве единого определения расовой дискриминации, воспроизводящего формулировку статьи 1 Конвенции; при этом он подчеркивает, что любые отношения в социальной сфере в Российской Федерации регулируются конкретными юридическими нормами, которые прямо запрещают любые проявления расизма, и что принцип недискриминации относится ко всем правам, оговоренным в Конституции и в законодательстве.  В этом отношении Российская Федерация исходит из статьи 14 Европейской конвенции о правах человека, в которой предусмотрено, что «пользование правами и свободами, изложенными в [настоящей] Конвенции, обеспечивается без дискриминации по какому бы то ни было признаку, как то:  в отношении пола, расы, цвета кожи, языка, религии, политических или иных убеждений, национального или социального происхождения, принадлежности к национальным меньшинствам, имущественного положения, рождения или иного обстоятельства».</w:t>
      </w:r>
    </w:p>
    <w:p w:rsidR="00C74DE1" w:rsidRDefault="00C74DE1">
      <w:pPr>
        <w:spacing w:after="240"/>
        <w:rPr>
          <w:lang w:val="ru-RU"/>
        </w:rPr>
      </w:pPr>
      <w:r>
        <w:rPr>
          <w:lang w:val="ru-RU"/>
        </w:rPr>
        <w:t>6.</w:t>
      </w:r>
      <w:r>
        <w:rPr>
          <w:lang w:val="ru-RU"/>
        </w:rPr>
        <w:tab/>
        <w:t xml:space="preserve">Оратор подчеркивает, что многие законодательные положения предусматривают одновременно защиту прав и свобод, провозглашаемых в российской Конституции, и прямой запрет на дискриминацию.  В этой связи он ссылается на статьи 2 и 3 трудового кодекса, которые запрещают дискриминацию в сфере труда, и говорит, что федеральное законодательство, регулирующее вопросы избирательного права, также содержит положения, которые не допускают агитацию, возбуждающую социальную, расовую, национальную или религиозную ненависть и вражду, а также пропаганду идеи социального, расового, национального, религиозного или языкового превосходства </w:t>
      </w:r>
      <w:r>
        <w:rPr>
          <w:szCs w:val="24"/>
          <w:lang w:val="ru-RU"/>
        </w:rPr>
        <w:t>(CERD/C/RUS/19, п. 110)</w:t>
      </w:r>
      <w:r>
        <w:rPr>
          <w:lang w:val="ru-RU"/>
        </w:rPr>
        <w:t xml:space="preserve">.  </w:t>
      </w:r>
    </w:p>
    <w:p w:rsidR="00C74DE1" w:rsidRDefault="00C74DE1">
      <w:pPr>
        <w:spacing w:after="240"/>
        <w:rPr>
          <w:szCs w:val="24"/>
          <w:lang w:val="ru-RU"/>
        </w:rPr>
      </w:pPr>
      <w:r>
        <w:rPr>
          <w:szCs w:val="24"/>
          <w:lang w:val="ru-RU"/>
        </w:rPr>
        <w:t>7.</w:t>
      </w:r>
      <w:r>
        <w:rPr>
          <w:szCs w:val="24"/>
          <w:lang w:val="ru-RU"/>
        </w:rPr>
        <w:tab/>
        <w:t>Г</w:t>
      </w:r>
      <w:r>
        <w:rPr>
          <w:szCs w:val="24"/>
          <w:lang w:val="ru-RU"/>
        </w:rPr>
        <w:noBreakHyphen/>
        <w:t>н Травников отмечает также, что статья 1 семейного кодекса запрещает любое ограничение прав граждан при вступлении в брак и в семейных отношениях по признакам социальной, расовой, национальной, языковой или религиозной принадлежности (там же, п. 19), что статья 5 закона об образовании гарантирует гражданам Российской Федерации возможность получения образования независимо, в частности, от пола, расы, национальности, языка или происхождения (там же, п. 15) и что в соответствии со статьей 17 Основ законодательства об охране здоровья граждан им гарантируется охрана здоровья независимо, в частности, от расовой, национальной или иной принадлежности (там же, п. 16).  Соответственно, Российская Федерация считает, что статья 1 Международной конвенции о ликвидации всех форм расовой дискриминации в полной мере воплощена в ее внутреннем законодательстве и что в этом отношении в нем нет никаких юридических пробелов.</w:t>
      </w:r>
    </w:p>
    <w:p w:rsidR="00C74DE1" w:rsidRDefault="00C74DE1">
      <w:pPr>
        <w:spacing w:after="240"/>
        <w:rPr>
          <w:lang w:val="ru-RU"/>
        </w:rPr>
      </w:pPr>
      <w:r>
        <w:rPr>
          <w:lang w:val="ru-RU"/>
        </w:rPr>
        <w:t>8.</w:t>
      </w:r>
      <w:r>
        <w:rPr>
          <w:lang w:val="ru-RU"/>
        </w:rPr>
        <w:tab/>
        <w:t xml:space="preserve">Оратор далее сообщает, что российские законодательные нормы, запрещающие дискриминацию, постоянно совершенствуются и в полной мере учитывают реалии страны.  Касаясь мер правовой защиты от расовой дискриминации, он указывает, что в России действует принцип презумпции невиновности и что бремя доказательства возлагается на истца.  </w:t>
      </w:r>
    </w:p>
    <w:p w:rsidR="00C74DE1" w:rsidRDefault="00C74DE1">
      <w:pPr>
        <w:spacing w:after="240"/>
        <w:rPr>
          <w:lang w:val="ru-RU"/>
        </w:rPr>
      </w:pPr>
      <w:r>
        <w:rPr>
          <w:lang w:val="ru-RU"/>
        </w:rPr>
        <w:t>9.</w:t>
      </w:r>
      <w:r>
        <w:rPr>
          <w:lang w:val="ru-RU"/>
        </w:rPr>
        <w:tab/>
        <w:t>Переходя к вопросу о приобретении гражданства, г</w:t>
      </w:r>
      <w:r>
        <w:rPr>
          <w:lang w:val="ru-RU"/>
        </w:rPr>
        <w:noBreakHyphen/>
        <w:t xml:space="preserve">н Травников подчеркивает, что федеральным законом о гражданстве введен общий и упрощенный порядок </w:t>
      </w:r>
      <w:r>
        <w:rPr>
          <w:szCs w:val="24"/>
          <w:lang w:val="ru-RU"/>
        </w:rPr>
        <w:t xml:space="preserve">(там же, п. 11) </w:t>
      </w:r>
      <w:r>
        <w:rPr>
          <w:lang w:val="ru-RU"/>
        </w:rPr>
        <w:t>приобретения гражданства, основанный на ряде критериев:  один из родителей ходатайствующего лица должен быть российским гражданином, а сам заявитель должен был до этого проживать в одном из государств </w:t>
      </w:r>
      <w:r>
        <w:rPr>
          <w:rFonts w:ascii="Symbol" w:hAnsi="Symbol"/>
          <w:lang w:val="ru-RU"/>
        </w:rPr>
        <w:t></w:t>
      </w:r>
      <w:r>
        <w:rPr>
          <w:lang w:val="ru-RU"/>
        </w:rPr>
        <w:t> членов Содружества Независимых Государств (СНГ).  Упрощенный порядок приобретения гражданства был введен также и для лиц, рожденных в одном из государств</w:t>
      </w:r>
      <w:r>
        <w:rPr>
          <w:lang w:val="ru-RU"/>
        </w:rPr>
        <w:noBreakHyphen/>
        <w:t>членов СНГ, которые обладали российским гражданством, но отказались от него, а также для лиц, состоящих в браке с российским гражданином в течение не менее трех лет, которые не способны трудиться или имеют детей, не способных трудиться.  Кроме того, лицам, постоянно проживавшим на территории одной из стран бывшего СССР на 6 февраля 1992 года, автоматически предоставляется право на приобретение российского гражданства, за исключением тех из них, которые в течение следующего года отказались от его приобретения.</w:t>
      </w:r>
    </w:p>
    <w:p w:rsidR="00C74DE1" w:rsidRDefault="00C74DE1">
      <w:pPr>
        <w:spacing w:after="240"/>
        <w:rPr>
          <w:lang w:val="ru-RU"/>
        </w:rPr>
      </w:pPr>
      <w:r>
        <w:rPr>
          <w:lang w:val="ru-RU"/>
        </w:rPr>
        <w:t>10.</w:t>
      </w:r>
      <w:r>
        <w:rPr>
          <w:lang w:val="ru-RU"/>
        </w:rPr>
        <w:tab/>
        <w:t>В июне 2006 года были введены в действие дополнительные положения, позволяющие россиянам, проживающим за рубежом, вернуться на жительство в страну.  Эта государственная программа, которая была утверждена президентом Российской Федерации, ставит целью побудить россиян, а также граждан других стран обосноваться в малонаселенных регионах России.  Правительство предполагает оказать финансовую помощь лицам, желающим обосноваться в этих регионах, и предоставляет им постоянный вид на жительство.  На данный момент интерес к этой программе проявили около 28 тысяч человек.</w:t>
      </w:r>
    </w:p>
    <w:p w:rsidR="00C74DE1" w:rsidRDefault="00C74DE1">
      <w:pPr>
        <w:spacing w:after="240"/>
        <w:rPr>
          <w:lang w:val="ru-RU"/>
        </w:rPr>
      </w:pPr>
      <w:r>
        <w:rPr>
          <w:lang w:val="ru-RU"/>
        </w:rPr>
        <w:t>11.</w:t>
      </w:r>
      <w:r>
        <w:rPr>
          <w:lang w:val="ru-RU"/>
        </w:rPr>
        <w:tab/>
        <w:t>Г</w:t>
      </w:r>
      <w:r>
        <w:rPr>
          <w:lang w:val="ru-RU"/>
        </w:rPr>
        <w:noBreakHyphen/>
        <w:t xml:space="preserve">н Травников сообщает, что в 2004 году был учрежден Совет при президенте по содействию развитию институтов гражданского общества и правам человека </w:t>
      </w:r>
      <w:r>
        <w:rPr>
          <w:szCs w:val="24"/>
          <w:lang w:val="ru-RU"/>
        </w:rPr>
        <w:t>(там же, п. 30)</w:t>
      </w:r>
      <w:r>
        <w:rPr>
          <w:lang w:val="ru-RU"/>
        </w:rPr>
        <w:t>, призванный отслеживать положение в области расовой дискриминации.  Совет проводит анализ наиболее острых проблем в сфере расовой дискриминации и представляет доклады на эту тему непосредственно президенту Российской Федерации, с которым председатель Совета находится в прямом контакте.  Ежегодно в Совет поступает около 300 тысяч жалоб, которые рассматриваются им абсолютно самостоятельно.  С тем чтобы снабдить Совет при президенте по содействию развитию институтов гражданского общества и правам человека средствами, необходимыми для надлежащего выполнения его мандата, на его нужды выделены ассигнования в размере приблизительно 6,5 млн. долл. США.</w:t>
      </w:r>
    </w:p>
    <w:p w:rsidR="00C74DE1" w:rsidRDefault="00C74DE1">
      <w:pPr>
        <w:spacing w:after="240"/>
        <w:rPr>
          <w:lang w:val="ru-RU"/>
        </w:rPr>
      </w:pPr>
      <w:r>
        <w:rPr>
          <w:lang w:val="ru-RU"/>
        </w:rPr>
        <w:t>12.</w:t>
      </w:r>
      <w:r>
        <w:rPr>
          <w:lang w:val="ru-RU"/>
        </w:rPr>
        <w:tab/>
        <w:t xml:space="preserve">Оратор далее поясняет, что в 2006 году была создана Общественная палата Российской Федерации </w:t>
      </w:r>
      <w:r>
        <w:rPr>
          <w:szCs w:val="24"/>
          <w:lang w:val="ru-RU"/>
        </w:rPr>
        <w:t>(там же, п. 31)</w:t>
      </w:r>
      <w:r>
        <w:rPr>
          <w:lang w:val="ru-RU"/>
        </w:rPr>
        <w:t>, которой поручено вести активную борьбу со всеми формами расовой дискриминации и нетерпимости.  Она представляет собой уникальный форум для сотрудничества между гражданским обществом и государственными, в том числе местными, органами.  Общественная палата работает в тесном контакте с федеральными исполнительными органами и оказывает поддержку НПО, выделяя им соответствующие субсидии.</w:t>
      </w:r>
    </w:p>
    <w:p w:rsidR="00C74DE1" w:rsidRDefault="00C74DE1">
      <w:pPr>
        <w:spacing w:after="240"/>
        <w:rPr>
          <w:lang w:val="ru-RU"/>
        </w:rPr>
      </w:pPr>
      <w:r>
        <w:rPr>
          <w:lang w:val="ru-RU"/>
        </w:rPr>
        <w:t>13.</w:t>
      </w:r>
      <w:r>
        <w:rPr>
          <w:lang w:val="ru-RU"/>
        </w:rPr>
        <w:tab/>
        <w:t>Важная роль в борьбе с расовой дискриминацией принадлежит средствам массовой информации, но вместе с тем через них происходит и распространение расистских и ксенофобских идей.  Учитывая крайне деликатный характер этой проблемы, российское правительство ведет неустанный поиск надлежащего баланса между применением санкций к авторам статей, пропагандирующим идеологию экстремизма, и защитой права на свободное выражение мнений в СМИ.  Г</w:t>
      </w:r>
      <w:r>
        <w:rPr>
          <w:lang w:val="ru-RU"/>
        </w:rPr>
        <w:noBreakHyphen/>
        <w:t>н Травников подчеркивает в этой связи, что Российской Федерацией, которая считает недопустимым распространение и легализацию идеологии расизма и расовой дискриминации под предлогом свободы выражения мнений, не было сделано никаких оговорок по поводу статьи 4 Конвенции.</w:t>
      </w:r>
    </w:p>
    <w:p w:rsidR="00C74DE1" w:rsidRDefault="00C74DE1">
      <w:pPr>
        <w:spacing w:after="240"/>
        <w:rPr>
          <w:lang w:val="ru-RU"/>
        </w:rPr>
      </w:pPr>
      <w:r>
        <w:rPr>
          <w:lang w:val="ru-RU"/>
        </w:rPr>
        <w:t>14.</w:t>
      </w:r>
      <w:r>
        <w:rPr>
          <w:lang w:val="ru-RU"/>
        </w:rPr>
        <w:tab/>
      </w:r>
      <w:r>
        <w:rPr>
          <w:u w:val="single"/>
          <w:lang w:val="ru-RU"/>
        </w:rPr>
        <w:t>Г</w:t>
      </w:r>
      <w:r>
        <w:rPr>
          <w:u w:val="single"/>
          <w:lang w:val="ru-RU"/>
        </w:rPr>
        <w:noBreakHyphen/>
        <w:t>н ЖАФЯРОВ</w:t>
      </w:r>
      <w:r>
        <w:rPr>
          <w:lang w:val="ru-RU"/>
        </w:rPr>
        <w:t xml:space="preserve"> (Российская Федерация), касаясь вопроса о расизме в Интернете, сообщает, что на 1 июля 2008 года в стране было зарегистрировано 94 334 органа массовой информации, в том числе 75 000 печатных органов.  С 2004 года в составе прокуратуры функционирует центральное подразделение, ответственное за контроль за соблюдением законодательных норм печатными органами.  Одной из его главных задач является недопущение использования СМИ для разжигания национальной или религиозной вражды и расовой нетерпимости.  С 2004 года печатным органам было сделано 12 предупреждений в связи со злоупотреблением ими свободой выражения мнений; в восьми случаях речь шла о статьях, разжигавших национальную или религиозную рознь.  В 2005 году было сделано 15 предупреждений, из которых 12 – за публикацию статей, содержавших злобные высказывания в адрес отдельных народностей.  В 2006 году было сделано 16, а в 2007 году – 24 предупреждения.</w:t>
      </w:r>
    </w:p>
    <w:p w:rsidR="00C74DE1" w:rsidRDefault="00C74DE1">
      <w:pPr>
        <w:spacing w:after="240"/>
        <w:rPr>
          <w:lang w:val="ru-RU"/>
        </w:rPr>
      </w:pPr>
      <w:r>
        <w:rPr>
          <w:lang w:val="ru-RU"/>
        </w:rPr>
        <w:t>15.</w:t>
      </w:r>
      <w:r>
        <w:rPr>
          <w:lang w:val="ru-RU"/>
        </w:rPr>
        <w:tab/>
        <w:t>Г</w:t>
      </w:r>
      <w:r>
        <w:rPr>
          <w:lang w:val="ru-RU"/>
        </w:rPr>
        <w:noBreakHyphen/>
        <w:t xml:space="preserve">н Жафяров поясняет, что в компетенцию прокуратуры входит контроль за соблюдением законодательных норм средствами массовой информации.  В этих целях данное ведомство анализирует все публикации, в содержании которых усматриваются признаки нарушения антидискриминационного законодательства или разжигания расовой и религиозной вражды, и, если факт нарушения подтверждается, возбуждает судебное преследование.  В первой половине 2008 года прокуратура более 400 раз принимала меры по случаям публикации материалов в нарушение положений закона о борьбе с экстремизмом </w:t>
      </w:r>
      <w:r>
        <w:rPr>
          <w:szCs w:val="24"/>
          <w:lang w:val="ru-RU"/>
        </w:rPr>
        <w:t>(там же, п. 82)</w:t>
      </w:r>
      <w:r>
        <w:rPr>
          <w:lang w:val="ru-RU"/>
        </w:rPr>
        <w:t>.</w:t>
      </w:r>
    </w:p>
    <w:p w:rsidR="00C74DE1" w:rsidRDefault="00C74DE1">
      <w:pPr>
        <w:spacing w:after="240"/>
        <w:rPr>
          <w:lang w:val="ru-RU"/>
        </w:rPr>
      </w:pPr>
      <w:r>
        <w:rPr>
          <w:lang w:val="ru-RU"/>
        </w:rPr>
        <w:t>16.</w:t>
      </w:r>
      <w:r>
        <w:rPr>
          <w:lang w:val="ru-RU"/>
        </w:rPr>
        <w:tab/>
        <w:t>Оратор далее подчеркивает, что иного рода проблемы возникают в связи с распространением экстремистских идей в Интернете.  По мнению экспертов, в рунете существует более тысячи веб</w:t>
      </w:r>
      <w:r>
        <w:rPr>
          <w:lang w:val="ru-RU"/>
        </w:rPr>
        <w:noBreakHyphen/>
        <w:t>сайтов экстремистского толка, которые распространяют идеи расового превосходства, национальной ненависти и вражды.  Но поскольку эти веб</w:t>
      </w:r>
      <w:r>
        <w:rPr>
          <w:lang w:val="ru-RU"/>
        </w:rPr>
        <w:noBreakHyphen/>
        <w:t>сайты нередко зарегистрированы в зарубежных странах, российские власти наталкиваются на немалые трудности в привлечении к ответственности руководящих их деятельностью лиц и в усилиях по их закрытию.  В настоящее время на рассмотрение российского парламента прокуратурой внесена инициатива, требующая регламентации деятельности интернет</w:t>
      </w:r>
      <w:r>
        <w:rPr>
          <w:lang w:val="ru-RU"/>
        </w:rPr>
        <w:noBreakHyphen/>
        <w:t xml:space="preserve">провайдеров, которые распространяют идеи расовой или религиозной ненависти.  Однако это тонкая и сложная материя, поскольку в этой связи возникает вопрос о необходимом балансе между свободой выражения мнений в СМИ и запрещением распространения расистских и ксенофобских идей.  </w:t>
      </w:r>
    </w:p>
    <w:p w:rsidR="00C74DE1" w:rsidRDefault="00C74DE1">
      <w:pPr>
        <w:spacing w:after="240"/>
        <w:rPr>
          <w:lang w:val="ru-RU"/>
        </w:rPr>
      </w:pPr>
      <w:r>
        <w:rPr>
          <w:lang w:val="ru-RU"/>
        </w:rPr>
        <w:t>17.</w:t>
      </w:r>
      <w:r>
        <w:rPr>
          <w:lang w:val="ru-RU"/>
        </w:rPr>
        <w:tab/>
      </w:r>
      <w:r>
        <w:rPr>
          <w:u w:val="single"/>
          <w:lang w:val="ru-RU"/>
        </w:rPr>
        <w:t>Г</w:t>
      </w:r>
      <w:r>
        <w:rPr>
          <w:u w:val="single"/>
          <w:lang w:val="ru-RU"/>
        </w:rPr>
        <w:noBreakHyphen/>
        <w:t>н ТРАВНИКОВ</w:t>
      </w:r>
      <w:r>
        <w:rPr>
          <w:lang w:val="ru-RU"/>
        </w:rPr>
        <w:t xml:space="preserve"> (Российская Федерация) указывает, что казачество является не этнической группой, а социокультурной, полиэтнической, многоконфессиональной общностью, к которой при желании имеет право принадлежать любой российский гражданин.  По этой причине среди казаков есть не только русские и украинцы, но и лица, принадлежащие к другим этническим группам, таким, как ногайцы, эвенки, буряты, калмыки и башкиры, равно как и представители различных конфессий – православные, мусульмане и буддисты.  Согласно данным, поступившим из некоторых источников, в настоящее время численность казаков в Российской Федерации составляет порядка 500</w:t>
      </w:r>
      <w:r>
        <w:rPr>
          <w:rFonts w:ascii="Symbol" w:hAnsi="Symbol"/>
          <w:lang w:val="ru-RU"/>
        </w:rPr>
        <w:t></w:t>
      </w:r>
      <w:r>
        <w:rPr>
          <w:lang w:val="ru-RU"/>
        </w:rPr>
        <w:t>600 человек.</w:t>
      </w:r>
    </w:p>
    <w:p w:rsidR="00C74DE1" w:rsidRDefault="00C74DE1">
      <w:pPr>
        <w:spacing w:after="240"/>
        <w:rPr>
          <w:lang w:val="ru-RU"/>
        </w:rPr>
      </w:pPr>
      <w:r>
        <w:rPr>
          <w:lang w:val="ru-RU"/>
        </w:rPr>
        <w:t>18.</w:t>
      </w:r>
      <w:r>
        <w:rPr>
          <w:lang w:val="ru-RU"/>
        </w:rPr>
        <w:tab/>
        <w:t>Казацкие общины тесно взаимодействуют с национально-культурными автономиями, в особенности на региональном уровне, и участвуют в разработке мер, нацеленных на упрочение межэтнических отношений.  Одной из важных особенностей правового статуса казачества согласно федеральному законодательству является предоставленное казакам право занимать определенные должности в государственной администрации и выполнять определенные задачи.  По договоренности с местными или областными администрациями казаки обеспечивают поддержание порядка и следят за сохранением природных ресурсов.  Для выполнения этих задач администрациями ежегодно привлекается к работе около 140 казаков.</w:t>
      </w:r>
    </w:p>
    <w:p w:rsidR="00C74DE1" w:rsidRDefault="00C74DE1">
      <w:pPr>
        <w:spacing w:after="240"/>
        <w:rPr>
          <w:lang w:val="ru-RU"/>
        </w:rPr>
      </w:pPr>
      <w:r>
        <w:rPr>
          <w:lang w:val="ru-RU"/>
        </w:rPr>
        <w:t>19.</w:t>
      </w:r>
      <w:r>
        <w:rPr>
          <w:lang w:val="ru-RU"/>
        </w:rPr>
        <w:tab/>
        <w:t>В целом, российским казакам свойственна терпимость, но бывают случаи, когда отдельные экстремисты прикрываются названием «казак», преследуя корыстные цели:  в этом был обвинен руководитель радикального казацкого движения Сарафанов, которого краснодарский районный суд в 2006 году приговорил к тюремному заключению сроком в восемь месяцев за разжигание расовой ненависти.</w:t>
      </w:r>
    </w:p>
    <w:p w:rsidR="00C74DE1" w:rsidRDefault="00C74DE1">
      <w:pPr>
        <w:spacing w:after="240"/>
        <w:rPr>
          <w:lang w:val="ru-RU"/>
        </w:rPr>
      </w:pPr>
      <w:r>
        <w:rPr>
          <w:lang w:val="ru-RU"/>
        </w:rPr>
        <w:t>20.</w:t>
      </w:r>
      <w:r>
        <w:rPr>
          <w:lang w:val="ru-RU"/>
        </w:rPr>
        <w:tab/>
        <w:t>Касаясь нынешнего положения турок-месхетинцев в Российской Федерации, г</w:t>
      </w:r>
      <w:r>
        <w:rPr>
          <w:lang w:val="ru-RU"/>
        </w:rPr>
        <w:noBreakHyphen/>
        <w:t>н Травников сообщает, что, по оценкам экспертов, по 26 областям РФ рассеяно 75 000 членов этой этнической группы.  Большинство турок-месхетинцев имеют российское гражданство и не собираются эмигрировать.  Те, кто желал бы возвратиться на земли своих предков в Грузии, обосновались на территории Краснодарского края, расположенного поблизости с Грузией.  Однако, учитывая нежелание грузинских властей допустить репатриацию этих лиц, в период 2004</w:t>
      </w:r>
      <w:r>
        <w:rPr>
          <w:rFonts w:ascii="Symbol" w:hAnsi="Symbol"/>
          <w:lang w:val="ru-RU"/>
        </w:rPr>
        <w:t></w:t>
      </w:r>
      <w:r>
        <w:rPr>
          <w:lang w:val="ru-RU"/>
        </w:rPr>
        <w:t xml:space="preserve">2007 годов осуществлялась программа, предусматривавшая свободный выезд турок-месхетинцев, проживавших на территории Краснодарского края, в Соединенные Штаты Америки.  В рамках этой инициативы 12 000 турок-месхетинцев был предоставлен статус беженца и возможность выезда на постоянное жительство в США.  По официальным статистическим данным, эта группа эмигрантов состояла на 40% из лиц без гражданства, на 59% </w:t>
      </w:r>
      <w:r>
        <w:rPr>
          <w:lang w:val="ru-RU"/>
        </w:rPr>
        <w:noBreakHyphen/>
        <w:t xml:space="preserve"> из российских граждан и на 1% </w:t>
      </w:r>
      <w:r>
        <w:rPr>
          <w:lang w:val="ru-RU"/>
        </w:rPr>
        <w:noBreakHyphen/>
        <w:t xml:space="preserve"> из иностранцев.  В 2007 году в Грузии был принят закон о репатриации турок</w:t>
      </w:r>
      <w:r>
        <w:rPr>
          <w:lang w:val="ru-RU"/>
        </w:rPr>
        <w:noBreakHyphen/>
        <w:t>месхетинцев, однако оговоренные в нем критерии являются крайне жесткими.  Российские власти намерены оказать лицам, желающим возвратиться в Грузию, всяческую помощь, но, учитывая сложность этой задачи, они будут признательны международным организациям и Комитету за содействие в этом вопросе.</w:t>
      </w:r>
    </w:p>
    <w:p w:rsidR="00C74DE1" w:rsidRDefault="00C74DE1">
      <w:pPr>
        <w:spacing w:after="240"/>
        <w:rPr>
          <w:lang w:val="ru-RU"/>
        </w:rPr>
      </w:pPr>
      <w:r>
        <w:rPr>
          <w:lang w:val="ru-RU"/>
        </w:rPr>
        <w:t>21.</w:t>
      </w:r>
      <w:r>
        <w:rPr>
          <w:lang w:val="ru-RU"/>
        </w:rPr>
        <w:tab/>
        <w:t>Уточняя смысл выражения «репрессированные народы», г</w:t>
      </w:r>
      <w:r>
        <w:rPr>
          <w:lang w:val="ru-RU"/>
        </w:rPr>
        <w:noBreakHyphen/>
        <w:t>н Травников сообщает, что эта формулировка использована в законе о реабилитации таких народов для обозначения народов и общин, которые подверглись преследованиям и были депортированы в 1930-е и 1940</w:t>
      </w:r>
      <w:r>
        <w:rPr>
          <w:lang w:val="ru-RU"/>
        </w:rPr>
        <w:noBreakHyphen/>
        <w:t xml:space="preserve">е годы; к их числу относятся чеченцы, ингуши, российские немцы, крымские татары, казаки и кулаки.  </w:t>
      </w:r>
    </w:p>
    <w:p w:rsidR="00C74DE1" w:rsidRDefault="00C74DE1">
      <w:pPr>
        <w:spacing w:after="240"/>
        <w:rPr>
          <w:lang w:val="ru-RU"/>
        </w:rPr>
      </w:pPr>
      <w:r>
        <w:rPr>
          <w:lang w:val="ru-RU"/>
        </w:rPr>
        <w:t>22.</w:t>
      </w:r>
      <w:r>
        <w:rPr>
          <w:lang w:val="ru-RU"/>
        </w:rPr>
        <w:tab/>
        <w:t xml:space="preserve">В российском законодательстве группы населения определяются по-разному.  В Конституции можно найти не менее семи основных определений:  «многонациональный народ» (т.е. единая нация, состоящая из различных этнических групп); «народ» (в смысле населения или этнической группы); «коренной малочисленный народ»; «этническая общность»; «национальность» (в смысле этнической группы); «национальное меньшинство».  Поскольку определения этих терминов не дается, их следует толковать в свете Рамочной конвенции Совета Европы о защите национальных меньшинств и других международных договоров.  Понятие «коренной малочисленный народ» следует отличать от понятия «национальное меньшинство», поскольку первые являются особой разновидностью национальных меньшинств и по сравнению с другими группами наделены особым правовым статусом и правами.  </w:t>
      </w:r>
    </w:p>
    <w:p w:rsidR="00C74DE1" w:rsidRDefault="00C74DE1">
      <w:pPr>
        <w:spacing w:after="240"/>
        <w:rPr>
          <w:lang w:val="ru-RU"/>
        </w:rPr>
      </w:pPr>
      <w:r>
        <w:rPr>
          <w:lang w:val="ru-RU"/>
        </w:rPr>
        <w:t>23.</w:t>
      </w:r>
      <w:r>
        <w:rPr>
          <w:lang w:val="ru-RU"/>
        </w:rPr>
        <w:tab/>
      </w:r>
      <w:r>
        <w:rPr>
          <w:u w:val="single"/>
          <w:lang w:val="ru-RU"/>
        </w:rPr>
        <w:t>Г</w:t>
      </w:r>
      <w:r>
        <w:rPr>
          <w:u w:val="single"/>
          <w:lang w:val="ru-RU"/>
        </w:rPr>
        <w:noBreakHyphen/>
        <w:t>н ЖУРАВСКИЙ</w:t>
      </w:r>
      <w:r>
        <w:rPr>
          <w:lang w:val="ru-RU"/>
        </w:rPr>
        <w:t xml:space="preserve"> (Российская Федерация) сообщает, что в 2004 году было образовано министерство регионального развития – орган, отвечающий за разработку этнокультурной политики и регулирование межэтнических отношений.  В 2006 году ему были подчинены межведомственные и консультативные органы, существовавшие до учреждения министерства.  В соответствии с законом о национально-культурной автономии при этом министерстве был сформирован консультативный совет по делам о национально-культурных автономиях.  Совет тесно взаимодействует с Межведомственной комиссией по взаимодействию с национальными общественными объединениями в составе представителей восьми федеральных министерств, при которой функционируют четыре рабочие группы, занимающиеся вопросами, соответственно, контроля за деятельностью органов, ответственных за применение законодательства, и за их связями с объединениями, сотрудничества с региональными администрациями, национальных меньшинств, а также культуры, образования и СМИ.</w:t>
      </w:r>
    </w:p>
    <w:p w:rsidR="00C74DE1" w:rsidRDefault="00C74DE1">
      <w:pPr>
        <w:spacing w:after="240"/>
        <w:rPr>
          <w:lang w:val="ru-RU"/>
        </w:rPr>
      </w:pPr>
      <w:r>
        <w:rPr>
          <w:lang w:val="ru-RU"/>
        </w:rPr>
        <w:t>24.</w:t>
      </w:r>
      <w:r>
        <w:rPr>
          <w:lang w:val="ru-RU"/>
        </w:rPr>
        <w:tab/>
        <w:t>Помимо этого при министерстве регионального развития функционируют, в частности, Национальный комитет по реализации программы действий на второе Международное десятилетие коренных народов мира, межведомственная комиссия по проблемам российских немцев и межведомственная рабочая группа по вопросу ратификации Российской Федерацией Европейской хартии региональных языков и языков меньшинств.  Вопросами координации действий всех консультативных и межведомственных комиссий занимается департамент межнациональных отношений, основными функциями которого являются реализация государственной политики в этнокультурной области, содействие этнокультурному развитию народов Российской Федерации, установление гармоничных межэтнических отношений и их мониторинг, защита прав национальных меньшинств и коренных малочисленных народов, взаимодействие с российским казачеством, разработка и реализация федеральных программ в сфере межэтнических отношений.  Ежегодно департамент публикует аналитические материалы и статистические данные в разбивке по регионам, посвященные общественным объединениям, представляющим этнические или религиозные меньшинства.</w:t>
      </w:r>
    </w:p>
    <w:p w:rsidR="00C74DE1" w:rsidRDefault="00C74DE1">
      <w:pPr>
        <w:spacing w:after="240"/>
        <w:rPr>
          <w:lang w:val="ru-RU"/>
        </w:rPr>
      </w:pPr>
      <w:r>
        <w:rPr>
          <w:lang w:val="ru-RU"/>
        </w:rPr>
        <w:t>25.</w:t>
      </w:r>
      <w:r>
        <w:rPr>
          <w:lang w:val="ru-RU"/>
        </w:rPr>
        <w:tab/>
        <w:t>В штате департамента межнациональных отношений числится 31 работник.  В его функции входит распределение государственных субсидий, включая те, что выделяются на программу содействию социально-экономическому развитию российских немцев (350 млн. рублей в год) и на программу устойчивого развития коренных народов Севера (600 млн. рублей в год).  В общей сложности департамент обеспечивает распределение субсидий на сумму в 1,2 млрд. рублей, или более 50 млн. долл. США в год.</w:t>
      </w:r>
    </w:p>
    <w:p w:rsidR="00C74DE1" w:rsidRDefault="00C74DE1">
      <w:pPr>
        <w:spacing w:after="240"/>
        <w:rPr>
          <w:lang w:val="ru-RU"/>
        </w:rPr>
      </w:pPr>
      <w:r>
        <w:rPr>
          <w:lang w:val="ru-RU"/>
        </w:rPr>
        <w:t>26.</w:t>
      </w:r>
      <w:r>
        <w:rPr>
          <w:lang w:val="ru-RU"/>
        </w:rPr>
        <w:tab/>
        <w:t>В период 2005</w:t>
      </w:r>
      <w:r>
        <w:rPr>
          <w:rFonts w:ascii="Symbol" w:hAnsi="Symbol"/>
          <w:lang w:val="ru-RU"/>
        </w:rPr>
        <w:t></w:t>
      </w:r>
      <w:r>
        <w:rPr>
          <w:lang w:val="ru-RU"/>
        </w:rPr>
        <w:t>2008 годов департамент межнациональных отношений принял участие в организации более 600 мероприятий, среди которых – пятый Конгресс народов Севера, Сибири и Дальнего Востока, который состоялся в 2005 году в Москве, Международный фестиваль волжских народов 2006 года, организованный в 2006 году в Страсбурге Советом Европы семинар на тему о международно-правовых гарантиях защиты национальных меньшинств и пятый Всемирный конгресс финно-угорских народов, который был проведен в июне</w:t>
      </w:r>
      <w:r>
        <w:rPr>
          <w:rFonts w:ascii="Symbol" w:hAnsi="Symbol"/>
          <w:lang w:val="ru-RU"/>
        </w:rPr>
        <w:t></w:t>
      </w:r>
      <w:r>
        <w:rPr>
          <w:lang w:val="ru-RU"/>
        </w:rPr>
        <w:t xml:space="preserve">июле 2008 года в Ханты-Мансийске. </w:t>
      </w:r>
    </w:p>
    <w:p w:rsidR="00C74DE1" w:rsidRDefault="00C74DE1">
      <w:pPr>
        <w:spacing w:after="240"/>
        <w:rPr>
          <w:lang w:val="ru-RU"/>
        </w:rPr>
      </w:pPr>
      <w:r>
        <w:rPr>
          <w:lang w:val="ru-RU"/>
        </w:rPr>
        <w:t>27.</w:t>
      </w:r>
      <w:r>
        <w:rPr>
          <w:lang w:val="ru-RU"/>
        </w:rPr>
        <w:tab/>
        <w:t>Касаясь вопроса об урегулировании межэтнических конфликтов в Российской Федерации и роли, которая принадлежит в этом министерству регионального развития, г</w:t>
      </w:r>
      <w:r>
        <w:rPr>
          <w:lang w:val="ru-RU"/>
        </w:rPr>
        <w:noBreakHyphen/>
        <w:t xml:space="preserve">н Журавский сообщает, что после событий в г. Кондопога (Карелия) департаментом межнациональных отношений были разработаны предназначенные для областной администрации рекомендации относительно механизмов предупреждения и регулирования межэтнических конфликтов; эти рекомендации были адресованы всем областным органам, а также национально-культурным автономиям.  Благодаря этим рекомендациям областным властям удалось в ряде случаев предотвратить межэтнические конфликты, в частности в феврале 2007 года в г. Новоалександровске (Ставропольский край) и в марте того же года в Олонецком районе (Республика Карелия).  Департамент принимает соответствующие меры незамедлительно по поступлении от областных администраций и неправительственных организаций сигналов о вероятности возникновения межэтнического конфликта.  </w:t>
      </w:r>
    </w:p>
    <w:p w:rsidR="00C74DE1" w:rsidRDefault="00C74DE1">
      <w:pPr>
        <w:keepNext/>
        <w:keepLines/>
        <w:spacing w:after="240"/>
        <w:rPr>
          <w:lang w:val="ru-RU"/>
        </w:rPr>
      </w:pPr>
      <w:r>
        <w:rPr>
          <w:lang w:val="ru-RU"/>
        </w:rPr>
        <w:t>28.</w:t>
      </w:r>
      <w:r>
        <w:rPr>
          <w:lang w:val="ru-RU"/>
        </w:rPr>
        <w:tab/>
        <w:t>Переходя к вопросу о положении цыган, проживающих на территории Российской Федерации, г</w:t>
      </w:r>
      <w:r>
        <w:rPr>
          <w:lang w:val="ru-RU"/>
        </w:rPr>
        <w:noBreakHyphen/>
        <w:t>н Журавский сообщает, что в период с 2006 по 2008 год работники департамента межнациональных отношений побывали в целом ряде областей, в том числе в Тульской, Новгородской, Тверской и Самарской, а также в Краснодарском крае, где провели консультации, в частности, с представителями Федеральной службы по контролю за оборотом наркотиков, местных цыганских организаций, должностными лицами областных и местных администраций.  В Новгородской и Тульской областях эти консультации завершились достижением договоренности между местными органами и теми цыганами, кто был выселен или чьи дома были снесены, причем последние были переселены или получили участок под строительство нового дома.</w:t>
      </w:r>
    </w:p>
    <w:p w:rsidR="00C74DE1" w:rsidRDefault="00C74DE1">
      <w:pPr>
        <w:spacing w:after="240"/>
        <w:rPr>
          <w:lang w:val="ru-RU"/>
        </w:rPr>
      </w:pPr>
      <w:r>
        <w:rPr>
          <w:lang w:val="ru-RU"/>
        </w:rPr>
        <w:t>29.</w:t>
      </w:r>
      <w:r>
        <w:rPr>
          <w:lang w:val="ru-RU"/>
        </w:rPr>
        <w:tab/>
        <w:t>Говоря о выселении цыган в селе Дорожное Ленинградской области, г</w:t>
      </w:r>
      <w:r>
        <w:rPr>
          <w:lang w:val="ru-RU"/>
        </w:rPr>
        <w:noBreakHyphen/>
        <w:t xml:space="preserve">н Журавский сообщает, что еще в 2002 году судьей был отдан приказ о сносе 46 домов, незаконно возведенных цыганами в этом селе, и что семьи, затронутые этой мерой, смогли подать на обжалование этого решения.  Выселение и снос были начаты лишь с 2005 года.  Власти предложили этим лицам переселение в другие районы области, но некоторые семьи от переезда отказались. </w:t>
      </w:r>
    </w:p>
    <w:p w:rsidR="00C74DE1" w:rsidRDefault="00C74DE1">
      <w:pPr>
        <w:spacing w:after="240"/>
        <w:rPr>
          <w:lang w:val="ru-RU"/>
        </w:rPr>
      </w:pPr>
      <w:r>
        <w:rPr>
          <w:lang w:val="ru-RU"/>
        </w:rPr>
        <w:t>30.</w:t>
      </w:r>
      <w:r>
        <w:rPr>
          <w:lang w:val="ru-RU"/>
        </w:rPr>
        <w:tab/>
        <w:t>Обращаясь к вопросу о коренных народах Севера, Сибири и Дальнего Востока, оратор подчеркивает, что правительство уделяет этим группам населения особое внимание, поскольку сохранение ими своего образа жизни и традиций сопряжено с немалыми трудностями по причине крайне неблагоприятных климатических условий в этих регионах.  Вместе с тем, демографические данные свидетельствуют о том, что меры, принятые государственными органами, принесли свои плоды:  численность коренного населения этих регионов возросла со 156 000 в 1979 году до 197 500 в 1989 году и 244 000 в 2002 году, что означает рост в размере 17% в период 1989</w:t>
      </w:r>
      <w:r>
        <w:rPr>
          <w:rFonts w:ascii="Symbol" w:hAnsi="Symbol"/>
          <w:lang w:val="ru-RU"/>
        </w:rPr>
        <w:t></w:t>
      </w:r>
      <w:r>
        <w:rPr>
          <w:lang w:val="ru-RU"/>
        </w:rPr>
        <w:t>2002 годов.  Этот рост представляется особенно внушительным на фоне малообнадеживающих демографических тенденций в среднем по всему населению.</w:t>
      </w:r>
    </w:p>
    <w:p w:rsidR="00C74DE1" w:rsidRDefault="00C74DE1">
      <w:pPr>
        <w:spacing w:after="240"/>
        <w:rPr>
          <w:lang w:val="ru-RU"/>
        </w:rPr>
      </w:pPr>
      <w:r>
        <w:rPr>
          <w:lang w:val="ru-RU"/>
        </w:rPr>
        <w:t>31.</w:t>
      </w:r>
      <w:r>
        <w:rPr>
          <w:lang w:val="ru-RU"/>
        </w:rPr>
        <w:tab/>
        <w:t>Министерство регионального развития приступило к реализации программы экономического развития коренных народов Севера, выделив на эти цели, соответственно, 120 млн. рублей в 2005 году, 205 млн. – в 2006 году и 200 млн. – в 2007 и 2008 годах.  Начиная с 2009 года, на нужды областей, где проживают эти меньшинства, будет выделяться по 600 млн. рублей в год.  Распределением этих средств ведает министерство регионального развития, которое поставило задачи снизить детскую смертность, повысить занятость в традиционных местах обитания этих меньшинств и повысить доходы этой группы населения.  Областные власти, в свою очередь, обязаны будут выделить на эти цели определенную долю своего бюджета, так что в общей сложности объем ассигнований на улучшение экономического положения коренных народов составит 1 млрд. рублей в год.</w:t>
      </w:r>
    </w:p>
    <w:p w:rsidR="00C74DE1" w:rsidRDefault="00C74DE1">
      <w:pPr>
        <w:spacing w:after="240"/>
        <w:rPr>
          <w:lang w:val="ru-RU"/>
        </w:rPr>
      </w:pPr>
      <w:r>
        <w:rPr>
          <w:lang w:val="ru-RU"/>
        </w:rPr>
        <w:t>32.</w:t>
      </w:r>
      <w:r>
        <w:rPr>
          <w:lang w:val="ru-RU"/>
        </w:rPr>
        <w:tab/>
        <w:t>Что касается рыболовных квот, г</w:t>
      </w:r>
      <w:r>
        <w:rPr>
          <w:lang w:val="ru-RU"/>
        </w:rPr>
        <w:noBreakHyphen/>
        <w:t>н Журавский уточняет, что эти меры распространяются лишь на редкие виды рыбы, тогда как по другим видам такие квоты для коренных народов отсутствуют.  Он далее отмечает, что во внутреннем законодательстве страны отсутствует такое понятие, как земли коренных народов; вместе с тем согласно и законодательству, и Конституции страны государство обязано делать все необходимое для сохранения традиционного образа жизни коренных народов.  Министерством регионального развития подготавливается перечень северных территорий, считающихся традиционными районами обитания коренных народов, причем в этом документе должны быть определены их границы.  Затем проект перечня должен быть представлен на утверждение парламента.</w:t>
      </w:r>
    </w:p>
    <w:p w:rsidR="00C74DE1" w:rsidRDefault="00C74DE1">
      <w:pPr>
        <w:spacing w:after="240"/>
        <w:rPr>
          <w:lang w:val="ru-RU"/>
        </w:rPr>
      </w:pPr>
      <w:r>
        <w:rPr>
          <w:lang w:val="ru-RU"/>
        </w:rPr>
        <w:t>33.</w:t>
      </w:r>
      <w:r>
        <w:rPr>
          <w:lang w:val="ru-RU"/>
        </w:rPr>
        <w:tab/>
        <w:t>Делегация разделяет озабоченность членов Комитета относительно степени транспарентности заключенных между крупными предприятиями и общинами коренного населения соглашений о разработке природных ресурсов в местах их традиционного обитания.  Выделение земельных участков входит в компетенцию областных администраций, которые обязаны следить за тем, чтобы при этом не были ущемлены интересы коренного населения.  Так, обычной практикой является заключение между предприятиями и общинами коренного населения соглашений, которые предусматривают предоставление разного рода компенсации заинтересованным сторонам (выплата возмещения, строительство хозяйственных объектов, закупка техники и т.п.).  Такому подходу зачастую следуют такие предприятия, как «Роснефть», «ЛУКойл», «Газпром» или «Нефтегаз», в которых есть специальные отделы, отвечающие за взаимодействие с коренным населением и которыми во многих случаях созданы инфраструктурные объекты, предназначенные для нужд коренного населения, включая школы, здравпункты и заводы по переработке рыбы.  С тем чтобы гарантировать получение соответствующими меньшинствами надлежащей компенсации, совместными усилиями министерства регионального развития и ряда организаций коренного населения разработаны два законопроекта, касающиеся, соответственно, методики определения ущерба, нанесенного коренному населению в результате приобретения их земель тем или иным предприятием, и порядка выплаты возмещения за ущерб, нанесенный окружающей среде в районах проживания коренного населения.  В двух регионах имеются зоны, которые были объявлены территориями, предназначенными для традиционных методов эксплуатации природных ресурсов:  это Ханты-Мансийский автономный округ и Хабаровский край.</w:t>
      </w:r>
    </w:p>
    <w:p w:rsidR="00C74DE1" w:rsidRDefault="00C74DE1">
      <w:pPr>
        <w:spacing w:after="240"/>
        <w:rPr>
          <w:lang w:val="ru-RU"/>
        </w:rPr>
      </w:pPr>
      <w:r>
        <w:rPr>
          <w:lang w:val="ru-RU"/>
        </w:rPr>
        <w:t>34.</w:t>
      </w:r>
      <w:r>
        <w:rPr>
          <w:lang w:val="ru-RU"/>
        </w:rPr>
        <w:tab/>
        <w:t xml:space="preserve">В тех северных районах, где коренное население проживает относительно плотными группами, функционируют 664 школы, в которых обучаются 76 000 детей и преподаются 23 местных языка.  Преподаватели, работающие в этих учебных заведениях, проходят специальную подготовку.  </w:t>
      </w:r>
    </w:p>
    <w:p w:rsidR="00C74DE1" w:rsidRDefault="00C74DE1">
      <w:pPr>
        <w:spacing w:after="240"/>
        <w:rPr>
          <w:lang w:val="ru-RU"/>
        </w:rPr>
      </w:pPr>
      <w:r>
        <w:rPr>
          <w:lang w:val="ru-RU"/>
        </w:rPr>
        <w:t>35.</w:t>
      </w:r>
      <w:r>
        <w:rPr>
          <w:lang w:val="ru-RU"/>
        </w:rPr>
        <w:tab/>
        <w:t>И наконец, г</w:t>
      </w:r>
      <w:r>
        <w:rPr>
          <w:lang w:val="ru-RU"/>
        </w:rPr>
        <w:noBreakHyphen/>
        <w:t xml:space="preserve">н Журавский подчеркивает тот факт, что меньшинства участвуют в деятельности государственных органов:  так, например, председателем Государственной Думы Ямало-Ненецкого автономного округа является ненец, тогда как ненецкое меньшинство составляет всего лишь 7% от общей численности населения округа.  А в Ханты-Мансийском автономном округе председателем и заместителем председателя Государственной Думы являются, соответственно, представители народностей ханты и манси, при том что их численность не превышает 2% населения.  В 1996 году в этом округе было сформировано собрание наподобие саамского парламента, состоящее из представителей меньшинств. </w:t>
      </w:r>
    </w:p>
    <w:p w:rsidR="00C74DE1" w:rsidRDefault="00C74DE1">
      <w:pPr>
        <w:spacing w:after="240"/>
        <w:rPr>
          <w:lang w:val="ru-RU"/>
        </w:rPr>
      </w:pPr>
      <w:r>
        <w:rPr>
          <w:lang w:val="ru-RU"/>
        </w:rPr>
        <w:t>36.</w:t>
      </w:r>
      <w:r>
        <w:rPr>
          <w:lang w:val="ru-RU"/>
        </w:rPr>
        <w:tab/>
      </w:r>
      <w:r>
        <w:rPr>
          <w:u w:val="single"/>
          <w:lang w:val="ru-RU"/>
        </w:rPr>
        <w:t>Г</w:t>
      </w:r>
      <w:r>
        <w:rPr>
          <w:u w:val="single"/>
          <w:lang w:val="ru-RU"/>
        </w:rPr>
        <w:noBreakHyphen/>
        <w:t>н ТРАВНИКОВ</w:t>
      </w:r>
      <w:r>
        <w:rPr>
          <w:lang w:val="ru-RU"/>
        </w:rPr>
        <w:t xml:space="preserve"> (Российская Федерация) отмечает, что его страна стремится не только улучшить условия жизни коренных малочисленных народов Севера, но и оказать им помощь в сохранении их традиционного образа жизни.  Каждый год, вопреки мощному международному давлению, Российская Федерация, не жалея усилий, добивается сохранения квот на китобойный промысел, с тем чтобы позволить малым народам сохранить одно из основных средств к существованию.  В отношении Чечни он отмечает, что проблема перемещенных лиц, ныне решенная, затрагивает не только чеченцев, но также русских и ингушей.  Положение в этом районе значительно улучшилось, а жилой фонд и инфраструктурные объекты в основном восстановлены.</w:t>
      </w:r>
    </w:p>
    <w:p w:rsidR="00C74DE1" w:rsidRDefault="00C74DE1">
      <w:pPr>
        <w:spacing w:after="240"/>
        <w:rPr>
          <w:lang w:val="ru-RU"/>
        </w:rPr>
      </w:pPr>
      <w:r>
        <w:rPr>
          <w:lang w:val="ru-RU"/>
        </w:rPr>
        <w:t>37.</w:t>
      </w:r>
      <w:r>
        <w:rPr>
          <w:lang w:val="ru-RU"/>
        </w:rPr>
        <w:tab/>
        <w:t>Касаясь вопроса об обращении сотрудников правоохранительных органов с представителями меньшинств, г</w:t>
      </w:r>
      <w:r>
        <w:rPr>
          <w:lang w:val="ru-RU"/>
        </w:rPr>
        <w:noBreakHyphen/>
        <w:t>н Травников говорит, что проверки документов и задержания производятся безотносительно к расе, полу или этническому происхождению.  В случае злоупотребления полномочиями сотрудники правоохранительных органов подвергаются строгим административным санкциям, а в серьезных случаях могут быть привлечены к судебной ответственности.  Впрочем, Российская Федерация стремится делать акцент не на мерах наказания и пресечения, а на привлечении внимания сотрудников правоохранительных органов к вопросам расизма и терпимости.  Что касается декларации, принятой по итогам Фестиваля волжских народов, которая является важным документом, где провозглашается принцип бесконфликтного сосуществования цивилизаций, то члены Комитета смогут получить всю необходимую информацию в Интернете.</w:t>
      </w:r>
    </w:p>
    <w:p w:rsidR="00C74DE1" w:rsidRDefault="00C74DE1">
      <w:pPr>
        <w:spacing w:after="240"/>
        <w:rPr>
          <w:lang w:val="ru-RU"/>
        </w:rPr>
      </w:pPr>
      <w:r>
        <w:rPr>
          <w:lang w:val="ru-RU"/>
        </w:rPr>
        <w:t>38.</w:t>
      </w:r>
      <w:r>
        <w:rPr>
          <w:lang w:val="ru-RU"/>
        </w:rPr>
        <w:tab/>
      </w:r>
      <w:r>
        <w:rPr>
          <w:u w:val="single"/>
          <w:lang w:val="ru-RU"/>
        </w:rPr>
        <w:t>Г</w:t>
      </w:r>
      <w:r>
        <w:rPr>
          <w:u w:val="single"/>
          <w:lang w:val="ru-RU"/>
        </w:rPr>
        <w:noBreakHyphen/>
        <w:t>жа ЗУЕВА</w:t>
      </w:r>
      <w:r>
        <w:rPr>
          <w:lang w:val="ru-RU"/>
        </w:rPr>
        <w:t xml:space="preserve"> (Российская Федерация) говорит, что с момента окончания конфликта в Чечню по собственной воле вернулось более 300 тысяч человек.  Государством была создана эффективная система содействия возвращению перемещенных лиц, которая предусматривает, в частности, гарантии предоставления жилья и выплату компенсации за нанесенный ущерб.  Одним из примеров успешного межгосударственного сотрудничества является договоренность между Российской Федерацией и Грузией о содействии возвращению более 320 тысяч чеченцев, нашедших убежище в этой стране.  Мероприятия по возвращению осуществлялись под контролем Управления Верховного комиссара Организации Объединенных Наций по делам беженцев, которым, кстати, не было отмечено ни одного крупного нарушения прав человека.  В 2007 году на основании пункта 4 статьи 14 федерального закона о российском гражданстве гражданство страны было предоставлено более чем 220 тысячам граждан бывшего СССР.  В 2007 году был принят закон о миграционном учете иностранных граждан и лиц без гражданства, который ставит целью обеспечить более эффективный контроль за миграционными потоками и упростить порядок регистрации новых мигрантов.  По имеющимся оценкам, в Российской Федерации насчитывается три миллиона иммигрантов, находящихся в стране на законных основаниях.  Новый порядок, введенный указанным законом, предусматривает уведомление иностранцами Федеральной миграционной службы о своем прибытии путем простого заполнения формуляра.  Принятие необходимых мер по регистрации прибывающих мигрантов в органах миграционной службы в трехдневный срок после их прибытия на российскую территорию входит в обязанности принимающей стороны, в том числе служб размещения.</w:t>
      </w:r>
    </w:p>
    <w:p w:rsidR="00C74DE1" w:rsidRDefault="00C74DE1">
      <w:pPr>
        <w:spacing w:after="240"/>
        <w:rPr>
          <w:lang w:val="ru-RU"/>
        </w:rPr>
      </w:pPr>
      <w:r>
        <w:rPr>
          <w:lang w:val="ru-RU"/>
        </w:rPr>
        <w:t>39.</w:t>
      </w:r>
      <w:r>
        <w:rPr>
          <w:lang w:val="ru-RU"/>
        </w:rPr>
        <w:tab/>
      </w:r>
      <w:r>
        <w:rPr>
          <w:u w:val="single"/>
          <w:lang w:val="ru-RU"/>
        </w:rPr>
        <w:t>Г</w:t>
      </w:r>
      <w:r>
        <w:rPr>
          <w:u w:val="single"/>
          <w:lang w:val="ru-RU"/>
        </w:rPr>
        <w:noBreakHyphen/>
        <w:t>жа ПЕТРОВА</w:t>
      </w:r>
      <w:r>
        <w:rPr>
          <w:lang w:val="ru-RU"/>
        </w:rPr>
        <w:t xml:space="preserve"> (Российская Федерация) сообщает, что начальное и среднее образование в стране является обязательным и что все дети имеют право на такое образование независимо от правового положения их родителей на территории страны.  Отсутствие у родителей регистрации не может служить препятствием для реализации права на образование.  Органами образования были разработаны специальные педагогические материалы, предназначенные для цыганских детей, а местные власти обязаны всячески содействовать получению ими образования.  Для помещения цыганских детей в специальные классы требуется предварительное согласие родителей; с учетом этого формируются этнокультурные классы, которые немало способствовали воспитанию большей терпимости в отношениях между различными этническими группами.</w:t>
      </w:r>
    </w:p>
    <w:p w:rsidR="00C74DE1" w:rsidRDefault="00C74DE1">
      <w:pPr>
        <w:spacing w:after="240"/>
        <w:rPr>
          <w:lang w:val="ru-RU"/>
        </w:rPr>
      </w:pPr>
      <w:r>
        <w:rPr>
          <w:lang w:val="ru-RU"/>
        </w:rPr>
        <w:t>40.</w:t>
      </w:r>
      <w:r>
        <w:rPr>
          <w:lang w:val="ru-RU"/>
        </w:rPr>
        <w:tab/>
        <w:t>Что касается двадцати случаев нападений на иностранных студентов, то Российская Федерация оперативно отреагировала на эти инциденты учреждением межведомственной комиссии в составе представителей министерства образования и министерства внутренних дел, которой было поручено тщательно изучить каждое дело, с тем чтобы найти подходящие решения.  В целом иностранцам в Российской Федерации созданы отличные условия для обучения, а сама она сохраняет притягательность для тех иностранцев, кто желает получить высшее образование.</w:t>
      </w:r>
    </w:p>
    <w:p w:rsidR="00C74DE1" w:rsidRDefault="00C74DE1">
      <w:pPr>
        <w:spacing w:after="240"/>
        <w:rPr>
          <w:lang w:val="ru-RU"/>
        </w:rPr>
      </w:pPr>
      <w:r>
        <w:rPr>
          <w:lang w:val="ru-RU"/>
        </w:rPr>
        <w:t>41.</w:t>
      </w:r>
      <w:r>
        <w:rPr>
          <w:lang w:val="ru-RU"/>
        </w:rPr>
        <w:tab/>
        <w:t>Министерство образования РФ предпринимает усилия по обучению детей на их родном языке.  В настоящее время преподавание в школах ведется на 239 языках, и число детей, обучение которых ведется на их родном языке, постоянно растет.  Что касается трудностей, с которыми якобы сталкиваются в некоторых школах дети грузинского происхождения, то эти утверждения не соответствуют действительности, и этим детям, судя по всему, не чинится препятствий в обучении на своем родном языке.  Большим подспорьем в борьбе с проявлениями экстремизма и в воспитании в среде молодежи и студентов здоровых, позитивных установок стал закон о государственной поддержке молодежных и детских объединений.  Государство оказывает поддержку около 100 тыс. молодежных объединений.  Возможна регистрация в надлежащем порядке мусульманских религиозных учебных заведений, которые вправе выдавать государственные дипломы.  В целях содействия преподаванию ислама в соответствующих регионах разработаны необходимые педагогические материалы.</w:t>
      </w:r>
    </w:p>
    <w:p w:rsidR="00C74DE1" w:rsidRDefault="00C74DE1">
      <w:pPr>
        <w:spacing w:after="240"/>
        <w:rPr>
          <w:lang w:val="ru-RU"/>
        </w:rPr>
      </w:pPr>
      <w:r>
        <w:rPr>
          <w:lang w:val="ru-RU"/>
        </w:rPr>
        <w:t>42.</w:t>
      </w:r>
      <w:r>
        <w:rPr>
          <w:lang w:val="ru-RU"/>
        </w:rPr>
        <w:tab/>
      </w:r>
      <w:r>
        <w:rPr>
          <w:u w:val="single"/>
          <w:lang w:val="ru-RU"/>
        </w:rPr>
        <w:t>ПРЕДСЕДАТЕЛЬ</w:t>
      </w:r>
      <w:r>
        <w:rPr>
          <w:lang w:val="ru-RU"/>
        </w:rPr>
        <w:t>, выступая от имени всех членов Комитета, отдает дань памяти Александру Солженицыну, который был могучей фигурой международного масштаба и кончина которого является утратой для всего человечества, и разделяет чувство скорби Российской Федерации.</w:t>
      </w:r>
    </w:p>
    <w:p w:rsidR="00C74DE1" w:rsidRDefault="00C74DE1">
      <w:pPr>
        <w:spacing w:after="240"/>
        <w:rPr>
          <w:lang w:val="ru-RU"/>
        </w:rPr>
      </w:pPr>
      <w:r>
        <w:rPr>
          <w:lang w:val="ru-RU"/>
        </w:rPr>
        <w:t>43.</w:t>
      </w:r>
      <w:r>
        <w:rPr>
          <w:lang w:val="ru-RU"/>
        </w:rPr>
        <w:tab/>
      </w:r>
      <w:r>
        <w:rPr>
          <w:u w:val="single"/>
          <w:lang w:val="ru-RU"/>
        </w:rPr>
        <w:t>Г</w:t>
      </w:r>
      <w:r>
        <w:rPr>
          <w:u w:val="single"/>
          <w:lang w:val="ru-RU"/>
        </w:rPr>
        <w:noBreakHyphen/>
        <w:t>н де ГУТТ</w:t>
      </w:r>
      <w:r>
        <w:rPr>
          <w:lang w:val="ru-RU"/>
        </w:rPr>
        <w:t xml:space="preserve"> с интересом отмечает вывод о том, что всплеск расизма и ксенофобии в государстве-участнике, в частности среди молодого поколения, объясняется утерей ценностей и ориентиров, которая сопутствовала развалу СССР.  Именно поэтому государству-участнику надлежит делать акцент на воспитании терпимости, ослаблении межэтнической напряженности и уважении прав человека с ориентацией как на молодежь, так и на ответственных работников правоохранительных органов и сотрудников СМИ.</w:t>
      </w:r>
    </w:p>
    <w:p w:rsidR="00C74DE1" w:rsidRDefault="00C74DE1">
      <w:pPr>
        <w:spacing w:after="240"/>
        <w:rPr>
          <w:lang w:val="ru-RU"/>
        </w:rPr>
      </w:pPr>
      <w:r>
        <w:rPr>
          <w:lang w:val="ru-RU"/>
        </w:rPr>
        <w:t>44.</w:t>
      </w:r>
      <w:r>
        <w:rPr>
          <w:lang w:val="ru-RU"/>
        </w:rPr>
        <w:tab/>
        <w:t>Он подчеркивает тот факт, что согласно российскому законодательству бремя доказательства в вопросах как уголовного, так и гражданского судопроизводства всегда возлагалось на истца.  Напомнив, что Комитет выступает за снятие с истца бремя доказательства в гражданских делах, в частности касающихся актов расовой дискриминации, где доказательства представить нелегко, он просит сообщить о намерениях государства-участника в этом вопросе.</w:t>
      </w:r>
    </w:p>
    <w:p w:rsidR="00C74DE1" w:rsidRDefault="00C74DE1">
      <w:pPr>
        <w:spacing w:after="240"/>
        <w:rPr>
          <w:lang w:val="ru-RU"/>
        </w:rPr>
      </w:pPr>
      <w:r>
        <w:rPr>
          <w:lang w:val="ru-RU"/>
        </w:rPr>
        <w:t>45.</w:t>
      </w:r>
      <w:r>
        <w:rPr>
          <w:lang w:val="ru-RU"/>
        </w:rPr>
        <w:tab/>
      </w:r>
      <w:r>
        <w:rPr>
          <w:u w:val="single"/>
          <w:lang w:val="ru-RU"/>
        </w:rPr>
        <w:t>Г</w:t>
      </w:r>
      <w:r>
        <w:rPr>
          <w:u w:val="single"/>
          <w:lang w:val="ru-RU"/>
        </w:rPr>
        <w:noBreakHyphen/>
        <w:t>н ТОРНБЕРРИ</w:t>
      </w:r>
      <w:r>
        <w:rPr>
          <w:lang w:val="ru-RU"/>
        </w:rPr>
        <w:t xml:space="preserve"> интересуется тем, насколько глубока вовлеченность бенефициаров программ поддержки коренных народов в их разработку и стоит ли вопрос о постепенной передаче заинтересованным народам и общинам ответственности за реализацию образовательных программ </w:t>
      </w:r>
      <w:r>
        <w:rPr>
          <w:rFonts w:ascii="Symbol" w:hAnsi="Symbol"/>
          <w:lang w:val="ru-RU"/>
        </w:rPr>
        <w:t></w:t>
      </w:r>
      <w:r>
        <w:rPr>
          <w:lang w:val="ru-RU"/>
        </w:rPr>
        <w:t xml:space="preserve"> там, где это возможно.  Кроме того, он просит пояснить, в чем суть понятия «лаборатория по обучению цыган правилам жизни в обществе» (это название представляется ему не очень удачным), и является ли знание русского языка одной из предпосылок для зачисления в специальные классы, предназначенные для цыган.</w:t>
      </w:r>
    </w:p>
    <w:p w:rsidR="00C74DE1" w:rsidRDefault="00C74DE1">
      <w:pPr>
        <w:spacing w:after="240"/>
        <w:rPr>
          <w:lang w:val="ru-RU"/>
        </w:rPr>
      </w:pPr>
      <w:r>
        <w:rPr>
          <w:lang w:val="ru-RU"/>
        </w:rPr>
        <w:t>46.</w:t>
      </w:r>
      <w:r>
        <w:rPr>
          <w:lang w:val="ru-RU"/>
        </w:rPr>
        <w:tab/>
      </w:r>
      <w:r>
        <w:rPr>
          <w:u w:val="single"/>
          <w:lang w:val="ru-RU"/>
        </w:rPr>
        <w:t>Г</w:t>
      </w:r>
      <w:r>
        <w:rPr>
          <w:u w:val="single"/>
          <w:lang w:val="ru-RU"/>
        </w:rPr>
        <w:noBreakHyphen/>
        <w:t>ну ЛИДГРЕН АЛВИСУ</w:t>
      </w:r>
      <w:r>
        <w:rPr>
          <w:lang w:val="ru-RU"/>
        </w:rPr>
        <w:t xml:space="preserve"> не совсем понятно, чем на деле являются казачьи общины:  идет ли речь о мирных группах, объединяющих любителей боевых искусств различного этнического происхождения, или же о военизированных формированиях, пользующихся поддержкой правительства, которые в других странах рассматривались бы как ополченцы, представляющие угрозу для безопасности государства.</w:t>
      </w:r>
    </w:p>
    <w:p w:rsidR="00C74DE1" w:rsidRDefault="00C74DE1">
      <w:pPr>
        <w:spacing w:after="240"/>
        <w:rPr>
          <w:lang w:val="ru-RU"/>
        </w:rPr>
      </w:pPr>
      <w:r>
        <w:rPr>
          <w:lang w:val="ru-RU"/>
        </w:rPr>
        <w:t>47.</w:t>
      </w:r>
      <w:r>
        <w:rPr>
          <w:lang w:val="ru-RU"/>
        </w:rPr>
        <w:tab/>
      </w:r>
      <w:r>
        <w:rPr>
          <w:u w:val="single"/>
          <w:lang w:val="ru-RU"/>
        </w:rPr>
        <w:t>Г</w:t>
      </w:r>
      <w:r>
        <w:rPr>
          <w:u w:val="single"/>
          <w:lang w:val="ru-RU"/>
        </w:rPr>
        <w:noBreakHyphen/>
        <w:t>н МУРИЛЬО МАРТИНЕС</w:t>
      </w:r>
      <w:r>
        <w:rPr>
          <w:lang w:val="ru-RU"/>
        </w:rPr>
        <w:t xml:space="preserve"> интересуется ролью политических партий в пропаганде расовой ненависти и тем, не апелируют ли некоторые из них в своей риторике к националистическим чувствам.  Кроме того, он просит сообщить, использует ли государство-участник факт проведения в октябре 2008 года встречи Подготовительного комитета Конференции по обзору Дурбанского процесса в качестве повода для обсуждения на общенациональном уровне проблематики расовой ненависти и стремится ли вовлечь в него молодежь как группу, глубже других затронутую этим явлением.</w:t>
      </w:r>
    </w:p>
    <w:p w:rsidR="00C74DE1" w:rsidRDefault="00C74DE1">
      <w:pPr>
        <w:spacing w:after="240"/>
        <w:rPr>
          <w:lang w:val="ru-RU"/>
        </w:rPr>
      </w:pPr>
      <w:r>
        <w:rPr>
          <w:lang w:val="ru-RU"/>
        </w:rPr>
        <w:t>48.</w:t>
      </w:r>
      <w:r>
        <w:rPr>
          <w:lang w:val="ru-RU"/>
        </w:rPr>
        <w:tab/>
      </w:r>
      <w:r>
        <w:rPr>
          <w:u w:val="single"/>
          <w:lang w:val="ru-RU"/>
        </w:rPr>
        <w:t>Г</w:t>
      </w:r>
      <w:r>
        <w:rPr>
          <w:u w:val="single"/>
          <w:lang w:val="ru-RU"/>
        </w:rPr>
        <w:noBreakHyphen/>
        <w:t>н КЕМАЛЬ</w:t>
      </w:r>
      <w:r>
        <w:rPr>
          <w:lang w:val="ru-RU"/>
        </w:rPr>
        <w:t xml:space="preserve"> приветствует выделение крупных средств на реинтеграцию лиц, перемещенных внутри собственной страны, что должно помочь в конечном итоге восстановить стабильность в этом регионе.  Он был бы особенно признателен за информацию об усилиях Российской Федерации, направленных на сохранение языка и культуры этой группы населения.  Кроме того, он просит сообщить, обеспечивает ли государство-участник защиту коренных народов, проживающих на территориях, богатых ценными природными ресурсами, от притязаний добывающих предприятий, которые ущемляют их права, могут ли такие народы в случае коллизии обратиться в суд и предоставляется ли им в этом случае бесплатная юридическая помощь.  И наконец, он интересуется тем, привлекается ли коренное население к работе по охране окружающей среды, и в частности тех видов дикой фауны и флоры, вроде сибирского тигра, которые благоприятствуют сохранению их традиционного образа жизни. </w:t>
      </w:r>
    </w:p>
    <w:p w:rsidR="00C74DE1" w:rsidRDefault="00C74DE1">
      <w:pPr>
        <w:spacing w:after="240"/>
        <w:rPr>
          <w:lang w:val="ru-RU"/>
        </w:rPr>
      </w:pPr>
      <w:r>
        <w:rPr>
          <w:lang w:val="ru-RU"/>
        </w:rPr>
        <w:t>49.</w:t>
      </w:r>
      <w:r>
        <w:rPr>
          <w:lang w:val="ru-RU"/>
        </w:rPr>
        <w:tab/>
      </w:r>
      <w:r>
        <w:rPr>
          <w:u w:val="single"/>
          <w:lang w:val="ru-RU"/>
        </w:rPr>
        <w:t>Г</w:t>
      </w:r>
      <w:r>
        <w:rPr>
          <w:u w:val="single"/>
          <w:lang w:val="ru-RU"/>
        </w:rPr>
        <w:noBreakHyphen/>
        <w:t>н ПРОСПЕР</w:t>
      </w:r>
      <w:r>
        <w:rPr>
          <w:lang w:val="ru-RU"/>
        </w:rPr>
        <w:t xml:space="preserve"> просит государство-участник включить в его следующий периодический доклад статистические сведения о преступлениях, мотивированных расовой ненавистью, в частности об их количестве, о процентной доле дел, по которым было возбуждено судебное преследование, и дел, которые завершились осуждением виновных, а также о количестве реализованных государством-участником просветительских программ.</w:t>
      </w:r>
    </w:p>
    <w:p w:rsidR="00C74DE1" w:rsidRDefault="00C74DE1">
      <w:pPr>
        <w:spacing w:after="240"/>
        <w:rPr>
          <w:lang w:val="ru-RU"/>
        </w:rPr>
      </w:pPr>
      <w:r>
        <w:rPr>
          <w:lang w:val="ru-RU"/>
        </w:rPr>
        <w:t>50.</w:t>
      </w:r>
      <w:r>
        <w:rPr>
          <w:lang w:val="ru-RU"/>
        </w:rPr>
        <w:tab/>
      </w:r>
      <w:r>
        <w:rPr>
          <w:u w:val="single"/>
          <w:lang w:val="ru-RU"/>
        </w:rPr>
        <w:t>Г</w:t>
      </w:r>
      <w:r>
        <w:rPr>
          <w:u w:val="single"/>
          <w:lang w:val="ru-RU"/>
        </w:rPr>
        <w:noBreakHyphen/>
        <w:t>н ТРАВНИКОВ</w:t>
      </w:r>
      <w:r>
        <w:rPr>
          <w:lang w:val="ru-RU"/>
        </w:rPr>
        <w:t xml:space="preserve"> (Российская Федерация) говорит, что ввиду непропорционально высокой доли молодежи в составе расистских и ксенофобских движений власти совместно с неправительственными организациями сосредотачивают внимание на молодом поколении в своей борьбе с предубеждениями и нетерпимостью, порождаемыми невежеством и страхом.  Он сознает, что центральное место в этих усилиях должно принадлежать образованию и воспитанию.</w:t>
      </w:r>
    </w:p>
    <w:p w:rsidR="00C74DE1" w:rsidRDefault="00C74DE1">
      <w:pPr>
        <w:spacing w:after="240"/>
        <w:rPr>
          <w:lang w:val="ru-RU"/>
        </w:rPr>
      </w:pPr>
      <w:r>
        <w:rPr>
          <w:lang w:val="ru-RU"/>
        </w:rPr>
        <w:t>51.</w:t>
      </w:r>
      <w:r>
        <w:rPr>
          <w:lang w:val="ru-RU"/>
        </w:rPr>
        <w:tab/>
        <w:t>Действующая в стране правовая система такова, что бремя доказательства во всех случаях возлагается на жертв, но государство выделяет средства на оказание им бесплатной юридической помощи, которая обеспечивается коллегиями адвокатов и неправительственными организациями, в адрес которых г</w:t>
      </w:r>
      <w:r>
        <w:rPr>
          <w:lang w:val="ru-RU"/>
        </w:rPr>
        <w:noBreakHyphen/>
        <w:t>н Травников от имени российских властей выражает признательность.  Даже коренные малочисленные народности, находящиеся в особенно уязвимом положении и не имеющие средств для самостоятельной защиты, могут рассчитывать на такую помощь при отстаивании своих прав в случае коллизий с крупными компаниями, которые эксплуатируют природные ресурсы на территориях, где такие народности проживают.  В случае коллизий федеральные власти побуждают стороны к поиску приемлемого для всех урегулирования разногласий между ними.  Он добавляет, что во всех случаях серьезные проекты эксплуатации природных ресурсов реализуются лишь после проведения центральными и региональными властями предварительных консультаций с представителями заинтересованных коренных малочисленных народов.</w:t>
      </w:r>
    </w:p>
    <w:p w:rsidR="00C74DE1" w:rsidRDefault="00C74DE1">
      <w:pPr>
        <w:spacing w:after="240"/>
        <w:rPr>
          <w:lang w:val="ru-RU"/>
        </w:rPr>
      </w:pPr>
      <w:r>
        <w:rPr>
          <w:lang w:val="ru-RU"/>
        </w:rPr>
        <w:t>52.</w:t>
      </w:r>
      <w:r>
        <w:rPr>
          <w:lang w:val="ru-RU"/>
        </w:rPr>
        <w:tab/>
        <w:t>Оратор уточняет, что казаки не являются ни военизированной группировкой, ни нелегальным вооруженным ополченческим формированием, а представляют собой самостоятельную социокультурную общность, члены которой высоко ценят боевую доблесть и особенно гордятся подвигами своих предков.  Оружие выдается только тем казакам, которые вступают в ряды вооруженных сил Российской Федерации, в составе которых сформированы отдельные специальные подразделения, где казаки составляют большинство.  Кроме того, некоторым казаческим объединениям государство выделяет субсидии на равной основе с другими объединениями, получающими аналогичную финансовую поддержку.  И наконец, казаки иногда привлекаются к работе по поддержанию порядка на основе соглашений с местными или региональными органами власти, но в связи с выполнением этих функций оружие им не выдается.</w:t>
      </w:r>
    </w:p>
    <w:p w:rsidR="00C74DE1" w:rsidRDefault="00C74DE1">
      <w:pPr>
        <w:spacing w:after="240"/>
        <w:rPr>
          <w:lang w:val="ru-RU"/>
        </w:rPr>
      </w:pPr>
      <w:r>
        <w:rPr>
          <w:lang w:val="ru-RU"/>
        </w:rPr>
        <w:t>53.</w:t>
      </w:r>
      <w:r>
        <w:rPr>
          <w:lang w:val="ru-RU"/>
        </w:rPr>
        <w:tab/>
        <w:t>Г</w:t>
      </w:r>
      <w:r>
        <w:rPr>
          <w:lang w:val="ru-RU"/>
        </w:rPr>
        <w:noBreakHyphen/>
        <w:t xml:space="preserve">н Травников отмечает, что российские власти проявляют крайнюю бдительность и систематически и незамедлительно пресекают любые проявления нетерпимости и расизма со стороны политических партий.  Так, недавно была запрещена политическая партия, которая уже была представлена в парламенте страны, на том основании, что она выпустила в телеэфир ролик расистского толка.  </w:t>
      </w:r>
    </w:p>
    <w:p w:rsidR="00C74DE1" w:rsidRDefault="00C74DE1">
      <w:pPr>
        <w:spacing w:after="240"/>
        <w:rPr>
          <w:lang w:val="ru-RU"/>
        </w:rPr>
      </w:pPr>
      <w:r>
        <w:rPr>
          <w:lang w:val="ru-RU"/>
        </w:rPr>
        <w:t>54.</w:t>
      </w:r>
      <w:r>
        <w:rPr>
          <w:lang w:val="ru-RU"/>
        </w:rPr>
        <w:tab/>
      </w:r>
      <w:r>
        <w:rPr>
          <w:u w:val="single"/>
          <w:lang w:val="ru-RU"/>
        </w:rPr>
        <w:t>Г</w:t>
      </w:r>
      <w:r>
        <w:rPr>
          <w:u w:val="single"/>
          <w:lang w:val="ru-RU"/>
        </w:rPr>
        <w:noBreakHyphen/>
        <w:t>жа ПЕТРОВА</w:t>
      </w:r>
      <w:r>
        <w:rPr>
          <w:lang w:val="ru-RU"/>
        </w:rPr>
        <w:t xml:space="preserve"> (Российская Федерация) говорит, что с 2007 года школьные программы разрабатываются компетентными органами федерального уровня, причем каждая третья из них утверждается по итогам консультаций с представителями учащихся, родителей и гражданского общества.  К разработке таких программ привлекаются также и представители коренных народностей, что содействует сохранению их языка и культуры.  В настоящее время группой экспертов, занимающихся конкретно языками коренных народностей, при Российской академии образовании разрабатывается проект федеральных законодательных норм по вопросам образования; во многих школах ведется преподавание таких предметов, как культура, история и языки коренных народов.  Правительством выделены средства на составление учебников и создание особых учебных заведений, таких, как передвижные школы; это делается с тем, чтобы обеспечить образование детям, принадлежащим к коренным малочисленным народам, несмотря на их кочевой образ жизни.</w:t>
      </w:r>
    </w:p>
    <w:p w:rsidR="00C74DE1" w:rsidRDefault="00C74DE1">
      <w:pPr>
        <w:spacing w:after="240"/>
        <w:rPr>
          <w:lang w:val="ru-RU"/>
        </w:rPr>
      </w:pPr>
      <w:r>
        <w:rPr>
          <w:lang w:val="ru-RU"/>
        </w:rPr>
        <w:t>55.</w:t>
      </w:r>
      <w:r>
        <w:rPr>
          <w:lang w:val="ru-RU"/>
        </w:rPr>
        <w:tab/>
      </w:r>
      <w:r>
        <w:rPr>
          <w:u w:val="single"/>
          <w:lang w:val="ru-RU"/>
        </w:rPr>
        <w:t>Г</w:t>
      </w:r>
      <w:r>
        <w:rPr>
          <w:u w:val="single"/>
          <w:lang w:val="ru-RU"/>
        </w:rPr>
        <w:noBreakHyphen/>
        <w:t>н ЖАФЯРОВ</w:t>
      </w:r>
      <w:r>
        <w:rPr>
          <w:lang w:val="ru-RU"/>
        </w:rPr>
        <w:t xml:space="preserve"> (Российская Федерация) со своей стороны отмечает, что Россия – многонациональное государство, а это означает, что ни одна политическая партия не может позволить себе – ни в уставе, ни в предвыборной программе – выступать с неуместными заявлениями, затрагивающими межрасовые отношения.  При этом он признает, что в настоящее время наблюдается тревожное нарастание ксенофобских настроений, на чем и играют некоторые партии;  за это они подвергаются предупреждениям со стороны органа по контролю за деятельностью политических партий, причем в случае повторения недопустимых высказываний их деятельность может быть запрещена.</w:t>
      </w:r>
    </w:p>
    <w:p w:rsidR="00C74DE1" w:rsidRDefault="00C74DE1">
      <w:pPr>
        <w:spacing w:after="240"/>
        <w:rPr>
          <w:lang w:val="ru-RU"/>
        </w:rPr>
      </w:pPr>
      <w:r>
        <w:rPr>
          <w:lang w:val="ru-RU"/>
        </w:rPr>
        <w:t>56.</w:t>
      </w:r>
      <w:r>
        <w:rPr>
          <w:lang w:val="ru-RU"/>
        </w:rPr>
        <w:tab/>
        <w:t>Г</w:t>
      </w:r>
      <w:r>
        <w:rPr>
          <w:lang w:val="ru-RU"/>
        </w:rPr>
        <w:noBreakHyphen/>
        <w:t>н Жафяров обязуется в дальнейшем представить Комитету статистические данные о совершенных в его стране уголовных преступлениях, связанных с расовой дискриминацией; при этом он поясняет, что рост числа преступлений такого характера (на конец первого полугодия 2008 года их число составило 250 по сравнению с 63 за весь 2007 год) объясняется, в частности, недавним введением в действие принятых в 2007 году новых положений, на основании которых при рассмотрении значительной части насильственных преступлений (вандализм) была принята во внимание их расовая подоплека.</w:t>
      </w:r>
    </w:p>
    <w:p w:rsidR="00C74DE1" w:rsidRDefault="00C74DE1">
      <w:pPr>
        <w:spacing w:after="240"/>
        <w:rPr>
          <w:lang w:val="ru-RU"/>
        </w:rPr>
      </w:pPr>
      <w:r>
        <w:rPr>
          <w:lang w:val="ru-RU"/>
        </w:rPr>
        <w:t>57.</w:t>
      </w:r>
      <w:r>
        <w:rPr>
          <w:lang w:val="ru-RU"/>
        </w:rPr>
        <w:tab/>
      </w:r>
      <w:r>
        <w:rPr>
          <w:u w:val="single"/>
          <w:lang w:val="ru-RU"/>
        </w:rPr>
        <w:t>Г</w:t>
      </w:r>
      <w:r>
        <w:rPr>
          <w:u w:val="single"/>
          <w:lang w:val="ru-RU"/>
        </w:rPr>
        <w:noBreakHyphen/>
        <w:t>н ТРАВНИКОВ</w:t>
      </w:r>
      <w:r>
        <w:rPr>
          <w:lang w:val="ru-RU"/>
        </w:rPr>
        <w:t xml:space="preserve"> (Российская Федерация) сообщает, что его страна активно участвует в работе Подготовительного комитета Конференции по обзору Дурбанского процесса и использует различные его материалы в работе по пересмотру законодательства страны.</w:t>
      </w:r>
    </w:p>
    <w:p w:rsidR="00C74DE1" w:rsidRDefault="00C74DE1">
      <w:pPr>
        <w:spacing w:after="240"/>
        <w:rPr>
          <w:lang w:val="ru-RU"/>
        </w:rPr>
      </w:pPr>
      <w:r>
        <w:rPr>
          <w:lang w:val="ru-RU"/>
        </w:rPr>
        <w:t>58.</w:t>
      </w:r>
      <w:r>
        <w:rPr>
          <w:lang w:val="ru-RU"/>
        </w:rPr>
        <w:tab/>
      </w:r>
      <w:r>
        <w:rPr>
          <w:u w:val="single"/>
          <w:lang w:val="ru-RU"/>
        </w:rPr>
        <w:t>Г</w:t>
      </w:r>
      <w:r>
        <w:rPr>
          <w:u w:val="single"/>
          <w:lang w:val="ru-RU"/>
        </w:rPr>
        <w:noBreakHyphen/>
        <w:t>н СИСИЛИАНОС</w:t>
      </w:r>
      <w:r>
        <w:rPr>
          <w:lang w:val="ru-RU"/>
        </w:rPr>
        <w:t xml:space="preserve"> (докладчик по Российской Федерации) высказывает удовлетворение по поводу продуктивного диалога, налаженного с российской делегацией, которая дала четкие ответы на вопросы как минимум по 22 различным темам.  Он подчеркивает, что Комитет принял к сведению представленные ответы, в частности, о причинах проявления расизма и дискриминации в государстве-участнике, возможностях приобретения гражданства, административной основе, средствах массовой информации и свободе выражения мнений, казачестве, необходимости осудить разжигание расовой вражды, в том числе в Интернете, иммиграции, национальных меньшинствах, цыганах, мерах в поддержку обездоленных групп (Комитет считает это определение более предпочтительным, чем «позитивная дискриминация»), рыболовных квотах, коренных малочисленных народах Севера России, перемещенных лицах, гражданской регистрации детей, экстремистских настроениях среди молодежи.  Он добавляет, что все эти ответы будут учтены Комитетом при подготовке заключительных замечаний в конце нынешней сессии.</w:t>
      </w:r>
    </w:p>
    <w:p w:rsidR="00C74DE1" w:rsidRDefault="00C74DE1">
      <w:pPr>
        <w:spacing w:after="240"/>
        <w:rPr>
          <w:lang w:val="ru-RU"/>
        </w:rPr>
      </w:pPr>
      <w:r>
        <w:rPr>
          <w:lang w:val="ru-RU"/>
        </w:rPr>
        <w:t>59.</w:t>
      </w:r>
      <w:r>
        <w:rPr>
          <w:lang w:val="ru-RU"/>
        </w:rPr>
        <w:tab/>
      </w:r>
      <w:r>
        <w:rPr>
          <w:u w:val="single"/>
          <w:lang w:val="ru-RU"/>
        </w:rPr>
        <w:t>ПРЕДСЕДАТЕЛЬ</w:t>
      </w:r>
      <w:r>
        <w:rPr>
          <w:lang w:val="ru-RU"/>
        </w:rPr>
        <w:t xml:space="preserve"> в свою очередь благодарит российскую делегацию за данные ею ответы и предлагает ей представить в письменном виде информацию, которая могла бы помочь Комитету составить еще более полное представление о выполнении Конвенции Российской Федерацией.  Она предлагает государству-участнику продолжить диалог с Комитетом и соблюдать и впредь сроки представления следующих докладов.</w:t>
      </w:r>
    </w:p>
    <w:p w:rsidR="00C74DE1" w:rsidRDefault="00C74DE1">
      <w:pPr>
        <w:spacing w:after="240"/>
        <w:rPr>
          <w:lang w:val="ru-RU"/>
        </w:rPr>
      </w:pPr>
      <w:r>
        <w:rPr>
          <w:lang w:val="ru-RU"/>
        </w:rPr>
        <w:t>60.</w:t>
      </w:r>
      <w:r>
        <w:rPr>
          <w:lang w:val="ru-RU"/>
        </w:rPr>
        <w:tab/>
      </w:r>
      <w:r>
        <w:rPr>
          <w:u w:val="single"/>
          <w:lang w:val="ru-RU"/>
        </w:rPr>
        <w:t>Российская делегация покидает зал заседаний</w:t>
      </w:r>
      <w:r>
        <w:rPr>
          <w:lang w:val="ru-RU"/>
        </w:rPr>
        <w:t>.</w:t>
      </w:r>
    </w:p>
    <w:p w:rsidR="00C74DE1" w:rsidRDefault="00C74DE1">
      <w:pPr>
        <w:spacing w:after="240"/>
        <w:jc w:val="center"/>
        <w:rPr>
          <w:lang w:val="ru-RU"/>
        </w:rPr>
      </w:pPr>
      <w:r>
        <w:rPr>
          <w:u w:val="single"/>
          <w:lang w:val="ru-RU"/>
        </w:rPr>
        <w:t>Заседание закрывается в 13 час. 10 мин</w:t>
      </w:r>
      <w:r>
        <w:rPr>
          <w:lang w:val="ru-RU"/>
        </w:rPr>
        <w:t>.</w:t>
      </w:r>
    </w:p>
    <w:p w:rsidR="00C74DE1" w:rsidRDefault="00C74DE1">
      <w:pPr>
        <w:spacing w:after="240"/>
        <w:jc w:val="center"/>
      </w:pPr>
      <w:r>
        <w:rPr>
          <w:lang w:val="ru-RU"/>
        </w:rPr>
        <w:t>-----</w:t>
      </w:r>
    </w:p>
    <w:sectPr w:rsidR="00C74DE1" w:rsidSect="00AA0056">
      <w:headerReference w:type="even" r:id="rId9"/>
      <w:headerReference w:type="default" r:id="rId10"/>
      <w:headerReference w:type="first" r:id="rId11"/>
      <w:footnotePr>
        <w:pos w:val="beneathText"/>
      </w:footnotePr>
      <w:pgSz w:w="11905" w:h="16837"/>
      <w:pgMar w:top="1134" w:right="851" w:bottom="1985" w:left="1701" w:header="851"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4DE1" w:rsidRDefault="00C74DE1">
      <w:r>
        <w:separator/>
      </w:r>
    </w:p>
  </w:endnote>
  <w:endnote w:type="continuationSeparator" w:id="0">
    <w:p w:rsidR="00C74DE1" w:rsidRDefault="00C74D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4DE1" w:rsidRDefault="00C74DE1">
      <w:r>
        <w:separator/>
      </w:r>
    </w:p>
  </w:footnote>
  <w:footnote w:type="continuationSeparator" w:id="0">
    <w:p w:rsidR="00C74DE1" w:rsidRDefault="00C74D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4DE1" w:rsidRDefault="00C74DE1">
    <w:pPr>
      <w:pStyle w:val="Header"/>
    </w:pPr>
    <w:r>
      <w:t>CERD/C/SR.1883</w:t>
    </w:r>
  </w:p>
  <w:p w:rsidR="00C74DE1" w:rsidRDefault="00C74DE1">
    <w:pPr>
      <w:pStyle w:val="Header"/>
    </w:pPr>
    <w:r>
      <w:t xml:space="preserve">page </w:t>
    </w:r>
    <w:r>
      <w:fldChar w:fldCharType="begin"/>
    </w:r>
    <w:r>
      <w:instrText xml:space="preserve"> PAGE </w:instrText>
    </w:r>
    <w:r>
      <w:fldChar w:fldCharType="separate"/>
    </w:r>
    <w:r w:rsidR="00AA0056">
      <w:rPr>
        <w:noProof/>
      </w:rPr>
      <w:t>2</w:t>
    </w:r>
    <w:r>
      <w:fldChar w:fldCharType="end"/>
    </w:r>
  </w:p>
  <w:p w:rsidR="00C74DE1" w:rsidRDefault="00C74DE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4DE1" w:rsidRDefault="00C74DE1">
    <w:pPr>
      <w:pStyle w:val="Header"/>
      <w:tabs>
        <w:tab w:val="clear" w:pos="6804"/>
        <w:tab w:val="left" w:pos="6803"/>
      </w:tabs>
    </w:pPr>
    <w:r>
      <w:tab/>
      <w:t>CERD/C/SR.1883</w:t>
    </w:r>
  </w:p>
  <w:p w:rsidR="00C74DE1" w:rsidRDefault="00C74DE1">
    <w:pPr>
      <w:pStyle w:val="Header"/>
      <w:tabs>
        <w:tab w:val="clear" w:pos="6804"/>
        <w:tab w:val="left" w:pos="6803"/>
      </w:tabs>
    </w:pPr>
    <w:r>
      <w:tab/>
      <w:t xml:space="preserve">page </w:t>
    </w:r>
    <w:r>
      <w:fldChar w:fldCharType="begin"/>
    </w:r>
    <w:r>
      <w:instrText xml:space="preserve"> PAGE </w:instrText>
    </w:r>
    <w:r>
      <w:fldChar w:fldCharType="separate"/>
    </w:r>
    <w:r w:rsidR="00AA0056">
      <w:rPr>
        <w:noProof/>
      </w:rPr>
      <w:t>3</w:t>
    </w:r>
    <w:r>
      <w:fldChar w:fldCharType="end"/>
    </w:r>
  </w:p>
  <w:p w:rsidR="00C74DE1" w:rsidRDefault="00C74DE1">
    <w:pPr>
      <w:pStyle w:val="Header"/>
      <w:tabs>
        <w:tab w:val="clear" w:pos="6804"/>
        <w:tab w:val="left" w:pos="6803"/>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4DE1" w:rsidRDefault="00C74DE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pos w:val="beneathText"/>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A0056"/>
    <w:rsid w:val="00AA0056"/>
    <w:rsid w:val="00C74DE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pPr>
    <w:rPr>
      <w:sz w:val="24"/>
      <w:lang w:eastAsia="ar-SA"/>
    </w:rPr>
  </w:style>
  <w:style w:type="paragraph" w:styleId="Heading1">
    <w:name w:val="heading 1"/>
    <w:basedOn w:val="Normal"/>
    <w:next w:val="Normal"/>
    <w:qFormat/>
    <w:pPr>
      <w:keepNext/>
      <w:numPr>
        <w:numId w:val="1"/>
      </w:numPr>
      <w:spacing w:after="240"/>
      <w:outlineLvl w:val="0"/>
    </w:pPr>
    <w:rPr>
      <w:rFonts w:cs="Arial"/>
      <w:b/>
      <w:bCs/>
      <w:szCs w:val="32"/>
    </w:rPr>
  </w:style>
  <w:style w:type="paragraph" w:styleId="Heading2">
    <w:name w:val="heading 2"/>
    <w:basedOn w:val="Normal"/>
    <w:next w:val="Normal"/>
    <w:qFormat/>
    <w:pPr>
      <w:keepNext/>
      <w:numPr>
        <w:ilvl w:val="1"/>
        <w:numId w:val="1"/>
      </w:numPr>
      <w:spacing w:after="240"/>
      <w:outlineLvl w:val="1"/>
    </w:pPr>
  </w:style>
  <w:style w:type="paragraph" w:styleId="Heading3">
    <w:name w:val="heading 3"/>
    <w:basedOn w:val="Normal"/>
    <w:next w:val="Normal"/>
    <w:qFormat/>
    <w:pPr>
      <w:keepNext/>
      <w:numPr>
        <w:ilvl w:val="2"/>
        <w:numId w:val="1"/>
      </w:numPr>
      <w:spacing w:after="240"/>
      <w:outlineLvl w:val="2"/>
    </w:pPr>
  </w:style>
  <w:style w:type="paragraph" w:styleId="Heading4">
    <w:name w:val="heading 4"/>
    <w:basedOn w:val="Normal"/>
    <w:next w:val="Normal"/>
    <w:qFormat/>
    <w:pPr>
      <w:keepNext/>
      <w:numPr>
        <w:ilvl w:val="3"/>
        <w:numId w:val="1"/>
      </w:numPr>
      <w:outlineLvl w:val="3"/>
    </w:pPr>
    <w:rPr>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DefaultParagraphFont0">
    <w:name w:val="Default Paragraph Font"/>
  </w:style>
  <w:style w:type="character" w:customStyle="1" w:styleId="Caractredenotedebasdepage">
    <w:name w:val="Caractère de note de bas de page"/>
    <w:rPr>
      <w:rFonts w:ascii="Times New Roman" w:hAnsi="Times New Roman"/>
      <w:b/>
      <w:sz w:val="24"/>
      <w:vertAlign w:val="superscript"/>
    </w:rPr>
  </w:style>
  <w:style w:type="character" w:customStyle="1" w:styleId="Caractredenotedefin">
    <w:name w:val="Caractère de note de fin"/>
    <w:rPr>
      <w:rFonts w:ascii="Times New Roman" w:hAnsi="Times New Roman"/>
      <w:b/>
      <w:sz w:val="24"/>
      <w:vertAlign w:val="superscript"/>
    </w:rPr>
  </w:style>
  <w:style w:type="paragraph" w:customStyle="1" w:styleId="Titre">
    <w:name w:val="Titre"/>
    <w:basedOn w:val="Normal"/>
    <w:next w:val="BodyText"/>
    <w:pPr>
      <w:keepNext/>
      <w:spacing w:before="240" w:after="120"/>
    </w:pPr>
    <w:rPr>
      <w:rFonts w:ascii="Arial" w:eastAsia="MS Mincho" w:hAnsi="Arial" w:cs="Tahoma"/>
      <w:sz w:val="28"/>
      <w:szCs w:val="28"/>
    </w:rPr>
  </w:style>
  <w:style w:type="paragraph" w:styleId="BodyText">
    <w:name w:val="Body Text"/>
    <w:basedOn w:val="Normal"/>
    <w:pPr>
      <w:spacing w:after="120"/>
    </w:pPr>
  </w:style>
  <w:style w:type="paragraph" w:styleId="List">
    <w:name w:val="List"/>
    <w:basedOn w:val="BodyText"/>
    <w:rPr>
      <w:rFonts w:cs="Tahoma"/>
    </w:rPr>
  </w:style>
  <w:style w:type="paragraph" w:customStyle="1" w:styleId="Lgende">
    <w:name w:val="Légende"/>
    <w:basedOn w:val="Normal"/>
    <w:pPr>
      <w:suppressLineNumbers/>
      <w:spacing w:before="120" w:after="120"/>
    </w:pPr>
    <w:rPr>
      <w:rFonts w:cs="Tahoma"/>
      <w:i/>
      <w:iCs/>
      <w:szCs w:val="24"/>
    </w:rPr>
  </w:style>
  <w:style w:type="paragraph" w:customStyle="1" w:styleId="Rpertoire">
    <w:name w:val="Répertoire"/>
    <w:basedOn w:val="Normal"/>
    <w:pPr>
      <w:suppressLineNumbers/>
    </w:pPr>
    <w:rPr>
      <w:rFonts w:cs="Tahoma"/>
    </w:rPr>
  </w:style>
  <w:style w:type="paragraph" w:styleId="FootnoteText">
    <w:name w:val="footnote text"/>
    <w:basedOn w:val="Normal"/>
    <w:semiHidden/>
  </w:style>
  <w:style w:type="paragraph" w:styleId="EndnoteText">
    <w:name w:val="endnote text"/>
    <w:basedOn w:val="Normal"/>
    <w:semiHidden/>
  </w:style>
  <w:style w:type="paragraph" w:customStyle="1" w:styleId="a">
    <w:name w:val="название"/>
    <w:basedOn w:val="Normal"/>
    <w:pPr>
      <w:widowControl w:val="0"/>
    </w:pPr>
    <w:rPr>
      <w:rFonts w:ascii="Courier" w:hAnsi="Courier"/>
      <w:lang w:val="ru-RU"/>
    </w:rPr>
  </w:style>
  <w:style w:type="paragraph" w:styleId="Header">
    <w:name w:val="header"/>
    <w:basedOn w:val="Normal"/>
    <w:pPr>
      <w:tabs>
        <w:tab w:val="left" w:pos="6804"/>
      </w:tabs>
    </w:pPr>
  </w:style>
  <w:style w:type="paragraph" w:styleId="Footer">
    <w:name w:val="footer"/>
    <w:basedOn w:val="Normal"/>
    <w:pPr>
      <w:tabs>
        <w:tab w:val="center" w:pos="4536"/>
        <w:tab w:val="right" w:pos="9072"/>
      </w:tabs>
    </w:pPr>
  </w:style>
  <w:style w:type="paragraph" w:customStyle="1" w:styleId="Contenudetableau">
    <w:name w:val="Contenu de tableau"/>
    <w:basedOn w:val="Normal"/>
    <w:pPr>
      <w:suppressLineNumbers/>
    </w:pPr>
  </w:style>
  <w:style w:type="paragraph" w:customStyle="1" w:styleId="Titredetableau">
    <w:name w:val="Titre de tableau"/>
    <w:basedOn w:val="Contenudetableau"/>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6711</Words>
  <Characters>38253</Characters>
  <Application>Microsoft Office Word</Application>
  <DocSecurity>4</DocSecurity>
  <Lines>318</Lines>
  <Paragraphs>89</Paragraphs>
  <ScaleCrop>false</ScaleCrop>
  <HeadingPairs>
    <vt:vector size="2" baseType="variant">
      <vt:variant>
        <vt:lpstr>Title</vt:lpstr>
      </vt:variant>
      <vt:variant>
        <vt:i4>1</vt:i4>
      </vt:variant>
    </vt:vector>
  </HeadingPairs>
  <TitlesOfParts>
    <vt:vector size="1" baseType="lpstr">
      <vt:lpstr>CERD/C/SR.1883</vt:lpstr>
    </vt:vector>
  </TitlesOfParts>
  <Company>ONU</Company>
  <LinksUpToDate>false</LinksUpToDate>
  <CharactersWithSpaces>44875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CERD/C/SR.1883</dc:title>
  <dc:subject>FINAL</dc:subject>
  <dc:creator>Nath Vittoz</dc:creator>
  <cp:keywords/>
  <cp:lastModifiedBy>CSD</cp:lastModifiedBy>
  <cp:revision>2</cp:revision>
  <cp:lastPrinted>2008-09-17T13:51:00Z</cp:lastPrinted>
  <dcterms:created xsi:type="dcterms:W3CDTF">2009-06-18T16:03:00Z</dcterms:created>
  <dcterms:modified xsi:type="dcterms:W3CDTF">2009-08-17T11:20:00Z</dcterms:modified>
</cp:coreProperties>
</file>