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60" w:lineRule="exact"/>
        <w:rPr>
          <w:sz w:val="6"/>
        </w:rPr>
        <w:sectPr w:rsidR="00000000">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2" w:h="15842" w:code="1"/>
          <w:pgMar w:top="1742" w:right="1195" w:bottom="1898" w:left="1195" w:header="576" w:footer="1030" w:gutter="0"/>
          <w:pgNumType w:start="1"/>
          <w:cols w:space="425"/>
          <w:titlePg/>
          <w:docGrid w:type="lines" w:linePitch="312"/>
        </w:sectPr>
      </w:pPr>
      <w:r>
        <w:rPr>
          <w:rStyle w:val="CommentReference"/>
          <w:rFonts w:hint="eastAsia"/>
          <w:vanish/>
        </w:rPr>
        <w:commentReference w:id="0"/>
      </w:r>
    </w:p>
    <w:p w:rsidR="00000000" w:rsidRDefault="00000000">
      <w:pPr>
        <w:spacing w:line="60" w:lineRule="exact"/>
        <w:rPr>
          <w:sz w:val="6"/>
        </w:rPr>
      </w:pPr>
    </w:p>
    <w:p w:rsidR="00000000" w:rsidRDefault="00000000">
      <w:pPr>
        <w:pStyle w:val="H1"/>
        <w:rPr>
          <w:rFonts w:hint="eastAsia"/>
        </w:rPr>
      </w:pPr>
      <w:r>
        <w:rPr>
          <w:rFonts w:hint="eastAsia"/>
        </w:rPr>
        <w:t>消除对妇女一切形式歧视委员会</w:t>
      </w:r>
    </w:p>
    <w:p w:rsidR="00000000" w:rsidRDefault="00000000">
      <w:pPr>
        <w:pStyle w:val="H23"/>
        <w:rPr>
          <w:rFonts w:hint="eastAsia"/>
        </w:rPr>
      </w:pPr>
      <w:r>
        <w:rPr>
          <w:rFonts w:hint="eastAsia"/>
        </w:rPr>
        <w:t>第二十五届会议</w:t>
      </w:r>
    </w:p>
    <w:p w:rsidR="00000000" w:rsidRDefault="00000000">
      <w:pPr>
        <w:spacing w:line="240" w:lineRule="auto"/>
        <w:rPr>
          <w:sz w:val="12"/>
        </w:rPr>
      </w:pPr>
    </w:p>
    <w:p w:rsidR="00000000" w:rsidRDefault="00000000">
      <w:pPr>
        <w:pStyle w:val="H23"/>
        <w:rPr>
          <w:rFonts w:hint="eastAsia"/>
        </w:rPr>
      </w:pPr>
      <w:r>
        <w:rPr>
          <w:rFonts w:hint="eastAsia"/>
        </w:rPr>
        <w:t>第523次会议简要记录</w:t>
      </w:r>
    </w:p>
    <w:p w:rsidR="00000000" w:rsidRDefault="00000000">
      <w:pPr>
        <w:rPr>
          <w:rFonts w:hint="eastAsia"/>
        </w:rPr>
      </w:pPr>
      <w:r>
        <w:rPr>
          <w:rFonts w:hint="eastAsia"/>
        </w:rPr>
        <w:t>2001年7月13日，星期五，下午3时在纽约总部举行</w:t>
      </w:r>
    </w:p>
    <w:p w:rsidR="00000000" w:rsidRDefault="00000000">
      <w:pPr>
        <w:spacing w:line="120" w:lineRule="exact"/>
        <w:rPr>
          <w:rFonts w:hint="eastAsia"/>
          <w:sz w:val="10"/>
        </w:rPr>
      </w:pPr>
    </w:p>
    <w:p w:rsidR="00000000" w:rsidRDefault="00000000">
      <w:pPr>
        <w:tabs>
          <w:tab w:val="left" w:pos="1267"/>
          <w:tab w:val="right" w:leader="dot" w:pos="8568"/>
        </w:tabs>
        <w:ind w:right="1267"/>
        <w:rPr>
          <w:rFonts w:hint="eastAsia"/>
          <w:color w:val="000000"/>
        </w:rPr>
      </w:pPr>
      <w:r>
        <w:rPr>
          <w:rFonts w:eastAsia="KaiTi_GB2312" w:hint="eastAsia"/>
          <w:color w:val="0000FF"/>
        </w:rPr>
        <w:t>主席：</w:t>
      </w:r>
      <w:r>
        <w:rPr>
          <w:color w:val="000000"/>
        </w:rPr>
        <w:tab/>
      </w:r>
      <w:r>
        <w:rPr>
          <w:rFonts w:hint="eastAsia"/>
          <w:color w:val="000000"/>
        </w:rPr>
        <w:t>阿巴卡女士</w:t>
      </w:r>
    </w:p>
    <w:p w:rsidR="00000000" w:rsidRDefault="00000000">
      <w:pPr>
        <w:tabs>
          <w:tab w:val="left" w:pos="1267"/>
          <w:tab w:val="right" w:leader="dot" w:pos="8568"/>
        </w:tabs>
        <w:spacing w:line="120" w:lineRule="exact"/>
        <w:ind w:right="1267"/>
        <w:rPr>
          <w:color w:val="000000"/>
          <w:sz w:val="10"/>
        </w:rPr>
      </w:pPr>
    </w:p>
    <w:p w:rsidR="00000000" w:rsidRDefault="00000000">
      <w:pPr>
        <w:tabs>
          <w:tab w:val="left" w:pos="1267"/>
          <w:tab w:val="right" w:leader="dot" w:pos="8568"/>
        </w:tabs>
        <w:spacing w:line="120" w:lineRule="exact"/>
        <w:ind w:right="1267"/>
        <w:rPr>
          <w:color w:val="000000"/>
          <w:sz w:val="10"/>
        </w:rPr>
      </w:pPr>
    </w:p>
    <w:p w:rsidR="00000000" w:rsidRDefault="00000000">
      <w:pPr>
        <w:tabs>
          <w:tab w:val="left" w:pos="1267"/>
          <w:tab w:val="right" w:leader="dot" w:pos="8568"/>
        </w:tabs>
        <w:spacing w:line="120" w:lineRule="exact"/>
        <w:ind w:right="1267"/>
        <w:rPr>
          <w:color w:val="000000"/>
          <w:sz w:val="10"/>
        </w:rPr>
      </w:pPr>
    </w:p>
    <w:p w:rsidR="00000000" w:rsidRDefault="00000000">
      <w:pPr>
        <w:pStyle w:val="HCh"/>
        <w:rPr>
          <w:rFonts w:eastAsia="SimSun" w:hint="eastAsia"/>
        </w:rPr>
      </w:pPr>
      <w:r>
        <w:rPr>
          <w:rFonts w:eastAsia="SimSun" w:hint="eastAsia"/>
        </w:rPr>
        <w:t>目录</w:t>
      </w:r>
    </w:p>
    <w:p w:rsidR="00000000" w:rsidRDefault="00000000">
      <w:pPr>
        <w:pStyle w:val="HCh"/>
        <w:spacing w:line="240" w:lineRule="auto"/>
        <w:rPr>
          <w:rFonts w:eastAsia="SimSun"/>
          <w:sz w:val="14"/>
        </w:rPr>
      </w:pPr>
    </w:p>
    <w:p w:rsidR="00000000" w:rsidRDefault="00000000">
      <w:pPr>
        <w:pStyle w:val="SingleTxt"/>
        <w:rPr>
          <w:rFonts w:hint="eastAsia"/>
        </w:rPr>
      </w:pPr>
      <w:r>
        <w:rPr>
          <w:rFonts w:hint="eastAsia"/>
        </w:rPr>
        <w:t>审议缔约国根据《公约》第18条提交的报告（</w:t>
      </w:r>
      <w:r>
        <w:rPr>
          <w:rFonts w:ascii="长城楷体" w:eastAsia="长城楷体" w:hint="eastAsia"/>
        </w:rPr>
        <w:t>续</w:t>
      </w:r>
      <w:r>
        <w:rPr>
          <w:rFonts w:hint="eastAsia"/>
        </w:rPr>
        <w:t>）</w:t>
      </w:r>
    </w:p>
    <w:p w:rsidR="00000000" w:rsidRDefault="00000000">
      <w:pPr>
        <w:pStyle w:val="SingleTxt"/>
        <w:rPr>
          <w:rFonts w:ascii="长城楷体" w:eastAsia="长城楷体" w:hint="eastAsia"/>
        </w:rPr>
      </w:pPr>
      <w:r>
        <w:rPr>
          <w:rFonts w:hint="eastAsia"/>
        </w:rPr>
        <w:tab/>
      </w:r>
      <w:r>
        <w:rPr>
          <w:rFonts w:ascii="长城楷体" w:eastAsia="长城楷体" w:hint="eastAsia"/>
        </w:rPr>
        <w:t>安道尔的初次报告（续）</w:t>
      </w:r>
    </w:p>
    <w:p w:rsidR="00000000" w:rsidRDefault="00000000">
      <w:pPr>
        <w:pStyle w:val="SingleTxt"/>
        <w:spacing w:line="14" w:lineRule="exact"/>
        <w:rPr>
          <w:rFonts w:ascii="长城楷体" w:eastAsia="长城楷体"/>
        </w:rPr>
        <w:sectPr w:rsidR="00000000">
          <w:endnotePr>
            <w:numFmt w:val="decimal"/>
          </w:endnotePr>
          <w:type w:val="continuous"/>
          <w:pgSz w:w="12242" w:h="15842" w:code="1"/>
          <w:pgMar w:top="1742" w:right="1195" w:bottom="1898" w:left="1195" w:header="576" w:footer="1030" w:gutter="0"/>
          <w:cols w:space="425"/>
          <w:noEndnote/>
          <w:docGrid w:type="lines" w:linePitch="312"/>
        </w:sectPr>
      </w:pPr>
      <w:r>
        <w:rPr>
          <w:rFonts w:ascii="长城楷体" w:eastAsia="长城楷体"/>
        </w:rPr>
        <w:br w:type="page"/>
      </w:r>
    </w:p>
    <w:p w:rsidR="00000000" w:rsidRDefault="00000000">
      <w:pPr>
        <w:pStyle w:val="DualTxt"/>
        <w:rPr>
          <w:rFonts w:ascii="长城楷体" w:eastAsia="长城楷体" w:hint="eastAsia"/>
        </w:rPr>
      </w:pPr>
      <w:r>
        <w:tab/>
      </w:r>
      <w:r>
        <w:rPr>
          <w:rFonts w:ascii="长城楷体" w:eastAsia="长城楷体" w:hint="eastAsia"/>
        </w:rPr>
        <w:t>下午3时15分宣布开会</w:t>
      </w:r>
    </w:p>
    <w:p w:rsidR="00000000" w:rsidRDefault="00000000">
      <w:pPr>
        <w:pStyle w:val="DualTxt"/>
        <w:rPr>
          <w:rFonts w:hint="eastAsia"/>
        </w:rPr>
      </w:pPr>
      <w:r>
        <w:rPr>
          <w:rFonts w:ascii="SimHei" w:eastAsia="SimHei" w:hint="eastAsia"/>
        </w:rPr>
        <w:t>审议缔约国根据《公约》第18条提交的报告</w:t>
      </w:r>
      <w:r>
        <w:rPr>
          <w:rFonts w:hint="eastAsia"/>
        </w:rPr>
        <w:t>（</w:t>
      </w:r>
      <w:r>
        <w:rPr>
          <w:rFonts w:ascii="长城楷体" w:eastAsia="长城楷体" w:hint="eastAsia"/>
        </w:rPr>
        <w:t>续</w:t>
      </w:r>
      <w:r>
        <w:rPr>
          <w:rFonts w:hint="eastAsia"/>
        </w:rPr>
        <w:t>）</w:t>
      </w:r>
    </w:p>
    <w:p w:rsidR="00000000" w:rsidRDefault="00000000">
      <w:pPr>
        <w:pStyle w:val="DualTxt"/>
        <w:rPr>
          <w:rFonts w:ascii="长城楷体" w:eastAsia="长城楷体" w:hint="eastAsia"/>
        </w:rPr>
      </w:pPr>
      <w:r>
        <w:rPr>
          <w:rFonts w:hint="eastAsia"/>
        </w:rPr>
        <w:tab/>
      </w:r>
      <w:r>
        <w:rPr>
          <w:rFonts w:ascii="长城楷体" w:eastAsia="长城楷体" w:hint="eastAsia"/>
        </w:rPr>
        <w:t>安道尔的初次报告（续）（CEDAW/C/AND/1）</w:t>
      </w:r>
    </w:p>
    <w:p w:rsidR="00000000" w:rsidRDefault="00000000">
      <w:pPr>
        <w:pStyle w:val="DualTxt"/>
        <w:rPr>
          <w:rFonts w:hint="eastAsia"/>
        </w:rPr>
      </w:pPr>
      <w:r>
        <w:rPr>
          <w:rFonts w:hint="eastAsia"/>
        </w:rPr>
        <w:t>1．应主席邀请，安道尔代表团成员重返委员会议席就座。</w:t>
      </w:r>
    </w:p>
    <w:p w:rsidR="00000000" w:rsidRDefault="00000000">
      <w:pPr>
        <w:pStyle w:val="DualTxt"/>
        <w:spacing w:line="330" w:lineRule="exact"/>
        <w:rPr>
          <w:rFonts w:hint="eastAsia"/>
        </w:rPr>
      </w:pPr>
      <w:r>
        <w:rPr>
          <w:rFonts w:hint="eastAsia"/>
        </w:rPr>
        <w:t>2．</w:t>
      </w:r>
      <w:r>
        <w:rPr>
          <w:rFonts w:ascii="SimHei" w:eastAsia="SimHei" w:hint="eastAsia"/>
          <w:b/>
          <w:bCs/>
        </w:rPr>
        <w:t>G</w:t>
      </w:r>
      <w:r>
        <w:rPr>
          <w:rFonts w:ascii="SimHei" w:eastAsia="SimHei"/>
          <w:b/>
          <w:bCs/>
        </w:rPr>
        <w:t>abarre</w:t>
      </w:r>
      <w:r>
        <w:rPr>
          <w:rFonts w:ascii="SimHei" w:eastAsia="SimHei" w:hint="eastAsia"/>
        </w:rPr>
        <w:t>女士</w:t>
      </w:r>
      <w:r>
        <w:rPr>
          <w:rFonts w:hint="eastAsia"/>
        </w:rPr>
        <w:t>（安道尔）感谢委员会的支持和鼓励，她说安道尔代表团已注意到委员会所有的评论和建议，并希望让这些评论和建议发挥效用。她本人负责确保在关于下一四年期方案规划中考虑到委员会提出的问题。当前立法机关已于数月前开始工作，而她的部门，家庭事务部长办公室是五月才设立的。因此，要谈具体的行动计划还为时太早。家庭事务部将成为有关妇女处境和家庭结构问题的协调中心。不过，卫生和福利部仍将负责诸如有关单亲家庭的行动计划等活动，侧重于那些未获得粮食援助的家庭。她对于有关儿童保育机构法律的修正草案很感兴趣。家庭调解服务将予扩充，并将继续协助处境危险的家庭。此外，将继续进行关于收养法的工作。在未来数月期间，她的部门将就《北京行动纲要》和2000年6月在纽约举行的大会特别会议的建议进行详细的分析。</w:t>
      </w:r>
    </w:p>
    <w:p w:rsidR="00000000" w:rsidRDefault="00000000">
      <w:pPr>
        <w:pStyle w:val="DualTxt"/>
        <w:rPr>
          <w:rFonts w:hint="eastAsia"/>
        </w:rPr>
      </w:pPr>
      <w:r>
        <w:rPr>
          <w:rFonts w:hint="eastAsia"/>
        </w:rPr>
        <w:t>3．统计的问题不仅是缺乏按性别分类的数据，而且也没有收集数据的具体方案。第一个步骤就是于2000年6月设立安道尔研究所社会研究中心，其目标为研究安道尔社会。</w:t>
      </w:r>
    </w:p>
    <w:p w:rsidR="00000000" w:rsidRDefault="00000000">
      <w:pPr>
        <w:pStyle w:val="DualTxt"/>
        <w:rPr>
          <w:rFonts w:hint="eastAsia"/>
        </w:rPr>
      </w:pPr>
      <w:r>
        <w:rPr>
          <w:rFonts w:hint="eastAsia"/>
        </w:rPr>
        <w:t>4．她在答复关于批准国际文书的问题时说，安道尔代表团稍早引述的日期与文书在安道尔生效的日期相符。</w:t>
      </w:r>
    </w:p>
    <w:p w:rsidR="00000000" w:rsidRDefault="00000000">
      <w:pPr>
        <w:pStyle w:val="DualTxt"/>
      </w:pPr>
      <w:r>
        <w:rPr>
          <w:rFonts w:hint="eastAsia"/>
        </w:rPr>
        <w:t>5．《宪法》规定在安道尔合法居住的外国人可以自由行使《宪法》第三章内载的所有权利和自由。在紧急优先程序之下，法院保证《宪法》所规定的权利和自由得到保障。但该程序规定必须在30天内作出裁决。法律还规定在宪法法院之前的非常情况的宪法权利保护令程序，遇普通法院根据紧急优先程序撤消案件时，可予援引。根据性别的宪法无歧视原则也适用</w:t>
      </w:r>
    </w:p>
    <w:p w:rsidR="00000000" w:rsidRDefault="00000000">
      <w:pPr>
        <w:pStyle w:val="DualTxt"/>
        <w:rPr>
          <w:rFonts w:hint="eastAsia"/>
        </w:rPr>
      </w:pPr>
      <w:r>
        <w:rPr>
          <w:rFonts w:hint="eastAsia"/>
        </w:rPr>
        <w:t>于《宪法》第五章所载的经济、社会和文化权利。</w:t>
      </w:r>
    </w:p>
    <w:p w:rsidR="00000000" w:rsidRDefault="00000000">
      <w:pPr>
        <w:pStyle w:val="DualTxt"/>
        <w:rPr>
          <w:rFonts w:hint="eastAsia"/>
        </w:rPr>
      </w:pPr>
      <w:r>
        <w:rPr>
          <w:rFonts w:hint="eastAsia"/>
        </w:rPr>
        <w:t>6．关于雇主和工会是否意识到《公约》是直接具有约束力的问题，她说，安道尔加入为缔约国的各个人权条约和国际文书，在官方公报发表时即成为国内法律秩序的一部分，其内容于是具有约束力，而且国内法无法将之修订或撤销。至今普通法院或宪法法院都没有审理过性别歧视的案件，并且由于没有判例，无法举出适用的惩罚。</w:t>
      </w:r>
    </w:p>
    <w:p w:rsidR="00000000" w:rsidRDefault="00000000">
      <w:pPr>
        <w:pStyle w:val="DualTxt"/>
        <w:rPr>
          <w:rFonts w:hint="eastAsia"/>
        </w:rPr>
      </w:pPr>
      <w:r>
        <w:rPr>
          <w:rFonts w:hint="eastAsia"/>
        </w:rPr>
        <w:t>7．当安道尔代表团宣布安道尔政府于2001年7月签署公约的任择议定书时，该国代表团因忽略未曾指出它已经同时接受了对第20条第1款的修正案。</w:t>
      </w:r>
    </w:p>
    <w:p w:rsidR="00000000" w:rsidRDefault="00000000">
      <w:pPr>
        <w:pStyle w:val="DualTxt"/>
        <w:rPr>
          <w:rFonts w:hint="eastAsia"/>
        </w:rPr>
      </w:pPr>
      <w:r>
        <w:rPr>
          <w:rFonts w:hint="eastAsia"/>
        </w:rPr>
        <w:t>8．《宪法》第30条确认享有保健的权利，并且规定国家应当建立一套社会保障制度，这也是一项受到在《宪法》颁布之前就实行的1989年3月的一般保健法保障的权利。</w:t>
      </w:r>
    </w:p>
    <w:p w:rsidR="00000000" w:rsidRDefault="00000000">
      <w:pPr>
        <w:pStyle w:val="DualTxt"/>
        <w:rPr>
          <w:rFonts w:hint="eastAsia"/>
        </w:rPr>
      </w:pPr>
      <w:r>
        <w:rPr>
          <w:rFonts w:hint="eastAsia"/>
        </w:rPr>
        <w:t>9．卫生福利部非常努力地解决对妇女施加暴力的问题，2001年6月拟订的行动计划是密集的部会间活动的结果。该计划设想了鼓励妇女报告对她们施加暴力的行为以及起诉施暴者的通讯机制，并为所有处理暴力案件的人员制定程序机制。一般培训方案旨在增进所有这类人员的知识，提高他们的认识，此外还制定了关于警察、法官、保健工作人员、心理学家和社会工作人员的具体方案。此外，计划还规定拟定惩处施暴者的立法措施。目前尚未完全实施，将需要对初步成果作出评价，以便采取进一步措施，或于必要时修改现行措施。</w:t>
      </w:r>
    </w:p>
    <w:p w:rsidR="00000000" w:rsidRDefault="00000000">
      <w:pPr>
        <w:pStyle w:val="DualTxt"/>
        <w:rPr>
          <w:rFonts w:hint="eastAsia"/>
        </w:rPr>
      </w:pPr>
      <w:r>
        <w:rPr>
          <w:rFonts w:hint="eastAsia"/>
        </w:rPr>
        <w:t>10．安道尔严禁卖淫，刑法界定卖淫罪，并规定卖淫或教唆行动、帮助或促进卖淫处刑多达六年的囚禁。不过，由于卖淫是非法的，所以没有关于卖淫流行程度的统计，并且也非常难以取得官方数据。</w:t>
      </w:r>
    </w:p>
    <w:p w:rsidR="00000000" w:rsidRDefault="00000000">
      <w:pPr>
        <w:pStyle w:val="DualTxt"/>
        <w:rPr>
          <w:rFonts w:hint="eastAsia"/>
        </w:rPr>
      </w:pPr>
      <w:r>
        <w:rPr>
          <w:rFonts w:hint="eastAsia"/>
        </w:rPr>
        <w:t>11．现政府最近方上任，因此目前无法提供卫生福利部工作的详情。该部选择政府可提供财政支助的国家和国际项目，优先支持那些强调民间参与的项目，从而促进非政府组织同政府之间的合作。例如，在2001年，向安道尔移徒妇女协会提供资金，用于出版一本说明有关妇女的法律的小册子；并向安道尔妇女协会提供资金，用于发展法律援助、社会调解项目，以及参与妇女大会和会议、安道尔妇女协会曾经出版关于妇女现状和单亲家庭的研究报告，并且印制讨论诸如结婚、分居和离婚等对妇女很重要的法律问题的小册子。</w:t>
      </w:r>
    </w:p>
    <w:p w:rsidR="00000000" w:rsidRDefault="00000000">
      <w:pPr>
        <w:pStyle w:val="DualTxt"/>
        <w:rPr>
          <w:rFonts w:hint="eastAsia"/>
        </w:rPr>
      </w:pPr>
      <w:r>
        <w:rPr>
          <w:rFonts w:hint="eastAsia"/>
        </w:rPr>
        <w:t>12．安道尔的教育结构复杂但丰富。三种教育制度，安道尔、西班牙（宗教组织经营的和非宗教组织经营的）和法国教育制度分别由安道尔、西班牙和法国政府的教育部负责。安道尔政府同西班牙和法国政府签订各种协议，确保6岁至16岁的教育是免费和义务教育。这些协议允许安道尔在公国境内为所有儿童制定有关加泰罗尼亚语、安道尔历史、地理和公民课的方案，以逐渐灌输对基本权利和自由的尊重以及对民主理想、多样性、容忍和多元性的理解。由于法国和西班牙政府对其教育制度有单一管辖权，安道尔政府无法重写教科书。不过，这些政府的确采取措施来消除歧视性的定型观念。此外，安道尔政府向所有安道  教师提供义务培训方案，其中包括在人权和多样化原则方面的培训。</w:t>
      </w:r>
    </w:p>
    <w:p w:rsidR="00000000" w:rsidRDefault="00000000">
      <w:pPr>
        <w:pStyle w:val="DualTxt"/>
        <w:rPr>
          <w:rFonts w:hint="eastAsia"/>
        </w:rPr>
      </w:pPr>
      <w:r>
        <w:rPr>
          <w:rFonts w:hint="eastAsia"/>
        </w:rPr>
        <w:t>13．虽然在二十世纪初期，大多数安道尔女孩上天主教学校，现已大不相同。在1999年，上法国学校的女孩刚超过1 750人，而上西班牙、宗教组织经营（天主教）、西班牙（非宗教组织）经营以及安道尔学校的女孩各为900人左右。安道尔政府正为所有教育制度设立一个辅导中心。以协助青年人根据他们的技能和期望以及国家的需求来选择学校。希望这项措施将鼓励女孩选择不寻常的事业，特别是在技术领域内。在安道尔制度下，17名学校校长中有11名为妇女。</w:t>
      </w:r>
    </w:p>
    <w:p w:rsidR="00000000" w:rsidRDefault="00000000">
      <w:pPr>
        <w:pStyle w:val="DualTxt"/>
        <w:rPr>
          <w:rFonts w:hint="eastAsia"/>
        </w:rPr>
      </w:pPr>
      <w:r>
        <w:rPr>
          <w:rFonts w:hint="eastAsia"/>
        </w:rPr>
        <w:t>14．关于第11条，政府决心修订现行的《雇用规则》，这是司法和内政部内雇用部门的任务。家庭事务部长将密切注意该文件在所有涉及妇女问题上的修改。卫生福利部也有意修订《安道尔社会保障基金规则》，其中将包括国内工人的情况。</w:t>
      </w:r>
    </w:p>
    <w:p w:rsidR="00000000" w:rsidRDefault="00000000">
      <w:pPr>
        <w:pStyle w:val="DualTxt"/>
      </w:pPr>
    </w:p>
    <w:p w:rsidR="00000000" w:rsidRDefault="00000000">
      <w:pPr>
        <w:pStyle w:val="DualTxt"/>
      </w:pPr>
    </w:p>
    <w:p w:rsidR="00000000" w:rsidRDefault="00000000">
      <w:pPr>
        <w:pStyle w:val="DualTxt"/>
        <w:rPr>
          <w:rFonts w:hint="eastAsia"/>
        </w:rPr>
      </w:pPr>
      <w:r>
        <w:rPr>
          <w:rFonts w:hint="eastAsia"/>
        </w:rPr>
        <w:t>15．2001年6月，安道尔签署了《欧洲社会宪章》，规定各缔约国有义务执行若干条款，政府计划研究工资差别的根本原因以及审查按性别分类的工资和职业的数据。目前有一个工作组正就经济活动的多样化和扩充问题拟定新提案；在这方面，家庭事务部长将建议涉及妇女企业家的项目。</w:t>
      </w:r>
    </w:p>
    <w:p w:rsidR="00000000" w:rsidRDefault="00000000">
      <w:pPr>
        <w:pStyle w:val="DualTxt"/>
        <w:rPr>
          <w:rFonts w:hint="eastAsia"/>
        </w:rPr>
      </w:pPr>
      <w:r>
        <w:rPr>
          <w:rFonts w:hint="eastAsia"/>
        </w:rPr>
        <w:t>16．如配偶向社会保障计划缴款，则家庭妇女可获得法律规定的一切社会保障补助。</w:t>
      </w:r>
    </w:p>
    <w:p w:rsidR="00000000" w:rsidRDefault="00000000">
      <w:pPr>
        <w:pStyle w:val="DualTxt"/>
        <w:rPr>
          <w:rFonts w:hint="eastAsia"/>
        </w:rPr>
      </w:pPr>
      <w:r>
        <w:rPr>
          <w:rFonts w:hint="eastAsia"/>
        </w:rPr>
        <w:t>17．安道尔代表团要强调的是，它从未以体力差异来解释男女工资的差距。它指出，某些部门，诸如初级部门、建筑和汽车间，以男性占绝大多数，反映了安道尔社会根深蒂固的定型观念。</w:t>
      </w:r>
    </w:p>
    <w:p w:rsidR="00000000" w:rsidRDefault="00000000">
      <w:pPr>
        <w:pStyle w:val="DualTxt"/>
        <w:rPr>
          <w:rFonts w:hint="eastAsia"/>
        </w:rPr>
      </w:pPr>
      <w:r>
        <w:rPr>
          <w:rFonts w:hint="eastAsia"/>
        </w:rPr>
        <w:t>18．堕胎在安道尔是非法的。堕胎妇女最多可被监禁两年半，而堕胎医生最多可被监禁六年。安道尔没有这方面的官方统计，认为很难取得这种资料。她散发的演讲稿上有关于安道尔境内烟草和酒消费情况的图表。最后，安道尔妇女的精神问题包括沮丧、神经症和悲哀。</w:t>
      </w:r>
    </w:p>
    <w:p w:rsidR="00000000" w:rsidRDefault="00000000">
      <w:pPr>
        <w:pStyle w:val="DualTxt"/>
        <w:rPr>
          <w:rFonts w:hint="eastAsia"/>
        </w:rPr>
      </w:pPr>
      <w:r>
        <w:rPr>
          <w:rFonts w:hint="eastAsia"/>
        </w:rPr>
        <w:t>19．最后，她要重申安道尔政府对《公约》的信守以及对委员会工作的支持。</w:t>
      </w:r>
    </w:p>
    <w:p w:rsidR="00000000" w:rsidRDefault="00000000">
      <w:pPr>
        <w:pStyle w:val="DualTxt"/>
        <w:rPr>
          <w:rFonts w:hint="eastAsia"/>
        </w:rPr>
      </w:pPr>
      <w:r>
        <w:rPr>
          <w:rFonts w:hint="eastAsia"/>
        </w:rPr>
        <w:t>20．</w:t>
      </w:r>
      <w:r>
        <w:rPr>
          <w:rFonts w:ascii="SimHei" w:eastAsia="SimHei" w:hint="eastAsia"/>
        </w:rPr>
        <w:t>主席</w:t>
      </w:r>
      <w:r>
        <w:rPr>
          <w:rFonts w:hint="eastAsia"/>
        </w:rPr>
        <w:t>称赞安道尔签署《任择议定书》以及接受对《公约》第20条第1款的修正案。她感谢代表团的答复并注意到代表团答应稍后将提供进一步资料，最后，她希望下一份报告将载有按性别分类的充分的统计资料，让委员会能够客观地分析安道尔的情况。</w:t>
      </w:r>
    </w:p>
    <w:p w:rsidR="00000000" w:rsidRDefault="00000000">
      <w:pPr>
        <w:pStyle w:val="DualTxt"/>
        <w:rPr>
          <w:rFonts w:ascii="长城楷体" w:eastAsia="长城楷体" w:hint="eastAsia"/>
        </w:rPr>
      </w:pPr>
      <w:r>
        <w:rPr>
          <w:rFonts w:hint="eastAsia"/>
        </w:rPr>
        <w:tab/>
      </w:r>
      <w:r>
        <w:rPr>
          <w:rFonts w:ascii="长城楷体" w:eastAsia="长城楷体" w:hint="eastAsia"/>
        </w:rPr>
        <w:t>下午3时45分散会</w:t>
      </w:r>
    </w:p>
    <w:p w:rsidR="00000000" w:rsidRDefault="00000000">
      <w:pPr>
        <w:pStyle w:val="DualTxt"/>
        <w:rPr>
          <w:rFonts w:hint="eastAsia"/>
        </w:rPr>
      </w:pPr>
      <w:r>
        <w:rPr>
          <w:noProof/>
        </w:rPr>
        <w:pict>
          <v:line id="_x0000_s2050" style="position:absolute;left:0;text-align:left;z-index:1;mso-position-horizontal:center" from="0,30pt" to="1in,30pt" strokeweight=".25pt"/>
        </w:pict>
      </w:r>
    </w:p>
    <w:sectPr w:rsidR="00000000">
      <w:endnotePr>
        <w:numFmt w:val="decimal"/>
      </w:endnotePr>
      <w:type w:val="continuous"/>
      <w:pgSz w:w="12242" w:h="15842" w:code="1"/>
      <w:pgMar w:top="1742" w:right="1195" w:bottom="1898" w:left="1195" w:header="576" w:footer="1030" w:gutter="0"/>
      <w:cols w:num="2" w:space="240"/>
      <w:noEndnote/>
      <w:docGrid w:type="lines" w:linePitch="31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w:instrText>
      </w:r>
      <w:r>
        <w:rPr>
          <w:rFonts w:hint="eastAsia"/>
        </w:rPr>
        <w:instrText xml:space="preserve"> \# "'页：'#'</w:instrText>
      </w:r>
      <w:r>
        <w:rPr>
          <w:rFonts w:hint="eastAsia"/>
        </w:rPr>
        <w:br/>
        <w:instrText>'"</w:instrText>
      </w:r>
      <w:r>
        <w:rPr>
          <w:rStyle w:val="CommentReference"/>
        </w:rPr>
        <w:instrText xml:space="preserve">  </w:instrText>
      </w:r>
      <w:r>
        <w:fldChar w:fldCharType="separate"/>
      </w:r>
      <w:r>
        <w:rPr>
          <w:rFonts w:hint="eastAsia"/>
          <w:noProof/>
        </w:rPr>
        <w:t>页：</w:t>
      </w:r>
      <w:r>
        <w:rPr>
          <w:noProof/>
        </w:rPr>
        <w:t>1</w:t>
      </w:r>
      <w:r>
        <w:rPr>
          <w:rFonts w:hint="eastAsia"/>
          <w:noProof/>
        </w:rPr>
        <w:br/>
      </w:r>
      <w:r>
        <w:fldChar w:fldCharType="end"/>
      </w:r>
      <w:r>
        <w:rPr>
          <w:rStyle w:val="CommentReference"/>
          <w:rFonts w:hint="eastAsia"/>
        </w:rPr>
        <w:annotationRef/>
      </w:r>
      <w:r>
        <w:t>&lt;&lt;ODS JOB NO&gt;&gt;N0145588C&lt;&lt;ODS JOB NO&gt;&gt;</w:t>
      </w:r>
    </w:p>
    <w:p w:rsidR="00000000" w:rsidRDefault="00000000">
      <w:pPr>
        <w:pStyle w:val="CommentText"/>
      </w:pPr>
      <w:r>
        <w:t>&lt;&lt;ODS DOC SYMBOL1&gt;&gt;CEDAW/C/SR.523&lt;&lt;ODS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SimHei">
    <w:altName w:val="黑体"/>
    <w:panose1 w:val="02010609060101010101"/>
    <w:charset w:val="86"/>
    <w:family w:val="modern"/>
    <w:pitch w:val="fixed"/>
    <w:sig w:usb0="800002BF" w:usb1="38CF7CFA" w:usb2="00000016" w:usb3="00000000" w:csb0="00040001" w:csb1="00000000"/>
  </w:font>
  <w:font w:name="KaiTi_GB2312">
    <w:altName w:val="楷体_GB2312"/>
    <w:panose1 w:val="02010609060101010101"/>
    <w:charset w:val="86"/>
    <w:family w:val="modern"/>
    <w:pitch w:val="fixed"/>
    <w:sig w:usb0="00000001" w:usb1="080E0000" w:usb2="00000010" w:usb3="00000000" w:csb0="00040000" w:csb1="00000000"/>
  </w:font>
  <w:font w:name="Courier New">
    <w:panose1 w:val="02070309020205020404"/>
    <w:charset w:val="00"/>
    <w:family w:val="modern"/>
    <w:pitch w:val="fixed"/>
    <w:sig w:usb0="E0002AFF" w:usb1="C0007843" w:usb2="00000009" w:usb3="00000000" w:csb0="000001FF" w:csb1="00000000"/>
  </w:font>
  <w:font w:name="长城楷体">
    <w:charset w:val="86"/>
    <w:family w:val="modern"/>
    <w:pitch w:val="fixed"/>
    <w:sig w:usb0="00000001" w:usb1="080E0000" w:usb2="00000010" w:usb3="00000000" w:csb0="0004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4"/>
      <w:gridCol w:w="5034"/>
    </w:tblGrid>
    <w:tr w:rsidR="00000000">
      <w:tblPrEx>
        <w:tblCellMar>
          <w:top w:w="0" w:type="dxa"/>
          <w:bottom w:w="0" w:type="dxa"/>
        </w:tblCellMar>
      </w:tblPrEx>
      <w:tc>
        <w:tcPr>
          <w:tcW w:w="5034" w:type="dxa"/>
          <w:vAlign w:val="bottom"/>
        </w:tcPr>
        <w:p w:rsidR="00000000" w:rsidRDefault="00000000">
          <w:pPr>
            <w:pStyle w:val="Footer"/>
          </w:pPr>
          <w:r>
            <w:fldChar w:fldCharType="begin"/>
          </w:r>
          <w:r>
            <w:instrText xml:space="preserve"> PAGE  \* MERGEFORMAT </w:instrText>
          </w:r>
          <w:r>
            <w:fldChar w:fldCharType="separate"/>
          </w:r>
          <w:r>
            <w:t>2</w:t>
          </w:r>
          <w:r>
            <w:fldChar w:fldCharType="end"/>
          </w:r>
        </w:p>
      </w:tc>
      <w:tc>
        <w:tcPr>
          <w:tcW w:w="5034" w:type="dxa"/>
          <w:vAlign w:val="bottom"/>
        </w:tcPr>
        <w:p w:rsidR="00000000" w:rsidRDefault="00000000">
          <w:pPr>
            <w:pStyle w:val="Footer"/>
            <w:jc w:val="right"/>
          </w:pP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4"/>
      <w:gridCol w:w="5034"/>
    </w:tblGrid>
    <w:tr w:rsidR="00000000">
      <w:tblPrEx>
        <w:tblCellMar>
          <w:top w:w="0" w:type="dxa"/>
          <w:bottom w:w="0" w:type="dxa"/>
        </w:tblCellMar>
      </w:tblPrEx>
      <w:tc>
        <w:tcPr>
          <w:tcW w:w="5034" w:type="dxa"/>
          <w:vAlign w:val="bottom"/>
        </w:tcPr>
        <w:p w:rsidR="00000000" w:rsidRDefault="00000000">
          <w:pPr>
            <w:pStyle w:val="Footer"/>
          </w:pPr>
        </w:p>
      </w:tc>
      <w:tc>
        <w:tcPr>
          <w:tcW w:w="5034" w:type="dxa"/>
          <w:vAlign w:val="bottom"/>
        </w:tcPr>
        <w:p w:rsidR="00000000" w:rsidRDefault="00000000">
          <w:pPr>
            <w:pStyle w:val="Footer"/>
            <w:jc w:val="right"/>
          </w:pPr>
          <w:r>
            <w:fldChar w:fldCharType="begin"/>
          </w:r>
          <w:r>
            <w:instrText xml:space="preserve"> PAGE  \* MERGEFORMAT </w:instrText>
          </w:r>
          <w:r>
            <w:fldChar w:fldCharType="separate"/>
          </w:r>
          <w:r>
            <w:t>3</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p w:rsidR="00000000" w:rsidRDefault="00000000">
    <w:pPr>
      <w:pStyle w:val="Footer"/>
      <w:pBdr>
        <w:top w:val="single" w:sz="2" w:space="0" w:color="000000"/>
      </w:pBdr>
      <w:rPr>
        <w:sz w:val="2"/>
      </w:rPr>
    </w:pPr>
  </w:p>
  <w:p w:rsidR="00000000" w:rsidRDefault="00000000">
    <w:pPr>
      <w:pStyle w:val="FootnoteText"/>
      <w:spacing w:after="80" w:line="200" w:lineRule="exact"/>
      <w:ind w:left="1264" w:right="1264" w:firstLine="0"/>
      <w:rPr>
        <w:rFonts w:hint="eastAsia"/>
        <w:snapToGrid w:val="0"/>
        <w:spacing w:val="5"/>
        <w:w w:val="104"/>
        <w:sz w:val="17"/>
      </w:rPr>
    </w:pPr>
    <w:r>
      <w:rPr>
        <w:rFonts w:hint="eastAsia"/>
        <w:snapToGrid w:val="0"/>
        <w:spacing w:val="5"/>
        <w:w w:val="104"/>
        <w:sz w:val="17"/>
      </w:rPr>
      <w:t>本记录可以更正。</w:t>
    </w:r>
  </w:p>
  <w:p w:rsidR="00000000" w:rsidRDefault="00000000">
    <w:pPr>
      <w:pStyle w:val="FootnoteText"/>
      <w:spacing w:after="80" w:line="200" w:lineRule="exact"/>
      <w:ind w:left="1264" w:right="1264" w:firstLine="0"/>
      <w:rPr>
        <w:rFonts w:hint="eastAsia"/>
        <w:snapToGrid w:val="0"/>
        <w:spacing w:val="5"/>
        <w:w w:val="104"/>
        <w:sz w:val="17"/>
      </w:rPr>
    </w:pPr>
    <w:r>
      <w:rPr>
        <w:rFonts w:hint="eastAsia"/>
        <w:snapToGrid w:val="0"/>
        <w:spacing w:val="5"/>
        <w:w w:val="104"/>
        <w:sz w:val="17"/>
      </w:rPr>
      <w:t>各项更正应以一种工作语文提出。各项更正应在一份备忘录内列明，并填写在一份记录上。各项更正应</w:t>
    </w:r>
    <w:r>
      <w:rPr>
        <w:rFonts w:eastAsia="长城楷体" w:hint="eastAsia"/>
        <w:snapToGrid w:val="0"/>
        <w:spacing w:val="5"/>
        <w:w w:val="104"/>
        <w:sz w:val="17"/>
      </w:rPr>
      <w:t>在本文件印发日期后一个星期内</w:t>
    </w:r>
    <w:r>
      <w:rPr>
        <w:rFonts w:hint="eastAsia"/>
        <w:snapToGrid w:val="0"/>
        <w:spacing w:val="5"/>
        <w:w w:val="104"/>
        <w:sz w:val="17"/>
      </w:rPr>
      <w:t>送交正式记录编辑科科长（联合国广场</w:t>
    </w:r>
    <w:r>
      <w:rPr>
        <w:snapToGrid w:val="0"/>
        <w:spacing w:val="5"/>
        <w:w w:val="104"/>
        <w:sz w:val="17"/>
      </w:rPr>
      <w:t>2</w:t>
    </w:r>
    <w:r>
      <w:rPr>
        <w:rFonts w:hint="eastAsia"/>
        <w:snapToGrid w:val="0"/>
        <w:spacing w:val="5"/>
        <w:w w:val="104"/>
        <w:sz w:val="17"/>
      </w:rPr>
      <w:t>号</w:t>
    </w:r>
    <w:r>
      <w:rPr>
        <w:snapToGrid w:val="0"/>
        <w:spacing w:val="5"/>
        <w:w w:val="104"/>
        <w:sz w:val="17"/>
      </w:rPr>
      <w:t xml:space="preserve"> DC2-750</w:t>
    </w:r>
    <w:r>
      <w:rPr>
        <w:rFonts w:hint="eastAsia"/>
        <w:snapToGrid w:val="0"/>
        <w:spacing w:val="5"/>
        <w:w w:val="104"/>
        <w:sz w:val="17"/>
      </w:rPr>
      <w:t>室）。</w:t>
    </w:r>
  </w:p>
  <w:p w:rsidR="00000000" w:rsidRDefault="00000000">
    <w:pPr>
      <w:pStyle w:val="FootnoteText"/>
      <w:spacing w:after="80" w:line="200" w:lineRule="exact"/>
      <w:ind w:left="1264" w:right="1264" w:firstLine="0"/>
      <w:rPr>
        <w:rFonts w:hint="eastAsia"/>
        <w:snapToGrid w:val="0"/>
        <w:spacing w:val="5"/>
        <w:w w:val="104"/>
        <w:sz w:val="17"/>
      </w:rPr>
    </w:pPr>
    <w:r>
      <w:rPr>
        <w:rFonts w:hint="eastAsia"/>
        <w:snapToGrid w:val="0"/>
        <w:spacing w:val="5"/>
        <w:w w:val="104"/>
        <w:sz w:val="17"/>
      </w:rPr>
      <w:t>对本届会议各次会议记录的任何更正将并入一份更正汇编，于本届会议结束后不久印发。</w:t>
    </w:r>
  </w:p>
  <w:p w:rsidR="00000000" w:rsidRDefault="00000000">
    <w:pPr>
      <w:pStyle w:val="Footer"/>
      <w:rPr>
        <w:b w:val="0"/>
        <w:snapToGrid w:val="0"/>
        <w:w w:val="104"/>
        <w:sz w:val="21"/>
      </w:rPr>
    </w:pPr>
    <w:r>
      <w:rPr>
        <w:b w:val="0"/>
        <w:snapToGrid w:val="0"/>
        <w:w w:val="104"/>
        <w:sz w:val="21"/>
      </w:rPr>
      <w:t>01-45588 (C)</w:t>
    </w:r>
  </w:p>
  <w:p w:rsidR="00000000" w:rsidRDefault="00000000">
    <w:pPr>
      <w:pStyle w:val="Footer"/>
      <w:rPr>
        <w:rFonts w:hint="eastAsia"/>
        <w:b w:val="0"/>
        <w:snapToGrid w:val="0"/>
        <w:w w:val="104"/>
        <w:sz w:val="21"/>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sz w:val="20"/>
      </w:rPr>
      <w:pict>
        <v:shapetype id="_x0000_t202" coordsize="21600,21600" o:spt="202" path="m,l,21600r21600,l21600,xe">
          <v:stroke joinstyle="miter"/>
          <v:path gradientshapeok="t" o:connecttype="rect"/>
        </v:shapetype>
        <v:shape id="_x0000_s1026" type="#_x0000_t202" style="position:absolute;margin-left:-5.75pt;margin-top:0;width:7in;height:50.4pt;z-index:2"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vAlign w:val="bottom"/>
                    </w:tcPr>
                    <w:p w:rsidR="00000000" w:rsidRDefault="00000000">
                      <w:pPr>
                        <w:pStyle w:val="Header"/>
                        <w:spacing w:after="80"/>
                        <w:rPr>
                          <w:b/>
                          <w:sz w:val="17"/>
                        </w:rPr>
                      </w:pPr>
                      <w:r>
                        <w:rPr>
                          <w:b/>
                          <w:sz w:val="17"/>
                        </w:rPr>
                        <w:t>CEDAW/C/SR.523</w:t>
                      </w:r>
                    </w:p>
                  </w:tc>
                  <w:tc>
                    <w:tcPr>
                      <w:tcW w:w="5048" w:type="dxa"/>
                      <w:vAlign w:val="bottom"/>
                    </w:tcPr>
                    <w:p w:rsidR="00000000" w:rsidRDefault="00000000">
                      <w:pPr>
                        <w:pStyle w:val="Header"/>
                      </w:pPr>
                    </w:p>
                  </w:tc>
                </w:tr>
              </w:tbl>
              <w:p w:rsidR="00000000" w:rsidRDefault="00000000"/>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sz w:val="20"/>
      </w:rPr>
      <w:pict>
        <v:shapetype id="_x0000_t202" coordsize="21600,21600" o:spt="202" path="m,l,21600r21600,l21600,xe">
          <v:stroke joinstyle="miter"/>
          <v:path gradientshapeok="t" o:connecttype="rect"/>
        </v:shapetype>
        <v:shape id="_x0000_s1025" type="#_x0000_t202" style="position:absolute;margin-left:-5.75pt;margin-top:0;width:7in;height:50.4pt;z-index:1"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vAlign w:val="bottom"/>
                    </w:tcPr>
                    <w:p w:rsidR="00000000" w:rsidRDefault="00000000">
                      <w:pPr>
                        <w:pStyle w:val="Header"/>
                      </w:pPr>
                    </w:p>
                  </w:tc>
                  <w:tc>
                    <w:tcPr>
                      <w:tcW w:w="5048" w:type="dxa"/>
                      <w:vAlign w:val="bottom"/>
                    </w:tcPr>
                    <w:p w:rsidR="00000000" w:rsidRDefault="00000000">
                      <w:pPr>
                        <w:pStyle w:val="Header"/>
                        <w:spacing w:after="80"/>
                        <w:jc w:val="right"/>
                        <w:rPr>
                          <w:b/>
                          <w:sz w:val="17"/>
                        </w:rPr>
                      </w:pPr>
                      <w:r>
                        <w:rPr>
                          <w:b/>
                          <w:sz w:val="17"/>
                        </w:rPr>
                        <w:t>CEDAW/C/SR.523</w:t>
                      </w:r>
                    </w:p>
                  </w:tc>
                </w:tr>
              </w:tbl>
              <w:p w:rsidR="00000000" w:rsidRDefault="00000000"/>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000000">
      <w:tblPrEx>
        <w:tblCellMar>
          <w:top w:w="0" w:type="dxa"/>
          <w:bottom w:w="0" w:type="dxa"/>
        </w:tblCellMar>
      </w:tblPrEx>
      <w:trPr>
        <w:gridAfter w:val="1"/>
        <w:wAfter w:w="12" w:type="dxa"/>
        <w:trHeight w:hRule="exact" w:val="864"/>
      </w:trPr>
      <w:tc>
        <w:tcPr>
          <w:tcW w:w="1267" w:type="dxa"/>
          <w:tcBorders>
            <w:top w:val="nil"/>
            <w:left w:val="nil"/>
            <w:bottom w:val="single" w:sz="4" w:space="0" w:color="auto"/>
            <w:right w:val="nil"/>
          </w:tcBorders>
          <w:vAlign w:val="bottom"/>
        </w:tcPr>
        <w:p w:rsidR="00000000" w:rsidRDefault="00000000">
          <w:pPr>
            <w:pStyle w:val="Header"/>
            <w:spacing w:after="120"/>
          </w:pPr>
        </w:p>
      </w:tc>
      <w:tc>
        <w:tcPr>
          <w:tcW w:w="1872" w:type="dxa"/>
          <w:tcBorders>
            <w:top w:val="nil"/>
            <w:left w:val="nil"/>
            <w:bottom w:val="single" w:sz="4" w:space="0" w:color="auto"/>
            <w:right w:val="nil"/>
          </w:tcBorders>
          <w:vAlign w:val="bottom"/>
        </w:tcPr>
        <w:p w:rsidR="00000000" w:rsidRDefault="00000000">
          <w:pPr>
            <w:pStyle w:val="HCh"/>
            <w:spacing w:after="80"/>
            <w:rPr>
              <w:rFonts w:eastAsia="SimSun"/>
              <w:spacing w:val="40"/>
              <w:w w:val="96"/>
            </w:rPr>
          </w:pPr>
          <w:r>
            <w:rPr>
              <w:rFonts w:eastAsia="SimSun" w:hint="eastAsia"/>
              <w:spacing w:val="40"/>
              <w:w w:val="96"/>
            </w:rPr>
            <w:t>联合国</w:t>
          </w:r>
        </w:p>
      </w:tc>
      <w:tc>
        <w:tcPr>
          <w:tcW w:w="245" w:type="dxa"/>
          <w:tcBorders>
            <w:top w:val="nil"/>
            <w:left w:val="nil"/>
            <w:bottom w:val="single" w:sz="4" w:space="0" w:color="auto"/>
            <w:right w:val="nil"/>
          </w:tcBorders>
          <w:vAlign w:val="bottom"/>
        </w:tcPr>
        <w:p w:rsidR="00000000" w:rsidRDefault="00000000">
          <w:pPr>
            <w:pStyle w:val="Header"/>
            <w:spacing w:after="120"/>
          </w:pPr>
        </w:p>
      </w:tc>
      <w:tc>
        <w:tcPr>
          <w:tcW w:w="6523" w:type="dxa"/>
          <w:gridSpan w:val="3"/>
          <w:tcBorders>
            <w:top w:val="nil"/>
            <w:left w:val="nil"/>
            <w:bottom w:val="single" w:sz="4" w:space="0" w:color="auto"/>
            <w:right w:val="nil"/>
          </w:tcBorders>
          <w:vAlign w:val="bottom"/>
        </w:tcPr>
        <w:p w:rsidR="00000000" w:rsidRDefault="00000000">
          <w:pPr>
            <w:spacing w:after="80" w:line="240" w:lineRule="auto"/>
            <w:jc w:val="right"/>
            <w:rPr>
              <w:rFonts w:ascii="Times New Roman"/>
              <w:position w:val="-4"/>
              <w:sz w:val="20"/>
            </w:rPr>
          </w:pPr>
          <w:r>
            <w:rPr>
              <w:rFonts w:ascii="Times New Roman"/>
              <w:position w:val="-4"/>
              <w:sz w:val="40"/>
            </w:rPr>
            <w:t>CEDAW</w:t>
          </w:r>
          <w:r>
            <w:rPr>
              <w:rFonts w:ascii="Times New Roman"/>
              <w:position w:val="-4"/>
              <w:sz w:val="20"/>
            </w:rPr>
            <w:t>/C/SR.523</w:t>
          </w:r>
        </w:p>
      </w:tc>
    </w:tr>
    <w:tr w:rsidR="00000000">
      <w:tblPrEx>
        <w:tblCellMar>
          <w:top w:w="0" w:type="dxa"/>
          <w:bottom w:w="0" w:type="dxa"/>
        </w:tblCellMar>
      </w:tblPrEx>
      <w:trPr>
        <w:trHeight w:hRule="exact" w:val="2880"/>
      </w:trPr>
      <w:tc>
        <w:tcPr>
          <w:tcW w:w="1267" w:type="dxa"/>
          <w:tcBorders>
            <w:left w:val="nil"/>
            <w:bottom w:val="single" w:sz="12" w:space="0" w:color="auto"/>
            <w:right w:val="nil"/>
          </w:tcBorders>
        </w:tcPr>
        <w:p w:rsidR="00000000" w:rsidRDefault="00000000">
          <w:pPr>
            <w:pStyle w:val="Header"/>
            <w:spacing w:before="109"/>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7.25pt">
                <v:imagedata r:id="rId1" o:title="_unlogo"/>
              </v:shape>
            </w:pict>
          </w:r>
        </w:p>
        <w:p w:rsidR="00000000" w:rsidRDefault="00000000">
          <w:pPr>
            <w:pStyle w:val="Header"/>
            <w:spacing w:before="109"/>
            <w:ind w:left="-72"/>
          </w:pPr>
        </w:p>
      </w:tc>
      <w:tc>
        <w:tcPr>
          <w:tcW w:w="5227" w:type="dxa"/>
          <w:gridSpan w:val="3"/>
          <w:tcBorders>
            <w:left w:val="nil"/>
            <w:bottom w:val="single" w:sz="12" w:space="0" w:color="auto"/>
            <w:right w:val="nil"/>
          </w:tcBorders>
        </w:tcPr>
        <w:p w:rsidR="00000000" w:rsidRDefault="00000000">
          <w:pPr>
            <w:pStyle w:val="XLarge"/>
            <w:spacing w:before="109" w:after="140" w:line="400" w:lineRule="exact"/>
            <w:rPr>
              <w:sz w:val="34"/>
            </w:rPr>
          </w:pPr>
          <w:r>
            <w:rPr>
              <w:rFonts w:hint="eastAsia"/>
              <w:sz w:val="34"/>
            </w:rPr>
            <w:t>消除对妇女一切形式歧视公约</w:t>
          </w:r>
        </w:p>
      </w:tc>
      <w:tc>
        <w:tcPr>
          <w:tcW w:w="245" w:type="dxa"/>
          <w:tcBorders>
            <w:left w:val="nil"/>
            <w:bottom w:val="single" w:sz="12" w:space="0" w:color="auto"/>
            <w:right w:val="nil"/>
          </w:tcBorders>
        </w:tcPr>
        <w:p w:rsidR="00000000" w:rsidRDefault="00000000">
          <w:pPr>
            <w:pStyle w:val="Header"/>
            <w:spacing w:before="109"/>
          </w:pPr>
        </w:p>
      </w:tc>
      <w:tc>
        <w:tcPr>
          <w:tcW w:w="3180" w:type="dxa"/>
          <w:gridSpan w:val="2"/>
          <w:tcBorders>
            <w:left w:val="nil"/>
            <w:bottom w:val="single" w:sz="12" w:space="0" w:color="auto"/>
            <w:right w:val="nil"/>
          </w:tcBorders>
        </w:tcPr>
        <w:p w:rsidR="00000000" w:rsidRDefault="00000000">
          <w:pPr>
            <w:spacing w:before="240" w:line="240" w:lineRule="exact"/>
            <w:rPr>
              <w:rFonts w:ascii="Times New Roman"/>
            </w:rPr>
          </w:pPr>
          <w:r>
            <w:rPr>
              <w:rFonts w:ascii="Times New Roman"/>
            </w:rPr>
            <w:t>Distr.: General</w:t>
          </w:r>
        </w:p>
        <w:p w:rsidR="00000000" w:rsidRDefault="00000000">
          <w:pPr>
            <w:spacing w:line="240" w:lineRule="exact"/>
            <w:rPr>
              <w:rFonts w:ascii="Times New Roman"/>
            </w:rPr>
          </w:pPr>
          <w:r>
            <w:rPr>
              <w:rFonts w:ascii="Times New Roman"/>
            </w:rPr>
            <w:t>13 December 2001</w:t>
          </w:r>
        </w:p>
        <w:p w:rsidR="00000000" w:rsidRDefault="00000000">
          <w:pPr>
            <w:spacing w:line="240" w:lineRule="exact"/>
            <w:rPr>
              <w:rFonts w:ascii="Times New Roman"/>
            </w:rPr>
          </w:pPr>
          <w:r>
            <w:rPr>
              <w:rFonts w:ascii="Times New Roman"/>
            </w:rPr>
            <w:t>Chinese</w:t>
          </w:r>
        </w:p>
        <w:p w:rsidR="00000000" w:rsidRDefault="00000000">
          <w:pPr>
            <w:spacing w:line="240" w:lineRule="exact"/>
            <w:rPr>
              <w:rFonts w:ascii="Times New Roman"/>
            </w:rPr>
          </w:pPr>
          <w:r>
            <w:rPr>
              <w:rFonts w:ascii="Times New Roman"/>
            </w:rPr>
            <w:t>Original: English</w:t>
          </w:r>
        </w:p>
      </w:tc>
    </w:tr>
  </w:tbl>
  <w:p w:rsidR="00000000" w:rsidRDefault="00000000">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7DC4CBD"/>
    <w:multiLevelType w:val="multilevel"/>
    <w:tmpl w:val="77F44150"/>
    <w:lvl w:ilvl="0">
      <w:start w:val="1"/>
      <w:numFmt w:val="chineseCountingThousand"/>
      <w:pStyle w:val="Heading1"/>
      <w:suff w:val="nothing"/>
      <w:lvlText w:val="第%1章"/>
      <w:lvlJc w:val="left"/>
      <w:pPr>
        <w:ind w:left="0" w:firstLine="0"/>
      </w:pPr>
    </w:lvl>
    <w:lvl w:ilvl="1">
      <w:start w:val="1"/>
      <w:numFmt w:val="none"/>
      <w:pStyle w:val="Heading2"/>
      <w:suff w:val="nothing"/>
      <w:lvlText w:val=""/>
      <w:lvlJc w:val="left"/>
      <w:pPr>
        <w:ind w:left="0" w:firstLine="0"/>
      </w:pPr>
    </w:lvl>
    <w:lvl w:ilvl="2">
      <w:start w:val="1"/>
      <w:numFmt w:val="none"/>
      <w:pStyle w:val="Heading3"/>
      <w:suff w:val="nothing"/>
      <w:lvlText w:val=""/>
      <w:lvlJc w:val="left"/>
      <w:pPr>
        <w:ind w:left="0" w:firstLine="0"/>
      </w:pPr>
    </w:lvl>
    <w:lvl w:ilvl="3">
      <w:start w:val="1"/>
      <w:numFmt w:val="none"/>
      <w:pStyle w:val="Heading4"/>
      <w:suff w:val="nothing"/>
      <w:lvlText w:val=""/>
      <w:lvlJc w:val="left"/>
      <w:pPr>
        <w:ind w:left="0" w:firstLine="0"/>
      </w:pPr>
    </w:lvl>
    <w:lvl w:ilvl="4">
      <w:start w:val="1"/>
      <w:numFmt w:val="none"/>
      <w:pStyle w:val="Heading5"/>
      <w:suff w:val="nothing"/>
      <w:lvlText w:val=""/>
      <w:lvlJc w:val="left"/>
      <w:pPr>
        <w:ind w:left="0" w:firstLine="0"/>
      </w:pPr>
    </w:lvl>
    <w:lvl w:ilvl="5">
      <w:start w:val="1"/>
      <w:numFmt w:val="none"/>
      <w:pStyle w:val="Heading6"/>
      <w:suff w:val="nothing"/>
      <w:lvlText w:val=""/>
      <w:lvlJc w:val="left"/>
      <w:pPr>
        <w:ind w:left="0" w:firstLine="0"/>
      </w:pPr>
    </w:lvl>
    <w:lvl w:ilvl="6">
      <w:start w:val="1"/>
      <w:numFmt w:val="none"/>
      <w:pStyle w:val="Heading7"/>
      <w:suff w:val="nothing"/>
      <w:lvlText w:val=""/>
      <w:lvlJc w:val="left"/>
      <w:pPr>
        <w:ind w:left="0" w:firstLine="0"/>
      </w:pPr>
    </w:lvl>
    <w:lvl w:ilvl="7">
      <w:start w:val="1"/>
      <w:numFmt w:val="none"/>
      <w:pStyle w:val="Heading8"/>
      <w:suff w:val="nothing"/>
      <w:lvlText w:val=""/>
      <w:lvlJc w:val="left"/>
      <w:pPr>
        <w:ind w:left="0" w:firstLine="0"/>
      </w:pPr>
    </w:lvl>
    <w:lvl w:ilvl="8">
      <w:start w:val="1"/>
      <w:numFmt w:val="none"/>
      <w:pStyle w:val="Heading9"/>
      <w:suff w:val="nothing"/>
      <w:lvlText w:val=""/>
      <w:lvlJc w:val="left"/>
      <w:pPr>
        <w:ind w:left="0" w:firstLine="0"/>
      </w:pPr>
    </w:lvl>
  </w:abstractNum>
  <w:num w:numId="1">
    <w:abstractNumId w:val="0"/>
  </w:num>
  <w:num w:numId="2">
    <w:abstractNumId w:val="0"/>
  </w:num>
  <w:num w:numId="3">
    <w:abstractNumId w:val="0"/>
  </w:num>
  <w:num w:numId="4">
    <w:abstractNumId w:val="0"/>
  </w:num>
  <w:num w:numId="5">
    <w:abstractNumId w:val="0"/>
  </w:num>
  <w:num w:numId="6">
    <w:abstractNumId w:val="0"/>
  </w:num>
  <w:num w:numId="7">
    <w:abstractNumId w:val="0"/>
  </w:num>
  <w:num w:numId="8">
    <w:abstractNumId w:val="0"/>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hideSpellingErrors/>
  <w:hideGrammaticalErrors/>
  <w:activeWritingStyle w:appName="MSWord" w:lang="zh-CN" w:vendorID="64" w:dllVersion="131077" w:nlCheck="1" w:checkStyle="1"/>
  <w:doNotTrackMoves/>
  <w:defaultTabStop w:val="425"/>
  <w:evenAndOddHeaders/>
  <w:drawingGridHorizontalSpacing w:val="105"/>
  <w:drawingGridVerticalSpacing w:val="156"/>
  <w:displayHorizontalDrawingGridEvery w:val="0"/>
  <w:displayVerticalDrawingGridEvery w:val="2"/>
  <w:characterSpacingControl w:val="compressPunctuation"/>
  <w:hdrShapeDefaults>
    <o:shapedefaults v:ext="edit" spidmax="3074"/>
    <o:shapelayout v:ext="edit">
      <o:idmap v:ext="edit" data="1"/>
    </o:shapelayout>
  </w:hdrShapeDefaults>
  <w:footnotePr>
    <w:footnote w:id="-1"/>
    <w:footnote w:id="0"/>
  </w:footnotePr>
  <w:endnotePr>
    <w:pos w:val="sectEnd"/>
    <w:numFmt w:val="decimal"/>
    <w:endnote w:id="-1"/>
    <w:endnote w:id="0"/>
  </w:endnotePr>
  <w:compat>
    <w:spaceForUL/>
    <w:balanceSingleByteDoubleByteWidth/>
    <w:doNotLeaveBackslashAlone/>
    <w:ulTrailSpace/>
    <w:doNotExpandShiftReturn/>
    <w:printColBlack/>
    <w:showBreaksInFrames/>
    <w:suppressBottomSpacing/>
    <w:suppressTopSpacing/>
    <w:suppressSpBfAfterPgBrk/>
    <w:alignTablesRowByRow/>
    <w:adjustLineHeightInTable/>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13/12/2001 2:47: PM"/>
    <w:docVar w:name="DocCategory" w:val="SROthers"/>
    <w:docVar w:name="DocType" w:val="Final"/>
    <w:docVar w:name="JobNo" w:val="0145588C"/>
    <w:docVar w:name="OandT" w:val="wang c.m."/>
    <w:docVar w:name="Symbol1" w:val="CEDAW/C/SR.523"/>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line="320" w:lineRule="exact"/>
    </w:pPr>
    <w:rPr>
      <w:rFonts w:ascii="SimSun"/>
      <w:kern w:val="14"/>
      <w:sz w:val="21"/>
      <w:lang w:val="en-US" w:eastAsia="zh-CN"/>
    </w:rPr>
  </w:style>
  <w:style w:type="paragraph" w:styleId="Heading1">
    <w:name w:val="heading 1"/>
    <w:basedOn w:val="Normal"/>
    <w:next w:val="Normal"/>
    <w:qFormat/>
    <w:pPr>
      <w:keepNext/>
      <w:keepLines/>
      <w:numPr>
        <w:numId w:val="1"/>
      </w:numPr>
      <w:spacing w:before="340" w:after="330" w:line="578" w:lineRule="atLeast"/>
      <w:outlineLvl w:val="0"/>
    </w:pPr>
    <w:rPr>
      <w:b/>
      <w:bCs/>
      <w:kern w:val="44"/>
      <w:sz w:val="44"/>
      <w:szCs w:val="44"/>
    </w:rPr>
  </w:style>
  <w:style w:type="paragraph" w:styleId="Heading2">
    <w:name w:val="heading 2"/>
    <w:basedOn w:val="Normal"/>
    <w:next w:val="Normal"/>
    <w:qFormat/>
    <w:pPr>
      <w:keepNext/>
      <w:keepLines/>
      <w:numPr>
        <w:ilvl w:val="1"/>
        <w:numId w:val="2"/>
      </w:numPr>
      <w:spacing w:before="260" w:after="260" w:line="416" w:lineRule="atLeast"/>
      <w:outlineLvl w:val="1"/>
    </w:pPr>
    <w:rPr>
      <w:rFonts w:ascii="Arial" w:eastAsia="SimHei" w:hAnsi="Arial"/>
      <w:b/>
      <w:bCs/>
      <w:sz w:val="32"/>
      <w:szCs w:val="32"/>
    </w:rPr>
  </w:style>
  <w:style w:type="paragraph" w:styleId="Heading3">
    <w:name w:val="heading 3"/>
    <w:basedOn w:val="Normal"/>
    <w:next w:val="Normal"/>
    <w:qFormat/>
    <w:pPr>
      <w:keepNext/>
      <w:keepLines/>
      <w:numPr>
        <w:ilvl w:val="2"/>
        <w:numId w:val="3"/>
      </w:numPr>
      <w:spacing w:before="260" w:after="260" w:line="416" w:lineRule="atLeast"/>
      <w:outlineLvl w:val="2"/>
    </w:pPr>
    <w:rPr>
      <w:b/>
      <w:bCs/>
      <w:sz w:val="32"/>
      <w:szCs w:val="32"/>
    </w:rPr>
  </w:style>
  <w:style w:type="paragraph" w:styleId="Heading4">
    <w:name w:val="heading 4"/>
    <w:basedOn w:val="Normal"/>
    <w:next w:val="Normal"/>
    <w:qFormat/>
    <w:pPr>
      <w:keepNext/>
      <w:keepLines/>
      <w:numPr>
        <w:ilvl w:val="3"/>
        <w:numId w:val="4"/>
      </w:numPr>
      <w:spacing w:before="280" w:after="290" w:line="376" w:lineRule="atLeast"/>
      <w:outlineLvl w:val="3"/>
    </w:pPr>
    <w:rPr>
      <w:rFonts w:ascii="Arial" w:eastAsia="SimHei" w:hAnsi="Arial"/>
      <w:b/>
      <w:bCs/>
      <w:sz w:val="28"/>
      <w:szCs w:val="28"/>
    </w:rPr>
  </w:style>
  <w:style w:type="paragraph" w:styleId="Heading5">
    <w:name w:val="heading 5"/>
    <w:basedOn w:val="Normal"/>
    <w:next w:val="Normal"/>
    <w:qFormat/>
    <w:pPr>
      <w:keepNext/>
      <w:keepLines/>
      <w:numPr>
        <w:ilvl w:val="4"/>
        <w:numId w:val="5"/>
      </w:numPr>
      <w:spacing w:before="280" w:after="290" w:line="376" w:lineRule="atLeast"/>
      <w:outlineLvl w:val="4"/>
    </w:pPr>
    <w:rPr>
      <w:b/>
      <w:bCs/>
      <w:sz w:val="28"/>
      <w:szCs w:val="28"/>
    </w:rPr>
  </w:style>
  <w:style w:type="paragraph" w:styleId="Heading6">
    <w:name w:val="heading 6"/>
    <w:basedOn w:val="Normal"/>
    <w:next w:val="Normal"/>
    <w:qFormat/>
    <w:pPr>
      <w:keepNext/>
      <w:keepLines/>
      <w:numPr>
        <w:ilvl w:val="5"/>
        <w:numId w:val="6"/>
      </w:numPr>
      <w:spacing w:before="240" w:after="64" w:line="320" w:lineRule="atLeast"/>
      <w:outlineLvl w:val="5"/>
    </w:pPr>
    <w:rPr>
      <w:rFonts w:ascii="Arial" w:eastAsia="SimHei" w:hAnsi="Arial"/>
      <w:b/>
      <w:bCs/>
      <w:sz w:val="24"/>
    </w:rPr>
  </w:style>
  <w:style w:type="paragraph" w:styleId="Heading7">
    <w:name w:val="heading 7"/>
    <w:basedOn w:val="Normal"/>
    <w:next w:val="Normal"/>
    <w:qFormat/>
    <w:pPr>
      <w:keepNext/>
      <w:keepLines/>
      <w:numPr>
        <w:ilvl w:val="6"/>
        <w:numId w:val="7"/>
      </w:numPr>
      <w:spacing w:before="240" w:after="64" w:line="320" w:lineRule="atLeast"/>
      <w:outlineLvl w:val="6"/>
    </w:pPr>
    <w:rPr>
      <w:b/>
      <w:bCs/>
      <w:sz w:val="24"/>
    </w:rPr>
  </w:style>
  <w:style w:type="paragraph" w:styleId="Heading8">
    <w:name w:val="heading 8"/>
    <w:basedOn w:val="Normal"/>
    <w:next w:val="Normal"/>
    <w:qFormat/>
    <w:pPr>
      <w:keepNext/>
      <w:keepLines/>
      <w:numPr>
        <w:ilvl w:val="7"/>
        <w:numId w:val="8"/>
      </w:numPr>
      <w:spacing w:before="240" w:after="64" w:line="320" w:lineRule="atLeast"/>
      <w:outlineLvl w:val="7"/>
    </w:pPr>
    <w:rPr>
      <w:rFonts w:ascii="Arial" w:eastAsia="SimHei" w:hAnsi="Arial"/>
      <w:sz w:val="24"/>
    </w:rPr>
  </w:style>
  <w:style w:type="paragraph" w:styleId="Heading9">
    <w:name w:val="heading 9"/>
    <w:basedOn w:val="Normal"/>
    <w:next w:val="Normal"/>
    <w:qFormat/>
    <w:pPr>
      <w:keepNext/>
      <w:keepLines/>
      <w:numPr>
        <w:ilvl w:val="8"/>
        <w:numId w:val="9"/>
      </w:numPr>
      <w:spacing w:before="240" w:after="64" w:line="320" w:lineRule="atLeast"/>
      <w:outlineLvl w:val="8"/>
    </w:pPr>
    <w:rPr>
      <w:rFonts w:ascii="Arial" w:eastAsia="SimHei" w:hAnsi="Arial"/>
      <w:szCs w:val="21"/>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Normal"/>
    <w:pPr>
      <w:keepNext/>
      <w:keepLines/>
      <w:suppressAutoHyphens/>
      <w:outlineLvl w:val="0"/>
    </w:pPr>
    <w:rPr>
      <w:rFonts w:ascii="SimHei" w:eastAsia="SimHei"/>
      <w:color w:val="FF0000"/>
      <w:sz w:val="24"/>
    </w:rPr>
  </w:style>
  <w:style w:type="paragraph" w:customStyle="1" w:styleId="HCh">
    <w:name w:val="_ H _Ch"/>
    <w:basedOn w:val="H1"/>
    <w:next w:val="Normal"/>
    <w:pPr>
      <w:tabs>
        <w:tab w:val="left" w:pos="57"/>
      </w:tabs>
      <w:spacing w:line="400" w:lineRule="exact"/>
    </w:pPr>
    <w:rPr>
      <w:sz w:val="28"/>
    </w:rPr>
  </w:style>
  <w:style w:type="paragraph" w:customStyle="1" w:styleId="HM">
    <w:name w:val="_ H __M"/>
    <w:basedOn w:val="HCh"/>
    <w:next w:val="Normal"/>
    <w:rPr>
      <w:sz w:val="34"/>
    </w:rPr>
  </w:style>
  <w:style w:type="paragraph" w:customStyle="1" w:styleId="H23">
    <w:name w:val="_ H_2/3"/>
    <w:basedOn w:val="Normal"/>
    <w:next w:val="Normal"/>
    <w:pPr>
      <w:outlineLvl w:val="1"/>
    </w:pPr>
    <w:rPr>
      <w:rFonts w:ascii="SimHei" w:eastAsia="SimHei"/>
      <w:color w:val="FF0000"/>
      <w:spacing w:val="2"/>
    </w:rPr>
  </w:style>
  <w:style w:type="paragraph" w:customStyle="1" w:styleId="H4">
    <w:name w:val="_ H_4"/>
    <w:basedOn w:val="Normal"/>
    <w:next w:val="Normal"/>
    <w:pPr>
      <w:keepNext/>
      <w:keepLines/>
      <w:tabs>
        <w:tab w:val="left" w:pos="431"/>
      </w:tabs>
      <w:suppressAutoHyphens/>
      <w:outlineLvl w:val="3"/>
    </w:pPr>
    <w:rPr>
      <w:rFonts w:ascii="KaiTi_GB2312" w:eastAsia="KaiTi_GB2312"/>
      <w:noProof/>
      <w:color w:val="0000FF"/>
      <w:spacing w:val="3"/>
      <w:w w:val="103"/>
    </w:rPr>
  </w:style>
  <w:style w:type="paragraph" w:customStyle="1" w:styleId="H56">
    <w:name w:val="_ H_5/6"/>
    <w:basedOn w:val="Normal"/>
    <w:next w:val="Normal"/>
    <w:pPr>
      <w:keepNext/>
      <w:keepLines/>
      <w:tabs>
        <w:tab w:val="right" w:pos="360"/>
      </w:tabs>
      <w:suppressAutoHyphens/>
      <w:outlineLvl w:val="4"/>
    </w:pPr>
    <w:rPr>
      <w:noProof/>
      <w:spacing w:val="4"/>
      <w:w w:val="103"/>
    </w:rPr>
  </w:style>
  <w:style w:type="paragraph" w:customStyle="1" w:styleId="DualTxt">
    <w:name w:val="__Dual Txt"/>
    <w:basedOn w:val="Normal"/>
    <w:pPr>
      <w:tabs>
        <w:tab w:val="left" w:pos="432"/>
        <w:tab w:val="left" w:pos="864"/>
        <w:tab w:val="left" w:pos="1293"/>
        <w:tab w:val="left" w:pos="1724"/>
        <w:tab w:val="left" w:pos="2155"/>
        <w:tab w:val="left" w:pos="2586"/>
      </w:tabs>
      <w:spacing w:after="140"/>
      <w:jc w:val="both"/>
    </w:pPr>
  </w:style>
  <w:style w:type="paragraph" w:customStyle="1" w:styleId="SM">
    <w:name w:val="__S_M"/>
    <w:basedOn w:val="Normal"/>
    <w:next w:val="Normal"/>
    <w:pPr>
      <w:keepNext/>
      <w:keepLines/>
      <w:tabs>
        <w:tab w:val="right" w:leader="dot" w:pos="360"/>
      </w:tabs>
      <w:suppressAutoHyphens/>
      <w:spacing w:line="500" w:lineRule="exact"/>
      <w:ind w:left="1264" w:right="1264"/>
      <w:outlineLvl w:val="0"/>
    </w:pPr>
    <w:rPr>
      <w:rFonts w:ascii="SimHei" w:eastAsia="SimHei"/>
      <w:noProof/>
      <w:color w:val="FF0000"/>
      <w:spacing w:val="-4"/>
      <w:w w:val="98"/>
      <w:sz w:val="40"/>
    </w:rPr>
  </w:style>
  <w:style w:type="paragraph" w:customStyle="1" w:styleId="SL">
    <w:name w:val="__S_L"/>
    <w:basedOn w:val="SM"/>
    <w:next w:val="Normal"/>
    <w:pPr>
      <w:spacing w:line="640" w:lineRule="exact"/>
    </w:pPr>
    <w:rPr>
      <w:spacing w:val="-8"/>
      <w:w w:val="96"/>
      <w:sz w:val="57"/>
    </w:rPr>
  </w:style>
  <w:style w:type="paragraph" w:customStyle="1" w:styleId="SS">
    <w:name w:val="__S_S"/>
    <w:basedOn w:val="HCh"/>
    <w:next w:val="Normal"/>
    <w:pPr>
      <w:ind w:left="1264" w:right="1264"/>
    </w:pPr>
  </w:style>
  <w:style w:type="paragraph" w:customStyle="1" w:styleId="SingleTxt">
    <w:name w:val="__Single Txt"/>
    <w:basedOn w:val="Normal"/>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jc w:val="both"/>
    </w:pPr>
  </w:style>
  <w:style w:type="paragraph" w:customStyle="1" w:styleId="Small">
    <w:name w:val="Small"/>
    <w:basedOn w:val="Normal"/>
    <w:next w:val="Normal"/>
    <w:pPr>
      <w:tabs>
        <w:tab w:val="right" w:pos="9965"/>
      </w:tabs>
      <w:spacing w:line="210" w:lineRule="exact"/>
    </w:pPr>
    <w:rPr>
      <w:noProof/>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z w:val="40"/>
    </w:rPr>
  </w:style>
  <w:style w:type="character" w:styleId="FootnoteReference">
    <w:name w:val="footnote reference"/>
    <w:semiHidden/>
    <w:rPr>
      <w:color w:val="FF00FF"/>
      <w:spacing w:val="0"/>
      <w:w w:val="150"/>
      <w:position w:val="0"/>
      <w:vertAlign w:val="superscript"/>
    </w:rPr>
  </w:style>
  <w:style w:type="character" w:styleId="EndnoteReference">
    <w:name w:val="endnote reference"/>
    <w:basedOn w:val="FootnoteReference"/>
    <w:semiHidden/>
    <w:rPr>
      <w:color w:val="FF00FF"/>
      <w:spacing w:val="0"/>
      <w:w w:val="150"/>
      <w:position w:val="0"/>
      <w:vertAlign w:val="superscript"/>
    </w:rPr>
  </w:style>
  <w:style w:type="paragraph" w:styleId="FootnoteText">
    <w:name w:val="footnote text"/>
    <w:basedOn w:val="Normal"/>
    <w:semiHidden/>
    <w:pPr>
      <w:tabs>
        <w:tab w:val="right" w:pos="418"/>
      </w:tabs>
      <w:spacing w:after="120" w:line="240" w:lineRule="exact"/>
      <w:ind w:left="170" w:hanging="170"/>
    </w:pPr>
    <w:rPr>
      <w:noProof/>
      <w:sz w:val="18"/>
    </w:rPr>
  </w:style>
  <w:style w:type="paragraph" w:styleId="EndnoteText">
    <w:name w:val="endnote text"/>
    <w:basedOn w:val="FootnoteText"/>
    <w:semiHidden/>
  </w:style>
  <w:style w:type="character" w:styleId="CommentReference">
    <w:name w:val="annotation reference"/>
    <w:semiHidden/>
    <w:rPr>
      <w:sz w:val="6"/>
    </w:rPr>
  </w:style>
  <w:style w:type="paragraph" w:styleId="PlainText">
    <w:name w:val="Plain Text"/>
    <w:basedOn w:val="Normal"/>
    <w:semiHidden/>
    <w:pPr>
      <w:tabs>
        <w:tab w:val="left" w:pos="431"/>
      </w:tabs>
      <w:spacing w:after="140"/>
    </w:pPr>
    <w:rPr>
      <w:rFonts w:hAnsi="Courier New" w:cs="Courier New"/>
      <w:szCs w:val="21"/>
    </w:rPr>
  </w:style>
  <w:style w:type="paragraph" w:styleId="NormalIndent">
    <w:name w:val="Normal Indent"/>
    <w:basedOn w:val="Normal"/>
    <w:semiHidden/>
    <w:pPr>
      <w:ind w:firstLine="431"/>
    </w:pPr>
  </w:style>
  <w:style w:type="paragraph" w:styleId="BodyText">
    <w:name w:val="Body Text"/>
    <w:basedOn w:val="Normal"/>
    <w:semiHidden/>
  </w:style>
  <w:style w:type="paragraph" w:styleId="BodyText2">
    <w:name w:val="Body Text 2"/>
    <w:basedOn w:val="Normal"/>
    <w:semiHidden/>
  </w:style>
  <w:style w:type="character" w:styleId="LineNumber">
    <w:name w:val="line number"/>
    <w:semiHidden/>
    <w:rPr>
      <w:sz w:val="14"/>
    </w:rPr>
  </w:style>
  <w:style w:type="paragraph" w:styleId="Header">
    <w:name w:val="header"/>
    <w:semiHidden/>
    <w:pPr>
      <w:tabs>
        <w:tab w:val="center" w:pos="4320"/>
        <w:tab w:val="right" w:pos="8640"/>
      </w:tabs>
    </w:pPr>
    <w:rPr>
      <w:noProof/>
      <w:sz w:val="18"/>
      <w:lang w:val="en-US" w:eastAsia="zh-CN"/>
    </w:rPr>
  </w:style>
  <w:style w:type="paragraph" w:styleId="Footer">
    <w:name w:val="footer"/>
    <w:semiHidden/>
    <w:pPr>
      <w:tabs>
        <w:tab w:val="center" w:pos="4320"/>
        <w:tab w:val="right" w:pos="8640"/>
      </w:tabs>
    </w:pPr>
    <w:rPr>
      <w:b/>
      <w:noProof/>
      <w:sz w:val="17"/>
      <w:lang w:val="en-US" w:eastAsia="zh-CN"/>
    </w:rPr>
  </w:style>
  <w:style w:type="paragraph" w:styleId="CommentText">
    <w:name w:val="annotation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199</TotalTime>
  <Pages>1</Pages>
  <Words>421</Words>
  <Characters>2404</Characters>
  <Application>Microsoft Office Word</Application>
  <DocSecurity>4</DocSecurity>
  <Lines>20</Lines>
  <Paragraphs>4</Paragraphs>
  <ScaleCrop>false</ScaleCrop>
  <HeadingPairs>
    <vt:vector size="2" baseType="variant">
      <vt:variant>
        <vt:lpstr>题目</vt:lpstr>
      </vt:variant>
      <vt:variant>
        <vt:i4>1</vt:i4>
      </vt:variant>
    </vt:vector>
  </HeadingPairs>
  <TitlesOfParts>
    <vt:vector size="1" baseType="lpstr">
      <vt:lpstr> </vt:lpstr>
    </vt:vector>
  </TitlesOfParts>
  <Company>United Nations</Company>
  <LinksUpToDate>false</LinksUpToDate>
  <CharactersWithSpaces>2952</CharactersWithSpaces>
  <SharedDoc>false</SharedDoc>
  <HLinks>
    <vt:vector size="6" baseType="variant">
      <vt:variant>
        <vt:i4>4522087</vt:i4>
      </vt:variant>
      <vt:variant>
        <vt:i4>7038</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DGAACS</dc:creator>
  <cp:keywords/>
  <dc:description/>
  <cp:lastModifiedBy>DGAACS</cp:lastModifiedBy>
  <cp:revision>10</cp:revision>
  <cp:lastPrinted>2001-12-13T16:59:00Z</cp:lastPrinted>
  <dcterms:created xsi:type="dcterms:W3CDTF">2001-12-13T13:47:00Z</dcterms:created>
  <dcterms:modified xsi:type="dcterms:W3CDTF">2001-12-13T17:06:00Z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0145588</vt:lpwstr>
  </property>
  <property fmtid="{D5CDD505-2E9C-101B-9397-08002B2CF9AE}" pid="3" name="Symbol1">
    <vt:lpwstr>CEDAW/C/SR.523</vt:lpwstr>
  </property>
  <property fmtid="{D5CDD505-2E9C-101B-9397-08002B2CF9AE}" pid="4" name="Symbol2">
    <vt:lpwstr/>
  </property>
  <property fmtid="{D5CDD505-2E9C-101B-9397-08002B2CF9AE}" pid="5" name="Translator">
    <vt:lpwstr/>
  </property>
  <property fmtid="{D5CDD505-2E9C-101B-9397-08002B2CF9AE}" pid="6" name="Operator">
    <vt:lpwstr>wang c.m.</vt:lpwstr>
  </property>
  <property fmtid="{D5CDD505-2E9C-101B-9397-08002B2CF9AE}" pid="7" name="DraftPages">
    <vt:lpwstr> </vt:lpwstr>
  </property>
  <property fmtid="{D5CDD505-2E9C-101B-9397-08002B2CF9AE}" pid="8" name="Comment">
    <vt:lpwstr/>
  </property>
</Properties>
</file>