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spacing w:line="240" w:lineRule="exact"/>
      </w:pPr>
      <w:r>
        <w:t>Комитет по ликвидации дискриминации</w:t>
      </w:r>
    </w:p>
    <w:p w:rsidR="00000000" w:rsidRDefault="00000000">
      <w:pPr>
        <w:pStyle w:val="H1"/>
        <w:spacing w:line="240" w:lineRule="exact"/>
      </w:pPr>
      <w:r>
        <w:t>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rPr>
      </w:pPr>
    </w:p>
    <w:p w:rsidR="00000000" w:rsidRDefault="00000000">
      <w:pPr>
        <w:pStyle w:val="SingleTxt"/>
        <w:spacing w:after="0" w:line="12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Рассмотрение докладов, представленных государствами-участниками в соответствии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со статьей 18 Конвенции о ликвидации всех</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форм дискриминации в отношении женщин</w:t>
      </w:r>
    </w:p>
    <w:p w:rsidR="00000000" w:rsidRDefault="00000000">
      <w:pPr>
        <w:spacing w:line="300" w:lineRule="exact"/>
      </w:pPr>
    </w:p>
    <w:p w:rsidR="00000000" w:rsidRDefault="00000000">
      <w:pPr>
        <w:pStyle w:val="H1"/>
        <w:tabs>
          <w:tab w:val="left" w:pos="475"/>
          <w:tab w:val="left" w:pos="1022"/>
          <w:tab w:val="left" w:pos="1267"/>
          <w:tab w:val="left" w:pos="1742"/>
        </w:tabs>
        <w:spacing w:line="240" w:lineRule="exact"/>
      </w:pPr>
      <w:r>
        <w:tab/>
      </w:r>
      <w:r>
        <w:tab/>
      </w:r>
      <w:r>
        <w:tab/>
        <w:t>Объединенные третий и четвертый периодические доклады</w:t>
      </w:r>
    </w:p>
    <w:p w:rsidR="00000000" w:rsidRDefault="00000000">
      <w:pPr>
        <w:pStyle w:val="H1"/>
        <w:tabs>
          <w:tab w:val="left" w:pos="475"/>
          <w:tab w:val="left" w:pos="1022"/>
          <w:tab w:val="left" w:pos="1267"/>
          <w:tab w:val="left" w:pos="1742"/>
        </w:tabs>
        <w:spacing w:line="240" w:lineRule="exact"/>
      </w:pPr>
      <w:r>
        <w:tab/>
      </w:r>
      <w:r>
        <w:tab/>
      </w:r>
      <w:r>
        <w:tab/>
        <w:t>государств-участников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rPr>
          <w:spacing w:val="4"/>
          <w:sz w:val="24"/>
        </w:rPr>
        <w:tab/>
      </w:r>
      <w:r>
        <w:rPr>
          <w:spacing w:val="4"/>
          <w:sz w:val="24"/>
        </w:rPr>
        <w:tab/>
        <w:t>Парагвай</w:t>
      </w:r>
      <w:r>
        <w:rPr>
          <w:rStyle w:val="FootnoteReference"/>
          <w:b w:val="0"/>
        </w:rPr>
        <w:footnoteReference w:customMarkFollows="1" w:id="1"/>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line="480" w:lineRule="auto"/>
        <w:jc w:val="center"/>
      </w:pPr>
      <w:r>
        <w:br w:type="page"/>
      </w: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pP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pP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pP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pP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rPr>
          <w:b/>
          <w:sz w:val="28"/>
        </w:rPr>
      </w:pPr>
      <w:r>
        <w:rPr>
          <w:b/>
          <w:sz w:val="28"/>
        </w:rPr>
        <w:t xml:space="preserve">ОБ ОСУЩЕСТВЛЕНИИ ПРАВИТЕЛЬСТВОМ ПАРАГВАЯ КОНВЕНЦИИ О ЛИКВИДАЦИИ ВСЕХ ФОРМ ДИСКРИМИНАЦИИ В ОТНОШЕНИИ ЖЕНЩИН (КЛДЖ, 1979 ГОД) ОРГАНИЗАЦИИ ОБЪЕДИНЕННЫХ НАЦИЙ </w:t>
      </w: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rPr>
          <w:b/>
          <w:sz w:val="28"/>
        </w:rPr>
      </w:pPr>
      <w:r>
        <w:rPr>
          <w:b/>
          <w:sz w:val="28"/>
        </w:rPr>
        <w:t>ПО СОСТОЯНИЮ НА МАЙ 2000 ГОДА</w:t>
      </w: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rPr>
          <w:b/>
          <w:sz w:val="28"/>
        </w:rPr>
      </w:pP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rPr>
          <w:b/>
          <w:sz w:val="28"/>
        </w:rPr>
      </w:pP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rPr>
          <w:b/>
          <w:sz w:val="28"/>
        </w:rPr>
      </w:pP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rPr>
          <w:b/>
          <w:sz w:val="28"/>
        </w:rPr>
      </w:pP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rPr>
          <w:b/>
          <w:sz w:val="28"/>
        </w:rPr>
      </w:pPr>
    </w:p>
    <w:p w:rsidR="00000000" w:rsidRDefault="00000000">
      <w:pPr>
        <w:pStyle w:val="SingleTxt"/>
        <w:pBdr>
          <w:top w:val="single" w:sz="4" w:space="1" w:color="auto"/>
          <w:left w:val="single" w:sz="4" w:space="4" w:color="auto"/>
          <w:bottom w:val="single" w:sz="4" w:space="1" w:color="auto"/>
          <w:right w:val="single" w:sz="4" w:space="4" w:color="auto"/>
        </w:pBdr>
        <w:spacing w:line="480" w:lineRule="auto"/>
        <w:jc w:val="center"/>
        <w:rPr>
          <w:b/>
          <w:sz w:val="28"/>
        </w:rPr>
      </w:pPr>
    </w:p>
    <w:p w:rsidR="00000000" w:rsidRDefault="00000000">
      <w:pPr>
        <w:pStyle w:val="SingleTxt"/>
        <w:spacing w:line="480" w:lineRule="auto"/>
        <w:jc w:val="center"/>
      </w:pPr>
      <w:r>
        <w:br w:type="page"/>
      </w:r>
    </w:p>
    <w:p w:rsidR="00000000" w:rsidRDefault="00000000">
      <w:pPr>
        <w:pStyle w:val="SingleTxt"/>
        <w:spacing w:line="480" w:lineRule="auto"/>
        <w:jc w:val="center"/>
      </w:pPr>
    </w:p>
    <w:p w:rsidR="00000000" w:rsidRDefault="00000000">
      <w:pPr>
        <w:pStyle w:val="SingleTxt"/>
        <w:spacing w:line="480" w:lineRule="auto"/>
        <w:jc w:val="center"/>
      </w:pPr>
    </w:p>
    <w:p w:rsidR="00000000" w:rsidRDefault="00000000">
      <w:pPr>
        <w:pStyle w:val="SingleTxt"/>
        <w:suppressAutoHyphens/>
        <w:spacing w:line="480" w:lineRule="auto"/>
        <w:rPr>
          <w:sz w:val="28"/>
        </w:rPr>
      </w:pPr>
      <w:r>
        <w:rPr>
          <w:sz w:val="28"/>
        </w:rPr>
        <w:tab/>
        <w:t>Настоящий доклад содержит обновленную информацию об осуществлении правительством Парагвая Конвенции о ликвидации всех форм дискриминации в отношении женщин. В представленном анализе отражены основные достижения в ходе осуществления Конвенции в период с 1996 года по май 2000 года.</w:t>
      </w:r>
    </w:p>
    <w:p w:rsidR="00000000" w:rsidRDefault="00000000">
      <w:pPr>
        <w:pStyle w:val="SingleTxt"/>
        <w:spacing w:line="480" w:lineRule="auto"/>
      </w:pPr>
      <w:r>
        <w:rPr>
          <w:sz w:val="28"/>
        </w:rP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10"/>
      </w:pPr>
      <w:r>
        <w:t>ОБ ОСУЩЕСТВЛЕНИИ КОНВЕНЦИИ О ЛИКВИДАЦИИ ВСЕХ ФОРМ ДИСКРИМИНАЦИИ В ОТНОШЕНИИ ЖЕНЩИН ПО СОСТОЯНИЮ НА МАЙ 2000 ГОДА</w:t>
      </w:r>
    </w:p>
    <w:p w:rsidR="00000000" w:rsidRDefault="00000000"/>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Часть первая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1</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Для целей настоящей Конвенции понятие "дискриминация в отн</w:t>
      </w:r>
      <w:r>
        <w:rPr>
          <w:b/>
        </w:rPr>
        <w:t>о</w:t>
      </w:r>
      <w:r>
        <w:rPr>
          <w:b/>
        </w:rPr>
        <w:t>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w:t>
      </w:r>
      <w:r>
        <w:rPr>
          <w:b/>
        </w:rPr>
        <w:t>е</w:t>
      </w:r>
      <w:r>
        <w:rPr>
          <w:b/>
        </w:rPr>
        <w:t>ловека и основных свобод в политической, экономической, социальной, культурной, гражданской или любой другой области.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w:t>
      </w:r>
      <w:r>
        <w:tab/>
        <w:t>В статье 46 Национальной конституции 1992 года прямо говорится о том, что все жители Республики равны в своем достоинстве и правах. Никакие фо</w:t>
      </w:r>
      <w:r>
        <w:t>р</w:t>
      </w:r>
      <w:r>
        <w:t>мы дискриминации не допускаются, и государство обязано устранять препя</w:t>
      </w:r>
      <w:r>
        <w:t>т</w:t>
      </w:r>
      <w:r>
        <w:t>ствия и ликвидировать факторы, ведущие к ее сохранению и усилению. Те м</w:t>
      </w:r>
      <w:r>
        <w:t>е</w:t>
      </w:r>
      <w:r>
        <w:t>ры защиты, которые устанавливаются в отношении случаев нарушения раве</w:t>
      </w:r>
      <w:r>
        <w:t>н</w:t>
      </w:r>
      <w:r>
        <w:t>ства прав, рассматриваются не как дискриминационные факторы, а как факт</w:t>
      </w:r>
      <w:r>
        <w:t>о</w:t>
      </w:r>
      <w:r>
        <w:t>ры, должные обеспечить равенство.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w:t>
      </w:r>
      <w:r>
        <w:tab/>
        <w:t>Ни в каких юридических и административных установлениях Парагвая не содержится положений, которые означали бы дискриминацию в отношении женщин в том, что касается осуществления и реализации их прав человека и основных свобод. Более того, в них зафиксирована однозначная позиция в пользу ликвидации любых проявлений дискримин</w:t>
      </w:r>
      <w:r>
        <w:t>а</w:t>
      </w:r>
      <w:r>
        <w:t xml:space="preserve">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w:t>
      </w:r>
      <w:r>
        <w:tab/>
        <w:t>Парагвай подписал Факультативный протокол к Конвенции о ликвидации всех форм дискриминации в отношении женщин в декабре 1999 года, и в н</w:t>
      </w:r>
      <w:r>
        <w:t>а</w:t>
      </w:r>
      <w:r>
        <w:t>стоящее время этот документ проходит процедуру ратификации в Национал</w:t>
      </w:r>
      <w:r>
        <w:t>ь</w:t>
      </w:r>
      <w:r>
        <w:t>ном сенате</w:t>
      </w:r>
      <w:r>
        <w:rPr>
          <w:rStyle w:val="FootnoteReference"/>
        </w:rPr>
        <w:footnoteReference w:id="2"/>
      </w:r>
      <w:r>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2</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Государства-участники осуждают дискриминацию в отношении же</w:t>
      </w:r>
      <w:r>
        <w:rPr>
          <w:b/>
        </w:rPr>
        <w:t>н</w:t>
      </w:r>
      <w:r>
        <w:rPr>
          <w:b/>
        </w:rPr>
        <w:t>щин во всех ее формах, соглашаются безотлагательно всеми соответс</w:t>
      </w:r>
      <w:r>
        <w:rPr>
          <w:b/>
        </w:rPr>
        <w:t>т</w:t>
      </w:r>
      <w:r>
        <w:rPr>
          <w:b/>
        </w:rPr>
        <w:t>вующими способами проводить политику ликвидации дискриминации в отношении женщин и с этой целью обязуются: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а)</w:t>
      </w:r>
      <w:r>
        <w:rPr>
          <w:b/>
        </w:rPr>
        <w:tab/>
        <w:t>включить принцип равноправия мужчин и женщин в свои н</w:t>
      </w:r>
      <w:r>
        <w:rPr>
          <w:b/>
        </w:rPr>
        <w:t>а</w:t>
      </w:r>
      <w:r>
        <w:rPr>
          <w:b/>
        </w:rPr>
        <w:t>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w:t>
      </w:r>
      <w:r>
        <w:tab/>
        <w:t>Национальная конституция Парагвая признает ничем не ограниченное р</w:t>
      </w:r>
      <w:r>
        <w:t>а</w:t>
      </w:r>
      <w:r>
        <w:t>венство прав мужчин и женщин: "Мужчины и женщины обладают равными гражданскими, политическими, социальными, экономическими и культурными правами. Государство способствует созданию условий и надлежащих механи</w:t>
      </w:r>
      <w:r>
        <w:t>з</w:t>
      </w:r>
      <w:r>
        <w:t>мов для обеспечения реального и эффективного равенства, ликвидируя препя</w:t>
      </w:r>
      <w:r>
        <w:t>т</w:t>
      </w:r>
      <w:r>
        <w:t>ствия, затрудняющие или делающие невозможным их осуществление, содейс</w:t>
      </w:r>
      <w:r>
        <w:t>т</w:t>
      </w:r>
      <w:r>
        <w:t>вуя участию женщин во всех сферах жизни страны" (статья 48).</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w:t>
      </w:r>
      <w:r>
        <w:tab/>
        <w:t>В статье 47 Конституции устанавливаются гарантии равенства в доступе к системе правосудия, равенства перед законом, равенства возможностей зан</w:t>
      </w:r>
      <w:r>
        <w:t>и</w:t>
      </w:r>
      <w:r>
        <w:t>мать невыборные государственные должности и равенства возможностей в плане участия в пользовании природными богатствами, материальными и кул</w:t>
      </w:r>
      <w:r>
        <w:t>ь</w:t>
      </w:r>
      <w:r>
        <w:t>турными благами.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w:t>
      </w:r>
      <w:r>
        <w:tab/>
        <w:t>В 1997 году президент Республики представил стране Национальный план действий по обеспечению равных возможностей для женщин на 1997</w:t>
      </w:r>
      <w:r>
        <w:noBreakHyphen/>
        <w:t>2001 годы в соответствии с Национальной конституцией и междунаро</w:t>
      </w:r>
      <w:r>
        <w:t>д</w:t>
      </w:r>
      <w:r>
        <w:t>ными документами, ратифицированными Парагваем. В Плане определены на</w:t>
      </w:r>
      <w:r>
        <w:t>и</w:t>
      </w:r>
      <w:r>
        <w:t>более существенные сферы для изменений в отношениях между полами, изл</w:t>
      </w:r>
      <w:r>
        <w:t>а</w:t>
      </w:r>
      <w:r>
        <w:t>гаются различные факторы и механизмы для решения основных проблем, с к</w:t>
      </w:r>
      <w:r>
        <w:t>о</w:t>
      </w:r>
      <w:r>
        <w:t>торыми сталкиваются женщины, и определяются различия в ресурсах и во</w:t>
      </w:r>
      <w:r>
        <w:t>з</w:t>
      </w:r>
      <w:r>
        <w:t>можностях, к которым имеют доступ женщины и мужчины. В каждой из девяти глав Плана не только устанавливаются задачи, но и определяются конкретные меры по их решению, а также органы и учреждения, ответственные за его ре</w:t>
      </w:r>
      <w:r>
        <w:t>а</w:t>
      </w:r>
      <w:r>
        <w:t>лизацию.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lang w:val="en-US"/>
        </w:rPr>
        <w:t>b</w:t>
      </w:r>
      <w:r>
        <w:rPr>
          <w:b/>
        </w:rPr>
        <w:t>)</w:t>
      </w:r>
      <w:r>
        <w:rPr>
          <w:b/>
        </w:rPr>
        <w:tab/>
        <w:t>принимать соответствующие законодательные и другие меры, включая санкции там, где это необходимо, запрещающие всякую дискр</w:t>
      </w:r>
      <w:r>
        <w:rPr>
          <w:b/>
        </w:rPr>
        <w:t>и</w:t>
      </w:r>
      <w:r>
        <w:rPr>
          <w:b/>
        </w:rPr>
        <w:t>минацию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w:t>
      </w:r>
      <w:r>
        <w:tab/>
        <w:t>В законе 3492 об образовании Секретариата по делам женщин при през</w:t>
      </w:r>
      <w:r>
        <w:t>и</w:t>
      </w:r>
      <w:r>
        <w:t>денте Республики прямо определяется цель его создания, состоящая в разр</w:t>
      </w:r>
      <w:r>
        <w:t>а</w:t>
      </w:r>
      <w:r>
        <w:t>ботке мер по рационализации и обновлению национального законодательства в соответствии с Конвенцией о ликвидации всех форм дискриминации в отнош</w:t>
      </w:r>
      <w:r>
        <w:t>е</w:t>
      </w:r>
      <w:r>
        <w:t>нии женщин, ратифицированной в 1986 году законом 1215.</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w:t>
      </w:r>
      <w:r>
        <w:tab/>
        <w:t>21 июня 1995 года был принят закон 605/95 о ратификации Конвенции о предупреждении, наказании и искоренении насилия в отношении женщин (Конвенция Белен до Пара). В конце 1995 года, после проведения Конференции по народонаселению и развитию и Всемирной конференции по проблемам женщин, Парагвай взял на себя обязательства, выработанные в Каире и Пек</w:t>
      </w:r>
      <w:r>
        <w:t>и</w:t>
      </w:r>
      <w:r>
        <w:t>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w:t>
      </w:r>
      <w:r>
        <w:tab/>
        <w:t>30 марта 2000 года Палата сенаторов в предварительном порядке утверд</w:t>
      </w:r>
      <w:r>
        <w:t>и</w:t>
      </w:r>
      <w:r>
        <w:t>ла проект закона о бытовом насилии, разработанный Координационным бюро женщин Парагвая и представленный Палате 10 декабря 1998 года, при по</w:t>
      </w:r>
      <w:r>
        <w:t>д</w:t>
      </w:r>
      <w:r>
        <w:t>держке всех парламентариев-женщин. В настоящее время он рассматривается в Палате депутатов</w:t>
      </w:r>
      <w:r>
        <w:rPr>
          <w:rStyle w:val="FootnoteReference"/>
        </w:rPr>
        <w:footnoteReference w:id="3"/>
      </w:r>
      <w:r>
        <w:t>. В законе устанавливаются нормы защиты любого лица, к</w:t>
      </w:r>
      <w:r>
        <w:t>о</w:t>
      </w:r>
      <w:r>
        <w:t>торому наносятся травмы или которое подвергается физическому, психическ</w:t>
      </w:r>
      <w:r>
        <w:t>о</w:t>
      </w:r>
      <w:r>
        <w:t>му или сексуальному насилию членами семьи, под которой понимается группа, объединенная по признаку родства, законного или гражданского брака, даже в случае прекращения совместного проживания, и в которую могут входить пр</w:t>
      </w:r>
      <w:r>
        <w:t>о</w:t>
      </w:r>
      <w:r>
        <w:t>живающие раздельно супруги и их дети, независимо от того, являются ли они общими. В законе определяется компетенция мировых судей, позволяющая п</w:t>
      </w:r>
      <w:r>
        <w:t>о</w:t>
      </w:r>
      <w:r>
        <w:t>страдавшей сделать устное или письменное заявление о случившемся в целях реализации права на защиту и обеспечения личной безопасности и безопасн</w:t>
      </w:r>
      <w:r>
        <w:t>о</w:t>
      </w:r>
      <w:r>
        <w:t>сти ее семьи. Устанавливается также, что все меры такого рода осуществляю</w:t>
      </w:r>
      <w:r>
        <w:t>т</w:t>
      </w:r>
      <w:r>
        <w:t>ся бесплатно. В законе определяется также компетенция Секретариата по д</w:t>
      </w:r>
      <w:r>
        <w:t>е</w:t>
      </w:r>
      <w:r>
        <w:t>лам женщин при президенте Республики в качестве координационного органа Межучрежденческой комиссии по предупреждению и пресечению насилия в отношении женщин при проведении расследований и оценке реализации зак</w:t>
      </w:r>
      <w:r>
        <w:t>о</w:t>
      </w:r>
      <w:r>
        <w:t>на. Эти меры проводятся в рамках действующего с 1994 года Национального плана действий по предупреждению и пресечению насилия в отношении же</w:t>
      </w:r>
      <w:r>
        <w:t>н</w:t>
      </w:r>
      <w:r>
        <w:t>щин, который был разработан и в настоящее время осуществляется в рамках Межучрежденческой комиссии, состоящей из представителей различных мин</w:t>
      </w:r>
      <w:r>
        <w:t>и</w:t>
      </w:r>
      <w:r>
        <w:t>стерств, национальной полиции, генеральной прокуратуры, муниципалитета города Асунсьон и Координационного комитета женщин Парагвая (неправ</w:t>
      </w:r>
      <w:r>
        <w:t>и</w:t>
      </w:r>
      <w:r>
        <w:t>тельственной орган</w:t>
      </w:r>
      <w:r>
        <w:t>и</w:t>
      </w:r>
      <w:r>
        <w:t>зации).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w:t>
      </w:r>
      <w:r>
        <w:tab/>
        <w:t>Существенным шагом вперед можно считать положение, конкретно уст</w:t>
      </w:r>
      <w:r>
        <w:t>а</w:t>
      </w:r>
      <w:r>
        <w:t>навливающее ответственность за насилие в семье (статья 229): "Лицо, неодн</w:t>
      </w:r>
      <w:r>
        <w:t>о</w:t>
      </w:r>
      <w:r>
        <w:t>кратно совершающее физическое насилие в семье в отношении других ее чл</w:t>
      </w:r>
      <w:r>
        <w:t>е</w:t>
      </w:r>
      <w:r>
        <w:t>нов, подвергается наказанию в виде штрафа". Вместе с тем женские организ</w:t>
      </w:r>
      <w:r>
        <w:t>а</w:t>
      </w:r>
      <w:r>
        <w:t>ции выступили с критическими замечаниями относительно того, что: а) в да</w:t>
      </w:r>
      <w:r>
        <w:t>н</w:t>
      </w:r>
      <w:r>
        <w:t>ном случае говорится лишь о физическом насилии и исключаются другие фо</w:t>
      </w:r>
      <w:r>
        <w:t>р</w:t>
      </w:r>
      <w:r>
        <w:t xml:space="preserve">мы насилия, получившие определение в Конвенции Белен до Пара; </w:t>
      </w:r>
      <w:r>
        <w:rPr>
          <w:lang w:val="en-US"/>
        </w:rPr>
        <w:t>b</w:t>
      </w:r>
      <w:r>
        <w:t>) предусматривается необходимость "неоднократности" и предполагаются сроки, в течение которых жертва может обращаться с жалобой; и с) предусматривается наказание в виде штрафа, при этом правонарушитель о</w:t>
      </w:r>
      <w:r>
        <w:t>с</w:t>
      </w:r>
      <w:r>
        <w:t>тается на свободе, сохраняя возможность "наказать" жертву.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w:t>
      </w:r>
      <w:r>
        <w:tab/>
        <w:t>Что касается оказания правовой помощи, то следует отметить, что в н</w:t>
      </w:r>
      <w:r>
        <w:t>а</w:t>
      </w:r>
      <w:r>
        <w:t>стоящее время функционирует служба правовой ориентации в рамках СЕНАМ - подразделения Секретариата по делам женщин, которое функцион</w:t>
      </w:r>
      <w:r>
        <w:t>и</w:t>
      </w:r>
      <w:r>
        <w:t>рует в Асунсьоне, оказывает правовую помощь и способствует передаче дел в другие инстанции. Департамент национальной полиции по вопросам семьи, генеральная прокуратура через свое управление заявлений по уголовным делам (в случае возбуждения уголовного дела) оказывают помощь многим женщинам, хотя круг их ведения не ограничивается женскими проблемами. Женский д</w:t>
      </w:r>
      <w:r>
        <w:t>е</w:t>
      </w:r>
      <w:r>
        <w:t>партамент прокуратуры сообщает также о многочисленных обращениях в связи со случаями насилия в отношении женщин, однако в настоящее время в рамках реструктуризации в соответствии со стратегическим учрежденческим планом департамент преобразован в управление посредничества, в названии которого пол конкретно не упоминается. Дирекция по оказанию помощи жертвам прав</w:t>
      </w:r>
      <w:r>
        <w:t>о</w:t>
      </w:r>
      <w:r>
        <w:t>нарушений, созданная в 1998 году в соответствии с основными принципами правосудия в отношении лиц, ставших жертвами правонарушений и неправ</w:t>
      </w:r>
      <w:r>
        <w:t>о</w:t>
      </w:r>
      <w:r>
        <w:t>мерных действий власти, оказывает помощь главным образом детям и женщ</w:t>
      </w:r>
      <w:r>
        <w:t>и</w:t>
      </w:r>
      <w:r>
        <w:t>нам. Правовые услуги оказывают и НПО - через Фонд Кунья Ати и организ</w:t>
      </w:r>
      <w:r>
        <w:t>а</w:t>
      </w:r>
      <w:r>
        <w:t>цию "Коллектив же</w:t>
      </w:r>
      <w:r>
        <w:t>н</w:t>
      </w:r>
      <w:r>
        <w:t>щин 25 ноября".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w:t>
      </w:r>
      <w:r>
        <w:tab/>
        <w:t>В рамках содействия борьбе с насилием в отношении женщин проводятся различные мероприятия, в частности кампания по повышению осведомленн</w:t>
      </w:r>
      <w:r>
        <w:t>о</w:t>
      </w:r>
      <w:r>
        <w:t>сти средствами радио, в которой участвовали 13 радиостанций, три из которых расположены в столице и работают в масштабах всей национальной террит</w:t>
      </w:r>
      <w:r>
        <w:t>о</w:t>
      </w:r>
      <w:r>
        <w:t>рии, и 10 - в провинции. В передаваемых сообщениях содержалась информация о названии организаций, занимающихся вопросами женщин, которые стали жертвами насилия, и стремящихся повысить осведомленность мужчин в вопр</w:t>
      </w:r>
      <w:r>
        <w:t>о</w:t>
      </w:r>
      <w:r>
        <w:t>сах, связанных с уважением прав женщин. Благодаря сообщениям, которые п</w:t>
      </w:r>
      <w:r>
        <w:t>е</w:t>
      </w:r>
      <w:r>
        <w:t>редавались на языке гуарани и испанском языке, за первое полугодие 1998 года объем обращений в Секретариат по делам женщин у</w:t>
      </w:r>
      <w:r>
        <w:t>д</w:t>
      </w:r>
      <w:r>
        <w:t>воился.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w:t>
      </w:r>
      <w:r>
        <w:tab/>
        <w:t>В ноябре 1998 года Секретариат по делам женщин, ЮНФПА, Координ</w:t>
      </w:r>
      <w:r>
        <w:t>а</w:t>
      </w:r>
      <w:r>
        <w:t>ционное бюро женщин Парагвая, Латиноамериканский комитет по защите прав женщин и департамент по вопросам женщин муниципалитета города Асунсьон провели ряд мероприятий по повышению уровня осведомленности обществе</w:t>
      </w:r>
      <w:r>
        <w:t>н</w:t>
      </w:r>
      <w:r>
        <w:t>ности в рамках Международного дня борьбы за ликвидацию насилия в отн</w:t>
      </w:r>
      <w:r>
        <w:t>о</w:t>
      </w:r>
      <w:r>
        <w:t>шении женщин на тему "Зарони надежду".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w:t>
      </w:r>
      <w:r>
        <w:tab/>
        <w:t>Секретариат по делам женщин разработал серию информационных мат</w:t>
      </w:r>
      <w:r>
        <w:t>е</w:t>
      </w:r>
      <w:r>
        <w:t>риалов по вопросам насилия в отношении женщин, его предупреждения, юр</w:t>
      </w:r>
      <w:r>
        <w:t>и</w:t>
      </w:r>
      <w:r>
        <w:t>дических механизмов для наказания за него и обеспечения осуществления прав женщин, которые распространялись в виде триптихов, плакатов, а также пу</w:t>
      </w:r>
      <w:r>
        <w:t>б</w:t>
      </w:r>
      <w:r>
        <w:t>ликаций национальных и международных документов в рамках общенаци</w:t>
      </w:r>
      <w:r>
        <w:t>о</w:t>
      </w:r>
      <w:r>
        <w:t>нальной кампании.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w:t>
      </w:r>
      <w:r>
        <w:tab/>
        <w:t>Другим важным аспектом работы Межведомственной комиссии является обмен данными о случаях насилия, регистрируемых различными учреждени</w:t>
      </w:r>
      <w:r>
        <w:t>я</w:t>
      </w:r>
      <w:r>
        <w:t>ми страны. Начало процессу было положено в столичных ведомствах, в час</w:t>
      </w:r>
      <w:r>
        <w:t>т</w:t>
      </w:r>
      <w:r>
        <w:t>ности в службе скорой помощи, национальной полиции, генеральной прокур</w:t>
      </w:r>
      <w:r>
        <w:t>а</w:t>
      </w:r>
      <w:r>
        <w:t>туре и Секретариате по вопросам женщин, после чего он охватил и другие д</w:t>
      </w:r>
      <w:r>
        <w:t>е</w:t>
      </w:r>
      <w:r>
        <w:t>партаменты страны.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w:t>
      </w:r>
      <w:r>
        <w:tab/>
        <w:t>В августе 1999 года при Центре скорой медицинской помощи было о</w:t>
      </w:r>
      <w:r>
        <w:t>т</w:t>
      </w:r>
      <w:r>
        <w:t>крыто отделение помощи жертвам насилия в семье (КАВИФ). Его создание стало ответом министерства здравоохранения на заявление Секретариата по вопросам женщин о назревшей необходимости в создании службы оказания помощи женщинам, ставшим жертвами насилия, в центральной больнице ск</w:t>
      </w:r>
      <w:r>
        <w:t>о</w:t>
      </w:r>
      <w:r>
        <w:t>рой пом</w:t>
      </w:r>
      <w:r>
        <w:t>о</w:t>
      </w:r>
      <w:r>
        <w:t>щи.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w:t>
      </w:r>
      <w:r>
        <w:tab/>
        <w:t>В рамках экспериментального регионального плана действий по пред</w:t>
      </w:r>
      <w:r>
        <w:t>у</w:t>
      </w:r>
      <w:r>
        <w:t>преждению и пресечению насилия в отношении женщин в 1999 году Секрет</w:t>
      </w:r>
      <w:r>
        <w:t>а</w:t>
      </w:r>
      <w:r>
        <w:t>риат по делам женщин и Межамериканский банк развития открыли центр п</w:t>
      </w:r>
      <w:r>
        <w:t>о</w:t>
      </w:r>
      <w:r>
        <w:t>мощи жертвам насилия в семье при больнице Лома Пита. С момента открытия центр проводит различные мероприятия, в частности связанные с разработкой логотипов и лозунгов, оказанием юридической, медицинской и социальной п</w:t>
      </w:r>
      <w:r>
        <w:t>о</w:t>
      </w:r>
      <w:r>
        <w:t>мощи жертвам. Организуются учебные программы, укрепляется сеть общес</w:t>
      </w:r>
      <w:r>
        <w:t>т</w:t>
      </w:r>
      <w:r>
        <w:t>венных организаций, расширяются возможности доступа к новой справочной сети по юридическим вопросам, проводятся другие важные меропри</w:t>
      </w:r>
      <w:r>
        <w:t>я</w:t>
      </w:r>
      <w:r>
        <w:t>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w:t>
      </w:r>
      <w:r>
        <w:tab/>
        <w:t>Несмотря на достигнутые результаты, становясь жертвами насилия, же</w:t>
      </w:r>
      <w:r>
        <w:t>н</w:t>
      </w:r>
      <w:r>
        <w:t>щины по-прежнему попадают в критическую ситуацию, которая зачастую не получает урегулирования, а сами они нередко подвергаются насилию повторно. С другой стороны, хотя трудности с созданием систем самопомощи сохраняю</w:t>
      </w:r>
      <w:r>
        <w:t>т</w:t>
      </w:r>
      <w:r>
        <w:t>ся, некоторые органы сообщают о проведении курсов групповой терапии для женщин, ставших жертвами насилия, при этом информация о методах оказания помощи не получает широкого распространения, а полученный опыт носит весьма ограниченный характер.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19.</w:t>
      </w:r>
      <w:r>
        <w:tab/>
        <w:t>Законом 1160 1997 года Республика Парагвай приняла новый Уголовный кодекс. В его статье 133 предусматривается: "Любое лицо, которое подвергает сексуальному преследованию другое лицо, злоупотребляя своими должнос</w:t>
      </w:r>
      <w:r>
        <w:t>т</w:t>
      </w:r>
      <w:r>
        <w:t>ными полномочиями, подвергается наказанию в виде лишения свободы сроком до двух лет". В этой связи действует ряд правовых документов, определяющих механизм борьбы с теми формами насилия, которым женщины нередко подве</w:t>
      </w:r>
      <w:r>
        <w:t>р</w:t>
      </w:r>
      <w:r>
        <w:t>гаются в производственной обстановке. В настоящее время действуют Уголо</w:t>
      </w:r>
      <w:r>
        <w:t>в</w:t>
      </w:r>
      <w:r>
        <w:t>ный кодекс 1997 года и Уголовно-процессуальный кодекс 1998 года. Хотя в н</w:t>
      </w:r>
      <w:r>
        <w:t>о</w:t>
      </w:r>
      <w:r>
        <w:t>вом Уголовном кодексе сохраняются дискриминационные положения в отн</w:t>
      </w:r>
      <w:r>
        <w:t>о</w:t>
      </w:r>
      <w:r>
        <w:t>шении женщин, можно считать прогрессом включение в него конкретного п</w:t>
      </w:r>
      <w:r>
        <w:t>о</w:t>
      </w:r>
      <w:r>
        <w:t>ложения о насилии в семье и установление за него уголовной ответственности (статья 229). Такое насилие определяется как побуждение к половой связи, включая сексуальные домогательства, и считается посягательством на незав</w:t>
      </w:r>
      <w:r>
        <w:t>и</w:t>
      </w:r>
      <w:r>
        <w:t>симость другого лица, в то же время сокращено наказание за совершение пр</w:t>
      </w:r>
      <w:r>
        <w:t>е</w:t>
      </w:r>
      <w:r>
        <w:t>ступлений сексуального характера; в качестве смягчающего обстоятельства принимаются во внимание родственные отношения жертвы и правонарушит</w:t>
      </w:r>
      <w:r>
        <w:t>е</w:t>
      </w:r>
      <w:r>
        <w:t>ля. Дается определение сексуальным домогательствам, предусматривается н</w:t>
      </w:r>
      <w:r>
        <w:t>а</w:t>
      </w:r>
      <w:r>
        <w:t>казание за неисполнение предусмотренной законом обязанности по выплате алиментов. Устанавливается также наказание за торговлю людьми.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с)</w:t>
      </w:r>
      <w:r>
        <w:rPr>
          <w:b/>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w:t>
      </w:r>
      <w:r>
        <w:rPr>
          <w:b/>
        </w:rPr>
        <w:t>о</w:t>
      </w:r>
      <w:r>
        <w:rPr>
          <w:b/>
        </w:rPr>
        <w:t>тив любого акта 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r>
      <w:r>
        <w:rPr>
          <w:b/>
          <w:lang w:val="en-US"/>
        </w:rPr>
        <w:t>d</w:t>
      </w:r>
      <w:r>
        <w:rPr>
          <w:b/>
        </w:rPr>
        <w:t>)</w:t>
      </w:r>
      <w:r>
        <w:rPr>
          <w:b/>
        </w:rPr>
        <w:tab/>
        <w:t>воздерживаться от совершения каких-либо дискриминационных актов или действий в отношении женщин и гарантировать, что государс</w:t>
      </w:r>
      <w:r>
        <w:rPr>
          <w:b/>
        </w:rPr>
        <w:t>т</w:t>
      </w:r>
      <w:r>
        <w:rPr>
          <w:b/>
        </w:rPr>
        <w:t>венные органы и учреждения будут действовать в соответствии с этим обязательством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20.</w:t>
      </w:r>
      <w:r>
        <w:tab/>
        <w:t>Статьи, содержащиеся в главе о свободах, в частности посвященные пр</w:t>
      </w:r>
      <w:r>
        <w:t>о</w:t>
      </w:r>
      <w:r>
        <w:t>цессуальным правам, в полной мере относятся ко всему процессу пересмотра уголовного и уголовно-процессуального кодекса, который завершился прин</w:t>
      </w:r>
      <w:r>
        <w:t>я</w:t>
      </w:r>
      <w:r>
        <w:t>тием законов 1160/97 и 1286/98, положивших начало новой судебной практике, обеспечивающей большее равноправие в вопросах доступа мужчин и женщин в Парагвае к скорейшему процессу правосудия, не требующему больших з</w:t>
      </w:r>
      <w:r>
        <w:t>а</w:t>
      </w:r>
      <w:r>
        <w:t>трат.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21.</w:t>
      </w:r>
      <w:r>
        <w:tab/>
        <w:t>В новом кодексе вводится понятие "уголовно наказуемые деяния в виде покушения на сексуальную независимость", в то время как в предыдущем к</w:t>
      </w:r>
      <w:r>
        <w:t>о</w:t>
      </w:r>
      <w:r>
        <w:t>дексе говорилось о "правонарушениях, являющихся посягательством на цел</w:t>
      </w:r>
      <w:r>
        <w:t>о</w:t>
      </w:r>
      <w:r>
        <w:t>мудрие и пристойность", определяются "сексуальное принуждение" (ст</w:t>
      </w:r>
      <w:r>
        <w:t>а</w:t>
      </w:r>
      <w:r>
        <w:t>тья 128), торговля людьми (статья 129), сексуальные злоупотребления в отн</w:t>
      </w:r>
      <w:r>
        <w:t>о</w:t>
      </w:r>
      <w:r>
        <w:t>шении беззащитных лиц (статья 130), сексуальные злоупотребления в отнош</w:t>
      </w:r>
      <w:r>
        <w:t>е</w:t>
      </w:r>
      <w:r>
        <w:t>нии интернированных лиц (статья 131), акты эксгибиционизма (статья 132) и сексуальные домогательства (статья 133). В разделе "Уголовно наказуемые деяния в отношении несовершеннолетних" определяются правонарушения в виде дурного обращения с несовершеннолетними (статья 134), сексуальные злоупотребления в отношении детей (статья 135), сексуальные злоупотребл</w:t>
      </w:r>
      <w:r>
        <w:t>е</w:t>
      </w:r>
      <w:r>
        <w:t>ния в отношении опекаемых лиц (статья 136), насилие (статья 137), гомосекс</w:t>
      </w:r>
      <w:r>
        <w:t>у</w:t>
      </w:r>
      <w:r>
        <w:t>альные акты в отношении несовершеннолетних (статья 138), сводничество (статья 139) и сутенерство (статья 140). Предусматривается также наказание за сокрытие семейного положения, нарушение правил усыновления, торговлю н</w:t>
      </w:r>
      <w:r>
        <w:t>е</w:t>
      </w:r>
      <w:r>
        <w:t>совершеннолетними, двоеженство, неисполнение обязанности по выплате ал</w:t>
      </w:r>
      <w:r>
        <w:t>и</w:t>
      </w:r>
      <w:r>
        <w:t>ментов, нарушение обязанности по уходу за престарелыми и инвалидами, н</w:t>
      </w:r>
      <w:r>
        <w:t>а</w:t>
      </w:r>
      <w:r>
        <w:t>рушение родительских прав, насилие в семье и кровосмеш</w:t>
      </w:r>
      <w:r>
        <w:t>е</w:t>
      </w:r>
      <w:r>
        <w:t>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w:t>
      </w:r>
      <w:r>
        <w:tab/>
        <w:t>В рамках Секретариата по делам женщин функционирует Центр по оказ</w:t>
      </w:r>
      <w:r>
        <w:t>а</w:t>
      </w:r>
      <w:r>
        <w:t>нию помощи женщинам (СЕНАМ), который оказывает специализированную помощь по юридическим и психологическим вопросам и вопросам насилия в семье в тех случаях, когда об этом становится известно государственным орг</w:t>
      </w:r>
      <w:r>
        <w:t>а</w:t>
      </w:r>
      <w:r>
        <w:t>нам, в частности в случаях, упоминавшихся в предыдущих пунктах, или непр</w:t>
      </w:r>
      <w:r>
        <w:t>а</w:t>
      </w:r>
      <w:r>
        <w:t>вительственным организациям, которые занимаются оказанием такого рода п</w:t>
      </w:r>
      <w:r>
        <w:t>о</w:t>
      </w:r>
      <w:r>
        <w:t>мощи.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е)</w:t>
      </w:r>
      <w:r>
        <w:rPr>
          <w:b/>
        </w:rPr>
        <w:tab/>
        <w:t>принимать все соответствующие меры для ликвидации дискр</w:t>
      </w:r>
      <w:r>
        <w:rPr>
          <w:b/>
        </w:rPr>
        <w:t>и</w:t>
      </w:r>
      <w:r>
        <w:rPr>
          <w:b/>
        </w:rPr>
        <w:t>минации в отношении женщин со стороны какого-либо лица, организации или предприятия;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r>
      <w:r>
        <w:rPr>
          <w:b/>
          <w:lang w:val="en-US"/>
        </w:rPr>
        <w:t>f</w:t>
      </w:r>
      <w:r>
        <w:rPr>
          <w:b/>
        </w:rPr>
        <w:t>)</w:t>
      </w:r>
      <w:r>
        <w:rPr>
          <w:b/>
        </w:rPr>
        <w:tab/>
        <w:t>принимать все соответствующие меры, включая законодател</w:t>
      </w:r>
      <w:r>
        <w:rPr>
          <w:b/>
        </w:rPr>
        <w:t>ь</w:t>
      </w:r>
      <w:r>
        <w:rPr>
          <w:b/>
        </w:rPr>
        <w:t>ные, для изменения или отмены действующих законов, постановлений, обычаев и практики, которые представляют собой дискриминацию в о</w:t>
      </w:r>
      <w:r>
        <w:rPr>
          <w:b/>
        </w:rPr>
        <w:t>т</w:t>
      </w:r>
      <w:r>
        <w:rPr>
          <w:b/>
        </w:rPr>
        <w:t>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r>
      <w:r>
        <w:rPr>
          <w:b/>
          <w:lang w:val="en-US"/>
        </w:rPr>
        <w:t>g</w:t>
      </w:r>
      <w:r>
        <w:rPr>
          <w:b/>
        </w:rPr>
        <w:t>)</w:t>
      </w:r>
      <w:r>
        <w:rPr>
          <w:b/>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w:t>
      </w:r>
      <w:r>
        <w:tab/>
        <w:t>В 1995 году с принятием трудового кодекса было введено понятие секс</w:t>
      </w:r>
      <w:r>
        <w:t>у</w:t>
      </w:r>
      <w:r>
        <w:t>ального домогательства (статья 81, подпункт </w:t>
      </w:r>
      <w:r>
        <w:rPr>
          <w:lang w:val="en-US"/>
        </w:rPr>
        <w:t>W</w:t>
      </w:r>
      <w:r>
        <w:t>) и говорилось: "Действия в в</w:t>
      </w:r>
      <w:r>
        <w:t>и</w:t>
      </w:r>
      <w:r>
        <w:t>де сексуального домогательства, представляющие собой угрозу, принуждение, преследование, шантаж или рукоприкладство в сексуальных целях, соверша</w:t>
      </w:r>
      <w:r>
        <w:t>е</w:t>
      </w:r>
      <w:r>
        <w:t>мые в отношении работника того или иного пола работниками предприятия, учреждения или мастерской или любым вышестоящим работником", оправд</w:t>
      </w:r>
      <w:r>
        <w:t>ы</w:t>
      </w:r>
      <w:r>
        <w:t>вают прекращение договорных отношений работодателем/работодательницей в одностороннем порядке. Предусматривается также разрыв договора работн</w:t>
      </w:r>
      <w:r>
        <w:t>и</w:t>
      </w:r>
      <w:r>
        <w:t>ком/работницей в случаях, когда имеют место "акты насилия, сексуального д</w:t>
      </w:r>
      <w:r>
        <w:t>о</w:t>
      </w:r>
      <w:r>
        <w:t>могательства, угрозы, нанесение увечий или дурное обращение со стороны р</w:t>
      </w:r>
      <w:r>
        <w:t>а</w:t>
      </w:r>
      <w:r>
        <w:t>ботодателя или его представителя, родственников и зависящих от него лиц и когда эти акты совершаются с его ведома или при его попустительстве в раб</w:t>
      </w:r>
      <w:r>
        <w:t>о</w:t>
      </w:r>
      <w:r>
        <w:t>чей обстановке в отношении работника, его супруга, отца, детей или братьев" (статья 84, подпункт </w:t>
      </w:r>
      <w:r>
        <w:rPr>
          <w:lang w:val="en-US"/>
        </w:rPr>
        <w:t>D</w:t>
      </w:r>
      <w:r>
        <w:t>). В трудовом кодексе устанавливается также обяза</w:t>
      </w:r>
      <w:r>
        <w:t>н</w:t>
      </w:r>
      <w:r>
        <w:t>ность содержать центры по уходу за детьми при предприятиях и учреждениях, насчитывающих более 50 работников обоего пола. Вместе с тем сохраняются некоторые дискриминационные положения, касающиеся оплачиваемой работы по дому: допускается продолжительность рабочего дня до 12 часов и зарабо</w:t>
      </w:r>
      <w:r>
        <w:t>т</w:t>
      </w:r>
      <w:r>
        <w:t>ная плата, составляющая порядка 40 процентов минимальной заработной пл</w:t>
      </w:r>
      <w:r>
        <w:t>а</w:t>
      </w:r>
      <w:r>
        <w:t>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w:t>
      </w:r>
      <w:r>
        <w:tab/>
        <w:t>При Секретариате по делам женщин создана Комиссия содействия равн</w:t>
      </w:r>
      <w:r>
        <w:t>о</w:t>
      </w:r>
      <w:r>
        <w:t>правию женщин перед законом. Ее задача состоит в содействии достижению в области законодательства целей, предусмотренных Национальным планом де</w:t>
      </w:r>
      <w:r>
        <w:t>й</w:t>
      </w:r>
      <w:r>
        <w:t>ствий по обеспечению равных возможностей для женщин. В этой связи разр</w:t>
      </w:r>
      <w:r>
        <w:t>а</w:t>
      </w:r>
      <w:r>
        <w:t>ботаны общие ориентиры и конкретные направления деятельности по конст</w:t>
      </w:r>
      <w:r>
        <w:t>и</w:t>
      </w:r>
      <w:r>
        <w:t>туционному регулированию гендерных вопросов и совершенствованию прав</w:t>
      </w:r>
      <w:r>
        <w:t>о</w:t>
      </w:r>
      <w:r>
        <w:t>вой о</w:t>
      </w:r>
      <w:r>
        <w:t>с</w:t>
      </w:r>
      <w:r>
        <w:t>новы деятельности Секретариата по делам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w:t>
      </w:r>
      <w:r>
        <w:tab/>
        <w:t>Секретариат по делам женщин, активизируя свои контакты с органами с</w:t>
      </w:r>
      <w:r>
        <w:t>у</w:t>
      </w:r>
      <w:r>
        <w:t>дебной власти, занимается созданием юридических консультаций, предусмо</w:t>
      </w:r>
      <w:r>
        <w:t>т</w:t>
      </w:r>
      <w:r>
        <w:t>ренных в новом уголовном кодексе. Предпринимаются попытки координир</w:t>
      </w:r>
      <w:r>
        <w:t>о</w:t>
      </w:r>
      <w:r>
        <w:t>вать деятельность в рамках договора о сотрудничестве.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w:t>
      </w:r>
      <w:r>
        <w:tab/>
        <w:t>Отделение Секретариата по делам женщин, занимающееся юридическими вопросами, на постоянной основе участвует в рабочих совещаниях и дискусс</w:t>
      </w:r>
      <w:r>
        <w:t>и</w:t>
      </w:r>
      <w:r>
        <w:t>ях с членами и консультантами парламентских комиссий; его главной задачей является проведение исследований, анализа и/или разработка документов и предложений, а также участие в дискуссионных совещаниях как в рамках всей структуры Секретариата, так и за ее пределами. В этой связи особое внимание уделяется исследованиям по вопросам аграрной реформы, общего закона об образов</w:t>
      </w:r>
      <w:r>
        <w:t>а</w:t>
      </w:r>
      <w:r>
        <w:t>нии, статута государственной службы, уголовного и уголовно-процессуального кодекса, санитарного кодекса, проекта уложения по вопросам сексуального и репродуктивного здоровья, кодекса по вопросам детства и юношества и закона о насилии в отношении женщин в семье. Кроме того, его представители наряду с представителями судебной власти и неправительстве</w:t>
      </w:r>
      <w:r>
        <w:t>н</w:t>
      </w:r>
      <w:r>
        <w:t>ных организаций входят в руководящий совет центра по вопросам усыновл</w:t>
      </w:r>
      <w:r>
        <w:t>е</w:t>
      </w:r>
      <w:r>
        <w:t>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w:t>
      </w:r>
      <w:r>
        <w:tab/>
        <w:t>Что касается реформы избирательной системы, то работа проводится в координации с Постоянным форумом женщин, участвующих в политической жизни, и Международным фондом для избирательных систем; эта деятельность направлена на разработку предложений для представления парламентской к</w:t>
      </w:r>
      <w:r>
        <w:t>о</w:t>
      </w:r>
      <w:r>
        <w:t>миссии, образованной специально для этих целей.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w:t>
      </w:r>
      <w:r>
        <w:tab/>
        <w:t>Секретариат по делам женщин и Канцелярия супруги президента пров</w:t>
      </w:r>
      <w:r>
        <w:t>о</w:t>
      </w:r>
      <w:r>
        <w:t>дят рабочие встречи с членами сената Национального парламента - мужчинами и женщинами - в целях ускорения рассмотрения таких законов, как закон о к</w:t>
      </w:r>
      <w:r>
        <w:t>о</w:t>
      </w:r>
      <w:r>
        <w:t>дексе по вопросам детства и юношества и закон о насилии в отношении же</w:t>
      </w:r>
      <w:r>
        <w:t>н</w:t>
      </w:r>
      <w:r>
        <w:t xml:space="preserve">щин в семье.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3</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Государства-участники принимают во всех областях, и в частности политической, социальной, экономической и культурной областях, все с</w:t>
      </w:r>
      <w:r>
        <w:rPr>
          <w:b/>
        </w:rPr>
        <w:t>о</w:t>
      </w:r>
      <w:r>
        <w:rPr>
          <w:b/>
        </w:rPr>
        <w:t>ответствующие меры, включая законодательные, для обеспечения всест</w:t>
      </w:r>
      <w:r>
        <w:rPr>
          <w:b/>
        </w:rPr>
        <w:t>о</w:t>
      </w:r>
      <w:r>
        <w:rPr>
          <w:b/>
        </w:rPr>
        <w:t>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w:t>
      </w:r>
      <w:r>
        <w:tab/>
        <w:t>Что касается принятия мер, гарантирующих осуществление женщинами прав человека, то Парагвай подписал Всеобщую декларацию прав человека, Международный пакт о гражданских и политических правах, Международный пакт об экономических, социальных и культурных правах, Конвенцию против пыток и других жестоких, бесчеловечных или унижающих достоинство видов обращения и наказания, Межамериканскую конвенцию о предоставлении п</w:t>
      </w:r>
      <w:r>
        <w:t>о</w:t>
      </w:r>
      <w:r>
        <w:t>литических прав женщинам и Конвенцию о ликвидации всех форм дискрим</w:t>
      </w:r>
      <w:r>
        <w:t>и</w:t>
      </w:r>
      <w:r>
        <w:t>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w:t>
      </w:r>
      <w:r>
        <w:tab/>
        <w:t>Как уже говорилось выше, в статье 47 предусматриваются конституцио</w:t>
      </w:r>
      <w:r>
        <w:t>н</w:t>
      </w:r>
      <w:r>
        <w:t>ные гарантии равных возможностей.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w:t>
      </w:r>
      <w:r>
        <w:tab/>
        <w:t>В статье 60 Конституции предусматривается, что государство проводит политику, направленную на недопущение насилия в семье и искоренение др</w:t>
      </w:r>
      <w:r>
        <w:t>у</w:t>
      </w:r>
      <w:r>
        <w:t>гих причин, подрывающих ее сплоченность.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w:t>
      </w:r>
      <w:r>
        <w:tab/>
        <w:t>В 1994 году был принят закон 605/95 о Конвенции Белем до Пара, которая является концептуальной основой разработки Национального плана действий по предупреждению и пресечению насилия в отношении женщин. Для решения поставленных задач Секретариат по делам женщин создал межведомственную комиссию в составе представителей министерств правосудия и труда, внутре</w:t>
      </w:r>
      <w:r>
        <w:t>н</w:t>
      </w:r>
      <w:r>
        <w:t>них дел, образования и культуры, здравоохранения и социального обеспечения; генеральной прокуратуры, национальной полиции, муниципального совета г</w:t>
      </w:r>
      <w:r>
        <w:t>о</w:t>
      </w:r>
      <w:r>
        <w:t>рода Асунсьон и Координационного комитета женщин Парагвая. Работа коми</w:t>
      </w:r>
      <w:r>
        <w:t>с</w:t>
      </w:r>
      <w:r>
        <w:t>сии, координируемая Секретариатом по делам женщин, состоит в учете поз</w:t>
      </w:r>
      <w:r>
        <w:t>и</w:t>
      </w:r>
      <w:r>
        <w:t>ций правительственных учреждений и неправительственных организаций, з</w:t>
      </w:r>
      <w:r>
        <w:t>а</w:t>
      </w:r>
      <w:r>
        <w:t>нимающихся вопросами предупреждения, пресечения и искоренения насилия, а также в содействии обеспечению уважения прав человека женщин. Члены к</w:t>
      </w:r>
      <w:r>
        <w:t>о</w:t>
      </w:r>
      <w:r>
        <w:t>миссии стремятся активизировать процесс осуществления Национального пл</w:t>
      </w:r>
      <w:r>
        <w:t>а</w:t>
      </w:r>
      <w:r>
        <w:t>на действий по предупреждению, пресечению и искоренению насилия в отн</w:t>
      </w:r>
      <w:r>
        <w:t>о</w:t>
      </w:r>
      <w:r>
        <w:t>шении женщин и ставят перед собой следующие основные задачи: оказание психологической помощи женщинам - жертвам насилия, обучение сотрудников полиции, органов здравоохранения, образования, прокуратуры, поддержание единых баз данных, проведение расследований, изучение законодательства и организация кампаний по повышению осведомленн</w:t>
      </w:r>
      <w:r>
        <w:t>о</w:t>
      </w:r>
      <w:r>
        <w:t xml:space="preserve">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w:t>
      </w:r>
      <w:r>
        <w:tab/>
        <w:t>Национальный план действий по обеспечению равных возможностей для женщин на период 1997</w:t>
      </w:r>
      <w:r>
        <w:noBreakHyphen/>
        <w:t xml:space="preserve">2001 годов определяет девять сфер деятельности по отражению гендерных вопросов в отраслевых стратегиях государственных и неправительственных организаций и ведомств.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w:t>
      </w:r>
      <w:r>
        <w:tab/>
        <w:t>В рамках Национального плана действий по обеспечению равных во</w:t>
      </w:r>
      <w:r>
        <w:t>з</w:t>
      </w:r>
      <w:r>
        <w:t>можностей для женщин осуществляются также договоренности, вытекающие из Регионального плана действий ЭКЛАК, Плана действий МАКЖ и Плана действий, принятого на четвертой Всемирной конференции по проблемам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w:t>
      </w:r>
      <w:r>
        <w:tab/>
        <w:t>Секретариат по делам женщин представлен также в трехсторонней коми</w:t>
      </w:r>
      <w:r>
        <w:t>с</w:t>
      </w:r>
      <w:r>
        <w:t>сии, в состав которой входят также представители Координационного комитета женщин Парагвая и ПРООН и которая занимается вопросами осуществления Пекинской платформы действий и обязательств, принятых на себя Парагваем по П</w:t>
      </w:r>
      <w:r>
        <w:t>е</w:t>
      </w:r>
      <w:r>
        <w:t>кинской декларации.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4</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1.</w:t>
      </w:r>
      <w:r>
        <w:rPr>
          <w:b/>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w:t>
      </w:r>
      <w:r>
        <w:rPr>
          <w:b/>
        </w:rPr>
        <w:t>а</w:t>
      </w:r>
      <w:r>
        <w:rPr>
          <w:b/>
        </w:rPr>
        <w:t>стоящей Конвенцией, дискриминационным, однако оно ни в коей мере не должно влечь за собой сохранение неравноправных или дифференцир</w:t>
      </w:r>
      <w:r>
        <w:rPr>
          <w:b/>
        </w:rPr>
        <w:t>о</w:t>
      </w:r>
      <w:r>
        <w:rPr>
          <w:b/>
        </w:rPr>
        <w:t>ванных стандартов; эти меры должны быть отменены, когда будут до</w:t>
      </w:r>
      <w:r>
        <w:rPr>
          <w:b/>
        </w:rPr>
        <w:t>с</w:t>
      </w:r>
      <w:r>
        <w:rPr>
          <w:b/>
        </w:rPr>
        <w:t>тигнуты цели равенства возможностей и равноправного отношения.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2.</w:t>
      </w:r>
      <w:r>
        <w:rPr>
          <w:b/>
        </w:rPr>
        <w:tab/>
        <w:t>Принятие государствами-участниками специальных мер, н</w:t>
      </w:r>
      <w:r>
        <w:rPr>
          <w:b/>
        </w:rPr>
        <w:t>а</w:t>
      </w:r>
      <w:r>
        <w:rPr>
          <w:b/>
        </w:rPr>
        <w:t>правленных на охрану материнства, включая меры, содержащиеся в н</w:t>
      </w:r>
      <w:r>
        <w:rPr>
          <w:b/>
        </w:rPr>
        <w:t>а</w:t>
      </w:r>
      <w:r>
        <w:rPr>
          <w:b/>
        </w:rPr>
        <w:t xml:space="preserve">стоящей Конвенции, не считается дискриминационным.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w:t>
      </w:r>
      <w:r>
        <w:tab/>
        <w:t>Исходя из положений Конституции, правительство Парагвая принимает меры, которые можно назвать подготовкой к деятельности государства по з</w:t>
      </w:r>
      <w:r>
        <w:t>а</w:t>
      </w:r>
      <w:r>
        <w:t>щите интересов женщин, среди которых можно указать следу</w:t>
      </w:r>
      <w:r>
        <w:t>ю</w:t>
      </w:r>
      <w:r>
        <w:t>щие: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w:t>
      </w:r>
      <w:r>
        <w:tab/>
        <w:t>Первой мерой в плане позитивных действий государственных органов Парагвая после принятия Национальной конституции явилось создание Секр</w:t>
      </w:r>
      <w:r>
        <w:t>е</w:t>
      </w:r>
      <w:r>
        <w:t>тариата по делам женщин (Закон 34/92) по предложению женщин, объедине</w:t>
      </w:r>
      <w:r>
        <w:t>н</w:t>
      </w:r>
      <w:r>
        <w:t>ных в организации Координационный комитет по делам женщин Парагвая (КМП) и Мультисекторальная женская ассоциация, для обеспечения со стор</w:t>
      </w:r>
      <w:r>
        <w:t>о</w:t>
      </w:r>
      <w:r>
        <w:t>ны государства гарантии эффективного включения гендерных аспектов в гос</w:t>
      </w:r>
      <w:r>
        <w:t>у</w:t>
      </w:r>
      <w:r>
        <w:t xml:space="preserve">дарственную политику.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w:t>
      </w:r>
      <w:r>
        <w:tab/>
        <w:t>С 1994 года разрабатываются национальные планы, связанные с правами человека женщин и принятием мер по достижению и укреплению равенства. К их числу относятся Национальный план по предупреждению насилия в отн</w:t>
      </w:r>
      <w:r>
        <w:t>о</w:t>
      </w:r>
      <w:r>
        <w:t>шении женщин и наказанию за него, Национальный план укрепления репр</w:t>
      </w:r>
      <w:r>
        <w:t>о</w:t>
      </w:r>
      <w:r>
        <w:t>дуктивного здоровья и национального планирования и Национальный план обеспечения равенства возможн</w:t>
      </w:r>
      <w:r>
        <w:t>о</w:t>
      </w:r>
      <w:r>
        <w:t xml:space="preserve">стей для женщин на период 1997-2001 годов.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w:t>
      </w:r>
      <w:r>
        <w:tab/>
        <w:t>На местном уровне мэрия города Асунсьон приняла постановление по л</w:t>
      </w:r>
      <w:r>
        <w:t>и</w:t>
      </w:r>
      <w:r>
        <w:t xml:space="preserve">квидации дискриминации женщин, включенное в уставы комиссий жителей общин, согласно которому состав этих комиссий должен формироваться при равном представительстве обоих полов, причем эта квота не должна быть ниже 30 процентов для мужчин 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w:t>
      </w:r>
      <w:r>
        <w:tab/>
        <w:t>В настоящее время представитель нижней палаты Национального ко</w:t>
      </w:r>
      <w:r>
        <w:t>н</w:t>
      </w:r>
      <w:r>
        <w:t>гресса в координации с Международным фондом для избирательных систем (ИФЕС) разрабатывает предложение, которое ляжет в основу документа для последующего анализа и оценки со стороны различных политических орган</w:t>
      </w:r>
      <w:r>
        <w:t>и</w:t>
      </w:r>
      <w:r>
        <w:t>заций Пар</w:t>
      </w:r>
      <w:r>
        <w:t>а</w:t>
      </w:r>
      <w:r>
        <w:t xml:space="preserve">гвая.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w:t>
      </w:r>
      <w:r>
        <w:tab/>
        <w:t>Сеть организаций "Женщины в политике" и Секретариат по делам же</w:t>
      </w:r>
      <w:r>
        <w:t>н</w:t>
      </w:r>
      <w:r>
        <w:t>щин совместно выступают за изменение Избирательного кодекса, предлагая у</w:t>
      </w:r>
      <w:r>
        <w:t>с</w:t>
      </w:r>
      <w:r>
        <w:t xml:space="preserve">тановить лимит в 60 процентов для кандидатов одного пола и чередование мужчин и женщин в партийных списках.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w:t>
      </w:r>
      <w:r>
        <w:tab/>
        <w:t>Избирательный кодекс содержит положение, представляющее собой п</w:t>
      </w:r>
      <w:r>
        <w:t>о</w:t>
      </w:r>
      <w:r>
        <w:t>ложительную дискриминацию. Согласно пункту r) статьи 32 Закона 834/96 в кодекс вносятся поправки, направленные на поощрение работы не менее 20 процентов женщин на выборных должностях и назначение значительной д</w:t>
      </w:r>
      <w:r>
        <w:t>о</w:t>
      </w:r>
      <w:r>
        <w:t>ли женщин на руководящие государственные посты. В целях обеспечения уч</w:t>
      </w:r>
      <w:r>
        <w:t>а</w:t>
      </w:r>
      <w:r>
        <w:t xml:space="preserve">стия женщин в работе выборных коллегиальных органов женщины-кандидаты должны выдвигаться из расчета одна женщина на каждые пять должностей в списках, независимо от характера должности, но соотношение должно быть неизменным - одна женщина-кандидат на каждые пять выборных должностей. Каждая партия, движение или союз, имеющий свой список, сам определяет приоритет кандидатов.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5</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Государства-участники принимают все соответствующие меры с ц</w:t>
      </w:r>
      <w:r>
        <w:rPr>
          <w:b/>
        </w:rPr>
        <w:t>е</w:t>
      </w:r>
      <w:r>
        <w:rPr>
          <w:b/>
        </w:rPr>
        <w:t xml:space="preserve">лью: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а)</w:t>
      </w:r>
      <w:r>
        <w:rPr>
          <w:b/>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w:t>
      </w:r>
      <w:r>
        <w:rPr>
          <w:b/>
        </w:rPr>
        <w:t>н</w:t>
      </w:r>
      <w:r>
        <w:rPr>
          <w:b/>
        </w:rPr>
        <w:t>ности или превосходства одного из полов или стереотипности роли му</w:t>
      </w:r>
      <w:r>
        <w:rPr>
          <w:b/>
        </w:rPr>
        <w:t>ж</w:t>
      </w:r>
      <w:r>
        <w:rPr>
          <w:b/>
        </w:rPr>
        <w:t xml:space="preserve">чин 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43.</w:t>
      </w:r>
      <w:r>
        <w:tab/>
        <w:t>В статье 27 Национальной конституции отмечается, что в интересах на</w:t>
      </w:r>
      <w:r>
        <w:t>и</w:t>
      </w:r>
      <w:r>
        <w:t>лучшей защиты прав ребенка, молодежи, неграмотных, потребителей и же</w:t>
      </w:r>
      <w:r>
        <w:t>н</w:t>
      </w:r>
      <w:r>
        <w:t>щин принцип гласности должен регулироваться. Кроме того, в статье 25 закр</w:t>
      </w:r>
      <w:r>
        <w:t>е</w:t>
      </w:r>
      <w:r>
        <w:t>плено право на свободное выражение своего мнения, на творчество и форм</w:t>
      </w:r>
      <w:r>
        <w:t>и</w:t>
      </w:r>
      <w:r>
        <w:t>рование личности мужчин и женщин. Статья 55 устанавливает принцип разв</w:t>
      </w:r>
      <w:r>
        <w:t>и</w:t>
      </w:r>
      <w:r>
        <w:t>тия и защиты ответственного материнства и отцовства через создание инстит</w:t>
      </w:r>
      <w:r>
        <w:t>у</w:t>
      </w:r>
      <w:r>
        <w:t>тов, н</w:t>
      </w:r>
      <w:r>
        <w:t>е</w:t>
      </w:r>
      <w:r>
        <w:t xml:space="preserve">обходимых для достижения этих целей.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44.</w:t>
      </w:r>
      <w:r>
        <w:tab/>
        <w:t>Секретариат по делам женщин при Президенте Республики, а также др</w:t>
      </w:r>
      <w:r>
        <w:t>у</w:t>
      </w:r>
      <w:r>
        <w:t>гие региональные, муниципальные и неправительственные органы предприн</w:t>
      </w:r>
      <w:r>
        <w:t>и</w:t>
      </w:r>
      <w:r>
        <w:t>мают усилия по проведению кампаний распространения информации среди общественности и налаживанию постоянных связей со средствами массовой информации. Для стимулирования создания сбалансированного образа женщин и молодежи при выполнении ими своих многочисленных функций были разр</w:t>
      </w:r>
      <w:r>
        <w:t>а</w:t>
      </w:r>
      <w:r>
        <w:t xml:space="preserve">ботаны стратегии информации, просвещения и связи.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45.</w:t>
      </w:r>
      <w:r>
        <w:tab/>
        <w:t>Кроме того, НПО и Секретариат по делам женщин, действуя совместно или самостоятельно, организовали информационные кампании для просвещ</w:t>
      </w:r>
      <w:r>
        <w:t>е</w:t>
      </w:r>
      <w:r>
        <w:t>ния населения по вопросам насилия в отношении женщин. Говоря конкретно, сюда, в частности, относятся следующие темы: бытовое насилие, надругател</w:t>
      </w:r>
      <w:r>
        <w:t>ь</w:t>
      </w:r>
      <w:r>
        <w:t>ство над детьми, права человека женщин, мероприятия по случаю Междун</w:t>
      </w:r>
      <w:r>
        <w:t>а</w:t>
      </w:r>
      <w:r>
        <w:t>родного дня несексистского образования и достижения в области законодател</w:t>
      </w:r>
      <w:r>
        <w:t>ь</w:t>
      </w:r>
      <w:r>
        <w:t>ства. В свою очередь, органы печати способствовали развертыванию этих ка</w:t>
      </w:r>
      <w:r>
        <w:t>м</w:t>
      </w:r>
      <w:r>
        <w:t xml:space="preserve">паний, и тележурналисты в своих программах отводили время для обсуждения указанных тем.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46.</w:t>
      </w:r>
      <w:r>
        <w:tab/>
        <w:t>Трехсторонняя комиссия в составе Секретариата по делам женщин, Коо</w:t>
      </w:r>
      <w:r>
        <w:t>р</w:t>
      </w:r>
      <w:r>
        <w:t>динационного комитета по делам женщин Парагвая и Программы развития О</w:t>
      </w:r>
      <w:r>
        <w:t>р</w:t>
      </w:r>
      <w:r>
        <w:t>ганизации Объединенных Наций провела исследование по теме "Женщина и средства информации" (1998 год), где анализируется образ женщины в средс</w:t>
      </w:r>
      <w:r>
        <w:t>т</w:t>
      </w:r>
      <w:r>
        <w:t>вах массовой информации и положение работающих в этих средствах журн</w:t>
      </w:r>
      <w:r>
        <w:t>а</w:t>
      </w:r>
      <w:r>
        <w:t>листок. Кроме того, цель этой работы состоит в определении областей, тр</w:t>
      </w:r>
      <w:r>
        <w:t>е</w:t>
      </w:r>
      <w:r>
        <w:t>бующих внимания, и в рассмотрении текущей политики распространения и</w:t>
      </w:r>
      <w:r>
        <w:t>н</w:t>
      </w:r>
      <w:r>
        <w:t>формации в интересах создания целостной картины гендерного распределения. Результаты исследования позволили получить данные о тех аспектах коммун</w:t>
      </w:r>
      <w:r>
        <w:t>и</w:t>
      </w:r>
      <w:r>
        <w:t>кационных технологий, которые требуют наибольшего вн</w:t>
      </w:r>
      <w:r>
        <w:t>и</w:t>
      </w:r>
      <w:r>
        <w:t xml:space="preserve">мания.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47.</w:t>
      </w:r>
      <w:r>
        <w:tab/>
        <w:t>При содействии НПО и государства были подготовлены преподаватели по управлению и использованию средств массовой информации и организованы семинары по подготовке женщин, работающих в этих средствах и имеющих свободный доступ к средствам массовой информации или их возможностям, по вопросам важности участия женщин в выборах. При этом через организацию дискуссий, видеоконференций и лоббирование были предприняты попытки расширить осведомленность журналистов о важности гендерных аспектов н</w:t>
      </w:r>
      <w:r>
        <w:t>о</w:t>
      </w:r>
      <w:r>
        <w:t>востных программ и, в частности, таких социальных проблем, как внутрис</w:t>
      </w:r>
      <w:r>
        <w:t>е</w:t>
      </w:r>
      <w:r>
        <w:t>мейное насилие, сексуальное надругател</w:t>
      </w:r>
      <w:r>
        <w:t>ь</w:t>
      </w:r>
      <w:r>
        <w:t xml:space="preserve">ство над несовершеннолетними и т.д.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48.</w:t>
      </w:r>
      <w:r>
        <w:tab/>
        <w:t>Со средствами массовой информации была проведена лоббистская работа в целях обеспечения журналистского освещения конкретных мероприятий и распространения радио и телевизионных программ и плакатов по вопросам прав человека женщин и детей, полового просвещения, бытового насилия, важности лидирующей роли женщин, окружающей среды и в том числе мер, да</w:t>
      </w:r>
      <w:r>
        <w:t>в</w:t>
      </w:r>
      <w:r>
        <w:t xml:space="preserve">ших положительные результаты.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49.</w:t>
      </w:r>
      <w:r>
        <w:tab/>
        <w:t>Факультеты коммуникаций различных университетов приняли на работу представительниц женских организаций для проведения дополнительных с</w:t>
      </w:r>
      <w:r>
        <w:t>е</w:t>
      </w:r>
      <w:r>
        <w:t xml:space="preserve">минаров по гендерным аспектам информационных сообщений и анализу образа женщин в средствах массовой информации.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50.</w:t>
      </w:r>
      <w:r>
        <w:tab/>
        <w:t>Что касается публикаций, то было организовано издание книг, плакатов, брошюр, триптихов, буклетов, кратких театральных пьес, этюдов, малофо</w:t>
      </w:r>
      <w:r>
        <w:t>р</w:t>
      </w:r>
      <w:r>
        <w:t>матных радиопрограмм и т.д. в целях распространения информации о работе женщин во властных структурах, политической платформе феминистского движения, участии женщин в деятельности муниципальных органов, а также в числе прочего о законопроекте по борьбе с бытовым насилием, надругательс</w:t>
      </w:r>
      <w:r>
        <w:t>т</w:t>
      </w:r>
      <w:r>
        <w:t xml:space="preserve">вом над детьми, о равном доступе к образованию.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51.</w:t>
      </w:r>
      <w:r>
        <w:tab/>
        <w:t>Активизировалось участие радио- и телевизионных станций и органов п</w:t>
      </w:r>
      <w:r>
        <w:t>е</w:t>
      </w:r>
      <w:r>
        <w:t>чати в обсуждении вопросов, представляющих особый интерес для женщин, проблем насилия, гражданских прав, сексуальных отношений, а иногда - экономики и политики, т.е. в тех областях, куда редко вмешиваются парагва</w:t>
      </w:r>
      <w:r>
        <w:t>й</w:t>
      </w:r>
      <w:r>
        <w:t>ские женщины. Вместе с тем отсутствуют группы контроля и/или санкции за неадекватное использование или замалчивание СМИ информации по гендерной проблематике. Проблемы лиц третьей возрастной группы или девочек не пре</w:t>
      </w:r>
      <w:r>
        <w:t>д</w:t>
      </w:r>
      <w:r>
        <w:t xml:space="preserve">ставляют интерес для СМИ.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t>b)</w:t>
      </w:r>
      <w:r>
        <w:rPr>
          <w:b/>
        </w:rPr>
        <w:tab/>
        <w:t>обеспечить, чтобы семейное воспитание включало в себя пр</w:t>
      </w:r>
      <w:r>
        <w:rPr>
          <w:b/>
        </w:rPr>
        <w:t>а</w:t>
      </w:r>
      <w:r>
        <w:rPr>
          <w:b/>
        </w:rPr>
        <w:t>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w:t>
      </w:r>
      <w:r>
        <w:rPr>
          <w:b/>
        </w:rPr>
        <w:t>а</w:t>
      </w:r>
      <w:r>
        <w:rPr>
          <w:b/>
        </w:rPr>
        <w:t>да</w:t>
      </w:r>
      <w:r>
        <w:rPr>
          <w:b/>
        </w:rPr>
        <w:t>ю</w:t>
      </w:r>
      <w:r>
        <w:rPr>
          <w:b/>
        </w:rPr>
        <w:t>щими.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52.</w:t>
      </w:r>
      <w:r>
        <w:tab/>
        <w:t>Статья 55 Национальной конституции гласит: "ответственное материнство и отцовство пользуются защитой государства, которое способствует созданию необходимых институтов для достижения указанных целей". В этой области значительных достижений не отмечается, поскольку проверяется создание только некоторых детских учреждений по инициативе таких государственных структур, как муниципалитет города Асунсьон и Секретариат по делам женщин в координации с другими государственными органами, причем в обоих случаях речь идет о детях госслужащих и сотрудников этих учреждений. Другие мун</w:t>
      </w:r>
      <w:r>
        <w:t>и</w:t>
      </w:r>
      <w:r>
        <w:t>ципалитеты также выступили с инициативами по обустройству детских учре</w:t>
      </w:r>
      <w:r>
        <w:t>ж</w:t>
      </w:r>
      <w:r>
        <w:t>дений, обслуживающих малоимущих матерей и матерей-одиночек. В отдельн</w:t>
      </w:r>
      <w:r>
        <w:t>о</w:t>
      </w:r>
      <w:r>
        <w:t>сти эти инициативы еще нельзя рассматривать как часть последовательной п</w:t>
      </w:r>
      <w:r>
        <w:t>о</w:t>
      </w:r>
      <w:r>
        <w:t xml:space="preserve">литики, позволяющей женщинам совмещать трудовую и семейную жизнь.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53.</w:t>
      </w:r>
      <w:r>
        <w:tab/>
        <w:t>Национальная программа обеспечения женщинам равных возможностей и результатов в области образования (ПРИОМЕ), которая осуществляется на д</w:t>
      </w:r>
      <w:r>
        <w:t>о</w:t>
      </w:r>
      <w:r>
        <w:t>говорных началах Секретариатом по делам женщин и Министерством просв</w:t>
      </w:r>
      <w:r>
        <w:t>е</w:t>
      </w:r>
      <w:r>
        <w:t>щения и культуры, организовала курсы повышения квалификации в целях пр</w:t>
      </w:r>
      <w:r>
        <w:t>и</w:t>
      </w:r>
      <w:r>
        <w:t>зн</w:t>
      </w:r>
      <w:r>
        <w:t>а</w:t>
      </w:r>
      <w:r>
        <w:t xml:space="preserve">ния ответственности семьи за образование и развитие детей.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6</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t>Государства-участники принимают все соответствующие меры, включая законодательные, для пресечения всех видов торговли женщ</w:t>
      </w:r>
      <w:r>
        <w:rPr>
          <w:b/>
        </w:rPr>
        <w:t>и</w:t>
      </w:r>
      <w:r>
        <w:rPr>
          <w:b/>
        </w:rPr>
        <w:t>нами и эк</w:t>
      </w:r>
      <w:r>
        <w:rPr>
          <w:b/>
        </w:rPr>
        <w:t>с</w:t>
      </w:r>
      <w:r>
        <w:rPr>
          <w:b/>
        </w:rPr>
        <w:t>плуатации проституции женщин.</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54.</w:t>
      </w:r>
      <w:r>
        <w:tab/>
        <w:t>Статья 54 Национальной конституции устанавливает совместную ответс</w:t>
      </w:r>
      <w:r>
        <w:t>т</w:t>
      </w:r>
      <w:r>
        <w:t>венность семьи, общества и государства за обеспечение детям права на гарм</w:t>
      </w:r>
      <w:r>
        <w:t>о</w:t>
      </w:r>
      <w:r>
        <w:t>ничное и комплексное развитие личности, а также на полное осуществление их прав и защиту от беспризорности, недоедания, насилия, надругательства, нез</w:t>
      </w:r>
      <w:r>
        <w:t>а</w:t>
      </w:r>
      <w:r>
        <w:t xml:space="preserve">конной торговли и эксплуатации.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55.</w:t>
      </w:r>
      <w:r>
        <w:tab/>
        <w:t>Закон 1160 1997 года об Уголовном кодексе квалифицирует как престу</w:t>
      </w:r>
      <w:r>
        <w:t>п</w:t>
      </w:r>
      <w:r>
        <w:t>ника любое лицо, которое с помощью силы, угрозы причинения ущерба или путем обмана вывозит другое лицо или ввозит его на территорию Парагвая и, пользуясь его беззащитностью, вовлекает это лицо в проституцию. Как пр</w:t>
      </w:r>
      <w:r>
        <w:t>е</w:t>
      </w:r>
      <w:r>
        <w:t>ступник квалифицируется также лицо, которое действует из коммерческих с</w:t>
      </w:r>
      <w:r>
        <w:t>о</w:t>
      </w:r>
      <w:r>
        <w:t>ображений или в составе преступной группировки, созданной в вышеуказа</w:t>
      </w:r>
      <w:r>
        <w:t>н</w:t>
      </w:r>
      <w:r>
        <w:t xml:space="preserve">ных целях.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56.</w:t>
      </w:r>
      <w:r>
        <w:tab/>
        <w:t>Статья 139 квалифицирует как сутенерство действия лица, которое вовл</w:t>
      </w:r>
      <w:r>
        <w:t>е</w:t>
      </w:r>
      <w:r>
        <w:t>кает другое лицо моложе 18 лет в проституцию. Аналогичных образом квал</w:t>
      </w:r>
      <w:r>
        <w:t>и</w:t>
      </w:r>
      <w:r>
        <w:t>фицируются такие действия в отношении лиц 18-20 лет, если при этом прои</w:t>
      </w:r>
      <w:r>
        <w:t>с</w:t>
      </w:r>
      <w:r>
        <w:t>ходит злоупотребление их беззащитностью, доверием или наивностью, или лиц в возрасте 18-20 лет, если их образованием занимаются вышеуказанные пр</w:t>
      </w:r>
      <w:r>
        <w:t>е</w:t>
      </w:r>
      <w:r>
        <w:t>ступники. Торговля женщинами в целях их эксплуатации в качестве простит</w:t>
      </w:r>
      <w:r>
        <w:t>у</w:t>
      </w:r>
      <w:r>
        <w:t xml:space="preserve">ток считается преступлением.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rPr>
          <w:sz w:val="10"/>
        </w:rPr>
      </w:pPr>
      <w:r>
        <w:br w:type="page"/>
      </w:r>
    </w:p>
    <w:p w:rsidR="00000000" w:rsidRDefault="00000000">
      <w:pPr>
        <w:pStyle w:val="SingleTxt"/>
        <w:spacing w:after="0" w:line="24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Часть вторая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7</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t>Государства-участники принимают все соответствующие меры по ликвидации дискриминации в отношении женщин в политической и о</w:t>
      </w:r>
      <w:r>
        <w:rPr>
          <w:b/>
        </w:rPr>
        <w:t>б</w:t>
      </w:r>
      <w:r>
        <w:rPr>
          <w:b/>
        </w:rPr>
        <w:t xml:space="preserve">щественной жизни страны и, в частности, обеспечивают женщинам на равных условиях с мужчинами право: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t>а)</w:t>
      </w:r>
      <w:r>
        <w:rPr>
          <w:b/>
        </w:rPr>
        <w:tab/>
        <w:t>голосовать на всех выборах и публичных референдумах и изб</w:t>
      </w:r>
      <w:r>
        <w:rPr>
          <w:b/>
        </w:rPr>
        <w:t>и</w:t>
      </w:r>
      <w:r>
        <w:rPr>
          <w:b/>
        </w:rPr>
        <w:t xml:space="preserve">раться во все публично избираемые органы;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t>b)</w:t>
      </w:r>
      <w:r>
        <w:rPr>
          <w:b/>
        </w:rPr>
        <w:tab/>
        <w:t>участвовать в формулировании и осуществлении политики пр</w:t>
      </w:r>
      <w:r>
        <w:rPr>
          <w:b/>
        </w:rPr>
        <w:t>а</w:t>
      </w:r>
      <w:r>
        <w:rPr>
          <w:b/>
        </w:rPr>
        <w:t>вительства и занимать государственные посты, а также осуществлять все государственные функции на всех уровнях государстве</w:t>
      </w:r>
      <w:r>
        <w:rPr>
          <w:b/>
        </w:rPr>
        <w:t>н</w:t>
      </w:r>
      <w:r>
        <w:rPr>
          <w:b/>
        </w:rPr>
        <w:t>ного управления;</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t>c)</w:t>
      </w:r>
      <w:r>
        <w:rPr>
          <w:b/>
        </w:rPr>
        <w:tab/>
        <w:t>принимать участие в деятельности неправительственных орг</w:t>
      </w:r>
      <w:r>
        <w:rPr>
          <w:b/>
        </w:rPr>
        <w:t>а</w:t>
      </w:r>
      <w:r>
        <w:rPr>
          <w:b/>
        </w:rPr>
        <w:t>низаций и ассоциаций, занимающихся проблемами общественной и пол</w:t>
      </w:r>
      <w:r>
        <w:rPr>
          <w:b/>
        </w:rPr>
        <w:t>и</w:t>
      </w:r>
      <w:r>
        <w:rPr>
          <w:b/>
        </w:rPr>
        <w:t>тической жизни страны.</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57.</w:t>
      </w:r>
      <w:r>
        <w:tab/>
        <w:t>Национальная конституция 1992 года в статьях 46 и 47 главы, посвяще</w:t>
      </w:r>
      <w:r>
        <w:t>н</w:t>
      </w:r>
      <w:r>
        <w:t>ной вопросам равенства, устанавливает равенство всех лиц и гарантии раве</w:t>
      </w:r>
      <w:r>
        <w:t>н</w:t>
      </w:r>
      <w:r>
        <w:t>ства, провозглашая, что все граждане Республики равны перед законом в своем достоинстве и правах. Никакие виды дискриминации не допускаются, и на г</w:t>
      </w:r>
      <w:r>
        <w:t>о</w:t>
      </w:r>
      <w:r>
        <w:t>сударство возлагается ответственность за устранение причин и факторов, сп</w:t>
      </w:r>
      <w:r>
        <w:t>о</w:t>
      </w:r>
      <w:r>
        <w:t>собствующих их возникновению. В ней также гарантируется равенство доступа к правосудию, равенство перед законом, равный доступ к государственным н</w:t>
      </w:r>
      <w:r>
        <w:t>е</w:t>
      </w:r>
      <w:r>
        <w:t xml:space="preserve">выборным должностям при условии соответствия предъявляемым требованиям и равенство прав на пользование природными богатствами, материальными и культурными благами.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58.</w:t>
      </w:r>
      <w:r>
        <w:tab/>
        <w:t>В статье 48 Конституции конкретно говорится: "</w:t>
      </w:r>
      <w:r>
        <w:rPr>
          <w:i/>
        </w:rPr>
        <w:t>Мужчина и женщина имеют одинаковые гражданские, политические, социальные, экономические и культурные права. Государство способствует созданию необходимых условий и механизмов для обеспечения реального и эффективного равенства, устраняя препятствия и трудности на пути его осуществления и содействуя расшир</w:t>
      </w:r>
      <w:r>
        <w:rPr>
          <w:i/>
        </w:rPr>
        <w:t>е</w:t>
      </w:r>
      <w:r>
        <w:rPr>
          <w:i/>
        </w:rPr>
        <w:t xml:space="preserve">нию участия женщины во всех сферах национальной жизни".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59.</w:t>
      </w:r>
      <w:r>
        <w:tab/>
        <w:t xml:space="preserve">Что касается участия в политической жизни, то в главе под названием "Политические права и обязанности" говорится (статья 117): </w:t>
      </w:r>
      <w:r>
        <w:rPr>
          <w:i/>
        </w:rPr>
        <w:t>"Граждане без различий по признаку пола имеют право прямо или через своих представителей участвовать в государственных делах в форме, которая определяется н</w:t>
      </w:r>
      <w:r>
        <w:rPr>
          <w:i/>
        </w:rPr>
        <w:t>а</w:t>
      </w:r>
      <w:r>
        <w:rPr>
          <w:i/>
        </w:rPr>
        <w:t>стоящей Конституцией и законами. Поощряется доступ женщин к выполн</w:t>
      </w:r>
      <w:r>
        <w:rPr>
          <w:i/>
        </w:rPr>
        <w:t>е</w:t>
      </w:r>
      <w:r>
        <w:rPr>
          <w:i/>
        </w:rPr>
        <w:t>нию государственных функций".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60.</w:t>
      </w:r>
      <w:r>
        <w:tab/>
        <w:t>В 1995 году в целях реализации этих положений сеть организаций "Же</w:t>
      </w:r>
      <w:r>
        <w:t>н</w:t>
      </w:r>
      <w:r>
        <w:t>щины в политике Парагвая", создание которой было инициировано в 1993 году Секретариатом по делам женщин при Президенте Республики и которая сыгр</w:t>
      </w:r>
      <w:r>
        <w:t>а</w:t>
      </w:r>
      <w:r>
        <w:t>ла важную роль в отстаивании интересов женщин в области деятельности п</w:t>
      </w:r>
      <w:r>
        <w:t>о</w:t>
      </w:r>
      <w:r>
        <w:t>литических партий, где принимают участие представительницы наиболее авт</w:t>
      </w:r>
      <w:r>
        <w:t>о</w:t>
      </w:r>
      <w:r>
        <w:t>ритетных партий страны, внесла при поддержке Секретариата по делам же</w:t>
      </w:r>
      <w:r>
        <w:t>н</w:t>
      </w:r>
      <w:r>
        <w:t>щин в Национальный конгресс предложение о внесении поправок в Избир</w:t>
      </w:r>
      <w:r>
        <w:t>а</w:t>
      </w:r>
      <w:r>
        <w:t>тельный кодекс, установив минимальную квоту участия в 40 процентов. В 1997 году предложение о 40-процентной квоте было вновь внесено в парл</w:t>
      </w:r>
      <w:r>
        <w:t>а</w:t>
      </w:r>
      <w:r>
        <w:t>мент страны сетью организаций "Женщины в политике" при поддержке Секр</w:t>
      </w:r>
      <w:r>
        <w:t>е</w:t>
      </w:r>
      <w:r>
        <w:t xml:space="preserve">тариата по делам женщин. Однако это предложение не было одобрено, хотя оно и получило значительное количество голосов.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61.</w:t>
      </w:r>
      <w:r>
        <w:tab/>
        <w:t>Тем не менее недопредставленность женщин по-прежнему сохранялась практически во всех сферах социально-политической жизни страны. В течение этого периода обе выборные должности исполнительной власти были заняты мужчинами. Что касается кабинета министров, где насчитывается 11 постов, то в период с марта по август 1999 года исполняющими обязанности министров здравоохранения и просвещения были две женщины. Ранее - с 1989 по 1993 год - исполняющей обязанности министра была лишь одна женщина. За весь этот период в ранге министра была только руководитель Секретариата по делам женщин при Президенте Республики. На третьем уровне внутримин</w:t>
      </w:r>
      <w:r>
        <w:t>и</w:t>
      </w:r>
      <w:r>
        <w:t xml:space="preserve">стерской иерархии (общее руководство и управление) в 1997 году отмечался 31 процент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62.</w:t>
      </w:r>
      <w:r>
        <w:tab/>
        <w:t>В настоящее время в органах судебной власти насчитывается 27 проце</w:t>
      </w:r>
      <w:r>
        <w:t>н</w:t>
      </w:r>
      <w:r>
        <w:t>тов женщин, в том числе в таких инстанциях, связанных с отправлением пр</w:t>
      </w:r>
      <w:r>
        <w:t>а</w:t>
      </w:r>
      <w:r>
        <w:t>восудия, как избирательные комиссии, прокуратура и государственная адвок</w:t>
      </w:r>
      <w:r>
        <w:t>а</w:t>
      </w:r>
      <w:r>
        <w:t>тура. Хотя из-за большого количества новых назначений и перестройки сист</w:t>
      </w:r>
      <w:r>
        <w:t>е</w:t>
      </w:r>
      <w:r>
        <w:t>мы отправления правосудия полные данные отсутствуют, тем не менее, в 1997 году в этой сфере женщины составляли 30 процентов, а в 1995 году - 13 процентов. Высшие инстанции, как например Верховный суд, Коллегия мир</w:t>
      </w:r>
      <w:r>
        <w:t>о</w:t>
      </w:r>
      <w:r>
        <w:t>вых судей и Высшая избирательная комиссия, по-прежнему остаются почти н</w:t>
      </w:r>
      <w:r>
        <w:t>е</w:t>
      </w:r>
      <w:r>
        <w:t>доступными для женщин, которые сосредоточены на должностях мировых с</w:t>
      </w:r>
      <w:r>
        <w:t>у</w:t>
      </w:r>
      <w:r>
        <w:t>дей, прокуроров и государственных адв</w:t>
      </w:r>
      <w:r>
        <w:t>о</w:t>
      </w:r>
      <w:r>
        <w:t xml:space="preserve">катов.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63.</w:t>
      </w:r>
      <w:r>
        <w:tab/>
        <w:t>В период 1995-1999 годов на региональном и муниципальном уровне пр</w:t>
      </w:r>
      <w:r>
        <w:t>о</w:t>
      </w:r>
      <w:r>
        <w:t>изошли изменения в муниципальных органах (1996 год) и органах власти одн</w:t>
      </w:r>
      <w:r>
        <w:t>о</w:t>
      </w:r>
      <w:r>
        <w:t>го из департаментов страны (1998 год). Участие женщин в муниципальных о</w:t>
      </w:r>
      <w:r>
        <w:t>р</w:t>
      </w:r>
      <w:r>
        <w:t>ганах, куда в 1996 году их было выбрано 14 процентов, возросло на пять пр</w:t>
      </w:r>
      <w:r>
        <w:t>о</w:t>
      </w:r>
      <w:r>
        <w:t>центов, по сравнению с выборами 1991 года, когда на них пришлось 9 процентов. Этот рост обусловлен увеличением численности советников-женщин в муниципальных советах (15 процентов), где раньше они составляли 10 процентов, поскольку в указанный период их доля в городских органах вл</w:t>
      </w:r>
      <w:r>
        <w:t>а</w:t>
      </w:r>
      <w:r>
        <w:t>сти сокр</w:t>
      </w:r>
      <w:r>
        <w:t>а</w:t>
      </w:r>
      <w:r>
        <w:t xml:space="preserve">тилась с 6 до 3 процентов.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64.</w:t>
      </w:r>
      <w:r>
        <w:tab/>
        <w:t>Что касается органов управления департаментов страны, то на сегодня</w:t>
      </w:r>
      <w:r>
        <w:t>ш</w:t>
      </w:r>
      <w:r>
        <w:t>ний день ни одна из женщин не была выбрана губернатором, хотя одна женщ</w:t>
      </w:r>
      <w:r>
        <w:t>и</w:t>
      </w:r>
      <w:r>
        <w:t>на короткий период исполняла эти обязанности в отсутствие избранного губе</w:t>
      </w:r>
      <w:r>
        <w:t>р</w:t>
      </w:r>
      <w:r>
        <w:t>натора департамента Бокерон. В период 1993-1998 годов в советы департаме</w:t>
      </w:r>
      <w:r>
        <w:t>н</w:t>
      </w:r>
      <w:r>
        <w:t xml:space="preserve">тов было избрано около 5 процентов женщин, тогда как в 1998-2003 годах они составляли 9 процентов.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65.</w:t>
      </w:r>
      <w:r>
        <w:tab/>
        <w:t>В 1995-1999 годах отмечается рост женщин на руководящих постах в пяти стабильно действующих партиях страны: Национально-республиканской асс</w:t>
      </w:r>
      <w:r>
        <w:t>о</w:t>
      </w:r>
      <w:r>
        <w:t>циации (НРА), Подлинной либерально-радикальной партии (ПЛРП), Партии "Национальная встреча" (ПНВ), Революционной фебреристской партии (РФП) и Христианско-демократической партии (ХДП). В 1995 году в действующих руководящих органах этих партий женщины составляли 13 процентов, а в 1999 году - уже 19 процентов. Это говорит о сохранении тенденции к росту численности женщин в руководящих партийных органах, которая за десять лет - с 1988 по 1997 год - в процентном отношении удвоилась (с 8 до 16 процентов). Три из этих пяти партий приняли минимальные квоты включ</w:t>
      </w:r>
      <w:r>
        <w:t>е</w:t>
      </w:r>
      <w:r>
        <w:t>ния женщин в списки для внутренних выборов: НРА, ПНВ и РФП. Благодаря принятию квот во всех этих партиях отмечается рост участия женщин. Из двух партий, где квоты не были приняты, в ХДП в указанный период также набл</w:t>
      </w:r>
      <w:r>
        <w:t>ю</w:t>
      </w:r>
      <w:r>
        <w:t>дался рост, хотя, если учесть колебания численности, можно отметить неодн</w:t>
      </w:r>
      <w:r>
        <w:t>о</w:t>
      </w:r>
      <w:r>
        <w:t>родность роста и сокращения партийных рядов. В ПЛРП, единственном из ра</w:t>
      </w:r>
      <w:r>
        <w:t>с</w:t>
      </w:r>
      <w:r>
        <w:t>сматриваемых политических объединений, произошло сокращение численн</w:t>
      </w:r>
      <w:r>
        <w:t>о</w:t>
      </w:r>
      <w:r>
        <w:t>сти женщин в 1995-1999 г</w:t>
      </w:r>
      <w:r>
        <w:t>о</w:t>
      </w:r>
      <w:r>
        <w:t xml:space="preserve">дах, такие же колебания наблюдаются и в ХДП.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66.</w:t>
      </w:r>
      <w:r>
        <w:tab/>
        <w:t>Что касается мер в области избирательных систем, то за этот период в И</w:t>
      </w:r>
      <w:r>
        <w:t>з</w:t>
      </w:r>
      <w:r>
        <w:t>бирательный кодекс была включена минимальная 20-процентная квота участия женщин. Принятие этой квоты стало возможным благодаря требованиям же</w:t>
      </w:r>
      <w:r>
        <w:t>н</w:t>
      </w:r>
      <w:r>
        <w:t>ских организаций (инициатором выступила сеть организаций "Женщины в п</w:t>
      </w:r>
      <w:r>
        <w:t>о</w:t>
      </w:r>
      <w:r>
        <w:t>литике") и поддержке Секретариата по делам женщин при Президенте Респу</w:t>
      </w:r>
      <w:r>
        <w:t>б</w:t>
      </w:r>
      <w:r>
        <w:t>лики. Другие меры, предусматриваемые избирательным законодательством, включают в себя запрещение дискриминации по признаку пола в политической и предвыборной пропаганде и составление списков кандидатов с указанием п</w:t>
      </w:r>
      <w:r>
        <w:t>о</w:t>
      </w:r>
      <w:r>
        <w:t>ла, что позволило бы раздельно производить учет избирателей и дифференц</w:t>
      </w:r>
      <w:r>
        <w:t>и</w:t>
      </w:r>
      <w:r>
        <w:t>рованно анализировать голоса женщин и мужчин. Однако на настоящий м</w:t>
      </w:r>
      <w:r>
        <w:t>о</w:t>
      </w:r>
      <w:r>
        <w:t xml:space="preserve">мент это положение неэффективно применяется на практике.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67.</w:t>
      </w:r>
      <w:r>
        <w:tab/>
        <w:t>Установленная избирательным законодательством квота обязывает партии включать как минимум 20 процентов женщин во внутренние списки для выб</w:t>
      </w:r>
      <w:r>
        <w:t>о</w:t>
      </w:r>
      <w:r>
        <w:t>ров либо в руководящие политические органы, либо в национальные или м</w:t>
      </w:r>
      <w:r>
        <w:t>у</w:t>
      </w:r>
      <w:r>
        <w:t>ниципальные органы, и определяет, что эти 20 процентов должны распред</w:t>
      </w:r>
      <w:r>
        <w:t>е</w:t>
      </w:r>
      <w:r>
        <w:t xml:space="preserve">ляться в списках поочередно с тем, чтобы на каждые пять мест приходилась по крайней мере одна женщина. В окончательном виде процентное соотношение и формулировка значительно отличаются от первоначального варианта, где для представителей того или иного пола предусматривалась максимальная квота в 60 процентов и партиям, где уже имелись свои квоты, она не предлагалась в качестве внутреннего обязательства. Это предложение, впервые внесенное в 1994 году, было принято в 1996 году.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68.</w:t>
      </w:r>
      <w:r>
        <w:tab/>
        <w:t>Сейчас, когда развертывается процесс нового пересмотра Избирательного кодекса, женские организации обсуждают меры, которые можно принять в ц</w:t>
      </w:r>
      <w:r>
        <w:t>е</w:t>
      </w:r>
      <w:r>
        <w:t>лях расширения доступа женщин к руководящим должностям. В этой связи в дополнение к уточнению процентного соотношения и улучшению формул</w:t>
      </w:r>
      <w:r>
        <w:t>и</w:t>
      </w:r>
      <w:r>
        <w:t>ровки положения о квотах вносятся, в частности, такие предложения о мех</w:t>
      </w:r>
      <w:r>
        <w:t>а</w:t>
      </w:r>
      <w:r>
        <w:t>низмах стимулирования политических партий, как повышение государстве</w:t>
      </w:r>
      <w:r>
        <w:t>н</w:t>
      </w:r>
      <w:r>
        <w:t>ных квот партиям, чьи представительницы прошли в выборные органы, и во</w:t>
      </w:r>
      <w:r>
        <w:t>з</w:t>
      </w:r>
      <w:r>
        <w:t>ложение на партии обязанности по повышению квалификации и поощрению женщин. Однако дискуссии в законодательных органах по поддержке этих предложений еще не начались, и члены парламента еще не приняли на себя с</w:t>
      </w:r>
      <w:r>
        <w:t>о</w:t>
      </w:r>
      <w:r>
        <w:t xml:space="preserve">ответствующих обязательств.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69.</w:t>
      </w:r>
      <w:r>
        <w:tab/>
        <w:t>В Национальном гражданском реестре, где перечислены граждане, име</w:t>
      </w:r>
      <w:r>
        <w:t>ю</w:t>
      </w:r>
      <w:r>
        <w:t>щие право голоса на 1996 год, значатся 43 процента женщин и 51 процент мужчин. Половую принадлежность 6 процентов жителей страны установить не удалось. К выборам 1996 года произошло увеличение доли зарегистрирова</w:t>
      </w:r>
      <w:r>
        <w:t>н</w:t>
      </w:r>
      <w:r>
        <w:t xml:space="preserve">ных женщин, которая достигла 48 (45) процентов реестра. Несмотря на эти достижения, уменьшение доли женщин, имеющих право голоса, означает, что меньше женщин по сравнению с мужчинами осуществляют свои гражданские права, особенно если учесть, что численность женского населения в возрасте 18 лет и старше превышает численность мужского населения.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70.</w:t>
      </w:r>
      <w:r>
        <w:tab/>
        <w:t>В организациях гражданского общества, включающих профсоюзные, кр</w:t>
      </w:r>
      <w:r>
        <w:t>е</w:t>
      </w:r>
      <w:r>
        <w:t>стьянские, студенческие, профессиональные, предпринимательские, муниц</w:t>
      </w:r>
      <w:r>
        <w:t>и</w:t>
      </w:r>
      <w:r>
        <w:t>пальные и кооперативные организации, женщины, занимающие зарегистрир</w:t>
      </w:r>
      <w:r>
        <w:t>о</w:t>
      </w:r>
      <w:r>
        <w:t>ванные должности (главным образом должности председателей и членов рук</w:t>
      </w:r>
      <w:r>
        <w:t>о</w:t>
      </w:r>
      <w:r>
        <w:t>водящих комиссий), составляют 10 процентов. Большинство женщин предста</w:t>
      </w:r>
      <w:r>
        <w:t>в</w:t>
      </w:r>
      <w:r>
        <w:t>лены в руководящих органах студенческих и профессиональных организаций, тогда как меньшинство - в предпринимательских объед</w:t>
      </w:r>
      <w:r>
        <w:t>и</w:t>
      </w:r>
      <w:r>
        <w:t xml:space="preserve">нениях.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71.</w:t>
      </w:r>
      <w:r>
        <w:tab/>
        <w:t>В целях компенсировать недопредставленность женщин правительство Парагвая приняло ряд других мер. Сюда относится кампания по включению женщин, имеющих право голоса, в Национальный гражданский реестр, в кот</w:t>
      </w:r>
      <w:r>
        <w:t>о</w:t>
      </w:r>
      <w:r>
        <w:t>ром во время муниципальных выборов 1996 года их доля была заметно ниже доли мужчин. Кампания, предпринятая Секретариатом по делам женщин с</w:t>
      </w:r>
      <w:r>
        <w:t>о</w:t>
      </w:r>
      <w:r>
        <w:t xml:space="preserve">вместно с Высшей избирательной комиссией, позволила повысить показатели участия женщин в избирательном процессе.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72.</w:t>
      </w:r>
      <w:r>
        <w:tab/>
        <w:t>Секретариат по делам женщин при Президенте Республики предпринял усилия по подготовке количественных данных о представленности женщин на ответственных должностях в государственном, политическом и социальном секторах, а также по проведению исследования о качественных аспектах опыта женщин на руководящих должностях в Парагвае. Отчеты о результатах этого исследования о руководящей р</w:t>
      </w:r>
      <w:r>
        <w:t>о</w:t>
      </w:r>
      <w:r>
        <w:t xml:space="preserve">ли женщин содержатся в двух книгах.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73.</w:t>
      </w:r>
      <w:r>
        <w:tab/>
        <w:t>В этой связи как государство через Секретариат по делам женщин, так и различные неправительственные организации разработали проекты и програ</w:t>
      </w:r>
      <w:r>
        <w:t>м</w:t>
      </w:r>
      <w:r>
        <w:t>мы профессиональной подготовки. Секретариат по делам женщин приступил к реализации ряда проектов, непосредственно предназначенных для професси</w:t>
      </w:r>
      <w:r>
        <w:t>о</w:t>
      </w:r>
      <w:r>
        <w:t>нальной подготовки и создания механизмов, необходимых для обеспечения доступа женщин к ответственным должностям и выполнению соответству</w:t>
      </w:r>
      <w:r>
        <w:t>ю</w:t>
      </w:r>
      <w:r>
        <w:t>щих функций. Один их этих проектов под названием "Женщины, лидерство и участие", осуществляемый при поддержке ОАГ, предусматривал создание ку</w:t>
      </w:r>
      <w:r>
        <w:t>р</w:t>
      </w:r>
      <w:r>
        <w:t>сов профессиональной подготовки для молодых женщин, составление и изд</w:t>
      </w:r>
      <w:r>
        <w:t>а</w:t>
      </w:r>
      <w:r>
        <w:t>ние пособий по выполнению руководящих функций и проведение семинаров по освоению соответствующих навыков. В результате работы Секретариата по этому направлению составлен ряд пособий, которые можно использовать при профессиональной подготовке по различной тематике: политические права женщин, укрепление самоуважения, руководство работой групп, лидирующая роль женщин в общинных организациях и формирование руководящих навыков у женщин в политической сфере. Другая программа, инициированная Секрет</w:t>
      </w:r>
      <w:r>
        <w:t>а</w:t>
      </w:r>
      <w:r>
        <w:t>риатом, которая называется "Формирование активной гражданской позиции у женщин", направлена на создание механизмов и стратегий участия женщин и предоставление им доступа в руководящие структуры. Кроме того, следует о</w:t>
      </w:r>
      <w:r>
        <w:t>т</w:t>
      </w:r>
      <w:r>
        <w:t>метить, что числу многочисленных других начинаний Секретариата по делам женщин в различных сферах относится проведение семинаров по професси</w:t>
      </w:r>
      <w:r>
        <w:t>о</w:t>
      </w:r>
      <w:r>
        <w:t>нальной подготовке и углублению осведомленности общественности об аспе</w:t>
      </w:r>
      <w:r>
        <w:t>к</w:t>
      </w:r>
      <w:r>
        <w:t>тах, имеющих большое значение для поощрения участия женщин. На основе соглашения с Высшей избирательной комиссией ведется также подготовка женщин по таким гражданским вопросам, как демократические нормы и це</w:t>
      </w:r>
      <w:r>
        <w:t>н</w:t>
      </w:r>
      <w:r>
        <w:t xml:space="preserve">ности, и поощряется их регистрация в качестве избирателей и осуществление ими своих избирательных прав.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74.</w:t>
      </w:r>
      <w:r>
        <w:tab/>
        <w:t xml:space="preserve">С 1999 года начальница Секретариата по делам женщин при Президенте Республики в ранге министра участвует во всех заседаниях Совета министров и в работе Экономической группы правительства.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75.</w:t>
      </w:r>
      <w:r>
        <w:tab/>
        <w:t>Что касается участия женщин в разработке и осуществлении государс</w:t>
      </w:r>
      <w:r>
        <w:t>т</w:t>
      </w:r>
      <w:r>
        <w:t>венной политики, то в министерствах есть департаменты, занимающиеся ге</w:t>
      </w:r>
      <w:r>
        <w:t>н</w:t>
      </w:r>
      <w:r>
        <w:t>дерной проблематикой. Департамент по улучшению положения женщин Мин</w:t>
      </w:r>
      <w:r>
        <w:t>и</w:t>
      </w:r>
      <w:r>
        <w:t>стерства здравоохранения и социального обеспечения был создан в 1991 году и подчиняется Управлению социального обеспечения. К числу его общих задач относится улучшение доступа женщин к социальному обслуживанию. В Д</w:t>
      </w:r>
      <w:r>
        <w:t>е</w:t>
      </w:r>
      <w:r>
        <w:t>партамент входит Межведомственный комитет по Национальному плану пр</w:t>
      </w:r>
      <w:r>
        <w:t>е</w:t>
      </w:r>
      <w:r>
        <w:t>дупреждения насилия в отношении женщин и наказанию за него. В Министе</w:t>
      </w:r>
      <w:r>
        <w:t>р</w:t>
      </w:r>
      <w:r>
        <w:t>стве земледелия и животноводства (МАГ) имеется Отдел межсекторальных гендерных связей и Департамент по улучшению положения женщин. Первый был создан Секретариатом по делам женщин в 1997 году в целях, в частности, включения гендерной проблематики в секторальную государственную полит</w:t>
      </w:r>
      <w:r>
        <w:t>и</w:t>
      </w:r>
      <w:r>
        <w:t>ку, а также в проекты, планы и программы МАГ. К числу осуществленных им мероприятий относятся оценка и анализ проектов МАГ, организация семинаров по гендерным вопросам для сотрудников МАГ, а также совещаний с НПО и правительственными организациями по обсуждению Национального плана обеспечения равенства возможностей. Кроме того, совместно с Секретариатом по делам женщин и Министерством здравоохранения Отдел участвует в разр</w:t>
      </w:r>
      <w:r>
        <w:t>а</w:t>
      </w:r>
      <w:r>
        <w:t xml:space="preserve">ботке проектов, основанных на гендерном подходе.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76.</w:t>
      </w:r>
      <w:r>
        <w:tab/>
        <w:t>Самым ранним по времени создания был Департамент по улучшению п</w:t>
      </w:r>
      <w:r>
        <w:t>о</w:t>
      </w:r>
      <w:r>
        <w:t>ложения женщин в МАГ. Он был образован в 1993 году, и его цели, разумеется, связаны в первую очередь с реализацией проектов улучшения положения сел</w:t>
      </w:r>
      <w:r>
        <w:t>ь</w:t>
      </w:r>
      <w:r>
        <w:t>ских семей посредством оказания технической помощи и помощи в области образования и здравоохр</w:t>
      </w:r>
      <w:r>
        <w:t>а</w:t>
      </w:r>
      <w:r>
        <w:t>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77.</w:t>
      </w:r>
      <w:r>
        <w:tab/>
        <w:t>В Министерстве юстиции и труда действует Управление по улучшению социального положения трудящихся-женщин, подведомственное Департаменту труда и социального обеспечения. К числу главных задач Управления относи</w:t>
      </w:r>
      <w:r>
        <w:t>т</w:t>
      </w:r>
      <w:r>
        <w:t>ся разработка мер по обеспечению равных возможностей для женщин и равн</w:t>
      </w:r>
      <w:r>
        <w:t>о</w:t>
      </w:r>
      <w:r>
        <w:t>го отношения к ним на рынке труда, а также улучшению социального полож</w:t>
      </w:r>
      <w:r>
        <w:t>е</w:t>
      </w:r>
      <w:r>
        <w:t>ния и профессионально-технической подготовки трудящихся-женщин; иными словами, его деятельность нацелена на улучшение положения женщин и разр</w:t>
      </w:r>
      <w:r>
        <w:t>а</w:t>
      </w:r>
      <w:r>
        <w:t>ботку государс</w:t>
      </w:r>
      <w:r>
        <w:t>т</w:t>
      </w:r>
      <w:r>
        <w:t>венной политики на основе гендерного подхода.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78.</w:t>
      </w:r>
      <w:r>
        <w:tab/>
        <w:t>Межведомственная координация была одним из основных направлений деятельности Секретариата по делам женщин с целью обеспечить осуществл</w:t>
      </w:r>
      <w:r>
        <w:t>е</w:t>
      </w:r>
      <w:r>
        <w:t>ние Национального плана обеспечения равных возможностей для женщин. Б</w:t>
      </w:r>
      <w:r>
        <w:t>ы</w:t>
      </w:r>
      <w:r>
        <w:t>ли подписаны многочисленные соглашения с учреждениями государственного и частного сектора и назначены координаторы в министерствах, ответственные за осуществление положений этого плана. На этом пути возникли трудности, которые преодолеваются не так быстро, как хотелось бы, из-за сохраняющихся кул</w:t>
      </w:r>
      <w:r>
        <w:t>ь</w:t>
      </w:r>
      <w:r>
        <w:t>турных стереотипов.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79.</w:t>
      </w:r>
      <w:r>
        <w:tab/>
        <w:t>На уровне департаментов секретариаты по делам женщин были созданы во всех местных органах управления, имеющих собственный бюджет. В структуре этих органов они обычно занимают достаточно высокое место, имея статус департаментских секретариатов, подведомственных в одних случ</w:t>
      </w:r>
      <w:r>
        <w:t>а</w:t>
      </w:r>
      <w:r>
        <w:t>ях канцелярии губернатора, в других - генеральному секретариату. Секретариат по делам женщин при Президенте Республики координирует их работу и ок</w:t>
      </w:r>
      <w:r>
        <w:t>а</w:t>
      </w:r>
      <w:r>
        <w:t>зывает им те</w:t>
      </w:r>
      <w:r>
        <w:t>х</w:t>
      </w:r>
      <w:r>
        <w:t>ническую помощь.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80.</w:t>
      </w:r>
      <w:r>
        <w:tab/>
        <w:t>6 апреля 1998 года было начато осуществление проекта, предусматр</w:t>
      </w:r>
      <w:r>
        <w:t>и</w:t>
      </w:r>
      <w:r>
        <w:t>вающего создание центров разработки инициатив и развития в интересах же</w:t>
      </w:r>
      <w:r>
        <w:t>н</w:t>
      </w:r>
      <w:r>
        <w:t xml:space="preserve">щин (Сети ЦИРЖ). Инициатива исходила от Секретариата по делам женщин, который представил Комиссии Европейских сообществ набросок этого проекта в рамках Национального плана обеспечения равных возможностей.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81.</w:t>
      </w:r>
      <w:r>
        <w:tab/>
        <w:t>Общая цель Сети ЦИРЖ состоит в улучшении условий жизни женщин на основе их активного участия в развитии страны, а конкретная цель состоит в том, чтобы устранить препятствия и разработать эффективные меры по обесп</w:t>
      </w:r>
      <w:r>
        <w:t>е</w:t>
      </w:r>
      <w:r>
        <w:t>чению равных возможностей для женщин за счет их реального вовлечения в экономические, социальные, культурные и политические процессы. Особое внимание при этом уделяется сельским районам. Проектом предусмотрено со</w:t>
      </w:r>
      <w:r>
        <w:t>з</w:t>
      </w:r>
      <w:r>
        <w:t>дание 14 центров, которые будут способствовать осуществлению Национал</w:t>
      </w:r>
      <w:r>
        <w:t>ь</w:t>
      </w:r>
      <w:r>
        <w:t>ного плана обеспечения равных возможностей для женщин на 1997-2001 годы. Организационную поддержку проекту будут оказывать местные органы упра</w:t>
      </w:r>
      <w:r>
        <w:t>в</w:t>
      </w:r>
      <w:r>
        <w:t>ления, муниципалитеты и женские НПО. Проект рассчитан на пятилетний срок и будет осуществляться в два этапа: на первом этапе продолжительностью 18 месяцев будут созданы первые семь ЦИРЖ, из которых на настоящий м</w:t>
      </w:r>
      <w:r>
        <w:t>о</w:t>
      </w:r>
      <w:r>
        <w:t>мент функционируют пять. На втором этапе предусмотрено учреждение о</w:t>
      </w:r>
      <w:r>
        <w:t>с</w:t>
      </w:r>
      <w:r>
        <w:t>тальных центров и пр</w:t>
      </w:r>
      <w:r>
        <w:t>о</w:t>
      </w:r>
      <w:r>
        <w:t>грамм, а также Фонда социальных инвестиций.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82.</w:t>
      </w:r>
      <w:r>
        <w:tab/>
        <w:t>На муниципальном уровне функционируют Секретариат по муниципал</w:t>
      </w:r>
      <w:r>
        <w:t>ь</w:t>
      </w:r>
      <w:r>
        <w:t>ной политике и гендерным вопросам города Асунсьон, Секретариат по делам женщин муниципалитета Сан-Лоренсо и Секретариат по делам женщин Фе</w:t>
      </w:r>
      <w:r>
        <w:t>р</w:t>
      </w:r>
      <w:r>
        <w:t>нандо-де-ла-Мора. Муниципалитет Асунсьона располагает самыми большими ресурсами и является самым крупным в стране. С 1991 года в работе муниц</w:t>
      </w:r>
      <w:r>
        <w:t>и</w:t>
      </w:r>
      <w:r>
        <w:t>палитета делался акцент на социальной политике, в рамках которой было пр</w:t>
      </w:r>
      <w:r>
        <w:t>е</w:t>
      </w:r>
      <w:r>
        <w:t>дусмотрено принятие мер по обеспечению равенства мужчин и женщин. К числу этих мер относилось создание Секретариата по делам женщин в 1992 году. Задачи этой структуры состояли в поощрении и защите прав женщин и ознакомлении населения с гендерной проблематикой. Она называлась Депа</w:t>
      </w:r>
      <w:r>
        <w:t>р</w:t>
      </w:r>
      <w:r>
        <w:t>таментом по делам женщин и была подведомственна Управлению по социал</w:t>
      </w:r>
      <w:r>
        <w:t>ь</w:t>
      </w:r>
      <w:r>
        <w:t>ным вопросам, которое, в свою очередь, входило в структуру Главного упра</w:t>
      </w:r>
      <w:r>
        <w:t>в</w:t>
      </w:r>
      <w:r>
        <w:t>ления социальных вопросов. Статус этой структуры, подведомственной одному из управлений и располагавшей скудными людскими и финансовыми ресурс</w:t>
      </w:r>
      <w:r>
        <w:t>а</w:t>
      </w:r>
      <w:r>
        <w:t>ми, за годы ее существования повысить не удалось. Работа велась в рамках конкретных проектов и программ Департамента, но гендерные аспекты не н</w:t>
      </w:r>
      <w:r>
        <w:t>а</w:t>
      </w:r>
      <w:r>
        <w:t>ходили отражения в общем видении проблем и проектах других структур и управлений асунсьонского муниципалитета. В 1999 году Департамент по делам женщин изменил свое название и статус. На основании резолюции № 302/99 был образован Секретариат по муниципальной политике и гендерным вопр</w:t>
      </w:r>
      <w:r>
        <w:t>о</w:t>
      </w:r>
      <w:r>
        <w:t>сам, подотчетный непосредственно органу городского управления. Как указ</w:t>
      </w:r>
      <w:r>
        <w:t>ы</w:t>
      </w:r>
      <w:r>
        <w:t>вается в одном из пунктов постановляющей части этой резолюции, "Городское управление намерено учитывать гендерные аспекты во всех сферах муниц</w:t>
      </w:r>
      <w:r>
        <w:t>и</w:t>
      </w:r>
      <w:r>
        <w:t>пальной политики...". Секретариату поручено следить за тем, чтобы в страт</w:t>
      </w:r>
      <w:r>
        <w:t>е</w:t>
      </w:r>
      <w:r>
        <w:t>гической политике муниципалитета находила отражение гендерная проблем</w:t>
      </w:r>
      <w:r>
        <w:t>а</w:t>
      </w:r>
      <w:r>
        <w:t>тика.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8</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ab/>
      </w:r>
      <w:r>
        <w:rPr>
          <w:b/>
        </w:rPr>
        <w:t>Государства-участники принимают все соответствующие меры, чт</w:t>
      </w:r>
      <w:r>
        <w:rPr>
          <w:b/>
        </w:rPr>
        <w:t>о</w:t>
      </w:r>
      <w:r>
        <w:rPr>
          <w:b/>
        </w:rPr>
        <w:t>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w:t>
      </w:r>
      <w:r>
        <w:rPr>
          <w:b/>
        </w:rPr>
        <w:t>а</w:t>
      </w:r>
      <w:r>
        <w:rPr>
          <w:b/>
        </w:rPr>
        <w:t>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83.</w:t>
      </w:r>
      <w:r>
        <w:tab/>
        <w:t>Секретариат по делам женщин поддерживает постоянные и динамично развивающиеся связи с междунаро</w:t>
      </w:r>
      <w:r>
        <w:t>д</w:t>
      </w:r>
      <w:r>
        <w:t>ными организациями и учреждениями-партнерами за рубежом, и во многих из них Парагвай занимает лидирующие позиции, о чем свидетельствуют нижеследующие примеры.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84.</w:t>
      </w:r>
      <w:r>
        <w:tab/>
        <w:t>Парагвай представлен посланником, имеющим титул официального гос</w:t>
      </w:r>
      <w:r>
        <w:t>у</w:t>
      </w:r>
      <w:r>
        <w:t>дарственного делегата, в бюро Межамериканской комиссии по делам женщин (МКЖ), структурного подразделения Организации американских государств, и, таким образом, участвует в работе всех очередных и внеочередных засед</w:t>
      </w:r>
      <w:r>
        <w:t>а</w:t>
      </w:r>
      <w:r>
        <w:t>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85.</w:t>
      </w:r>
      <w:r>
        <w:tab/>
        <w:t>В 1997 году Парагвай организовал в Асунсьоне третью Ибероамерика</w:t>
      </w:r>
      <w:r>
        <w:t>н</w:t>
      </w:r>
      <w:r>
        <w:t>скую встречу женщин-министров и должностных лиц, отвечающих за провед</w:t>
      </w:r>
      <w:r>
        <w:t>е</w:t>
      </w:r>
      <w:r>
        <w:t>ние политики в интересах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86.</w:t>
      </w:r>
      <w:r>
        <w:tab/>
        <w:t>В 1999 году Парагвай председательствовал в МЕРКОСУР, и в этот период Секретариат по делам женщин организовал второе Специальное совещание МЕРКОСУР по проблемам женщин, в работе которого участвовали все дол</w:t>
      </w:r>
      <w:r>
        <w:t>ж</w:t>
      </w:r>
      <w:r>
        <w:t>ностные лица, отвечающие за проведение политики в интересах женщин в странах - членах МЕРКОСУР, а в качестве консультативного органа был пр</w:t>
      </w:r>
      <w:r>
        <w:t>и</w:t>
      </w:r>
      <w:r>
        <w:t>глашен Женский форум МЕРКОСУР.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87.</w:t>
      </w:r>
      <w:r>
        <w:tab/>
        <w:t>На четвертом совещании Сети государственных организаций и наци</w:t>
      </w:r>
      <w:r>
        <w:t>о</w:t>
      </w:r>
      <w:r>
        <w:t>нальных механизмов по делам женщин Латинской Америки и Карибского ба</w:t>
      </w:r>
      <w:r>
        <w:t>с</w:t>
      </w:r>
      <w:r>
        <w:t>сейна, состоявшемся в Коста-Рике, Парагвай, представленный Секретариатом по делам женщин, был избран страной-координатором подсети "Южная Ам</w:t>
      </w:r>
      <w:r>
        <w:t>е</w:t>
      </w:r>
      <w:r>
        <w:t>рика" и страной-устроителем пятого совещания, которое состоится в 2001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88.</w:t>
      </w:r>
      <w:r>
        <w:tab/>
        <w:t>Парагвай в лице Секретариата по делам женщин выполняет обязанности заместителя председателя в бюро Региональной конференции по проблемам женщин Латинской Америки и Карибского бассейна (под эгидой Экономич</w:t>
      </w:r>
      <w:r>
        <w:t>е</w:t>
      </w:r>
      <w:r>
        <w:t>ской комиссии для Латинской Америки и Карибского бассейна (ЭКЛАК)).</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9</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1.</w:t>
      </w:r>
      <w:r>
        <w:rPr>
          <w:b/>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w:t>
      </w:r>
      <w:r>
        <w:rPr>
          <w:b/>
        </w:rPr>
        <w:t>е</w:t>
      </w:r>
      <w:r>
        <w:rPr>
          <w:b/>
        </w:rPr>
        <w:t>вращают ее в лицо без гражданства и не могут заставить ее принять гр</w:t>
      </w:r>
      <w:r>
        <w:rPr>
          <w:b/>
        </w:rPr>
        <w:t>а</w:t>
      </w:r>
      <w:r>
        <w:rPr>
          <w:b/>
        </w:rPr>
        <w:t xml:space="preserve">жданство мужа.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2.</w:t>
      </w:r>
      <w:r>
        <w:rPr>
          <w:b/>
        </w:rPr>
        <w:tab/>
        <w:t>Государства-участники предоставляют женщинам равные с мужчинами права в отношении гр</w:t>
      </w:r>
      <w:r>
        <w:rPr>
          <w:b/>
        </w:rPr>
        <w:t>а</w:t>
      </w:r>
      <w:r>
        <w:rPr>
          <w:b/>
        </w:rPr>
        <w:t xml:space="preserve">жданства их детей.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89.</w:t>
      </w:r>
      <w:r>
        <w:tab/>
        <w:t>Национальная конституция Парагвая наделяет женщин равными с мужч</w:t>
      </w:r>
      <w:r>
        <w:t>и</w:t>
      </w:r>
      <w:r>
        <w:t>нами правами во всем, что касается национальности и гражданства. Никакой брак, заключенный в Парагвае, не может повлиять на гражданство женщины. В статье 146 Конституции говорится, что все лица, родившиеся на территории Парагвая, имеют парагвайское гражданство, и что ни один парагвайский гра</w:t>
      </w:r>
      <w:r>
        <w:t>ж</w:t>
      </w:r>
      <w:r>
        <w:t>данин по рождению - мужчина или женщина - не может быть лишен своего гражданства по какой бы то ни было причине. Множественное гражданство допускается на основании международного договора или по принципу взаи</w:t>
      </w:r>
      <w:r>
        <w:t>м</w:t>
      </w:r>
      <w:r>
        <w:t>ности в отношениях между государством происхождения и государством ус</w:t>
      </w:r>
      <w:r>
        <w:t>ы</w:t>
      </w:r>
      <w:r>
        <w:t>новления, закр</w:t>
      </w:r>
      <w:r>
        <w:t>е</w:t>
      </w:r>
      <w:r>
        <w:t>пленному в конституционном порядке.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90.</w:t>
      </w:r>
      <w:r>
        <w:tab/>
        <w:t>Согласно Конституции, дети, родившиеся от парагвайской матери или о</w:t>
      </w:r>
      <w:r>
        <w:t>т</w:t>
      </w:r>
      <w:r>
        <w:t>ца в Парагвае, являются парагвайцами, даже если кто-либо из их предков был иностра</w:t>
      </w:r>
      <w:r>
        <w:t>н</w:t>
      </w:r>
      <w:r>
        <w:t xml:space="preserve">цем.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10</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w:t>
      </w:r>
      <w:r>
        <w:rPr>
          <w:b/>
        </w:rPr>
        <w:t>а</w:t>
      </w:r>
      <w:r>
        <w:rPr>
          <w:b/>
        </w:rPr>
        <w:t>венства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а)</w:t>
      </w:r>
      <w:r>
        <w:rPr>
          <w:b/>
        </w:rPr>
        <w:tab/>
        <w:t>одинаковые условия для ориентации в выборе профессии или специальности, для доступа к образованию и получению дипломов в уче</w:t>
      </w:r>
      <w:r>
        <w:rPr>
          <w:b/>
        </w:rPr>
        <w:t>б</w:t>
      </w:r>
      <w:r>
        <w:rPr>
          <w:b/>
        </w:rPr>
        <w:t>ных заведениях всех категорий как в сельских, так и городских районах; это равенство обеспечивается в дошкольном, общем, специальном и вы</w:t>
      </w:r>
      <w:r>
        <w:rPr>
          <w:b/>
        </w:rPr>
        <w:t>с</w:t>
      </w:r>
      <w:r>
        <w:rPr>
          <w:b/>
        </w:rPr>
        <w:t>шем техническом образовании, а также во всех видах профессиональной по</w:t>
      </w:r>
      <w:r>
        <w:rPr>
          <w:b/>
        </w:rPr>
        <w:t>д</w:t>
      </w:r>
      <w:r>
        <w:rPr>
          <w:b/>
        </w:rPr>
        <w:t xml:space="preserve">готовки;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b</w:t>
      </w:r>
      <w:r>
        <w:rPr>
          <w:b/>
        </w:rPr>
        <w:t>)</w:t>
      </w:r>
      <w:r>
        <w:rPr>
          <w:b/>
        </w:rPr>
        <w:tab/>
        <w:t>доступ к одинаковым программам обучения, одинаковым экз</w:t>
      </w:r>
      <w:r>
        <w:rPr>
          <w:b/>
        </w:rPr>
        <w:t>а</w:t>
      </w:r>
      <w:r>
        <w:rPr>
          <w:b/>
        </w:rPr>
        <w:t>менам, преподавательскому составу одинаковой квалификации, школ</w:t>
      </w:r>
      <w:r>
        <w:rPr>
          <w:b/>
        </w:rPr>
        <w:t>ь</w:t>
      </w:r>
      <w:r>
        <w:rPr>
          <w:b/>
        </w:rPr>
        <w:t>ным п</w:t>
      </w:r>
      <w:r>
        <w:rPr>
          <w:b/>
        </w:rPr>
        <w:t>о</w:t>
      </w:r>
      <w:r>
        <w:rPr>
          <w:b/>
        </w:rPr>
        <w:t xml:space="preserve">мещениям и оборудованию равного качества;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c</w:t>
      </w:r>
      <w:r>
        <w:rPr>
          <w:b/>
        </w:rPr>
        <w:t>)</w:t>
      </w:r>
      <w:r>
        <w:rPr>
          <w:b/>
        </w:rPr>
        <w:tab/>
        <w:t>устранение любой стереотипной концепции роли мужчин и женщин на всех уровнях и во всех формах обучения путем поощрения с</w:t>
      </w:r>
      <w:r>
        <w:rPr>
          <w:b/>
        </w:rPr>
        <w:t>о</w:t>
      </w:r>
      <w:r>
        <w:rPr>
          <w:b/>
        </w:rPr>
        <w:t>вместного обучения и других видов обучения, которые будут содейств</w:t>
      </w:r>
      <w:r>
        <w:rPr>
          <w:b/>
        </w:rPr>
        <w:t>о</w:t>
      </w:r>
      <w:r>
        <w:rPr>
          <w:b/>
        </w:rPr>
        <w:t>вать достижению этой цели, и, в частности, путем пересмотра учебных п</w:t>
      </w:r>
      <w:r>
        <w:rPr>
          <w:b/>
        </w:rPr>
        <w:t>о</w:t>
      </w:r>
      <w:r>
        <w:rPr>
          <w:b/>
        </w:rPr>
        <w:t xml:space="preserve">собий и школьных программ и адаптации методов обучения;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d</w:t>
      </w:r>
      <w:r>
        <w:rPr>
          <w:b/>
        </w:rPr>
        <w:t>)</w:t>
      </w:r>
      <w:r>
        <w:rPr>
          <w:b/>
        </w:rPr>
        <w:tab/>
        <w:t>одинаковые возможности получения стипендий и других пос</w:t>
      </w:r>
      <w:r>
        <w:rPr>
          <w:b/>
        </w:rPr>
        <w:t>о</w:t>
      </w:r>
      <w:r>
        <w:rPr>
          <w:b/>
        </w:rPr>
        <w:t xml:space="preserve">бий на образование;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e</w:t>
      </w:r>
      <w:r>
        <w:rPr>
          <w:b/>
        </w:rPr>
        <w:t>)</w:t>
      </w:r>
      <w:r>
        <w:rPr>
          <w:b/>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w:t>
      </w:r>
      <w:r>
        <w:rPr>
          <w:b/>
        </w:rPr>
        <w:t>ж</w:t>
      </w:r>
      <w:r>
        <w:rPr>
          <w:b/>
        </w:rPr>
        <w:t xml:space="preserve">чин 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f</w:t>
      </w:r>
      <w:r>
        <w:rPr>
          <w:b/>
        </w:rPr>
        <w:t>)</w:t>
      </w:r>
      <w:r>
        <w:rPr>
          <w:b/>
        </w:rPr>
        <w:tab/>
        <w:t>сокращение числа девушек, не заканчивающих школу, и разр</w:t>
      </w:r>
      <w:r>
        <w:rPr>
          <w:b/>
        </w:rPr>
        <w:t>а</w:t>
      </w:r>
      <w:r>
        <w:rPr>
          <w:b/>
        </w:rPr>
        <w:t xml:space="preserve">ботку программ для девушек и женщин, преждевременно покинувших школу;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g</w:t>
      </w:r>
      <w:r>
        <w:rPr>
          <w:b/>
        </w:rPr>
        <w:t>)</w:t>
      </w:r>
      <w:r>
        <w:rPr>
          <w:b/>
        </w:rPr>
        <w:tab/>
        <w:t>одинаковые возможности активно участвовать в занятиях спо</w:t>
      </w:r>
      <w:r>
        <w:rPr>
          <w:b/>
        </w:rPr>
        <w:t>р</w:t>
      </w:r>
      <w:r>
        <w:rPr>
          <w:b/>
        </w:rPr>
        <w:t>том и физической подг</w:t>
      </w:r>
      <w:r>
        <w:rPr>
          <w:b/>
        </w:rPr>
        <w:t>о</w:t>
      </w:r>
      <w:r>
        <w:rPr>
          <w:b/>
        </w:rPr>
        <w:t xml:space="preserve">товкой;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h</w:t>
      </w:r>
      <w:r>
        <w:rPr>
          <w:b/>
        </w:rPr>
        <w:t>)</w:t>
      </w:r>
      <w:r>
        <w:rPr>
          <w:b/>
        </w:rPr>
        <w:tab/>
        <w:t>доступ к специальной информации образовательного характера в целях содействия обеспечению здоровья и благосостояния семей, вкл</w:t>
      </w:r>
      <w:r>
        <w:rPr>
          <w:b/>
        </w:rPr>
        <w:t>ю</w:t>
      </w:r>
      <w:r>
        <w:rPr>
          <w:b/>
        </w:rPr>
        <w:t xml:space="preserve">чая информацию и консультации о планировании размера семьи.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91.</w:t>
      </w:r>
      <w:r>
        <w:tab/>
        <w:t>В Национальной конституции 1992 года (статьи 46, 47 и 48 главы </w:t>
      </w:r>
      <w:r>
        <w:rPr>
          <w:lang w:val="en-US"/>
        </w:rPr>
        <w:t>III</w:t>
      </w:r>
      <w:r>
        <w:t>, п</w:t>
      </w:r>
      <w:r>
        <w:t>о</w:t>
      </w:r>
      <w:r>
        <w:t>священной вопросам равенства, а также статья 73 о праве на образование и его целях главы </w:t>
      </w:r>
      <w:r>
        <w:rPr>
          <w:lang w:val="en-US"/>
        </w:rPr>
        <w:t>VII</w:t>
      </w:r>
      <w:r>
        <w:t xml:space="preserve"> "Образование и культура") говорится, что любой человек им</w:t>
      </w:r>
      <w:r>
        <w:t>е</w:t>
      </w:r>
      <w:r>
        <w:t>ет право на всестороннее и непрерывное образование, которое как система и процесс реализуется в контексте культурных традиций, бытующих в обществе. Цели образования состоят в полноценном развитии человеческой личности и пропаганде идей свободы, мира, социальной справедливости, солидарности, сотрудничества и единения между народами; обеспечении уважения прав чел</w:t>
      </w:r>
      <w:r>
        <w:t>о</w:t>
      </w:r>
      <w:r>
        <w:t>века и демократических принципов; воспитании в духе преданности родине, утверждении культурной самобытности и интеллектуальном, нравственном и гражданском воспитании, а также устранении из системы образования элеме</w:t>
      </w:r>
      <w:r>
        <w:t>н</w:t>
      </w:r>
      <w:r>
        <w:t>тов, носящих дискриминационный х</w:t>
      </w:r>
      <w:r>
        <w:t>а</w:t>
      </w:r>
      <w:r>
        <w:t>рактер.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92.</w:t>
      </w:r>
      <w:r>
        <w:tab/>
        <w:t>Реформа системы образования проводилась на основании документа № 7815, принятого в 1990 году. В этом документе говорится о необходимости проведения комплексной реформы парагвайской системы образования, предв</w:t>
      </w:r>
      <w:r>
        <w:t>а</w:t>
      </w:r>
      <w:r>
        <w:t>рительного проведения общего аналитического исследования, а также разр</w:t>
      </w:r>
      <w:r>
        <w:t>а</w:t>
      </w:r>
      <w:r>
        <w:t>ботки предложений и альтернатив для устранения имеющихся недостатков. Одним из главных вопросов, которые затрагиваются в этом документе, являе</w:t>
      </w:r>
      <w:r>
        <w:t>т</w:t>
      </w:r>
      <w:r>
        <w:t>ся включение гендерной проблематики в образовательные программы, что св</w:t>
      </w:r>
      <w:r>
        <w:t>и</w:t>
      </w:r>
      <w:r>
        <w:t>детельствует о серьезных диспропорциях, до сих пор существующих в пар</w:t>
      </w:r>
      <w:r>
        <w:t>а</w:t>
      </w:r>
      <w:r>
        <w:t>гвайском обществе.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93.</w:t>
      </w:r>
      <w:r>
        <w:tab/>
        <w:t>В 1996 году министерство образования и культуры обнародовало Страт</w:t>
      </w:r>
      <w:r>
        <w:t>е</w:t>
      </w:r>
      <w:r>
        <w:t>гический план реформы системы образования под названием "Парагвай 2020: навстречу вызовам в области образования", который задумывался как инстр</w:t>
      </w:r>
      <w:r>
        <w:t>у</w:t>
      </w:r>
      <w:r>
        <w:t>мент управления парагвайской системой образования на основе широкого о</w:t>
      </w:r>
      <w:r>
        <w:t>б</w:t>
      </w:r>
      <w:r>
        <w:t>щественного консенсуса, и в первую очередь двумя аспектами, которые так или иначе касаются всей системы образования: образованием на двух языках и ге</w:t>
      </w:r>
      <w:r>
        <w:t>н</w:t>
      </w:r>
      <w:r>
        <w:t xml:space="preserve">дерной проблематикой.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94.</w:t>
      </w:r>
      <w:r>
        <w:tab/>
        <w:t>В стране осуществляется Национальная программа двуязычного образ</w:t>
      </w:r>
      <w:r>
        <w:t>о</w:t>
      </w:r>
      <w:r>
        <w:t>вания, с тем чтобы услуги в области базового образования отражали специфику языковой ситуации в стране, которая характеризуется сосуществованием двух языков: гуарани и испанского, причем 39,3 процента населения говорят пр</w:t>
      </w:r>
      <w:r>
        <w:t>е</w:t>
      </w:r>
      <w:r>
        <w:t>имущественно на гуарани, 6,4 процента - на испанском, 49 процентов говорят на обоих языках и 6 процентов - на других языках. Хотя гуарани является н</w:t>
      </w:r>
      <w:r>
        <w:t>е</w:t>
      </w:r>
      <w:r>
        <w:t>отъемлемой частью культуры и самобытности страны, в парагвайском общес</w:t>
      </w:r>
      <w:r>
        <w:t>т</w:t>
      </w:r>
      <w:r>
        <w:t>ве преобладает двуязычие.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95.</w:t>
      </w:r>
      <w:r>
        <w:tab/>
        <w:t>В статье 4 Всеобщего закона об образовании (Закон № 1264, принятый в 1998 году) говорится следующее: "Государство обязано гарантировать всему населению страны доступ к образованию и создать условия для подлинного р</w:t>
      </w:r>
      <w:r>
        <w:t>а</w:t>
      </w:r>
      <w:r>
        <w:t>венства возможностей". В статье 10 главы </w:t>
      </w:r>
      <w:r>
        <w:rPr>
          <w:lang w:val="en-US"/>
        </w:rPr>
        <w:t>II</w:t>
      </w:r>
      <w:r>
        <w:t xml:space="preserve"> "Понятия, цели и принципы" ук</w:t>
      </w:r>
      <w:r>
        <w:t>а</w:t>
      </w:r>
      <w:r>
        <w:t>зывается, что "образование базируется в первую очередь на следующих при</w:t>
      </w:r>
      <w:r>
        <w:t>н</w:t>
      </w:r>
      <w:r>
        <w:t>ципах: подлинное равенство между мужчинами и женщинами и недопущение какой бы то ни было ди</w:t>
      </w:r>
      <w:r>
        <w:t>с</w:t>
      </w:r>
      <w:r>
        <w:t>криминации" (пункт 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96.</w:t>
      </w:r>
      <w:r>
        <w:tab/>
        <w:t>Национальный план обеспечения равных возможностей для женщин на 1997</w:t>
      </w:r>
      <w:r>
        <w:noBreakHyphen/>
        <w:t>2001 годы служит инструментом для разработки и проведения в жизнь г</w:t>
      </w:r>
      <w:r>
        <w:t>о</w:t>
      </w:r>
      <w:r>
        <w:t>сударственной политики в этом секторе и содействия установлению равн</w:t>
      </w:r>
      <w:r>
        <w:t>о</w:t>
      </w:r>
      <w:r>
        <w:t>правных отношений в государственной структуре. В области образования о</w:t>
      </w:r>
      <w:r>
        <w:t>б</w:t>
      </w:r>
      <w:r>
        <w:t>щей целью провозглашается "поощрение равноправного участия женщин в проце</w:t>
      </w:r>
      <w:r>
        <w:t>с</w:t>
      </w:r>
      <w:r>
        <w:t>се обучения и приобретения знаний".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97.</w:t>
      </w:r>
      <w:r>
        <w:tab/>
        <w:t>В рамках Программы обеспечения женщинам равных возможностей и р</w:t>
      </w:r>
      <w:r>
        <w:t>е</w:t>
      </w:r>
      <w:r>
        <w:t>зультатов в области образования (ПРИОМЕ), осуществление которой было н</w:t>
      </w:r>
      <w:r>
        <w:t>а</w:t>
      </w:r>
      <w:r>
        <w:t>чато в 1995 году на основании межведомственного соглашения с Министерс</w:t>
      </w:r>
      <w:r>
        <w:t>т</w:t>
      </w:r>
      <w:r>
        <w:t>вом образования и культуры, продолжается активная работа на уровне начал</w:t>
      </w:r>
      <w:r>
        <w:t>ь</w:t>
      </w:r>
      <w:r>
        <w:t>ной школы, а также деятельность по ликвидации неграмотности среди взро</w:t>
      </w:r>
      <w:r>
        <w:t>с</w:t>
      </w:r>
      <w:r>
        <w:t>лых. Основными направлениями этой работы являются содействие разработке учебной программы, учебно-просветительская работа среди технических сп</w:t>
      </w:r>
      <w:r>
        <w:t>е</w:t>
      </w:r>
      <w:r>
        <w:t>циалистов (мужчин и женщин) Министерства образования и преподавателей по всей стране. Кроме того, благодаря деятельности в рамках ПРИОМЕ в сотру</w:t>
      </w:r>
      <w:r>
        <w:t>д</w:t>
      </w:r>
      <w:r>
        <w:t>ничестве с Управлением по подготовке преподавательского состава в учебные программы для преподавательского состава были включены следующие вопр</w:t>
      </w:r>
      <w:r>
        <w:t>о</w:t>
      </w:r>
      <w:r>
        <w:t>сы: распределение ролей в зависимости от пола и с учетом равного статуса р</w:t>
      </w:r>
      <w:r>
        <w:t>о</w:t>
      </w:r>
      <w:r>
        <w:t>дителей в структуре и жизнедеятельности семьи, болезни, передаваемые пол</w:t>
      </w:r>
      <w:r>
        <w:t>о</w:t>
      </w:r>
      <w:r>
        <w:t>вым путем, уважение культурного и религиозного многообразия и т.д. Во вт</w:t>
      </w:r>
      <w:r>
        <w:t>о</w:t>
      </w:r>
      <w:r>
        <w:t>рой части проекта, датированной декабрем 1998 года, предлагаются меры по искоренению стереотипов в отношении полов в системе образования. Эти меры носят характер норм, обязательных для соблюдения на национальном уровне, и охватывают такие области, как составление учебных планов и пособий и по</w:t>
      </w:r>
      <w:r>
        <w:t>д</w:t>
      </w:r>
      <w:r>
        <w:t>готовка преподавательского состава. С апреля 1999 года главный акцент в р</w:t>
      </w:r>
      <w:r>
        <w:t>а</w:t>
      </w:r>
      <w:r>
        <w:t>боте в соответствии с программой ПРИОМЕ делается на организации учебных семинаров для преподавателей и инспекторов системы непрерывного, среднего и технического образования, и разработке, корректировке и утверждении уче</w:t>
      </w:r>
      <w:r>
        <w:t>б</w:t>
      </w:r>
      <w:r>
        <w:t>ных модулей для преподавателей обоих полов Министерства образования и Секретариата по делам женщин, внедрение которых начнется в нынешнем учебном г</w:t>
      </w:r>
      <w:r>
        <w:t>о</w:t>
      </w:r>
      <w:r>
        <w:t>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98.</w:t>
      </w:r>
      <w:r>
        <w:tab/>
        <w:t>ПРИОМЕ продолжает совершенствовать свою работу по пересмотру и корректировке критериев для оценки учебных пособий и материалов с генде</w:t>
      </w:r>
      <w:r>
        <w:t>р</w:t>
      </w:r>
      <w:r>
        <w:t>ной точки зрения, с тем чтобы добиться реального включения в эти пособия упомянутого междисциплинарного компонента. В настоящее время объектом исследований ПРИОМЕ в Министерстве образования и культуры являются правила, касающиеся важности легализации и обоснования включения генде</w:t>
      </w:r>
      <w:r>
        <w:t>р</w:t>
      </w:r>
      <w:r>
        <w:t>ного компонента в образование в его следующих аспектах: 1) обоснование норм, касающихся учета гендерных аспектов в системе образования, по обра</w:t>
      </w:r>
      <w:r>
        <w:t>з</w:t>
      </w:r>
      <w:r>
        <w:t>цу испанского Закона об общей организации системы образования, с учетом изложенных в нем соображений и реально принятых указов; 2) разработка норм, согласно которым девочки и мальчики должны указываться в списках в алфавитном порядке, а не по признаку пола; 3) разработка норм, касающихся использования недискриминационных формулировок, с соответствующей м</w:t>
      </w:r>
      <w:r>
        <w:t>о</w:t>
      </w:r>
      <w:r>
        <w:t>тивировкой и материалами, обосновывающими необходимость этого; 4) разработка норм, согласно которым названия специальностей в дипломах и других свидетельствах должны указываться в женском роде. В нынешнем 2000 году ПРИОМЕ совместно с Высшим институтом образования приступит к работе в системе среднего и технического образования, непрерывного образ</w:t>
      </w:r>
      <w:r>
        <w:t>о</w:t>
      </w:r>
      <w:r>
        <w:t>вания (ликвидация неграмотности среди взрослых), повышения квалификации и обучения преподавательского состава, что найдет отражение в ежегодном плане работы и учебной пр</w:t>
      </w:r>
      <w:r>
        <w:t>о</w:t>
      </w:r>
      <w:r>
        <w:t>грамме Института.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99.</w:t>
      </w:r>
      <w:r>
        <w:tab/>
        <w:t>Доступ к государственному базовому образованию в девятилетних шк</w:t>
      </w:r>
      <w:r>
        <w:t>о</w:t>
      </w:r>
      <w:r>
        <w:t>лах является свободным, бесплатным и равным для обоих полов. На этот до</w:t>
      </w:r>
      <w:r>
        <w:t>с</w:t>
      </w:r>
      <w:r>
        <w:t>туп не налагается никаких юридических ограничений; исключение составляет частный религиозный колледж для девочек, который до сих пор работает именно по таким правилам. В государственном секторе единственными учре</w:t>
      </w:r>
      <w:r>
        <w:t>ж</w:t>
      </w:r>
      <w:r>
        <w:t>дениями с раздельным обучением являются Столичный национальный колледж для мал</w:t>
      </w:r>
      <w:r>
        <w:t>ь</w:t>
      </w:r>
      <w:r>
        <w:t>чиков и Национальный колледж для девочек.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100.</w:t>
      </w:r>
      <w:r>
        <w:tab/>
        <w:t>Что касается равного доступа к базовому образованию, то в первом классе начальной школы численность мальчиков (52,3 процента) несколько превышает численность девочек (47,7 процента); в шестом классе системы формального образования доля девочек увеличивается до 49,5 процента, хотя и не достигает показателя по мальчикам (50,5 процента) в том же классе, и такое положение дел остается неизменным с начала 1990</w:t>
      </w:r>
      <w:r>
        <w:noBreakHyphen/>
        <w:t>х годов. В сельских районах в первых классах школы обучается 47,4 процента девочек и 52,6 процента мальчиков, и такая диспропорция сохраняется вплоть до шестого класса. В городах набл</w:t>
      </w:r>
      <w:r>
        <w:t>ю</w:t>
      </w:r>
      <w:r>
        <w:t>дается иная картина: в шестом классе численность девочек (51,2 процента) превышает числе</w:t>
      </w:r>
      <w:r>
        <w:t>н</w:t>
      </w:r>
      <w:r>
        <w:t>ность мальчиков (48,8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101.</w:t>
      </w:r>
      <w:r>
        <w:tab/>
        <w:t>В целом охват женщин средним образованием (50,7 процента) больше о</w:t>
      </w:r>
      <w:r>
        <w:t>х</w:t>
      </w:r>
      <w:r>
        <w:t>вата мужчин (49,3 процента); это соотношение может быть разным на разных ступенях образования. На первом курсе обучается больше юношей (51,3 процента), чем девушек (48,7 процента). К шестому курсу этот разрыв резко увеличивается в пользу девушек (55 процентов), следуя той же тенде</w:t>
      </w:r>
      <w:r>
        <w:t>н</w:t>
      </w:r>
      <w:r>
        <w:t>ции, которая н</w:t>
      </w:r>
      <w:r>
        <w:t>а</w:t>
      </w:r>
      <w:r>
        <w:t>блюдалась в 1990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102.</w:t>
      </w:r>
      <w:r>
        <w:tab/>
        <w:t>Статистика случаев, когда учащиеся остаются на второй год или оставл</w:t>
      </w:r>
      <w:r>
        <w:t>я</w:t>
      </w:r>
      <w:r>
        <w:t>ют учебу, свидетельствует о том, что в общенациональном масштабе процент отсева среди юношей (59,5 процента) намного превышает показатель для д</w:t>
      </w:r>
      <w:r>
        <w:t>е</w:t>
      </w:r>
      <w:r>
        <w:t>вушек (40,5 процента); кроме того, доля остающихся на второй год среди юн</w:t>
      </w:r>
      <w:r>
        <w:t>о</w:t>
      </w:r>
      <w:r>
        <w:t>шей в сельских районах достигает 60,2 процента, в городах - 58,4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103.</w:t>
      </w:r>
      <w:r>
        <w:tab/>
        <w:t>Охват населения техническим образованием начального уровня составл</w:t>
      </w:r>
      <w:r>
        <w:t>я</w:t>
      </w:r>
      <w:r>
        <w:t>ет 51,6 процента для юношей и 48,4 процента для девушек. Среди выпускников технических училищ с присуждением диплома бакалавра юношей насчитыв</w:t>
      </w:r>
      <w:r>
        <w:t>а</w:t>
      </w:r>
      <w:r>
        <w:t>ется немногим больше, чем девушек (51 процент), тогда как в сфере технич</w:t>
      </w:r>
      <w:r>
        <w:t>е</w:t>
      </w:r>
      <w:r>
        <w:t>ского неуниверситетского образ</w:t>
      </w:r>
      <w:r>
        <w:t>о</w:t>
      </w:r>
      <w:r>
        <w:t>вания преобладают девушки (55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104.</w:t>
      </w:r>
      <w:r>
        <w:tab/>
        <w:t>Что касается соотношения между учащимися старейших и самых крупных университетов страны, то доля женщин в Национальном университете Асунс</w:t>
      </w:r>
      <w:r>
        <w:t>ь</w:t>
      </w:r>
      <w:r>
        <w:t>она составляет 52 процента, доля мужчин - 48 процентов; вместе с тем среди лиц, осваивающих традиционно "мужские" специальности, такие, как инж</w:t>
      </w:r>
      <w:r>
        <w:t>е</w:t>
      </w:r>
      <w:r>
        <w:t>нерное дело, женщины составляют 15 процентов; на технических специальн</w:t>
      </w:r>
      <w:r>
        <w:t>о</w:t>
      </w:r>
      <w:r>
        <w:t>стях их насчитывается 34 процента; в медицине - 47 процентов и юриспруде</w:t>
      </w:r>
      <w:r>
        <w:t>н</w:t>
      </w:r>
      <w:r>
        <w:t>ции - 55 процентов. Таким образом, в этих сферах пока явно преобладают мужчины, несмотря на значительное увеличение притока девушек. Реальное укрепление позиций женщин отмечается в таких областях, как одонтология (75 процентов), экономические науки (45 процентов), точные и естественные науки (57 процентов). В Католическом университете в настоящее время насч</w:t>
      </w:r>
      <w:r>
        <w:t>и</w:t>
      </w:r>
      <w:r>
        <w:t>тывается 67 процентов учащихся женского пола, из которых 65,2 процента обучаются на периферии. Мужчин насчитывается больше, чем женщин, только на научно-технических специальностях (52 процента), а также в сфере посл</w:t>
      </w:r>
      <w:r>
        <w:t>е</w:t>
      </w:r>
      <w:r>
        <w:t>вузовского образования на специальностях, связанных с администрированием и бухгалтерским учетом (72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105.</w:t>
      </w:r>
      <w:r>
        <w:tab/>
        <w:t>Если говорить о неграмотности, то, по данным переписи населения 1992 года, среди неграмотного населения в возрасте 15 лет и старше женщины составляют 14,2 процента, мужчины - 13,5 процента. Эти показатели варьир</w:t>
      </w:r>
      <w:r>
        <w:t>у</w:t>
      </w:r>
      <w:r>
        <w:t>ются в зависимости от сектора и географической зоны; например, в сельской местности доля неграмотных женщин возрастает до 17,2 процента, тогда как доля мужчин составляет 11,8 процента. Полная неграмотность - явление, более свойственное городским женщинам (63,0 процента), чем сельским (55 процентов). Уровень неграмотности тесно связан с уровнем владения и</w:t>
      </w:r>
      <w:r>
        <w:t>с</w:t>
      </w:r>
      <w:r>
        <w:t>панским языком. По данным национального обследования ситуации в области охраны здоровья матери и ребенка, 42,7 процента населения владеют и испа</w:t>
      </w:r>
      <w:r>
        <w:t>н</w:t>
      </w:r>
      <w:r>
        <w:t>ским, и гуарани. Одним лишь испанским владеют только 20,4 процента насел</w:t>
      </w:r>
      <w:r>
        <w:t>е</w:t>
      </w:r>
      <w:r>
        <w:t>ния; 68,4 процента сельских женщин говорят на гуарани и лишь 2,5 процента - только на испанском языке.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106.</w:t>
      </w:r>
      <w:r>
        <w:tab/>
        <w:t>Организация профессиональной подготовки женщин в Парагвае стала, пожалуй, одним из крупнейших достижений за период после Пекинской ко</w:t>
      </w:r>
      <w:r>
        <w:t>н</w:t>
      </w:r>
      <w:r>
        <w:t>ференции. Такое обучение - смешанное или рассчитанное только на женщин - велось главным образом силами неправительственных организаций и со вр</w:t>
      </w:r>
      <w:r>
        <w:t>е</w:t>
      </w:r>
      <w:r>
        <w:t>менем совершенствовалось в количественном и качественном плане. В этой связи Секретариат по делам женщин и Национальная служба содействия пр</w:t>
      </w:r>
      <w:r>
        <w:t>о</w:t>
      </w:r>
      <w:r>
        <w:t>фессиональной подготовке (НСПП) за период 1996-1999 годов смогли обучить в общей сложности 3000 женщин навыкам управления собственными предпр</w:t>
      </w:r>
      <w:r>
        <w:t>и</w:t>
      </w:r>
      <w:r>
        <w:t>ятиями для организации приносящей доход деятельности, что сделало бы их конкурентоспособными на рынке тр</w:t>
      </w:r>
      <w:r>
        <w:t>у</w:t>
      </w:r>
      <w:r>
        <w:t>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107.</w:t>
      </w:r>
      <w:r>
        <w:tab/>
        <w:t>Секретариат по делам женщин провел массу организационных меропри</w:t>
      </w:r>
      <w:r>
        <w:t>я</w:t>
      </w:r>
      <w:r>
        <w:t>тий разного рода с участием представителей органов образования в целом, п</w:t>
      </w:r>
      <w:r>
        <w:t>е</w:t>
      </w:r>
      <w:r>
        <w:t>дагогических училищ, технического персонала педагогических учреждений в департаментах и управлений внутренних дел, для того чтобы сделать генде</w:t>
      </w:r>
      <w:r>
        <w:t>р</w:t>
      </w:r>
      <w:r>
        <w:t>ную проблематику неотъемлемым элементом всей системы образования и ме</w:t>
      </w:r>
      <w:r>
        <w:t>ж</w:t>
      </w:r>
      <w:r>
        <w:t>ведомственных связей. Кроме того, Секретариат по делам женщин вел шир</w:t>
      </w:r>
      <w:r>
        <w:t>о</w:t>
      </w:r>
      <w:r>
        <w:t>комасштабную и планомерную пропагандистскую кампанию по таким вопр</w:t>
      </w:r>
      <w:r>
        <w:t>о</w:t>
      </w:r>
      <w:r>
        <w:t>сам, как ответственное родительство и методы планиров</w:t>
      </w:r>
      <w:r>
        <w:t>а</w:t>
      </w:r>
      <w:r>
        <w:t>ния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108.</w:t>
      </w:r>
      <w:r>
        <w:tab/>
        <w:t>Недавний анализ текущего положения дел в парагвайском образовании свидетельствует о наличии множества факторов, порождающих несправедл</w:t>
      </w:r>
      <w:r>
        <w:t>и</w:t>
      </w:r>
      <w:r>
        <w:t xml:space="preserve">вость: </w:t>
      </w:r>
      <w:r>
        <w:rPr>
          <w:lang w:val="en-US"/>
        </w:rPr>
        <w:t>i</w:t>
      </w:r>
      <w:r>
        <w:t>)</w:t>
      </w:r>
      <w:r>
        <w:rPr>
          <w:lang w:val="en-US"/>
        </w:rPr>
        <w:t> </w:t>
      </w:r>
      <w:r>
        <w:t>базовое школьное образование. Включение в учебную программу пр</w:t>
      </w:r>
      <w:r>
        <w:t>о</w:t>
      </w:r>
      <w:r>
        <w:t>блематики равенства полов считается одним из новшеств реформы образов</w:t>
      </w:r>
      <w:r>
        <w:t>а</w:t>
      </w:r>
      <w:r>
        <w:t>ния, которое еще предстоит более глубоко проанализировать и осмыслить тем, кто отвечает за управление системой образования (инспекторам в министерс</w:t>
      </w:r>
      <w:r>
        <w:t>т</w:t>
      </w:r>
      <w:r>
        <w:t>ве, директорам школ и преподавателям), с целью достичь ожидаемых результ</w:t>
      </w:r>
      <w:r>
        <w:t>а</w:t>
      </w:r>
      <w:r>
        <w:t>тов; ii) двуязычие. Национальная комиссия по проблеме двуязычия считает, что в языковой политике и работе преподавательского состава необходимо делать упор на сохранение системы ценностей культуры гуарани. Язык гуарани явл</w:t>
      </w:r>
      <w:r>
        <w:t>я</w:t>
      </w:r>
      <w:r>
        <w:t>ется одним из ключевых и первостепенных инструментов для проведения в жизнь политики социального равенства и начала процесса переоценки кул</w:t>
      </w:r>
      <w:r>
        <w:t>ь</w:t>
      </w:r>
      <w:r>
        <w:t>турных ценностей; iii) начальное образование. Совершенствование образов</w:t>
      </w:r>
      <w:r>
        <w:t>а</w:t>
      </w:r>
      <w:r>
        <w:t xml:space="preserve">ния на этом уровне в рамках системы формального образования </w:t>
      </w:r>
      <w:r>
        <w:noBreakHyphen/>
        <w:t xml:space="preserve"> одна из на</w:t>
      </w:r>
      <w:r>
        <w:t>и</w:t>
      </w:r>
      <w:r>
        <w:t>более подходящих возможностей для утверждения принципов справедливости, обеспечения успеха педагогической работы и воспитания граждан в духе дем</w:t>
      </w:r>
      <w:r>
        <w:t>о</w:t>
      </w:r>
      <w:r>
        <w:t xml:space="preserve">кратии и солидарности.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11</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1.</w:t>
      </w:r>
      <w:r>
        <w:rPr>
          <w:b/>
        </w:rPr>
        <w:tab/>
        <w:t>Государства-участники принимают все соответствующие меры для ликвидации дискриминации в отношении женщин в области занят</w:t>
      </w:r>
      <w:r>
        <w:rPr>
          <w:b/>
        </w:rPr>
        <w:t>о</w:t>
      </w:r>
      <w:r>
        <w:rPr>
          <w:b/>
        </w:rPr>
        <w:t>сти, с тем чтобы обеспечить на основе равенства мужчин и женщин ра</w:t>
      </w:r>
      <w:r>
        <w:rPr>
          <w:b/>
        </w:rPr>
        <w:t>в</w:t>
      </w:r>
      <w:r>
        <w:rPr>
          <w:b/>
        </w:rPr>
        <w:t>ные права, в частности: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а)</w:t>
      </w:r>
      <w:r>
        <w:rPr>
          <w:b/>
        </w:rPr>
        <w:tab/>
        <w:t>право на труд как неотъемлемое право всех людей;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109.</w:t>
      </w:r>
      <w:r>
        <w:tab/>
        <w:t>В Национальной конституции есть конкретные положения о труде же</w:t>
      </w:r>
      <w:r>
        <w:t>н</w:t>
      </w:r>
      <w:r>
        <w:t>щин и говорится о недопущении какой бы то ни было дискриминации труд</w:t>
      </w:r>
      <w:r>
        <w:t>я</w:t>
      </w:r>
      <w:r>
        <w:t>щихся на основании их этнического происхождения, пола, возраста, вероисп</w:t>
      </w:r>
      <w:r>
        <w:t>о</w:t>
      </w:r>
      <w:r>
        <w:t>ведания, социального статуса или принадлежности к политическим или про</w:t>
      </w:r>
      <w:r>
        <w:t>ф</w:t>
      </w:r>
      <w:r>
        <w:t>союзным организациям.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110.</w:t>
      </w:r>
      <w:r>
        <w:tab/>
        <w:t>В 1995 году Трудовой кодекс был частично переработан с внесением в н</w:t>
      </w:r>
      <w:r>
        <w:t>е</w:t>
      </w:r>
      <w:r>
        <w:t>го важных усовершенствований с точки зрения равноправия женщин. В нем содержатся положения о равенстве трудовых прав и обязанностей мужчин и женщин, равной оплате труда, охране материнства и обязанности предоста</w:t>
      </w:r>
      <w:r>
        <w:t>в</w:t>
      </w:r>
      <w:r>
        <w:t>лять услуги по уходу за детьми работающим мужчинам и женщинам.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111.</w:t>
      </w:r>
      <w:r>
        <w:tab/>
        <w:t>Право на труд гарантируется как одно из неотъемлемых прав. На рынке труда женщины представлены в меньшей степени, чем мужчины, хотя в 1990</w:t>
      </w:r>
      <w:r>
        <w:noBreakHyphen/>
        <w:t>е годы интенсивность притока женщин на этот рынок значительно возросла. Секретариат по делам женщин входит в состав Подкомиссии по разработке проектов и Подкомиссии по международным нормам Трехсторонней комиссии по проблеме равенства возможностей в сфере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b</w:t>
      </w:r>
      <w:r>
        <w:rPr>
          <w:b/>
        </w:rPr>
        <w:t>)</w:t>
      </w:r>
      <w:r>
        <w:rPr>
          <w:b/>
        </w:rPr>
        <w:tab/>
        <w:t>право на одинаковые возможности при найме на работу, в том числе применение одинак</w:t>
      </w:r>
      <w:r>
        <w:rPr>
          <w:b/>
        </w:rPr>
        <w:t>о</w:t>
      </w:r>
      <w:r>
        <w:rPr>
          <w:b/>
        </w:rPr>
        <w:t xml:space="preserve">вых критериев отбора при найме;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112.</w:t>
      </w:r>
      <w:r>
        <w:tab/>
        <w:t>В статье 86 Конституции провозглашается, что все граждане Парагвая имеют право трудиться на законных основаниях, свободно выбирать профе</w:t>
      </w:r>
      <w:r>
        <w:t>с</w:t>
      </w:r>
      <w:r>
        <w:t>сию и работать в достойных условиях и на справедливой основе. Закон защ</w:t>
      </w:r>
      <w:r>
        <w:t>и</w:t>
      </w:r>
      <w:r>
        <w:t>щает труд во всех его формах, и права, которые он предоставляет трудящимся, являются неотъемл</w:t>
      </w:r>
      <w:r>
        <w:t>е</w:t>
      </w:r>
      <w:r>
        <w:t>мыми по своему характеру.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113.</w:t>
      </w:r>
      <w:r>
        <w:tab/>
        <w:t>Хотя Конституция стоит на страже женского труда и поощряет трудовую деятельность женщин, при отборе персонала по-прежнему применяются кр</w:t>
      </w:r>
      <w:r>
        <w:t>и</w:t>
      </w:r>
      <w:r>
        <w:t>терии, которые приводят к ущемлению интересов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с)</w:t>
      </w:r>
      <w:r>
        <w:rPr>
          <w:b/>
        </w:rPr>
        <w:tab/>
        <w:t>право на свободный выбор профессии или рода работы, на пр</w:t>
      </w:r>
      <w:r>
        <w:rPr>
          <w:b/>
        </w:rPr>
        <w:t>о</w:t>
      </w:r>
      <w:r>
        <w:rPr>
          <w:b/>
        </w:rPr>
        <w:t>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w:t>
      </w:r>
      <w:r>
        <w:rPr>
          <w:b/>
        </w:rPr>
        <w:t>р</w:t>
      </w:r>
      <w:r>
        <w:rPr>
          <w:b/>
        </w:rPr>
        <w:t xml:space="preserve">ную переподготовку;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d</w:t>
      </w:r>
      <w:r>
        <w:rPr>
          <w:b/>
        </w:rPr>
        <w:t>)</w:t>
      </w:r>
      <w:r>
        <w:rPr>
          <w:b/>
        </w:rPr>
        <w:tab/>
        <w:t xml:space="preserve">право на равное вознаграждение, включая получение льгот, а также на равный подход к оценке качества работы;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114.</w:t>
      </w:r>
      <w:r>
        <w:tab/>
        <w:t>В пункте 3 статьи 47 Национальной конституции гарантируется равный доступ к невыборным государственным должностям, к которым не предъявл</w:t>
      </w:r>
      <w:r>
        <w:t>я</w:t>
      </w:r>
      <w:r>
        <w:t>ется иных требований, кроме профессиональной пригодности.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115.</w:t>
      </w:r>
      <w:r>
        <w:tab/>
        <w:t>Парагвай ратифицировал Конвенцию МОТ о равном вознаграждении мужчин и женщин за труд равной ценности. Кроме того, в статье 94 и посл</w:t>
      </w:r>
      <w:r>
        <w:t>е</w:t>
      </w:r>
      <w:r>
        <w:t>дующих статьях Кодекса законов о труде содержатся положения о трудовых г</w:t>
      </w:r>
      <w:r>
        <w:t>а</w:t>
      </w:r>
      <w:r>
        <w:t>рантиях: о равном вознаграждении за труд равной ценности, о характере, пр</w:t>
      </w:r>
      <w:r>
        <w:t>о</w:t>
      </w:r>
      <w:r>
        <w:t>должительности и производительности труда (статьи 67 и 229), а также пол</w:t>
      </w:r>
      <w:r>
        <w:t>о</w:t>
      </w:r>
      <w:r>
        <w:t>жения о предоставлении более благоприятных условий для женщин, связанных с кормлением ребенка и материнством (статьи 129-136). Вместе с тем пре</w:t>
      </w:r>
      <w:r>
        <w:t>д</w:t>
      </w:r>
      <w:r>
        <w:t>ставляется очевидным, что существует разница в оплате труда мужчин и же</w:t>
      </w:r>
      <w:r>
        <w:t>н</w:t>
      </w:r>
      <w:r>
        <w:t>щин, а также гендерная неоднородность рынка тр</w:t>
      </w:r>
      <w:r>
        <w:t>у</w:t>
      </w:r>
      <w:r>
        <w:t xml:space="preserve">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116.</w:t>
      </w:r>
      <w:r>
        <w:tab/>
        <w:t>В Кодекс законов о труде были внесены изменения, расширяющие права женщин, работающих в качестве домашней прислуги (в том числе права раб</w:t>
      </w:r>
      <w:r>
        <w:t>о</w:t>
      </w:r>
      <w:r>
        <w:t>тающих в качестве домашней прислуги мужчин, хотя их доля в этом секторе невелика), в частности касающиеся получения рождественских подарков, пр</w:t>
      </w:r>
      <w:r>
        <w:t>е</w:t>
      </w:r>
      <w:r>
        <w:t>доставления отпуска по беременности и родам, права на получение компенс</w:t>
      </w:r>
      <w:r>
        <w:t>а</w:t>
      </w:r>
      <w:r>
        <w:t>ций и недопущения увольнения под предлогом, связанным с моральным обл</w:t>
      </w:r>
      <w:r>
        <w:t>и</w:t>
      </w:r>
      <w:r>
        <w:t>ком и честностью. Следует признать, однако, что в этом Кодексе содержатся дискриминационные положения, которые затрагивают именно этот сектор тр</w:t>
      </w:r>
      <w:r>
        <w:t>у</w:t>
      </w:r>
      <w:r>
        <w:t>дящихся (доля женщин в котором составляет одну четвертую часть экономич</w:t>
      </w:r>
      <w:r>
        <w:t>е</w:t>
      </w:r>
      <w:r>
        <w:t>ски активного населения), касающиеся заработной платы, продолжительности рабочего времени, учета сверхурочной работы, выходных дней в неделю и у</w:t>
      </w:r>
      <w:r>
        <w:t>с</w:t>
      </w:r>
      <w:r>
        <w:t xml:space="preserve">ловий расторжения трудового договора.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117.</w:t>
      </w:r>
      <w:r>
        <w:tab/>
        <w:t>Секретариат по делам женщин совместно с Национальной службой с</w:t>
      </w:r>
      <w:r>
        <w:t>о</w:t>
      </w:r>
      <w:r>
        <w:t>действия профессиональной подготовке при Министерстве юстиции и труда оказывает содействие профессиональной подготовке женщин. По состоянию на конец 1999 года профессиональную подготовку по различным традиционным и нетрадиционным специальн</w:t>
      </w:r>
      <w:r>
        <w:t>о</w:t>
      </w:r>
      <w:r>
        <w:t xml:space="preserve">стям прошли свыше 3000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е)</w:t>
      </w:r>
      <w:r>
        <w:rPr>
          <w:b/>
        </w:rPr>
        <w:tab/>
        <w:t>право на социальное обеспечение, в частности в случае ухода на пенсию, безработицы, болезни, инвалидности, по старости и в других сл</w:t>
      </w:r>
      <w:r>
        <w:rPr>
          <w:b/>
        </w:rPr>
        <w:t>у</w:t>
      </w:r>
      <w:r>
        <w:rPr>
          <w:b/>
        </w:rPr>
        <w:t>чаях потери трудоспособности, а также право на о</w:t>
      </w:r>
      <w:r>
        <w:rPr>
          <w:b/>
        </w:rPr>
        <w:t>п</w:t>
      </w:r>
      <w:r>
        <w:rPr>
          <w:b/>
        </w:rPr>
        <w:t xml:space="preserve">лачиваемый отпуск;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f</w:t>
      </w:r>
      <w:r>
        <w:rPr>
          <w:b/>
        </w:rPr>
        <w:t>)</w:t>
      </w:r>
      <w:r>
        <w:rPr>
          <w:b/>
        </w:rPr>
        <w:tab/>
        <w:t>право на охрану здоровья и безопасные условия труда, в том числе по сохранению фун</w:t>
      </w:r>
      <w:r>
        <w:rPr>
          <w:b/>
        </w:rPr>
        <w:t>к</w:t>
      </w:r>
      <w:r>
        <w:rPr>
          <w:b/>
        </w:rPr>
        <w:t xml:space="preserve">ции продолжения рода.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118.</w:t>
      </w:r>
      <w:r>
        <w:tab/>
        <w:t>Не существует никаких ограничений в отношении права на оплачиваемый отпуск, выплаты выходного пособия в связи с увольнением и получения ро</w:t>
      </w:r>
      <w:r>
        <w:t>ж</w:t>
      </w:r>
      <w:r>
        <w:t>дественских подарков. Эти права предоставляются как мужчинам, так и же</w:t>
      </w:r>
      <w:r>
        <w:t>н</w:t>
      </w:r>
      <w:r>
        <w:t xml:space="preserve">щинам.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119.</w:t>
      </w:r>
      <w:r>
        <w:tab/>
        <w:t>В системе социального обеспечения по-прежнему действуют дискрим</w:t>
      </w:r>
      <w:r>
        <w:t>и</w:t>
      </w:r>
      <w:r>
        <w:t>национные нормы, которые затрагивают женщин, работающих в качестве д</w:t>
      </w:r>
      <w:r>
        <w:t>о</w:t>
      </w:r>
      <w:r>
        <w:t>машней прислуги, частных преподавателей и работающих не по найму, п</w:t>
      </w:r>
      <w:r>
        <w:t>о</w:t>
      </w:r>
      <w:r>
        <w:t>скольку эти женщины имеют право только на медицинское обслуживание и о</w:t>
      </w:r>
      <w:r>
        <w:t>п</w:t>
      </w:r>
      <w:r>
        <w:t>лату лекарственных препаратов, но лишены права на получение пособий и пе</w:t>
      </w:r>
      <w:r>
        <w:t>н</w:t>
      </w:r>
      <w:r>
        <w:t>сионное обеспечение. Социальные льготы работающей женщины не распр</w:t>
      </w:r>
      <w:r>
        <w:t>о</w:t>
      </w:r>
      <w:r>
        <w:t>страняются на ее супруга, тогда как такие льготы работающего мужа действ</w:t>
      </w:r>
      <w:r>
        <w:t>у</w:t>
      </w:r>
      <w:r>
        <w:t>ют и в отношении его супруги. Отсутствует какой-либо механизм, предусма</w:t>
      </w:r>
      <w:r>
        <w:t>т</w:t>
      </w:r>
      <w:r>
        <w:t>ривающий процедуру пенсионного обеспечения женщин - глав семей, в том числе их доступ к другим социальным льготам, если они не состоят в бр</w:t>
      </w:r>
      <w:r>
        <w:t>а</w:t>
      </w:r>
      <w:r>
        <w:t xml:space="preserve">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120.</w:t>
      </w:r>
      <w:r>
        <w:tab/>
        <w:t>Кодекс законов о труде предусматривает специальные льготы для корм</w:t>
      </w:r>
      <w:r>
        <w:t>я</w:t>
      </w:r>
      <w:r>
        <w:t>щих матерей (статьи 129-136), а также наличие комнат матери и ребенка на предприятиях, насчитывающих свыше 50 трудящихся обоих полов (статья 134), в том числе рождественские подарки и отпуск по беременности и родам для же</w:t>
      </w:r>
      <w:r>
        <w:t>н</w:t>
      </w:r>
      <w:r>
        <w:t xml:space="preserve">щин, работающих в качестве домашней прислуги (статья 153).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2.</w:t>
      </w:r>
      <w:r>
        <w:rPr>
          <w:b/>
        </w:rPr>
        <w:tab/>
        <w:t xml:space="preserve">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a</w:t>
      </w:r>
      <w:r>
        <w:rPr>
          <w:b/>
        </w:rPr>
        <w:t>)</w:t>
      </w:r>
      <w:r>
        <w:rPr>
          <w:b/>
        </w:rPr>
        <w:tab/>
        <w:t>запретить, под угрозой применения санкций, увольнение с раб</w:t>
      </w:r>
      <w:r>
        <w:rPr>
          <w:b/>
        </w:rPr>
        <w:t>о</w:t>
      </w:r>
      <w:r>
        <w:rPr>
          <w:b/>
        </w:rPr>
        <w:t>ты на основании беременности или отпуска по беременности и родам или ди</w:t>
      </w:r>
      <w:r>
        <w:rPr>
          <w:b/>
        </w:rPr>
        <w:t>с</w:t>
      </w:r>
      <w:r>
        <w:rPr>
          <w:b/>
        </w:rPr>
        <w:t xml:space="preserve">криминацию ввиду семейного положения при увольнении;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b</w:t>
      </w:r>
      <w:r>
        <w:rPr>
          <w:b/>
        </w:rPr>
        <w:t>)</w:t>
      </w:r>
      <w:r>
        <w:rPr>
          <w:b/>
        </w:rPr>
        <w:tab/>
        <w:t>ввести оплачиваемые отпуска или отпуска с сопоставимыми с</w:t>
      </w:r>
      <w:r>
        <w:rPr>
          <w:b/>
        </w:rPr>
        <w:t>о</w:t>
      </w:r>
      <w:r>
        <w:rPr>
          <w:b/>
        </w:rPr>
        <w:t>циальными пособиями по беременности и родам без утраты прежнего ме</w:t>
      </w:r>
      <w:r>
        <w:rPr>
          <w:b/>
        </w:rPr>
        <w:t>с</w:t>
      </w:r>
      <w:r>
        <w:rPr>
          <w:b/>
        </w:rPr>
        <w:t>та работы, старшинства или социальных пос</w:t>
      </w:r>
      <w:r>
        <w:rPr>
          <w:b/>
        </w:rPr>
        <w:t>о</w:t>
      </w:r>
      <w:r>
        <w:rPr>
          <w:b/>
        </w:rPr>
        <w:t xml:space="preserve">бий;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c</w:t>
      </w:r>
      <w:r>
        <w:rPr>
          <w:b/>
        </w:rPr>
        <w:t>)</w:t>
      </w:r>
      <w:r>
        <w:rPr>
          <w:b/>
        </w:rPr>
        <w:tab/>
        <w:t>поощрять предоставление дополнительных необходимых соц</w:t>
      </w:r>
      <w:r>
        <w:rPr>
          <w:b/>
        </w:rPr>
        <w:t>и</w:t>
      </w:r>
      <w:r>
        <w:rPr>
          <w:b/>
        </w:rPr>
        <w:t>альных услуг, с тем чтобы позволить родителям совмещать выполнение семейных обязанностей с трудовой деятельностью и участием в общес</w:t>
      </w:r>
      <w:r>
        <w:rPr>
          <w:b/>
        </w:rPr>
        <w:t>т</w:t>
      </w:r>
      <w:r>
        <w:rPr>
          <w:b/>
        </w:rPr>
        <w:t>венной жизни, в частности посредством создания и расширения сети у</w:t>
      </w:r>
      <w:r>
        <w:rPr>
          <w:b/>
        </w:rPr>
        <w:t>ч</w:t>
      </w:r>
      <w:r>
        <w:rPr>
          <w:b/>
        </w:rPr>
        <w:t xml:space="preserve">реждений по уходу за детьми;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d</w:t>
      </w:r>
      <w:r>
        <w:rPr>
          <w:b/>
        </w:rPr>
        <w:t>)</w:t>
      </w:r>
      <w:r>
        <w:rPr>
          <w:b/>
        </w:rPr>
        <w:tab/>
        <w:t>обеспечивать женщинам особую защиту в период беременности на тех видах работ, вредность которых для их здоровья доказ</w:t>
      </w:r>
      <w:r>
        <w:rPr>
          <w:b/>
        </w:rPr>
        <w:t>а</w:t>
      </w:r>
      <w:r>
        <w:rPr>
          <w:b/>
        </w:rPr>
        <w:t xml:space="preserve">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121.</w:t>
      </w:r>
      <w:r>
        <w:tab/>
        <w:t>Конституция страны прямо предусматривает положения, касающиеся предоставления отпуска по беременности и родам, в том числе введение в де</w:t>
      </w:r>
      <w:r>
        <w:t>й</w:t>
      </w:r>
      <w:r>
        <w:t xml:space="preserve">ствие законодательства, регламентирующего порядок предоставления отпуска отцу ребенка.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122.</w:t>
      </w:r>
      <w:r>
        <w:tab/>
        <w:t>Статья 130 и последующие статьи Кодекса законов о труде предусматр</w:t>
      </w:r>
      <w:r>
        <w:t>и</w:t>
      </w:r>
      <w:r>
        <w:t>вают четкие положения об охране здоровья беременных женщин, в том числе в период кормления ребенка, и отпуск по беременности и родам. Политическая хартия запрещает увольнение женщин в период беременности и нахождения в отпу</w:t>
      </w:r>
      <w:r>
        <w:t>с</w:t>
      </w:r>
      <w:r>
        <w:t xml:space="preserve">ке по беременности и родам, который оплачивается в полном размере.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123.</w:t>
      </w:r>
      <w:r>
        <w:tab/>
        <w:t>Кроме того, Кодекс законов о труде прямо предусматривает обустройство предприятий комнатами матери и ребенка, а также защиту женщин в период беременности, с тем чтобы в случае угрозы здоровью матери или вынашива</w:t>
      </w:r>
      <w:r>
        <w:t>е</w:t>
      </w:r>
      <w:r>
        <w:t>мого ею ребенка или в период кормления ребенка женщины не привлекались к опасным и вредным для их здоровья работам, к тяжелым работам в ночное время, работам после 10 часов вечера на торговых предприятиях, в том числе к сверхурочной работе. Положения этого Кодекса запрещают также в течение трех месяцев, предшествующих родам, привлекать беременных женщин к в</w:t>
      </w:r>
      <w:r>
        <w:t>ы</w:t>
      </w:r>
      <w:r>
        <w:t>полн</w:t>
      </w:r>
      <w:r>
        <w:t>е</w:t>
      </w:r>
      <w:r>
        <w:t xml:space="preserve">нию любой работы, которую они не могут выполнить физически.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124.</w:t>
      </w:r>
      <w:r>
        <w:tab/>
        <w:t>В рамках трех главных профсоюзов функционируют отделы по делам женщин. Женщины - члены профсоюзов активно участвуют в обсуждении н</w:t>
      </w:r>
      <w:r>
        <w:t>о</w:t>
      </w:r>
      <w:r>
        <w:t>вого Кодекса законов о труде и в разработке государственной политики в о</w:t>
      </w:r>
      <w:r>
        <w:t>б</w:t>
      </w:r>
      <w:r>
        <w:t xml:space="preserve">ласти труда.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125.</w:t>
      </w:r>
      <w:r>
        <w:tab/>
        <w:t>Представители Секретариата по делам женщин совместно с представит</w:t>
      </w:r>
      <w:r>
        <w:t>е</w:t>
      </w:r>
      <w:r>
        <w:t xml:space="preserve">лями неправительственных организаций и женщинами - лидерами профсоюзов активно участвуют в работе Подгруппы 11 МЕРКОСУР.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lang w:val="en-US"/>
        </w:rPr>
      </w:pPr>
      <w:r>
        <w:t>126.</w:t>
      </w:r>
      <w:r>
        <w:tab/>
        <w:t>Была создана Национальная трехсторонняя комиссия по вопросам раве</w:t>
      </w:r>
      <w:r>
        <w:t>н</w:t>
      </w:r>
      <w:r>
        <w:t>ства возможностей в области занятости в составе представителей Секретариата по делам женщин и Министерства юстиции и труда (государственный сектор), и представителей сектора профсоюзов и сектора предпринимателей. В рамках этой структуры были организованы различные рабочие совещания, в частности три трехсторонних рабочих совещания по вопросам содействия обеспечению равенства возможностей в области труда в Парагвае с целью проанализировать предшествующие факторы и перспективы создания и назначения членов Н</w:t>
      </w:r>
      <w:r>
        <w:t>а</w:t>
      </w:r>
      <w:r>
        <w:t>циональной трехсторонней комиссии для изучения и обеспечения равенства участия женщин в трудовой деятельности согласно Указу № 21401/98. На этих совещаниях представители Министерства труда и социального обеспечения, организаций предпринимателей и профсоюзов были ознакомлены с междун</w:t>
      </w:r>
      <w:r>
        <w:t>а</w:t>
      </w:r>
      <w:r>
        <w:t>родными нормами и правами женщин-трудящихся, а также с деятельностью МОТ в части, касающейся национальных трехсторонних к</w:t>
      </w:r>
      <w:r>
        <w:t>о</w:t>
      </w:r>
      <w:r>
        <w:t>миссий.</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127.</w:t>
      </w:r>
      <w:r>
        <w:tab/>
        <w:t xml:space="preserve">Следует отметить, что Секретариат по делам женщин осуществляет свою деятельность совместно с Сетью женщин, работающих на предприятиях, в формате совещаний за круглым столом, семинаров и практикумов.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128.</w:t>
      </w:r>
      <w:r>
        <w:tab/>
        <w:t>3 января 1997 года между Министерством юстиции и труда и Секретари</w:t>
      </w:r>
      <w:r>
        <w:t>а</w:t>
      </w:r>
      <w:r>
        <w:t>том по делам женщин было заключено соглашение, которое конкретно напра</w:t>
      </w:r>
      <w:r>
        <w:t>в</w:t>
      </w:r>
      <w:r>
        <w:t>лено на проведение информационной работы по гендерной проблематике с с</w:t>
      </w:r>
      <w:r>
        <w:t>о</w:t>
      </w:r>
      <w:r>
        <w:t>трудниками высшего звена, директивными сотрудниками и техническим пе</w:t>
      </w:r>
      <w:r>
        <w:t>р</w:t>
      </w:r>
      <w:r>
        <w:t>соналом Министерства; речь, в частности, идет о таких вопросах, как содейс</w:t>
      </w:r>
      <w:r>
        <w:t>т</w:t>
      </w:r>
      <w:r>
        <w:t>вие обеспечению равных возможностей мужчин и женщин, связанных с дост</w:t>
      </w:r>
      <w:r>
        <w:t>у</w:t>
      </w:r>
      <w:r>
        <w:t>пом к трудоустройству и продвижением женщин на директивные должн</w:t>
      </w:r>
      <w:r>
        <w:t>о</w:t>
      </w:r>
      <w:r>
        <w:t xml:space="preserve">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129.</w:t>
      </w:r>
      <w:r>
        <w:tab/>
        <w:t>Секретариат по делам женщин призывает и поощряет сектор частных предприятий, где работают женщины, к созданию Парагвайского отделения Форума женщин под эгидой МЕРКОСУР, т.е. к созданию неправительственной организации, которая призвана принимать активное участие в работе МЕРКОСУР и сотру</w:t>
      </w:r>
      <w:r>
        <w:t>д</w:t>
      </w:r>
      <w:r>
        <w:t xml:space="preserve">ничать со странами-членами, прежде всего с женщинами-предпринимателями. В 1998 году Секретариат по делам женщин занимался изучением положения парагвайских и бразильских женщин на рынке труда в приграничных районах, где особенно заметно неравенство мужчин и женщин в том, что касается их возможностей и положения.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12</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1.</w:t>
      </w:r>
      <w:r>
        <w:rPr>
          <w:b/>
        </w:rPr>
        <w:tab/>
        <w:t>Государства-участники принимают все соответствующие меры для ликвидации дискриминации в отношении женщин в области здрав</w:t>
      </w:r>
      <w:r>
        <w:rPr>
          <w:b/>
        </w:rPr>
        <w:t>о</w:t>
      </w:r>
      <w:r>
        <w:rPr>
          <w:b/>
        </w:rPr>
        <w:t>охранения, с тем чтобы обеспечить на основе равенства мужчин и женщин доступ к медицинскому обслуживанию, в частности в том, что касается планир</w:t>
      </w:r>
      <w:r>
        <w:rPr>
          <w:b/>
        </w:rPr>
        <w:t>о</w:t>
      </w:r>
      <w:r>
        <w:rPr>
          <w:b/>
        </w:rPr>
        <w:t xml:space="preserve">вания размера семьи.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2.</w:t>
      </w:r>
      <w:r>
        <w:rPr>
          <w:b/>
        </w:rPr>
        <w:tab/>
        <w:t>Независимо от положений пункта 1 настоящей статьи, госуда</w:t>
      </w:r>
      <w:r>
        <w:rPr>
          <w:b/>
        </w:rPr>
        <w:t>р</w:t>
      </w:r>
      <w:r>
        <w:rPr>
          <w:b/>
        </w:rPr>
        <w:t xml:space="preserve">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130.</w:t>
      </w:r>
      <w:r>
        <w:tab/>
        <w:t>Главное управление по вопросам благосостояния семей и Главное упра</w:t>
      </w:r>
      <w:r>
        <w:t>в</w:t>
      </w:r>
      <w:r>
        <w:t>ление социального обеспечения, подведомственные Министерству здравоохр</w:t>
      </w:r>
      <w:r>
        <w:t>а</w:t>
      </w:r>
      <w:r>
        <w:t xml:space="preserve">нения, выполняют, среди прочего, такие функции, как содействие обеспечению медицинского обслуживания женщин и членов семьи.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131.</w:t>
      </w:r>
      <w:r>
        <w:tab/>
        <w:t>Национальный совет по делам охраны репродуктивного здоровья, кот</w:t>
      </w:r>
      <w:r>
        <w:t>о</w:t>
      </w:r>
      <w:r>
        <w:t>рый является структурным подразделением различных механизмов, в коорд</w:t>
      </w:r>
      <w:r>
        <w:t>и</w:t>
      </w:r>
      <w:r>
        <w:t>нации с Министерством здравоохранения разрабатывает, контролирует и ос</w:t>
      </w:r>
      <w:r>
        <w:t>у</w:t>
      </w:r>
      <w:r>
        <w:t>ществляет программы в области репродуктивного здоровья и планирования размеров семьи.</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132.</w:t>
      </w:r>
      <w:r>
        <w:tab/>
        <w:t>При медицинских центрах в столице и других регионах страны созданы клиники матери и ребенка.</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133.</w:t>
      </w:r>
      <w:r>
        <w:tab/>
        <w:t>Национальная политика комплексной охраны здоровья женщин, разраб</w:t>
      </w:r>
      <w:r>
        <w:t>о</w:t>
      </w:r>
      <w:r>
        <w:t>танная во исполнение Постановления № 412 от августа 1999 года Министерс</w:t>
      </w:r>
      <w:r>
        <w:t>т</w:t>
      </w:r>
      <w:r>
        <w:t>ва здравоохранения и социального обеспечения, предусматривает охрану зд</w:t>
      </w:r>
      <w:r>
        <w:t>о</w:t>
      </w:r>
      <w:r>
        <w:t>ровья женщин в любом возрасте. В этой связи разработана стратегия обеспеч</w:t>
      </w:r>
      <w:r>
        <w:t>е</w:t>
      </w:r>
      <w:r>
        <w:t>ния комплексной охраны здоровья подростков, которая включает следующие элементы: контроль за развитием подростков; уделение внимания физиолог</w:t>
      </w:r>
      <w:r>
        <w:t>и</w:t>
      </w:r>
      <w:r>
        <w:t>ческому и умственному развитию подростков и становлению их личности; ор</w:t>
      </w:r>
      <w:r>
        <w:t>и</w:t>
      </w:r>
      <w:r>
        <w:t>ентация и просвещение в области гигиены половой жизни; профилактика ВИЧ/СПИДа; эффективная охрана здоровья матери в период кормления ребе</w:t>
      </w:r>
      <w:r>
        <w:t>н</w:t>
      </w:r>
      <w:r>
        <w:t>ка; информационно-пропагандистская работа и консультации по вопросам пл</w:t>
      </w:r>
      <w:r>
        <w:t>а</w:t>
      </w:r>
      <w:r>
        <w:t>нирования размеров семьи и предотвращение и ликвидация насилия в отнош</w:t>
      </w:r>
      <w:r>
        <w:t>е</w:t>
      </w:r>
      <w:r>
        <w:t>нии подростков.</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134.</w:t>
      </w:r>
      <w:r>
        <w:tab/>
        <w:t>Мероприятия по профилактике ВИЧ/СПИДа осуществляются в рамках Национальной политики комплексной охраны здоровья женщин, и эти мер</w:t>
      </w:r>
      <w:r>
        <w:t>о</w:t>
      </w:r>
      <w:r>
        <w:t>приятиях охватывают в том числе и мужчин. Подобные мероприятия являются стержнем Стратегии комплексной охраны полового и репродуктивного здор</w:t>
      </w:r>
      <w:r>
        <w:t>о</w:t>
      </w:r>
      <w:r>
        <w:t>вья.</w:t>
      </w:r>
      <w:r>
        <w:rPr>
          <w:b/>
        </w:rP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13</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Государства-участники принимают все соответствующие меры для ликвидации дискриминации в отношении женщин в других областях эк</w:t>
      </w:r>
      <w:r>
        <w:rPr>
          <w:b/>
        </w:rPr>
        <w:t>о</w:t>
      </w:r>
      <w:r>
        <w:rPr>
          <w:b/>
        </w:rPr>
        <w:t>номической и социальной жизни, с тем чтобы обеспечить на основе раве</w:t>
      </w:r>
      <w:r>
        <w:rPr>
          <w:b/>
        </w:rPr>
        <w:t>н</w:t>
      </w:r>
      <w:r>
        <w:rPr>
          <w:b/>
        </w:rPr>
        <w:t xml:space="preserve">ства мужчин и женщин равные права, в частности: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а)</w:t>
      </w:r>
      <w:r>
        <w:rPr>
          <w:b/>
        </w:rPr>
        <w:tab/>
        <w:t xml:space="preserve">право на семейные пособия;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b</w:t>
      </w:r>
      <w:r>
        <w:rPr>
          <w:b/>
        </w:rPr>
        <w:t>)</w:t>
      </w:r>
      <w:r>
        <w:rPr>
          <w:b/>
        </w:rPr>
        <w:tab/>
        <w:t xml:space="preserve">право на получение займов, ссуд под недвижимость и других форм финансового кредита;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с)</w:t>
      </w:r>
      <w:r>
        <w:rPr>
          <w:b/>
        </w:rPr>
        <w:tab/>
        <w:t>право участвовать в мероприятиях, связанных с отдыхом, зан</w:t>
      </w:r>
      <w:r>
        <w:rPr>
          <w:b/>
        </w:rPr>
        <w:t>я</w:t>
      </w:r>
      <w:r>
        <w:rPr>
          <w:b/>
        </w:rPr>
        <w:t xml:space="preserve">тиями спортом и во всех областях культурной жизни.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135.</w:t>
      </w:r>
      <w:r>
        <w:tab/>
        <w:t>Не существует каких-либо ограничений и неравенства между мужчинами и женщинами в том, что касается совершения коммерческих сделок, банко</w:t>
      </w:r>
      <w:r>
        <w:t>в</w:t>
      </w:r>
      <w:r>
        <w:t>ских операций, получения ссуд под недвижимость и других форм денежных кредитов. Как правило, в отношении замужней женщины действуют те же о</w:t>
      </w:r>
      <w:r>
        <w:t>г</w:t>
      </w:r>
      <w:r>
        <w:t>раничения, что и в отношении женатого мужчины. Эти ограничения пред</w:t>
      </w:r>
      <w:r>
        <w:t>у</w:t>
      </w:r>
      <w:r>
        <w:t>смотрены в Законе 1/92 о внесении изменений в Гражданский кодекс с целью обеспечения транспарентности и равенства в области семейных имуществе</w:t>
      </w:r>
      <w:r>
        <w:t>н</w:t>
      </w:r>
      <w:r>
        <w:t>ных отношений.</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136.</w:t>
      </w:r>
      <w:r>
        <w:tab/>
        <w:t>В настоящее время не существует каких-либо ограничений в отношении женщин принимать участие в мероприятиях, связанных с отдыхом, занятием спортом и во всех областях культурной жизни. В недавнем прошлом некоторые клубы были закрыты для посещения женщин. Подобная дискриминация устр</w:t>
      </w:r>
      <w:r>
        <w:t>а</w:t>
      </w:r>
      <w:r>
        <w:t>нена на основании изменений в правилах для посетителей этих клубов.</w:t>
      </w:r>
      <w:r>
        <w:rPr>
          <w:b/>
        </w:rP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14</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1.</w:t>
      </w:r>
      <w:r>
        <w:rPr>
          <w:b/>
        </w:rPr>
        <w:tab/>
        <w:t>Государства-участники принимают во внимание особые пробл</w:t>
      </w:r>
      <w:r>
        <w:rPr>
          <w:b/>
        </w:rPr>
        <w:t>е</w:t>
      </w:r>
      <w:r>
        <w:rPr>
          <w:b/>
        </w:rPr>
        <w:t>мы, с которыми сталкиваются женщины, проживающие в сельской мес</w:t>
      </w:r>
      <w:r>
        <w:rPr>
          <w:b/>
        </w:rPr>
        <w:t>т</w:t>
      </w:r>
      <w:r>
        <w:rPr>
          <w:b/>
        </w:rPr>
        <w:t>ности, и значительную роль, которую они играют в обеспечении эконом</w:t>
      </w:r>
      <w:r>
        <w:rPr>
          <w:b/>
        </w:rPr>
        <w:t>и</w:t>
      </w:r>
      <w:r>
        <w:rPr>
          <w:b/>
        </w:rPr>
        <w:t>ческого благосостояния своих семей, в том числе их деятельность в нет</w:t>
      </w:r>
      <w:r>
        <w:rPr>
          <w:b/>
        </w:rPr>
        <w:t>о</w:t>
      </w:r>
      <w:r>
        <w:rPr>
          <w:b/>
        </w:rPr>
        <w:t>варных отраслях хозяйства, и принимают все соответствующие меры для обеспечения применения положений настоящей Конвенции к женщинам, пр</w:t>
      </w:r>
      <w:r>
        <w:rPr>
          <w:b/>
        </w:rPr>
        <w:t>о</w:t>
      </w:r>
      <w:r>
        <w:rPr>
          <w:b/>
        </w:rPr>
        <w:t xml:space="preserve">живающим в сельской местности.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137.</w:t>
      </w:r>
      <w:r>
        <w:tab/>
        <w:t>В соответствующем разделе Конституции Республики Парагвай говори</w:t>
      </w:r>
      <w:r>
        <w:t>т</w:t>
      </w:r>
      <w:r>
        <w:t>ся, что в основе реформирования и развития сельского хозяйства должно л</w:t>
      </w:r>
      <w:r>
        <w:t>е</w:t>
      </w:r>
      <w:r>
        <w:t>жать принятие налоговой системы и других мер стимулирования производства, помощь сельским труженицам, прежде всего женщинам, возглавляющим с</w:t>
      </w:r>
      <w:r>
        <w:t>е</w:t>
      </w:r>
      <w:r>
        <w:t>мьи, и обеспечение участия сельских женщин на равной с мужчинами основе в разработке планов сельскохозяйственных реформ, программ мероприятий по улучшению положения крестьян, включая создание необходимой инфрастру</w:t>
      </w:r>
      <w:r>
        <w:t>к</w:t>
      </w:r>
      <w:r>
        <w:t>туры с уделением особого внимания строительству дорог, образованию и здр</w:t>
      </w:r>
      <w:r>
        <w:t>а</w:t>
      </w:r>
      <w:r>
        <w:t>воохранению, предоставлению сельскохозяйственных кредитов под низкие проценты и без участия посредников, созданию системы сельскохозяйственн</w:t>
      </w:r>
      <w:r>
        <w:t>о</w:t>
      </w:r>
      <w:r>
        <w:t>го страхования, участию мужчин и женщин в соответствующих процессах сельскохозяйственной реформы, содействию деятельности крестьянских орг</w:t>
      </w:r>
      <w:r>
        <w:t>а</w:t>
      </w:r>
      <w:r>
        <w:t>низаций в деле защиты их экономических, социальных и культурных интер</w:t>
      </w:r>
      <w:r>
        <w:t>е</w:t>
      </w:r>
      <w:r>
        <w:t>сов, просвещению сельскохозяйственных тружеников и членов их семей, с тем чт</w:t>
      </w:r>
      <w:r>
        <w:t>о</w:t>
      </w:r>
      <w:r>
        <w:t>бы они могли принимать активное участие в общенациональном развитии.</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138.</w:t>
      </w:r>
      <w:r>
        <w:tab/>
        <w:t>В этом контексте следует особо отметить исключительно важное значение Соглашения о техническом сотрудничестве, которое было подписано между Секретариатом по делам женщин при Президенте Республики и Министерс</w:t>
      </w:r>
      <w:r>
        <w:t>т</w:t>
      </w:r>
      <w:r>
        <w:t>вом земледелия и животноводства (МАГ), конкретно отражающее намерение обоих учреждений осуществлять совместные мероприятия по включению ге</w:t>
      </w:r>
      <w:r>
        <w:t>н</w:t>
      </w:r>
      <w:r>
        <w:t>дерных факторов в государственную политику. Это соглашение было подпис</w:t>
      </w:r>
      <w:r>
        <w:t>а</w:t>
      </w:r>
      <w:r>
        <w:t>но в 1995 году и рассчитано на пять лет. Во исполнение положений этого С</w:t>
      </w:r>
      <w:r>
        <w:t>о</w:t>
      </w:r>
      <w:r>
        <w:t xml:space="preserve">глашения МАГ взяло на себя следующие обязательства: </w:t>
      </w:r>
      <w:r>
        <w:rPr>
          <w:lang w:val="en-US"/>
        </w:rPr>
        <w:t>i</w:t>
      </w:r>
      <w:r>
        <w:t xml:space="preserve">) включать гендерные факторы в планы, программы и проекты, осуществляемые МАГ; </w:t>
      </w:r>
      <w:r>
        <w:rPr>
          <w:lang w:val="en-US"/>
        </w:rPr>
        <w:t>ii</w:t>
      </w:r>
      <w:r>
        <w:t>) принимать необходимые меры для достижения показателей и целей проектов, которые б</w:t>
      </w:r>
      <w:r>
        <w:t>у</w:t>
      </w:r>
      <w:r>
        <w:t xml:space="preserve">дут осуществляться различными учреждениями, и содействовать изысканию ресурсов в этой связи; и </w:t>
      </w:r>
      <w:r>
        <w:rPr>
          <w:lang w:val="en-US"/>
        </w:rPr>
        <w:t>iii</w:t>
      </w:r>
      <w:r>
        <w:t>) организовывать профессиональную техническую подготовку по конкретным специальностям путем предоставления услуг своих технических специалистов техническим специалистам Секретариата по делам женщин. В свою очередь Секретариат по делам женщин взял на себя обяз</w:t>
      </w:r>
      <w:r>
        <w:t>а</w:t>
      </w:r>
      <w:r>
        <w:t>тельство организовывать техническую профессиональную подготовку по ге</w:t>
      </w:r>
      <w:r>
        <w:t>н</w:t>
      </w:r>
      <w:r>
        <w:t>дерной проблематике технических специалистов МАГ.</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139.</w:t>
      </w:r>
      <w:r>
        <w:tab/>
        <w:t>Среди наиболее важных результатов осуществления этого Соглашения следует назвать проведение семинаров-практикумов по теме "Опыт организ</w:t>
      </w:r>
      <w:r>
        <w:t>а</w:t>
      </w:r>
      <w:r>
        <w:t>ционной работы по оказанию помощи сельским женщинам". Речь идет о с</w:t>
      </w:r>
      <w:r>
        <w:t>о</w:t>
      </w:r>
      <w:r>
        <w:t>вместной работе Секретариата по делам женщин и Главного управления пл</w:t>
      </w:r>
      <w:r>
        <w:t>а</w:t>
      </w:r>
      <w:r>
        <w:t>нирования МАГ в области просветительской деятельности по гендерной пр</w:t>
      </w:r>
      <w:r>
        <w:t>о</w:t>
      </w:r>
      <w:r>
        <w:t>блематике и ознакомления с результатами различных семинаров-практикумов. Кроме того, была осуществлена программа под названием "Роль женщин и МАГ", в рамках которой была организвана профессиональная подготовка сел</w:t>
      </w:r>
      <w:r>
        <w:t>ь</w:t>
      </w:r>
      <w:r>
        <w:t>ских активисток по вопросам роли женщин в гражданских правоотношениях, включая оказание технической помощи по гендерной проблематике в ходе ра</w:t>
      </w:r>
      <w:r>
        <w:t>з</w:t>
      </w:r>
      <w:r>
        <w:t>личных информационно-пропагандистских мероприятий МАГ (кампания и</w:t>
      </w:r>
      <w:r>
        <w:t>н</w:t>
      </w:r>
      <w:r>
        <w:t>формационно-пропагандистских мероприятий для женщин - производителей хлопчатника).</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140.</w:t>
      </w:r>
      <w:r>
        <w:tab/>
        <w:t>Среди других результатов следует также назвать подписание Протокола о намерениях между Секретариатом по делам женщин (СЖ) при Президенте Республики, Фондом сельскохозяйственных кредитов (ФСК) и Управлением по вопросам сельскохозяйственной пропаганды (УСП). Этот Протокол был подп</w:t>
      </w:r>
      <w:r>
        <w:t>и</w:t>
      </w:r>
      <w:r>
        <w:t>сан в 1996 году с целью осуществления Межучрежденческой программы п</w:t>
      </w:r>
      <w:r>
        <w:t>о</w:t>
      </w:r>
      <w:r>
        <w:t>мощи сельским женщинам и молодежи, в частности технической помощи в о</w:t>
      </w:r>
      <w:r>
        <w:t>б</w:t>
      </w:r>
      <w:r>
        <w:t>ласти образования, организации и получения кредитов с участием учреждений, подписавших Протокол.</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141.</w:t>
      </w:r>
      <w:r>
        <w:tab/>
        <w:t>Соглашение о взаимном сотрудничестве между Секретариатом по делам женщин при Президенте Республики, Министерством земледелия и животн</w:t>
      </w:r>
      <w:r>
        <w:t>о</w:t>
      </w:r>
      <w:r>
        <w:t>водства (МАГ) и правительствами Консепсьона и Сан-Педро и Продовольс</w:t>
      </w:r>
      <w:r>
        <w:t>т</w:t>
      </w:r>
      <w:r>
        <w:t>венной и сельскохозяйственной организацией Объединенных Наций (ФАО) предусматривает процесс децентрализации как механизма, позволяющего уд</w:t>
      </w:r>
      <w:r>
        <w:t>е</w:t>
      </w:r>
      <w:r>
        <w:t>лять более пристальное внимание сельскохозяйственной политике с учетом гендерных факторов. Это Соглашение имеет своей целью укрепление поте</w:t>
      </w:r>
      <w:r>
        <w:t>н</w:t>
      </w:r>
      <w:r>
        <w:t>циала семейных крестьянских кооперативов, чтобы повысить уровень их орг</w:t>
      </w:r>
      <w:r>
        <w:t>а</w:t>
      </w:r>
      <w:r>
        <w:t>низации и производительность их деятельности и тем самым повысить их д</w:t>
      </w:r>
      <w:r>
        <w:t>о</w:t>
      </w:r>
      <w:r>
        <w:t>ходы, в том числе улучшить качество жизни их членов в процессе осуществл</w:t>
      </w:r>
      <w:r>
        <w:t>е</w:t>
      </w:r>
      <w:r>
        <w:t>ния планов, программ и проектов развития сельского хозяйства на уровне д</w:t>
      </w:r>
      <w:r>
        <w:t>е</w:t>
      </w:r>
      <w:r>
        <w:t>партаментов и районов.</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142.</w:t>
      </w:r>
      <w:r>
        <w:tab/>
        <w:t>В 1995 году Секретариат по делам женщин при Президенте Республики и Межамериканский институт сотрудничества в области сельского хозяйства (МИССХ) подписали Генеральное соглашение о техническом и администр</w:t>
      </w:r>
      <w:r>
        <w:t>а</w:t>
      </w:r>
      <w:r>
        <w:t>тивном сотрудничестве, которое предусматривает сотрудничество для целей укрепления Института как правительственной структуры, обладающей поте</w:t>
      </w:r>
      <w:r>
        <w:t>н</w:t>
      </w:r>
      <w:r>
        <w:t>циалом включать гендерные аспекты в процесс устойчивого развития сельских районов путем осуществления различных мер политики секторального разв</w:t>
      </w:r>
      <w:r>
        <w:t>и</w:t>
      </w:r>
      <w:r>
        <w:t>тия, способствующих участию сельских женщин. В результате этого сотрудн</w:t>
      </w:r>
      <w:r>
        <w:t>и</w:t>
      </w:r>
      <w:r>
        <w:t>чества в 1999 году было разработано "Руководство по включению гендерной проблематики в проекты устойчивого развития сельских районов". Это Руков</w:t>
      </w:r>
      <w:r>
        <w:t>о</w:t>
      </w:r>
      <w:r>
        <w:t>дство служит ориентиром для профессиональной подготовки технических и</w:t>
      </w:r>
      <w:r>
        <w:t>н</w:t>
      </w:r>
      <w:r>
        <w:t>структоров, работающих с продукцией сельского хозяйства. Это Руководство было подвергнуто оценке на семинаре по подготовке инструкт</w:t>
      </w:r>
      <w:r>
        <w:t>о</w:t>
      </w:r>
      <w:r>
        <w:t>ров.</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2.</w:t>
      </w:r>
      <w:r>
        <w:rPr>
          <w:b/>
        </w:rPr>
        <w:tab/>
        <w:t>Государства-участники принимают все соответствующие меры для ликвидации дискриминации в отношении женщин в сельских ра</w:t>
      </w:r>
      <w:r>
        <w:rPr>
          <w:b/>
        </w:rPr>
        <w:t>й</w:t>
      </w:r>
      <w:r>
        <w:rPr>
          <w:b/>
        </w:rPr>
        <w:t>онах, с тем чтобы обеспечить на основе равенства мужчин и женщин их участие в развитии сельских районов и получении выгод от такого разв</w:t>
      </w:r>
      <w:r>
        <w:rPr>
          <w:b/>
        </w:rPr>
        <w:t>и</w:t>
      </w:r>
      <w:r>
        <w:rPr>
          <w:b/>
        </w:rPr>
        <w:t>тия и, в час</w:t>
      </w:r>
      <w:r>
        <w:rPr>
          <w:b/>
        </w:rPr>
        <w:t>т</w:t>
      </w:r>
      <w:r>
        <w:rPr>
          <w:b/>
        </w:rPr>
        <w:t xml:space="preserve">ности, обеспечивают таким женщинам право: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a</w:t>
      </w:r>
      <w:r>
        <w:rPr>
          <w:b/>
        </w:rPr>
        <w:t>)</w:t>
      </w:r>
      <w:r>
        <w:rPr>
          <w:b/>
        </w:rPr>
        <w:tab/>
        <w:t xml:space="preserve">участвовать в разработке и осуществлении планов развития на всех уровнях;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b</w:t>
      </w:r>
      <w:r>
        <w:rPr>
          <w:b/>
        </w:rPr>
        <w:t>)</w:t>
      </w:r>
      <w:r>
        <w:rPr>
          <w:b/>
        </w:rPr>
        <w:tab/>
        <w:t>непосредственно пользоваться благами программ социального стр</w:t>
      </w:r>
      <w:r>
        <w:rPr>
          <w:b/>
        </w:rPr>
        <w:t>а</w:t>
      </w:r>
      <w:r>
        <w:rPr>
          <w:b/>
        </w:rPr>
        <w:t xml:space="preserve">хования;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c</w:t>
      </w:r>
      <w:r>
        <w:rPr>
          <w:b/>
        </w:rPr>
        <w:t>)</w:t>
      </w:r>
      <w:r>
        <w:rPr>
          <w:b/>
        </w:rPr>
        <w:tab/>
        <w:t>получать все виды подготовки и формального и неформального образования, включая функциональную грамотность, а также пользоват</w:t>
      </w:r>
      <w:r>
        <w:rPr>
          <w:b/>
        </w:rPr>
        <w:t>ь</w:t>
      </w:r>
      <w:r>
        <w:rPr>
          <w:b/>
        </w:rPr>
        <w:t>ся услугами всех средств общинного обслуживания, консультативных служб по сельскохозяйственным вопросам, в частности для повышения их те</w:t>
      </w:r>
      <w:r>
        <w:rPr>
          <w:b/>
        </w:rPr>
        <w:t>х</w:t>
      </w:r>
      <w:r>
        <w:rPr>
          <w:b/>
        </w:rPr>
        <w:t xml:space="preserve">нического уровня;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d</w:t>
      </w:r>
      <w:r>
        <w:rPr>
          <w:b/>
        </w:rPr>
        <w:t>)</w:t>
      </w:r>
      <w:r>
        <w:rPr>
          <w:b/>
        </w:rPr>
        <w:tab/>
        <w:t>организовывать группы самопомощи и кооперативы, с тем чт</w:t>
      </w:r>
      <w:r>
        <w:rPr>
          <w:b/>
        </w:rPr>
        <w:t>о</w:t>
      </w:r>
      <w:r>
        <w:rPr>
          <w:b/>
        </w:rPr>
        <w:t>бы обеспечить равный доступ к экономическим возможностям посредс</w:t>
      </w:r>
      <w:r>
        <w:rPr>
          <w:b/>
        </w:rPr>
        <w:t>т</w:t>
      </w:r>
      <w:r>
        <w:rPr>
          <w:b/>
        </w:rPr>
        <w:t>вом работы по найму или независимой трудовой де</w:t>
      </w:r>
      <w:r>
        <w:rPr>
          <w:b/>
        </w:rPr>
        <w:t>я</w:t>
      </w:r>
      <w:r>
        <w:rPr>
          <w:b/>
        </w:rPr>
        <w:t xml:space="preserve">тельности;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e</w:t>
      </w:r>
      <w:r>
        <w:rPr>
          <w:b/>
        </w:rPr>
        <w:t>)</w:t>
      </w:r>
      <w:r>
        <w:rPr>
          <w:b/>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w:t>
      </w:r>
      <w:r>
        <w:rPr>
          <w:b/>
        </w:rPr>
        <w:t>е</w:t>
      </w:r>
      <w:r>
        <w:rPr>
          <w:b/>
        </w:rPr>
        <w:t xml:space="preserve">мель;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f</w:t>
      </w:r>
      <w:r>
        <w:rPr>
          <w:b/>
        </w:rPr>
        <w:t>)</w:t>
      </w:r>
      <w:r>
        <w:rPr>
          <w:b/>
        </w:rPr>
        <w:tab/>
        <w:t>пользоваться надлежащими условиями жизни, особенно жили</w:t>
      </w:r>
      <w:r>
        <w:rPr>
          <w:b/>
        </w:rPr>
        <w:t>щ</w:t>
      </w:r>
      <w:r>
        <w:rPr>
          <w:b/>
        </w:rPr>
        <w:t xml:space="preserve">ными условиями, санитарными услугами, электро- и водоснабжением, а также транспортом и средствами связи.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143.</w:t>
      </w:r>
      <w:r>
        <w:tab/>
        <w:t>Канцелярия супруги Президента при поддержке Секретариата по делам женщин и Секретариата по мерам социальной политики осуществляют проект под названием "Комплексная помощь сельским женщинам" для крестьян и кр</w:t>
      </w:r>
      <w:r>
        <w:t>е</w:t>
      </w:r>
      <w:r>
        <w:t>стьянок, в том числе мужчин и женщин из числа коренного населения. Этот проект предусматривает принятие эффективных и действенных мер социал</w:t>
      </w:r>
      <w:r>
        <w:t>ь</w:t>
      </w:r>
      <w:r>
        <w:t>ной политики по обеспечению равных возможностей для находящихся в крайне неблагоприятном положении женщин и мужчин принимать активное участие в жизни общества и повышать свое благосостояние с целью сокращения масшт</w:t>
      </w:r>
      <w:r>
        <w:t>а</w:t>
      </w:r>
      <w:r>
        <w:t>бов нищеты и улучшения качества жизни. Проект предусматривает оказание комплексной помощи в таких областях, как участие и организация, сельскох</w:t>
      </w:r>
      <w:r>
        <w:t>о</w:t>
      </w:r>
      <w:r>
        <w:t>зяйственное производство, здравоохранение, обучение грамоте детей, ко</w:t>
      </w:r>
      <w:r>
        <w:t>м</w:t>
      </w:r>
      <w:r>
        <w:t>плексная помощь общинам коренного населения, связь и распространение и</w:t>
      </w:r>
      <w:r>
        <w:t>н</w:t>
      </w:r>
      <w:r>
        <w:t>формации по социальным вопросам. Получателями помощи являются кресть</w:t>
      </w:r>
      <w:r>
        <w:t>я</w:t>
      </w:r>
      <w:r>
        <w:t>не и представители коренного населения, живущие в условиях крайней нищ</w:t>
      </w:r>
      <w:r>
        <w:t>е</w:t>
      </w:r>
      <w:r>
        <w:t>ты, через 800 комитетов, обслуживающих 35 000 женщин и мужчин отдельных департаме</w:t>
      </w:r>
      <w:r>
        <w:t>н</w:t>
      </w:r>
      <w:r>
        <w:t>тов.</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144.</w:t>
      </w:r>
      <w:r>
        <w:tab/>
        <w:t>В рамках Проекта укрепления потенциала сельских общин МБР/МАГ/СД осуществляются 11 проектов разведения домашней птицы и производства м</w:t>
      </w:r>
      <w:r>
        <w:t>о</w:t>
      </w:r>
      <w:r>
        <w:t>лочной продукции с участием сельских женщин. Бенефициарами этих проектов являются 10 женских комитетов и совместный комитет районов Хоркета, Белен и Консепсьон. Кроме того, функционирует Комитет женщин под патронажем полковника Овьедо в районе Санта-Роса, Мбутуй, непосредственными получ</w:t>
      </w:r>
      <w:r>
        <w:t>а</w:t>
      </w:r>
      <w:r>
        <w:t>телями помощи которого являются 308 семей численностью приблизительно 2200 человек и косвенно вся община. Осуществляемые в его рамках проекты также преимущественно направлены на повышение доходов семейных кооп</w:t>
      </w:r>
      <w:r>
        <w:t>е</w:t>
      </w:r>
      <w:r>
        <w:t>ративов путем более тесной интеграции женщин в эффективное кооперативное производство.</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145.</w:t>
      </w:r>
      <w:r>
        <w:tab/>
        <w:t>Следует упомянуть также Проект разработки и осуществления на основе участия населения и в децентрализованном порядке планов, программ и прое</w:t>
      </w:r>
      <w:r>
        <w:t>к</w:t>
      </w:r>
      <w:r>
        <w:t>тов МАГ-ФАО, реализуемый в департаментах Консепсьон и Сан-Педро.</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146.</w:t>
      </w:r>
      <w:r>
        <w:tab/>
        <w:t>В сельских районах особенно заметны различия в уровнях грамотности мужчин и женщин. По имеющимся данным, средняя продолжительность из</w:t>
      </w:r>
      <w:r>
        <w:t>у</w:t>
      </w:r>
      <w:r>
        <w:t>чения грамоты в соотношении к полному курсу обучения грамоте составляет всего лишь 4,9 процента для мужчин и женщин, причем 5 процентов - для мужчин и 4,8 процента - для женщин. Уровень грамотности в сельских районах между мужчинами и женщинами сильно отличается: численность грамотных женщин составляет 17,2 процента против 11,8 процента обученных грамоте мужчин.</w:t>
      </w:r>
      <w:r>
        <w:rPr>
          <w:b/>
        </w:rP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15</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1.</w:t>
      </w:r>
      <w:r>
        <w:rPr>
          <w:b/>
        </w:rPr>
        <w:tab/>
        <w:t>Государства-участники признают за женщинами равенство с мужч</w:t>
      </w:r>
      <w:r>
        <w:rPr>
          <w:b/>
        </w:rPr>
        <w:t>и</w:t>
      </w:r>
      <w:r>
        <w:rPr>
          <w:b/>
        </w:rPr>
        <w:t>нами перед законом</w:t>
      </w:r>
      <w:r>
        <w:t>.</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2.</w:t>
      </w:r>
      <w:r>
        <w:rPr>
          <w:b/>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w:t>
      </w:r>
      <w:r>
        <w:rPr>
          <w:b/>
        </w:rPr>
        <w:t>ю</w:t>
      </w:r>
      <w:r>
        <w:rPr>
          <w:b/>
        </w:rPr>
        <w:t xml:space="preserve">чении договоров и управлении имуществом, а также равное отношение к ним на всех этапах разбирательства в судах и трибуналах.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3.</w:t>
      </w:r>
      <w:r>
        <w:rPr>
          <w:b/>
        </w:rPr>
        <w:tab/>
        <w:t>Государства-участники соглашаются, что все договоры и другие частные документы любого рода, имеющие свои правовым последствием о</w:t>
      </w:r>
      <w:r>
        <w:rPr>
          <w:b/>
        </w:rPr>
        <w:t>г</w:t>
      </w:r>
      <w:r>
        <w:rPr>
          <w:b/>
        </w:rPr>
        <w:t xml:space="preserve">раничение правоспособности женщин, считаются недействительными.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4.</w:t>
      </w:r>
      <w:r>
        <w:rPr>
          <w:b/>
        </w:rPr>
        <w:tab/>
        <w:t>Государства-участники предоставляют мужчинам и женщинам одинаковые права в отношении законодательства, касающегося передв</w:t>
      </w:r>
      <w:r>
        <w:rPr>
          <w:b/>
        </w:rPr>
        <w:t>и</w:t>
      </w:r>
      <w:r>
        <w:rPr>
          <w:b/>
        </w:rPr>
        <w:t xml:space="preserve">жения лиц и свободы выбора места проживания и места жительства.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147.</w:t>
      </w:r>
      <w:r>
        <w:tab/>
        <w:t>Конституция Парагвая прямо предусматривает равенство мужчин и же</w:t>
      </w:r>
      <w:r>
        <w:t>н</w:t>
      </w:r>
      <w:r>
        <w:t>щин в области их гражданских, политических, экономических, социальных и культурных прав.</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148.</w:t>
      </w:r>
      <w:r>
        <w:tab/>
        <w:t>Согласно положениям Закона № 1 о внесении частичных изменений в Гражданский кодекс, между мужчинами и женщинами устанавливается полное равенство перед законом, в частности в вопросах приобретения и реализации своих гражданских прав. Согласно этим изменениям, мужчины и женщины о</w:t>
      </w:r>
      <w:r>
        <w:t>б</w:t>
      </w:r>
      <w:r>
        <w:t>ладают одинаковой правоспособностью. Одинаковой правоспособностью о</w:t>
      </w:r>
      <w:r>
        <w:t>б</w:t>
      </w:r>
      <w:r>
        <w:t>ладают также одинокие мужчины и женщины, мужчины, состоящие в браке, и мужчины и женщины, проживающие в гражданском браке. Супруги обладают равными правами в брачном союзе в отношении заключения контрактов, ра</w:t>
      </w:r>
      <w:r>
        <w:t>в</w:t>
      </w:r>
      <w:r>
        <w:t>ными правами перед судебными органами в случае расторжения брака и разд</w:t>
      </w:r>
      <w:r>
        <w:t>е</w:t>
      </w:r>
      <w:r>
        <w:t>ла имущества согласно Закону о бракоразводных процессах, принятому в 1991 году.</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149.</w:t>
      </w:r>
      <w:r>
        <w:tab/>
        <w:t>Согласно положениям Гражданского кодекса, контракты, заключенные с третьими лицами одним из супругов, считаются недействительными, если они были заключены без взаимного на то согласия обоих супругов. Таким образом, любой юридический документ, составленный супругом без участия его супруги считается недействительным и не имеет никакой юридической силы.</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150.</w:t>
      </w:r>
      <w:r>
        <w:tab/>
        <w:t xml:space="preserve">В Гражданском кодексе говорится, что место для совместного проживания супругов выбирается ими по взаимному согласию.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Статья 16</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t>1.</w:t>
      </w:r>
      <w:r>
        <w:rPr>
          <w:b/>
        </w:rPr>
        <w:tab/>
        <w:t xml:space="preserve">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a</w:t>
      </w:r>
      <w:r>
        <w:rPr>
          <w:b/>
        </w:rPr>
        <w:t>)</w:t>
      </w:r>
      <w:r>
        <w:rPr>
          <w:b/>
        </w:rPr>
        <w:tab/>
        <w:t xml:space="preserve">одинаковые права на вступление в брак;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ab/>
      </w:r>
      <w:r>
        <w:rPr>
          <w:b/>
          <w:lang w:val="en-US"/>
        </w:rPr>
        <w:t>b</w:t>
      </w:r>
      <w:r>
        <w:rPr>
          <w:b/>
        </w:rPr>
        <w:t>)</w:t>
      </w:r>
      <w:r>
        <w:rPr>
          <w:b/>
        </w:rPr>
        <w:tab/>
        <w:t xml:space="preserve">одинаковые права на свободный выбор супруга и на вступление в брак только со своего свободного и полного согласия.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t>151.</w:t>
      </w:r>
      <w:r>
        <w:tab/>
        <w:t>Статья 50 Конституции страны гласит, что все лица имеют право на со</w:t>
      </w:r>
      <w:r>
        <w:t>з</w:t>
      </w:r>
      <w:r>
        <w:t>дание семьи и что в семье мужчина и женщина пользуются равными правами и несут равные обязанности. На основании Закона 1/92 о внесении изменений в Гражданский кодекс предусмотрены следующие гражданские права:</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250" w:hanging="540"/>
        <w:rPr>
          <w:b/>
        </w:rPr>
      </w:pPr>
      <w:r>
        <w:rPr>
          <w:lang w:val="en-US"/>
        </w:rPr>
        <w:t>a</w:t>
      </w:r>
      <w:r>
        <w:t>)</w:t>
      </w:r>
      <w:r>
        <w:tab/>
        <w:t>заключать брак по достижении возраста в 16 лет для об</w:t>
      </w:r>
      <w:r>
        <w:t>о</w:t>
      </w:r>
      <w:r>
        <w:t>их полов;</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250" w:hanging="540"/>
        <w:rPr>
          <w:b/>
        </w:rPr>
      </w:pPr>
      <w:r>
        <w:rPr>
          <w:lang w:val="en-US"/>
        </w:rPr>
        <w:t>b</w:t>
      </w:r>
      <w:r>
        <w:t>)</w:t>
      </w:r>
      <w:r>
        <w:tab/>
        <w:t>право свободно выбирать своего супруга для лица в возрасте старше 20 лет. Вступающим в брак в возрасте моложе 20 лет необходимо з</w:t>
      </w:r>
      <w:r>
        <w:t>а</w:t>
      </w:r>
      <w:r>
        <w:t>ручиться согласием своих родителей или опекунов, причем это тр</w:t>
      </w:r>
      <w:r>
        <w:t>е</w:t>
      </w:r>
      <w:r>
        <w:t>бование относится к обоим полам;</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250" w:hanging="540"/>
        <w:rPr>
          <w:b/>
        </w:rPr>
      </w:pPr>
      <w:r>
        <w:rPr>
          <w:lang w:val="en-US"/>
        </w:rPr>
        <w:t>c</w:t>
      </w:r>
      <w:r>
        <w:t>)</w:t>
      </w:r>
      <w:r>
        <w:tab/>
        <w:t>супруг и супруга обладают равной правоспособностью в рамках брачного союза и имеют одинаковые права и несут одинаковые об</w:t>
      </w:r>
      <w:r>
        <w:t>я</w:t>
      </w:r>
      <w:r>
        <w:t>занности. Согласно положениям Закона № 95/91 о бракоразводном процессе, оба супруга имеют равные права, связанные с процессом расторжения брака;</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250" w:hanging="540"/>
        <w:rPr>
          <w:b/>
        </w:rPr>
      </w:pPr>
      <w:r>
        <w:rPr>
          <w:lang w:val="en-US"/>
        </w:rPr>
        <w:t>d</w:t>
      </w:r>
      <w:r>
        <w:t>)</w:t>
      </w:r>
      <w:r>
        <w:tab/>
        <w:t>согласно положениям Кодекса законов о несовершеннолетних, су</w:t>
      </w:r>
      <w:r>
        <w:t>п</w:t>
      </w:r>
      <w:r>
        <w:t>руг и супруга наделены равными правами на опекунство и попеч</w:t>
      </w:r>
      <w:r>
        <w:t>и</w:t>
      </w:r>
      <w:r>
        <w:t>тельство над детьми. Это касается всех детей, находящихся под оп</w:t>
      </w:r>
      <w:r>
        <w:t>е</w:t>
      </w:r>
      <w:r>
        <w:t>кунством или попеч</w:t>
      </w:r>
      <w:r>
        <w:t>и</w:t>
      </w:r>
      <w:r>
        <w:t>тельством;</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250" w:hanging="540"/>
        <w:rPr>
          <w:b/>
        </w:rPr>
      </w:pPr>
      <w:r>
        <w:rPr>
          <w:lang w:val="en-US"/>
        </w:rPr>
        <w:t>e</w:t>
      </w:r>
      <w:r>
        <w:t>)</w:t>
      </w:r>
      <w:r>
        <w:tab/>
        <w:t>супруги принимают свободные и ответственные решения относ</w:t>
      </w:r>
      <w:r>
        <w:t>и</w:t>
      </w:r>
      <w:r>
        <w:t>тельно количества детей и пр</w:t>
      </w:r>
      <w:r>
        <w:t>о</w:t>
      </w:r>
      <w:r>
        <w:t>межутков между их рождениями;</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250" w:hanging="540"/>
        <w:rPr>
          <w:b/>
        </w:rPr>
      </w:pPr>
      <w:r>
        <w:rPr>
          <w:lang w:val="en-US"/>
        </w:rPr>
        <w:t>f</w:t>
      </w:r>
      <w:r>
        <w:t>)</w:t>
      </w:r>
      <w:r>
        <w:tab/>
        <w:t>супруг и супруга обладают равными правами и несут одинаковые обязанности, и вступающая в брак женщина может выбрать себе фамилию мужа, если она того пожелает, а в свою очередь мужчина, вступающий в брак, также может добавить к своей фамилии фам</w:t>
      </w:r>
      <w:r>
        <w:t>и</w:t>
      </w:r>
      <w:r>
        <w:t>лию своей супруги, если он того пожелает. Дети, родившиеся в бр</w:t>
      </w:r>
      <w:r>
        <w:t>а</w:t>
      </w:r>
      <w:r>
        <w:t>ке, носят первую фамилию каждого из родителей. Порядок следов</w:t>
      </w:r>
      <w:r>
        <w:t>а</w:t>
      </w:r>
      <w:r>
        <w:t>ния фамилий решается на основе взаимного согласия родителей. Принят порядок, согласно которому старшие дети должны заботит</w:t>
      </w:r>
      <w:r>
        <w:t>ь</w:t>
      </w:r>
      <w:r>
        <w:t>ся о своих младших сестрах и братьях.</w:t>
      </w:r>
      <w:r>
        <w:rPr>
          <w:b/>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152.</w:t>
      </w:r>
      <w:r>
        <w:tab/>
        <w:t>Конституция страны предусматривает право принимать свободные и о</w:t>
      </w:r>
      <w:r>
        <w:t>т</w:t>
      </w:r>
      <w:r>
        <w:t>ветственные решения о количестве детей и промежутках между их рождени</w:t>
      </w:r>
      <w:r>
        <w:t>я</w:t>
      </w:r>
      <w:r>
        <w:t>ми, а также свободные и ответственные решения относительно планов репр</w:t>
      </w:r>
      <w:r>
        <w:t>о</w:t>
      </w:r>
      <w:r>
        <w:t>дуктивного здоровья и здоровья матери и ребенка в интересах развития огр</w:t>
      </w:r>
      <w:r>
        <w:t>а</w:t>
      </w:r>
      <w:r>
        <w:t>ниченных людских ресурсов.</w:t>
      </w:r>
      <w:r>
        <w:rPr>
          <w:b/>
        </w:rPr>
        <w:t xml:space="preserve"> </w: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NO&gt;&gt;N0424014R&lt;&lt;ODS JOB NO&gt;&gt;</w:t>
      </w:r>
    </w:p>
    <w:p w:rsidR="00000000" w:rsidRDefault="00000000">
      <w:pPr>
        <w:pStyle w:val="CommentText"/>
        <w:rPr>
          <w:lang w:val="en-US"/>
        </w:rPr>
      </w:pPr>
      <w:r>
        <w:rPr>
          <w:lang w:val="en-US"/>
        </w:rPr>
        <w:t>&lt;&lt;ODS DOC SYMBOL1&gt;&gt;CEDAW/C/PAR/3-4&lt;&lt;ODS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noProof w:val="0"/>
        <w:sz w:val="20"/>
      </w:rPr>
    </w:pPr>
    <w:r>
      <w:rPr>
        <w:b w:val="0"/>
        <w:sz w:val="20"/>
      </w:rPr>
      <w:t>0</w:t>
    </w:r>
    <w:r>
      <w:rPr>
        <w:b w:val="0"/>
        <w:noProof w:val="0"/>
        <w:sz w:val="20"/>
      </w:rPr>
      <w:t>4</w:t>
    </w:r>
    <w:r>
      <w:rPr>
        <w:b w:val="0"/>
        <w:sz w:val="20"/>
      </w:rPr>
      <w:t>-</w:t>
    </w:r>
    <w:r>
      <w:rPr>
        <w:b w:val="0"/>
        <w:noProof w:val="0"/>
        <w:sz w:val="20"/>
      </w:rPr>
      <w:t>24014</w:t>
    </w:r>
    <w:r>
      <w:rPr>
        <w:b w:val="0"/>
        <w:sz w:val="20"/>
      </w:rPr>
      <w:t xml:space="preserve"> (R)    230404    040504</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*0424014*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right" w:pos="1195"/>
          <w:tab w:val="left" w:pos="1267"/>
          <w:tab w:val="left" w:pos="1742"/>
          <w:tab w:val="left" w:pos="2218"/>
          <w:tab w:val="left" w:pos="2693"/>
        </w:tabs>
        <w:ind w:left="1195" w:right="1260" w:hanging="360"/>
        <w:jc w:val="both"/>
      </w:pPr>
      <w:r>
        <w:tab/>
      </w:r>
      <w:r>
        <w:rPr>
          <w:rStyle w:val="FootnoteReference"/>
        </w:rPr>
        <w:t>*</w:t>
      </w:r>
      <w:r>
        <w:tab/>
        <w:t xml:space="preserve">Настоящий доклад издается без официального редактирования. Он был получен Секретариатом 28 августа 2003 года. Объединенные первый и второй периодические доклады, представленные правительством Парагвая, см. в документах </w:t>
      </w:r>
      <w:r>
        <w:rPr>
          <w:lang w:val="en-US"/>
        </w:rPr>
        <w:t>CEDAW</w:t>
      </w:r>
      <w:r>
        <w:t>/</w:t>
      </w:r>
      <w:r>
        <w:rPr>
          <w:lang w:val="en-US"/>
        </w:rPr>
        <w:t>C</w:t>
      </w:r>
      <w:r>
        <w:t>/</w:t>
      </w:r>
      <w:r>
        <w:rPr>
          <w:lang w:val="en-US"/>
        </w:rPr>
        <w:t>PAR</w:t>
      </w:r>
      <w:r>
        <w:t xml:space="preserve">/1-2, </w:t>
      </w:r>
      <w:r>
        <w:rPr>
          <w:lang w:val="en-US"/>
        </w:rPr>
        <w:t>Add</w:t>
      </w:r>
      <w:r>
        <w:t xml:space="preserve">.1 и </w:t>
      </w:r>
      <w:r>
        <w:rPr>
          <w:lang w:val="en-US"/>
        </w:rPr>
        <w:t>Add</w:t>
      </w:r>
      <w:r>
        <w:t>.2, которые были рассмотрены Комитетом на его пятнадцатой сессии.</w:t>
      </w:r>
    </w:p>
    <w:p w:rsidR="00000000" w:rsidRDefault="00000000">
      <w:pPr>
        <w:pStyle w:val="FootnoteText"/>
        <w:tabs>
          <w:tab w:val="right" w:pos="1195"/>
          <w:tab w:val="left" w:pos="1267"/>
          <w:tab w:val="left" w:pos="1742"/>
          <w:tab w:val="left" w:pos="2218"/>
          <w:tab w:val="left" w:pos="2693"/>
        </w:tabs>
        <w:ind w:left="1195" w:right="1260" w:hanging="360"/>
        <w:jc w:val="both"/>
      </w:pPr>
    </w:p>
  </w:footnote>
  <w:footnote w:id="2">
    <w:p w:rsidR="00000000" w:rsidRDefault="00000000">
      <w:pPr>
        <w:pStyle w:val="FootnoteText"/>
        <w:tabs>
          <w:tab w:val="clear" w:pos="418"/>
        </w:tabs>
        <w:ind w:left="1440" w:right="1300" w:hanging="180"/>
        <w:jc w:val="both"/>
      </w:pPr>
      <w:r>
        <w:rPr>
          <w:rStyle w:val="FootnoteReference"/>
        </w:rPr>
        <w:footnoteRef/>
      </w:r>
      <w:r>
        <w:tab/>
        <w:t>25 апреля 2001 года, приняв закон № 1686/01, Национальный конгресс ратифицировал Факультативный протокол к Конвенции о ликвидации всех форм дискриминации в отношении женщин. 14 мая 2001 года документ о ратификации был сдан на хранение в Секретариат Организации Объединенных Наций, и 14 августа 2001 года Протокол вступил в силу для Парагвая.</w:t>
      </w:r>
    </w:p>
  </w:footnote>
  <w:footnote w:id="3">
    <w:p w:rsidR="00000000" w:rsidRDefault="00000000">
      <w:pPr>
        <w:pStyle w:val="FootnoteText"/>
        <w:tabs>
          <w:tab w:val="clear" w:pos="418"/>
        </w:tabs>
        <w:ind w:left="990" w:firstLine="270"/>
      </w:pPr>
      <w:r>
        <w:rPr>
          <w:rStyle w:val="FootnoteReference"/>
        </w:rPr>
        <w:footnoteRef/>
      </w:r>
      <w:r>
        <w:t xml:space="preserve">  6 октября 2000 года Национальный конгресс утвердил закон 1600 о бытовом насилии.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/C/PAR/3-4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11 February 2004</w:t>
          </w:r>
        </w:p>
        <w:p w:rsidR="00000000" w:rsidRDefault="00000000">
          <w:pPr>
            <w:rPr>
              <w:lang w:val="en-US"/>
            </w:rPr>
          </w:pPr>
          <w:r>
            <w:rPr>
              <w:lang w:val="en-US"/>
            </w:rPr>
            <w:t>Russian</w:t>
          </w:r>
        </w:p>
        <w:p w:rsidR="00000000" w:rsidRDefault="00000000">
          <w:pPr>
            <w:rPr>
              <w:lang w:val="en-US"/>
            </w:rPr>
          </w:pPr>
          <w:r>
            <w:rPr>
              <w:lang w:val="en-US"/>
            </w:rPr>
            <w:t>Original: Spanish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w:t>
                      </w:r>
                      <w:r>
                        <w:rPr>
                          <w:b/>
                          <w:noProof w:val="0"/>
                          <w:lang w:val="es-ES"/>
                        </w:rPr>
                        <w:t>PAR/3-4</w:t>
                      </w:r>
                    </w:p>
                  </w:tc>
                  <w:tc>
                    <w:tcPr>
                      <w:tcW w:w="5047" w:type="dxa"/>
                      <w:vAlign w:val="bottom"/>
                    </w:tcPr>
                    <w:p w:rsidR="00000000" w:rsidRDefault="00000000">
                      <w:pPr>
                        <w:pStyle w:val="Header"/>
                      </w:pPr>
                    </w:p>
                  </w:tc>
                </w:tr>
              </w:tbl>
              <w:p w:rsidR="00000000" w:rsidRDefault="00000000">
                <w:pPr>
                  <w:rPr>
                    <w:lang w:val="es-E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CEDAW/C/PAR/3-4</w:t>
                      </w:r>
                    </w:p>
                  </w:tc>
                </w:tr>
              </w:tbl>
              <w:p w:rsidR="00000000" w:rsidRDefault="00000000">
                <w:pPr>
                  <w:rPr>
                    <w:lang w:val="es-E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7EA4CB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F65F6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9E7B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AC24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BA78F5"/>
    <w:multiLevelType w:val="singleLevel"/>
    <w:tmpl w:val="F938A33E"/>
    <w:lvl w:ilvl="0">
      <w:numFmt w:val="bullet"/>
      <w:lvlText w:val="-"/>
      <w:lvlJc w:val="left"/>
      <w:pPr>
        <w:tabs>
          <w:tab w:val="num" w:pos="360"/>
        </w:tabs>
        <w:ind w:left="360" w:hanging="360"/>
      </w:pPr>
      <w:rPr>
        <w:rFonts w:hint="default"/>
      </w:rPr>
    </w:lvl>
  </w:abstractNum>
  <w:abstractNum w:abstractNumId="25">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0">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2">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5">
    <w:nsid w:val="0C55490E"/>
    <w:multiLevelType w:val="singleLevel"/>
    <w:tmpl w:val="F938A33E"/>
    <w:lvl w:ilvl="0">
      <w:numFmt w:val="bullet"/>
      <w:lvlText w:val="-"/>
      <w:lvlJc w:val="left"/>
      <w:pPr>
        <w:tabs>
          <w:tab w:val="num" w:pos="360"/>
        </w:tabs>
        <w:ind w:left="360" w:hanging="360"/>
      </w:pPr>
      <w:rPr>
        <w:rFonts w:hint="default"/>
      </w:rPr>
    </w:lvl>
  </w:abstractNum>
  <w:abstractNum w:abstractNumId="36">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38">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1">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0C8709E"/>
    <w:multiLevelType w:val="singleLevel"/>
    <w:tmpl w:val="E556B404"/>
    <w:lvl w:ilvl="0">
      <w:start w:val="1"/>
      <w:numFmt w:val="decimal"/>
      <w:lvlText w:val="%1."/>
      <w:lvlJc w:val="left"/>
      <w:pPr>
        <w:tabs>
          <w:tab w:val="num" w:pos="648"/>
        </w:tabs>
        <w:ind w:left="288" w:firstLine="0"/>
      </w:pPr>
    </w:lvl>
  </w:abstractNum>
  <w:abstractNum w:abstractNumId="43">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1116192F"/>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45">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47">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48">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9">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
    <w:nsid w:val="135420E0"/>
    <w:multiLevelType w:val="singleLevel"/>
    <w:tmpl w:val="05143C68"/>
    <w:lvl w:ilvl="0">
      <w:start w:val="43"/>
      <w:numFmt w:val="decimal"/>
      <w:lvlText w:val="%1."/>
      <w:lvlJc w:val="left"/>
      <w:pPr>
        <w:tabs>
          <w:tab w:val="num" w:pos="648"/>
        </w:tabs>
        <w:ind w:left="360" w:hanging="72"/>
      </w:pPr>
    </w:lvl>
  </w:abstractNum>
  <w:abstractNum w:abstractNumId="55">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56">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7">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
    <w:nsid w:val="15D36F16"/>
    <w:multiLevelType w:val="singleLevel"/>
    <w:tmpl w:val="0409000F"/>
    <w:lvl w:ilvl="0">
      <w:start w:val="1"/>
      <w:numFmt w:val="decimal"/>
      <w:lvlText w:val="%1."/>
      <w:lvlJc w:val="left"/>
      <w:pPr>
        <w:tabs>
          <w:tab w:val="num" w:pos="360"/>
        </w:tabs>
        <w:ind w:left="360" w:hanging="360"/>
      </w:pPr>
    </w:lvl>
  </w:abstractNum>
  <w:abstractNum w:abstractNumId="60">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1">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2">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3">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
    <w:nsid w:val="18094EC5"/>
    <w:multiLevelType w:val="singleLevel"/>
    <w:tmpl w:val="0409000F"/>
    <w:lvl w:ilvl="0">
      <w:start w:val="1"/>
      <w:numFmt w:val="decimal"/>
      <w:lvlText w:val="%1."/>
      <w:lvlJc w:val="left"/>
      <w:pPr>
        <w:tabs>
          <w:tab w:val="num" w:pos="360"/>
        </w:tabs>
        <w:ind w:left="360" w:hanging="360"/>
      </w:pPr>
    </w:lvl>
  </w:abstractNum>
  <w:abstractNum w:abstractNumId="65">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66">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67">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0">
    <w:nsid w:val="18F51F60"/>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71">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4">
    <w:nsid w:val="1B8B4A10"/>
    <w:multiLevelType w:val="singleLevel"/>
    <w:tmpl w:val="602C02E4"/>
    <w:lvl w:ilvl="0">
      <w:numFmt w:val="bullet"/>
      <w:lvlText w:val="-"/>
      <w:lvlJc w:val="left"/>
      <w:pPr>
        <w:tabs>
          <w:tab w:val="num" w:pos="720"/>
        </w:tabs>
        <w:ind w:left="720" w:hanging="720"/>
      </w:pPr>
      <w:rPr>
        <w:rFonts w:hint="default"/>
      </w:rPr>
    </w:lvl>
  </w:abstractNum>
  <w:abstractNum w:abstractNumId="75">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6">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78">
    <w:nsid w:val="1EC7022C"/>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79">
    <w:nsid w:val="1F1772A6"/>
    <w:multiLevelType w:val="singleLevel"/>
    <w:tmpl w:val="AA5AC07E"/>
    <w:lvl w:ilvl="0">
      <w:start w:val="132"/>
      <w:numFmt w:val="decimal"/>
      <w:lvlText w:val="%1."/>
      <w:lvlJc w:val="left"/>
      <w:pPr>
        <w:tabs>
          <w:tab w:val="num" w:pos="648"/>
        </w:tabs>
        <w:ind w:left="288" w:firstLine="0"/>
      </w:pPr>
    </w:lvl>
  </w:abstractNum>
  <w:abstractNum w:abstractNumId="80">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1">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221234C1"/>
    <w:multiLevelType w:val="singleLevel"/>
    <w:tmpl w:val="CE0084AC"/>
    <w:lvl w:ilvl="0">
      <w:start w:val="1"/>
      <w:numFmt w:val="decimal"/>
      <w:lvlText w:val="%1."/>
      <w:lvlJc w:val="left"/>
      <w:pPr>
        <w:tabs>
          <w:tab w:val="num" w:pos="360"/>
        </w:tabs>
        <w:ind w:left="360" w:hanging="360"/>
      </w:pPr>
    </w:lvl>
  </w:abstractNum>
  <w:abstractNum w:abstractNumId="84">
    <w:nsid w:val="225F602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5">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6">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89">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0">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1">
    <w:nsid w:val="25EC0393"/>
    <w:multiLevelType w:val="singleLevel"/>
    <w:tmpl w:val="B27CD1BA"/>
    <w:lvl w:ilvl="0">
      <w:numFmt w:val="bullet"/>
      <w:lvlText w:val="-"/>
      <w:lvlJc w:val="left"/>
      <w:pPr>
        <w:tabs>
          <w:tab w:val="num" w:pos="720"/>
        </w:tabs>
        <w:ind w:left="720" w:hanging="720"/>
      </w:pPr>
      <w:rPr>
        <w:rFonts w:hint="default"/>
      </w:rPr>
    </w:lvl>
  </w:abstractNum>
  <w:abstractNum w:abstractNumId="92">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3">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4">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5">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96">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7">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8">
    <w:nsid w:val="2A856AD7"/>
    <w:multiLevelType w:val="singleLevel"/>
    <w:tmpl w:val="E556B404"/>
    <w:lvl w:ilvl="0">
      <w:start w:val="1"/>
      <w:numFmt w:val="decimal"/>
      <w:lvlText w:val="%1."/>
      <w:lvlJc w:val="left"/>
      <w:pPr>
        <w:tabs>
          <w:tab w:val="num" w:pos="648"/>
        </w:tabs>
        <w:ind w:left="288" w:firstLine="0"/>
      </w:pPr>
    </w:lvl>
  </w:abstractNum>
  <w:abstractNum w:abstractNumId="99">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0">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1">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2">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3">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4">
    <w:nsid w:val="2F127D9A"/>
    <w:multiLevelType w:val="singleLevel"/>
    <w:tmpl w:val="BBBA8180"/>
    <w:lvl w:ilvl="0">
      <w:numFmt w:val="bullet"/>
      <w:lvlText w:val="-"/>
      <w:lvlJc w:val="left"/>
      <w:pPr>
        <w:tabs>
          <w:tab w:val="num" w:pos="720"/>
        </w:tabs>
        <w:ind w:left="720" w:hanging="720"/>
      </w:pPr>
      <w:rPr>
        <w:rFonts w:hint="default"/>
      </w:rPr>
    </w:lvl>
  </w:abstractNum>
  <w:abstractNum w:abstractNumId="105">
    <w:nsid w:val="2F4A5879"/>
    <w:multiLevelType w:val="singleLevel"/>
    <w:tmpl w:val="F938A33E"/>
    <w:lvl w:ilvl="0">
      <w:numFmt w:val="bullet"/>
      <w:lvlText w:val="-"/>
      <w:lvlJc w:val="left"/>
      <w:pPr>
        <w:tabs>
          <w:tab w:val="num" w:pos="360"/>
        </w:tabs>
        <w:ind w:left="360" w:hanging="360"/>
      </w:pPr>
      <w:rPr>
        <w:rFonts w:hint="default"/>
      </w:rPr>
    </w:lvl>
  </w:abstractNum>
  <w:abstractNum w:abstractNumId="106">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8">
    <w:nsid w:val="2FCB3BC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9">
    <w:nsid w:val="2FFC19A7"/>
    <w:multiLevelType w:val="singleLevel"/>
    <w:tmpl w:val="40BE0C7C"/>
    <w:lvl w:ilvl="0">
      <w:start w:val="131"/>
      <w:numFmt w:val="decimal"/>
      <w:lvlText w:val="%1."/>
      <w:lvlJc w:val="left"/>
      <w:pPr>
        <w:tabs>
          <w:tab w:val="num" w:pos="648"/>
        </w:tabs>
        <w:ind w:left="288" w:firstLine="0"/>
      </w:pPr>
    </w:lvl>
  </w:abstractNum>
  <w:abstractNum w:abstractNumId="110">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2">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3">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4">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5">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6">
    <w:nsid w:val="33F335DF"/>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17">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0">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1">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2">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3">
    <w:nsid w:val="350F3AA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4">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5">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6">
    <w:nsid w:val="36BC169F"/>
    <w:multiLevelType w:val="singleLevel"/>
    <w:tmpl w:val="C6CAF0AA"/>
    <w:lvl w:ilvl="0">
      <w:start w:val="1"/>
      <w:numFmt w:val="bullet"/>
      <w:lvlText w:val="-"/>
      <w:lvlJc w:val="left"/>
      <w:pPr>
        <w:tabs>
          <w:tab w:val="num" w:pos="475"/>
        </w:tabs>
        <w:ind w:left="475" w:hanging="475"/>
      </w:pPr>
      <w:rPr>
        <w:rFonts w:ascii="Times New Roman" w:hAnsi="Times New Roman" w:hint="default"/>
        <w:b w:val="0"/>
        <w:i w:val="0"/>
        <w:sz w:val="28"/>
      </w:rPr>
    </w:lvl>
  </w:abstractNum>
  <w:abstractNum w:abstractNumId="127">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28">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9">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1">
    <w:nsid w:val="384749FD"/>
    <w:multiLevelType w:val="singleLevel"/>
    <w:tmpl w:val="AA6C5C26"/>
    <w:lvl w:ilvl="0">
      <w:start w:val="1"/>
      <w:numFmt w:val="bullet"/>
      <w:lvlText w:val=""/>
      <w:lvlJc w:val="left"/>
      <w:pPr>
        <w:tabs>
          <w:tab w:val="num" w:pos="1339"/>
        </w:tabs>
        <w:ind w:left="0" w:firstLine="979"/>
      </w:pPr>
      <w:rPr>
        <w:rFonts w:ascii="Symbol" w:hAnsi="Symbol" w:hint="default"/>
        <w:b w:val="0"/>
        <w:i w:val="0"/>
      </w:rPr>
    </w:lvl>
  </w:abstractNum>
  <w:abstractNum w:abstractNumId="132">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3">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4">
    <w:nsid w:val="391F1A82"/>
    <w:multiLevelType w:val="singleLevel"/>
    <w:tmpl w:val="E0743FFA"/>
    <w:lvl w:ilvl="0">
      <w:start w:val="1"/>
      <w:numFmt w:val="decimal"/>
      <w:lvlText w:val="%1."/>
      <w:lvlJc w:val="left"/>
      <w:pPr>
        <w:tabs>
          <w:tab w:val="num" w:pos="648"/>
        </w:tabs>
        <w:ind w:left="360" w:hanging="72"/>
      </w:pPr>
    </w:lvl>
  </w:abstractNum>
  <w:abstractNum w:abstractNumId="135">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36">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39C3322C"/>
    <w:multiLevelType w:val="singleLevel"/>
    <w:tmpl w:val="2448648A"/>
    <w:lvl w:ilvl="0">
      <w:numFmt w:val="bullet"/>
      <w:lvlText w:val="-"/>
      <w:lvlJc w:val="left"/>
      <w:pPr>
        <w:tabs>
          <w:tab w:val="num" w:pos="720"/>
        </w:tabs>
        <w:ind w:left="720" w:hanging="720"/>
      </w:pPr>
      <w:rPr>
        <w:rFonts w:hint="default"/>
      </w:rPr>
    </w:lvl>
  </w:abstractNum>
  <w:abstractNum w:abstractNumId="138">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9">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0">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1">
    <w:nsid w:val="3AAB773F"/>
    <w:multiLevelType w:val="singleLevel"/>
    <w:tmpl w:val="F938A33E"/>
    <w:lvl w:ilvl="0">
      <w:numFmt w:val="bullet"/>
      <w:lvlText w:val="-"/>
      <w:lvlJc w:val="left"/>
      <w:pPr>
        <w:tabs>
          <w:tab w:val="num" w:pos="360"/>
        </w:tabs>
        <w:ind w:left="360" w:hanging="360"/>
      </w:pPr>
      <w:rPr>
        <w:rFonts w:hint="default"/>
      </w:rPr>
    </w:lvl>
  </w:abstractNum>
  <w:abstractNum w:abstractNumId="142">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44">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6">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47">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9">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0">
    <w:nsid w:val="3F637814"/>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51">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41157C68"/>
    <w:multiLevelType w:val="singleLevel"/>
    <w:tmpl w:val="B00C54D0"/>
    <w:lvl w:ilvl="0">
      <w:numFmt w:val="bullet"/>
      <w:lvlText w:val="-"/>
      <w:lvlJc w:val="left"/>
      <w:pPr>
        <w:tabs>
          <w:tab w:val="num" w:pos="475"/>
        </w:tabs>
        <w:ind w:left="475" w:hanging="475"/>
      </w:pPr>
      <w:rPr>
        <w:rFonts w:hint="default"/>
      </w:rPr>
    </w:lvl>
  </w:abstractNum>
  <w:abstractNum w:abstractNumId="157">
    <w:nsid w:val="411E6E92"/>
    <w:multiLevelType w:val="singleLevel"/>
    <w:tmpl w:val="E0743FFA"/>
    <w:lvl w:ilvl="0">
      <w:start w:val="1"/>
      <w:numFmt w:val="decimal"/>
      <w:lvlText w:val="%1."/>
      <w:lvlJc w:val="left"/>
      <w:pPr>
        <w:tabs>
          <w:tab w:val="num" w:pos="648"/>
        </w:tabs>
        <w:ind w:left="360" w:hanging="72"/>
      </w:pPr>
    </w:lvl>
  </w:abstractNum>
  <w:abstractNum w:abstractNumId="158">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60">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2">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3">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4">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5">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6">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494A6BC7"/>
    <w:multiLevelType w:val="singleLevel"/>
    <w:tmpl w:val="F938A33E"/>
    <w:lvl w:ilvl="0">
      <w:numFmt w:val="bullet"/>
      <w:lvlText w:val="-"/>
      <w:lvlJc w:val="left"/>
      <w:pPr>
        <w:tabs>
          <w:tab w:val="num" w:pos="360"/>
        </w:tabs>
        <w:ind w:left="360" w:hanging="360"/>
      </w:pPr>
      <w:rPr>
        <w:rFonts w:hint="default"/>
      </w:rPr>
    </w:lvl>
  </w:abstractNum>
  <w:abstractNum w:abstractNumId="169">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1">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2">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73">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4">
    <w:nsid w:val="4DA74D72"/>
    <w:multiLevelType w:val="singleLevel"/>
    <w:tmpl w:val="841227FE"/>
    <w:lvl w:ilvl="0">
      <w:start w:val="4"/>
      <w:numFmt w:val="bullet"/>
      <w:lvlText w:val=""/>
      <w:lvlJc w:val="left"/>
      <w:pPr>
        <w:tabs>
          <w:tab w:val="num" w:pos="720"/>
        </w:tabs>
        <w:ind w:left="720" w:hanging="720"/>
      </w:pPr>
      <w:rPr>
        <w:rFonts w:ascii="Wingdings" w:hAnsi="Wingdings" w:hint="default"/>
        <w:sz w:val="16"/>
      </w:rPr>
    </w:lvl>
  </w:abstractNum>
  <w:abstractNum w:abstractNumId="175">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6">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8">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79">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0">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507A1C8B"/>
    <w:multiLevelType w:val="singleLevel"/>
    <w:tmpl w:val="F938A33E"/>
    <w:lvl w:ilvl="0">
      <w:numFmt w:val="bullet"/>
      <w:lvlText w:val="-"/>
      <w:lvlJc w:val="left"/>
      <w:pPr>
        <w:tabs>
          <w:tab w:val="num" w:pos="360"/>
        </w:tabs>
        <w:ind w:left="360" w:hanging="360"/>
      </w:pPr>
      <w:rPr>
        <w:rFonts w:hint="default"/>
      </w:rPr>
    </w:lvl>
  </w:abstractNum>
  <w:abstractNum w:abstractNumId="184">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5">
    <w:nsid w:val="50ED5F38"/>
    <w:multiLevelType w:val="singleLevel"/>
    <w:tmpl w:val="B00C54D0"/>
    <w:lvl w:ilvl="0">
      <w:numFmt w:val="bullet"/>
      <w:lvlText w:val="-"/>
      <w:lvlJc w:val="left"/>
      <w:pPr>
        <w:tabs>
          <w:tab w:val="num" w:pos="475"/>
        </w:tabs>
        <w:ind w:left="475" w:hanging="475"/>
      </w:pPr>
      <w:rPr>
        <w:rFonts w:hint="default"/>
      </w:rPr>
    </w:lvl>
  </w:abstractNum>
  <w:abstractNum w:abstractNumId="186">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7">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89">
    <w:nsid w:val="52C34885"/>
    <w:multiLevelType w:val="singleLevel"/>
    <w:tmpl w:val="E556B404"/>
    <w:lvl w:ilvl="0">
      <w:start w:val="1"/>
      <w:numFmt w:val="decimal"/>
      <w:lvlText w:val="%1."/>
      <w:lvlJc w:val="left"/>
      <w:pPr>
        <w:tabs>
          <w:tab w:val="num" w:pos="648"/>
        </w:tabs>
        <w:ind w:left="288" w:firstLine="0"/>
      </w:pPr>
    </w:lvl>
  </w:abstractNum>
  <w:abstractNum w:abstractNumId="190">
    <w:nsid w:val="52F00051"/>
    <w:multiLevelType w:val="singleLevel"/>
    <w:tmpl w:val="E556B404"/>
    <w:lvl w:ilvl="0">
      <w:start w:val="1"/>
      <w:numFmt w:val="decimal"/>
      <w:lvlText w:val="%1."/>
      <w:lvlJc w:val="left"/>
      <w:pPr>
        <w:tabs>
          <w:tab w:val="num" w:pos="648"/>
        </w:tabs>
        <w:ind w:left="288" w:firstLine="0"/>
      </w:pPr>
    </w:lvl>
  </w:abstractNum>
  <w:abstractNum w:abstractNumId="191">
    <w:nsid w:val="53081281"/>
    <w:multiLevelType w:val="singleLevel"/>
    <w:tmpl w:val="E556B404"/>
    <w:lvl w:ilvl="0">
      <w:start w:val="1"/>
      <w:numFmt w:val="decimal"/>
      <w:lvlText w:val="%1."/>
      <w:lvlJc w:val="left"/>
      <w:pPr>
        <w:tabs>
          <w:tab w:val="num" w:pos="648"/>
        </w:tabs>
        <w:ind w:left="288" w:firstLine="0"/>
      </w:pPr>
    </w:lvl>
  </w:abstractNum>
  <w:abstractNum w:abstractNumId="192">
    <w:nsid w:val="54C24DB7"/>
    <w:multiLevelType w:val="singleLevel"/>
    <w:tmpl w:val="79D089C4"/>
    <w:lvl w:ilvl="0">
      <w:start w:val="1"/>
      <w:numFmt w:val="decimal"/>
      <w:lvlText w:val="%1."/>
      <w:lvlJc w:val="left"/>
      <w:pPr>
        <w:tabs>
          <w:tab w:val="num" w:pos="360"/>
        </w:tabs>
        <w:ind w:left="0" w:firstLine="0"/>
      </w:pPr>
    </w:lvl>
  </w:abstractNum>
  <w:abstractNum w:abstractNumId="193">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560E1ED1"/>
    <w:multiLevelType w:val="singleLevel"/>
    <w:tmpl w:val="0409000F"/>
    <w:lvl w:ilvl="0">
      <w:start w:val="1"/>
      <w:numFmt w:val="decimal"/>
      <w:lvlText w:val="%1."/>
      <w:lvlJc w:val="left"/>
      <w:pPr>
        <w:tabs>
          <w:tab w:val="num" w:pos="360"/>
        </w:tabs>
        <w:ind w:left="360" w:hanging="360"/>
      </w:pPr>
    </w:lvl>
  </w:abstractNum>
  <w:abstractNum w:abstractNumId="195">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6">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198">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199">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0">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1">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2">
    <w:nsid w:val="5B1738B9"/>
    <w:multiLevelType w:val="singleLevel"/>
    <w:tmpl w:val="0409000F"/>
    <w:lvl w:ilvl="0">
      <w:start w:val="1"/>
      <w:numFmt w:val="decimal"/>
      <w:lvlText w:val="%1."/>
      <w:lvlJc w:val="left"/>
      <w:pPr>
        <w:tabs>
          <w:tab w:val="num" w:pos="360"/>
        </w:tabs>
        <w:ind w:left="360" w:hanging="360"/>
      </w:pPr>
    </w:lvl>
  </w:abstractNum>
  <w:abstractNum w:abstractNumId="203">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04">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5">
    <w:nsid w:val="5B9476C9"/>
    <w:multiLevelType w:val="singleLevel"/>
    <w:tmpl w:val="E0743FFA"/>
    <w:lvl w:ilvl="0">
      <w:start w:val="1"/>
      <w:numFmt w:val="decimal"/>
      <w:lvlText w:val="%1."/>
      <w:lvlJc w:val="left"/>
      <w:pPr>
        <w:tabs>
          <w:tab w:val="num" w:pos="648"/>
        </w:tabs>
        <w:ind w:left="360" w:hanging="72"/>
      </w:pPr>
    </w:lvl>
  </w:abstractNum>
  <w:abstractNum w:abstractNumId="206">
    <w:nsid w:val="5BAB79B9"/>
    <w:multiLevelType w:val="singleLevel"/>
    <w:tmpl w:val="0409000F"/>
    <w:lvl w:ilvl="0">
      <w:start w:val="1"/>
      <w:numFmt w:val="decimal"/>
      <w:lvlText w:val="%1."/>
      <w:lvlJc w:val="left"/>
      <w:pPr>
        <w:tabs>
          <w:tab w:val="num" w:pos="360"/>
        </w:tabs>
        <w:ind w:left="360" w:hanging="360"/>
      </w:pPr>
    </w:lvl>
  </w:abstractNum>
  <w:abstractNum w:abstractNumId="207">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8">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9">
    <w:nsid w:val="5E0772A6"/>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10">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1">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13">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4">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15">
    <w:nsid w:val="5FBA2C93"/>
    <w:multiLevelType w:val="singleLevel"/>
    <w:tmpl w:val="B00C54D0"/>
    <w:lvl w:ilvl="0">
      <w:numFmt w:val="bullet"/>
      <w:lvlText w:val="-"/>
      <w:lvlJc w:val="left"/>
      <w:pPr>
        <w:tabs>
          <w:tab w:val="num" w:pos="475"/>
        </w:tabs>
        <w:ind w:left="475" w:hanging="475"/>
      </w:pPr>
      <w:rPr>
        <w:rFonts w:hint="default"/>
      </w:rPr>
    </w:lvl>
  </w:abstractNum>
  <w:abstractNum w:abstractNumId="216">
    <w:nsid w:val="602827E8"/>
    <w:multiLevelType w:val="singleLevel"/>
    <w:tmpl w:val="79D089C4"/>
    <w:lvl w:ilvl="0">
      <w:start w:val="1"/>
      <w:numFmt w:val="decimal"/>
      <w:lvlText w:val="%1."/>
      <w:lvlJc w:val="left"/>
      <w:pPr>
        <w:tabs>
          <w:tab w:val="num" w:pos="360"/>
        </w:tabs>
        <w:ind w:left="0" w:firstLine="0"/>
      </w:pPr>
    </w:lvl>
  </w:abstractNum>
  <w:abstractNum w:abstractNumId="217">
    <w:nsid w:val="605C02FF"/>
    <w:multiLevelType w:val="singleLevel"/>
    <w:tmpl w:val="77743DB6"/>
    <w:lvl w:ilvl="0">
      <w:start w:val="1"/>
      <w:numFmt w:val="lowerLetter"/>
      <w:lvlText w:val="(%1)"/>
      <w:lvlJc w:val="left"/>
      <w:pPr>
        <w:tabs>
          <w:tab w:val="num" w:pos="360"/>
        </w:tabs>
        <w:ind w:left="360" w:hanging="360"/>
      </w:pPr>
    </w:lvl>
  </w:abstractNum>
  <w:abstractNum w:abstractNumId="218">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19">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0">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1">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2">
    <w:nsid w:val="60E85D2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23">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4">
    <w:nsid w:val="6199747F"/>
    <w:multiLevelType w:val="singleLevel"/>
    <w:tmpl w:val="B00C54D0"/>
    <w:lvl w:ilvl="0">
      <w:numFmt w:val="bullet"/>
      <w:lvlText w:val="-"/>
      <w:lvlJc w:val="left"/>
      <w:pPr>
        <w:tabs>
          <w:tab w:val="num" w:pos="475"/>
        </w:tabs>
        <w:ind w:left="475" w:hanging="475"/>
      </w:pPr>
      <w:rPr>
        <w:rFonts w:hint="default"/>
      </w:rPr>
    </w:lvl>
  </w:abstractNum>
  <w:abstractNum w:abstractNumId="225">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26">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7">
    <w:nsid w:val="625A5FCE"/>
    <w:multiLevelType w:val="singleLevel"/>
    <w:tmpl w:val="F938A33E"/>
    <w:lvl w:ilvl="0">
      <w:numFmt w:val="bullet"/>
      <w:lvlText w:val="-"/>
      <w:lvlJc w:val="left"/>
      <w:pPr>
        <w:tabs>
          <w:tab w:val="num" w:pos="360"/>
        </w:tabs>
        <w:ind w:left="360" w:hanging="360"/>
      </w:pPr>
      <w:rPr>
        <w:rFonts w:hint="default"/>
      </w:rPr>
    </w:lvl>
  </w:abstractNum>
  <w:abstractNum w:abstractNumId="228">
    <w:nsid w:val="62B87278"/>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29">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0">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31">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2">
    <w:nsid w:val="64E270CB"/>
    <w:multiLevelType w:val="singleLevel"/>
    <w:tmpl w:val="B00C54D0"/>
    <w:lvl w:ilvl="0">
      <w:numFmt w:val="bullet"/>
      <w:lvlText w:val="-"/>
      <w:lvlJc w:val="left"/>
      <w:pPr>
        <w:tabs>
          <w:tab w:val="num" w:pos="475"/>
        </w:tabs>
        <w:ind w:left="475" w:hanging="475"/>
      </w:pPr>
      <w:rPr>
        <w:rFonts w:hint="default"/>
      </w:rPr>
    </w:lvl>
  </w:abstractNum>
  <w:abstractNum w:abstractNumId="233">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35">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6">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37">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8">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39">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0">
    <w:nsid w:val="67197D68"/>
    <w:multiLevelType w:val="singleLevel"/>
    <w:tmpl w:val="0409000F"/>
    <w:lvl w:ilvl="0">
      <w:start w:val="1"/>
      <w:numFmt w:val="decimal"/>
      <w:lvlText w:val="%1."/>
      <w:lvlJc w:val="left"/>
      <w:pPr>
        <w:tabs>
          <w:tab w:val="num" w:pos="360"/>
        </w:tabs>
        <w:ind w:left="360" w:hanging="360"/>
      </w:pPr>
    </w:lvl>
  </w:abstractNum>
  <w:abstractNum w:abstractNumId="241">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2">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3">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4">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5">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6">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47">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9">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0">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1">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2">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3">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4">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55">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56">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57">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58">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59">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0">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1">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2">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3">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64">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5">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6">
    <w:nsid w:val="7955005E"/>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267">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8">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9">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0">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1">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2"/>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50"/>
  </w:num>
  <w:num w:numId="13">
    <w:abstractNumId w:val="186"/>
  </w:num>
  <w:num w:numId="14">
    <w:abstractNumId w:val="9"/>
  </w:num>
  <w:num w:numId="15">
    <w:abstractNumId w:val="255"/>
  </w:num>
  <w:num w:numId="16">
    <w:abstractNumId w:val="230"/>
  </w:num>
  <w:num w:numId="17">
    <w:abstractNumId w:val="214"/>
  </w:num>
  <w:num w:numId="18">
    <w:abstractNumId w:val="66"/>
  </w:num>
  <w:num w:numId="19">
    <w:abstractNumId w:val="218"/>
  </w:num>
  <w:num w:numId="20">
    <w:abstractNumId w:val="159"/>
  </w:num>
  <w:num w:numId="21">
    <w:abstractNumId w:val="257"/>
  </w:num>
  <w:num w:numId="22">
    <w:abstractNumId w:val="111"/>
  </w:num>
  <w:num w:numId="23">
    <w:abstractNumId w:val="121"/>
  </w:num>
  <w:num w:numId="24">
    <w:abstractNumId w:val="197"/>
  </w:num>
  <w:num w:numId="25">
    <w:abstractNumId w:val="88"/>
  </w:num>
  <w:num w:numId="26">
    <w:abstractNumId w:val="127"/>
  </w:num>
  <w:num w:numId="27">
    <w:abstractNumId w:val="238"/>
  </w:num>
  <w:num w:numId="28">
    <w:abstractNumId w:val="65"/>
  </w:num>
  <w:num w:numId="29">
    <w:abstractNumId w:val="54"/>
  </w:num>
  <w:num w:numId="30">
    <w:abstractNumId w:val="205"/>
  </w:num>
  <w:num w:numId="31">
    <w:abstractNumId w:val="157"/>
  </w:num>
  <w:num w:numId="32">
    <w:abstractNumId w:val="134"/>
  </w:num>
  <w:num w:numId="33">
    <w:abstractNumId w:val="59"/>
  </w:num>
  <w:num w:numId="34">
    <w:abstractNumId w:val="240"/>
  </w:num>
  <w:num w:numId="35">
    <w:abstractNumId w:val="202"/>
  </w:num>
  <w:num w:numId="36">
    <w:abstractNumId w:val="206"/>
  </w:num>
  <w:num w:numId="37">
    <w:abstractNumId w:val="216"/>
  </w:num>
  <w:num w:numId="38">
    <w:abstractNumId w:val="263"/>
  </w:num>
  <w:num w:numId="39">
    <w:abstractNumId w:val="172"/>
  </w:num>
  <w:num w:numId="40">
    <w:abstractNumId w:val="188"/>
  </w:num>
  <w:num w:numId="41">
    <w:abstractNumId w:val="168"/>
  </w:num>
  <w:num w:numId="42">
    <w:abstractNumId w:val="35"/>
  </w:num>
  <w:num w:numId="43">
    <w:abstractNumId w:val="227"/>
  </w:num>
  <w:num w:numId="44">
    <w:abstractNumId w:val="105"/>
  </w:num>
  <w:num w:numId="45">
    <w:abstractNumId w:val="183"/>
  </w:num>
  <w:num w:numId="46">
    <w:abstractNumId w:val="141"/>
  </w:num>
  <w:num w:numId="47">
    <w:abstractNumId w:val="24"/>
  </w:num>
  <w:num w:numId="48">
    <w:abstractNumId w:val="104"/>
  </w:num>
  <w:num w:numId="49">
    <w:abstractNumId w:val="203"/>
  </w:num>
  <w:num w:numId="50">
    <w:abstractNumId w:val="69"/>
  </w:num>
  <w:num w:numId="51">
    <w:abstractNumId w:val="31"/>
  </w:num>
  <w:num w:numId="52">
    <w:abstractNumId w:val="57"/>
  </w:num>
  <w:num w:numId="53">
    <w:abstractNumId w:val="20"/>
  </w:num>
  <w:num w:numId="54">
    <w:abstractNumId w:val="192"/>
  </w:num>
  <w:num w:numId="55">
    <w:abstractNumId w:val="64"/>
  </w:num>
  <w:num w:numId="56">
    <w:abstractNumId w:val="77"/>
  </w:num>
  <w:num w:numId="57">
    <w:abstractNumId w:val="40"/>
  </w:num>
  <w:num w:numId="58">
    <w:abstractNumId w:val="234"/>
  </w:num>
  <w:num w:numId="59">
    <w:abstractNumId w:val="28"/>
  </w:num>
  <w:num w:numId="60">
    <w:abstractNumId w:val="83"/>
  </w:num>
  <w:num w:numId="61">
    <w:abstractNumId w:val="212"/>
  </w:num>
  <w:num w:numId="62">
    <w:abstractNumId w:val="143"/>
  </w:num>
  <w:num w:numId="63">
    <w:abstractNumId w:val="271"/>
  </w:num>
  <w:num w:numId="64">
    <w:abstractNumId w:val="146"/>
  </w:num>
  <w:num w:numId="65">
    <w:abstractNumId w:val="61"/>
  </w:num>
  <w:num w:numId="66">
    <w:abstractNumId w:val="37"/>
  </w:num>
  <w:num w:numId="67">
    <w:abstractNumId w:val="34"/>
  </w:num>
  <w:num w:numId="68">
    <w:abstractNumId w:val="120"/>
  </w:num>
  <w:num w:numId="69">
    <w:abstractNumId w:val="56"/>
  </w:num>
  <w:num w:numId="70">
    <w:abstractNumId w:val="223"/>
  </w:num>
  <w:num w:numId="71">
    <w:abstractNumId w:val="119"/>
  </w:num>
  <w:num w:numId="72">
    <w:abstractNumId w:val="217"/>
  </w:num>
  <w:num w:numId="73">
    <w:abstractNumId w:val="75"/>
  </w:num>
  <w:num w:numId="74">
    <w:abstractNumId w:val="164"/>
  </w:num>
  <w:num w:numId="75">
    <w:abstractNumId w:val="93"/>
  </w:num>
  <w:num w:numId="76">
    <w:abstractNumId w:val="29"/>
  </w:num>
  <w:num w:numId="77">
    <w:abstractNumId w:val="199"/>
  </w:num>
  <w:num w:numId="78">
    <w:abstractNumId w:val="62"/>
  </w:num>
  <w:num w:numId="79">
    <w:abstractNumId w:val="162"/>
  </w:num>
  <w:num w:numId="80">
    <w:abstractNumId w:val="258"/>
  </w:num>
  <w:num w:numId="81">
    <w:abstractNumId w:val="94"/>
  </w:num>
  <w:num w:numId="82">
    <w:abstractNumId w:val="16"/>
  </w:num>
  <w:num w:numId="83">
    <w:abstractNumId w:val="225"/>
  </w:num>
  <w:num w:numId="84">
    <w:abstractNumId w:val="100"/>
  </w:num>
  <w:num w:numId="85">
    <w:abstractNumId w:val="95"/>
  </w:num>
  <w:num w:numId="86">
    <w:abstractNumId w:val="194"/>
  </w:num>
  <w:num w:numId="87">
    <w:abstractNumId w:val="189"/>
  </w:num>
  <w:num w:numId="88">
    <w:abstractNumId w:val="190"/>
  </w:num>
  <w:num w:numId="89">
    <w:abstractNumId w:val="191"/>
  </w:num>
  <w:num w:numId="90">
    <w:abstractNumId w:val="42"/>
  </w:num>
  <w:num w:numId="91">
    <w:abstractNumId w:val="98"/>
  </w:num>
  <w:num w:numId="92">
    <w:abstractNumId w:val="79"/>
  </w:num>
  <w:num w:numId="93">
    <w:abstractNumId w:val="109"/>
  </w:num>
  <w:num w:numId="94">
    <w:abstractNumId w:val="81"/>
  </w:num>
  <w:num w:numId="95">
    <w:abstractNumId w:val="180"/>
  </w:num>
  <w:num w:numId="96">
    <w:abstractNumId w:val="245"/>
  </w:num>
  <w:num w:numId="97">
    <w:abstractNumId w:val="10"/>
  </w:num>
  <w:num w:numId="98">
    <w:abstractNumId w:val="151"/>
  </w:num>
  <w:num w:numId="99">
    <w:abstractNumId w:val="86"/>
  </w:num>
  <w:num w:numId="100">
    <w:abstractNumId w:val="17"/>
  </w:num>
  <w:num w:numId="101">
    <w:abstractNumId w:val="85"/>
  </w:num>
  <w:num w:numId="102">
    <w:abstractNumId w:val="48"/>
  </w:num>
  <w:num w:numId="103">
    <w:abstractNumId w:val="171"/>
  </w:num>
  <w:num w:numId="104">
    <w:abstractNumId w:val="68"/>
  </w:num>
  <w:num w:numId="105">
    <w:abstractNumId w:val="11"/>
  </w:num>
  <w:num w:numId="106">
    <w:abstractNumId w:val="45"/>
  </w:num>
  <w:num w:numId="107">
    <w:abstractNumId w:val="198"/>
  </w:num>
  <w:num w:numId="108">
    <w:abstractNumId w:val="21"/>
  </w:num>
  <w:num w:numId="109">
    <w:abstractNumId w:val="254"/>
  </w:num>
  <w:num w:numId="110">
    <w:abstractNumId w:val="153"/>
  </w:num>
  <w:num w:numId="111">
    <w:abstractNumId w:val="110"/>
  </w:num>
  <w:num w:numId="112">
    <w:abstractNumId w:val="204"/>
  </w:num>
  <w:num w:numId="113">
    <w:abstractNumId w:val="87"/>
  </w:num>
  <w:num w:numId="114">
    <w:abstractNumId w:val="179"/>
  </w:num>
  <w:num w:numId="115">
    <w:abstractNumId w:val="71"/>
  </w:num>
  <w:num w:numId="116">
    <w:abstractNumId w:val="76"/>
  </w:num>
  <w:num w:numId="117">
    <w:abstractNumId w:val="43"/>
  </w:num>
  <w:num w:numId="118">
    <w:abstractNumId w:val="80"/>
  </w:num>
  <w:num w:numId="119">
    <w:abstractNumId w:val="166"/>
  </w:num>
  <w:num w:numId="120">
    <w:abstractNumId w:val="256"/>
  </w:num>
  <w:num w:numId="121">
    <w:abstractNumId w:val="261"/>
  </w:num>
  <w:num w:numId="122">
    <w:abstractNumId w:val="39"/>
  </w:num>
  <w:num w:numId="123">
    <w:abstractNumId w:val="139"/>
  </w:num>
  <w:num w:numId="124">
    <w:abstractNumId w:val="32"/>
  </w:num>
  <w:num w:numId="125">
    <w:abstractNumId w:val="177"/>
  </w:num>
  <w:num w:numId="126">
    <w:abstractNumId w:val="158"/>
  </w:num>
  <w:num w:numId="127">
    <w:abstractNumId w:val="249"/>
  </w:num>
  <w:num w:numId="128">
    <w:abstractNumId w:val="144"/>
  </w:num>
  <w:num w:numId="129">
    <w:abstractNumId w:val="142"/>
  </w:num>
  <w:num w:numId="130">
    <w:abstractNumId w:val="173"/>
  </w:num>
  <w:num w:numId="131">
    <w:abstractNumId w:val="96"/>
  </w:num>
  <w:num w:numId="132">
    <w:abstractNumId w:val="211"/>
  </w:num>
  <w:num w:numId="133">
    <w:abstractNumId w:val="219"/>
  </w:num>
  <w:num w:numId="134">
    <w:abstractNumId w:val="176"/>
  </w:num>
  <w:num w:numId="135">
    <w:abstractNumId w:val="147"/>
  </w:num>
  <w:num w:numId="136">
    <w:abstractNumId w:val="15"/>
  </w:num>
  <w:num w:numId="137">
    <w:abstractNumId w:val="102"/>
  </w:num>
  <w:num w:numId="138">
    <w:abstractNumId w:val="103"/>
  </w:num>
  <w:num w:numId="139">
    <w:abstractNumId w:val="246"/>
  </w:num>
  <w:num w:numId="140">
    <w:abstractNumId w:val="264"/>
  </w:num>
  <w:num w:numId="141">
    <w:abstractNumId w:val="73"/>
  </w:num>
  <w:num w:numId="142">
    <w:abstractNumId w:val="41"/>
  </w:num>
  <w:num w:numId="143">
    <w:abstractNumId w:val="132"/>
  </w:num>
  <w:num w:numId="144">
    <w:abstractNumId w:val="182"/>
  </w:num>
  <w:num w:numId="145">
    <w:abstractNumId w:val="19"/>
  </w:num>
  <w:num w:numId="146">
    <w:abstractNumId w:val="213"/>
  </w:num>
  <w:num w:numId="147">
    <w:abstractNumId w:val="49"/>
  </w:num>
  <w:num w:numId="148">
    <w:abstractNumId w:val="149"/>
  </w:num>
  <w:num w:numId="149">
    <w:abstractNumId w:val="231"/>
  </w:num>
  <w:num w:numId="150">
    <w:abstractNumId w:val="269"/>
  </w:num>
  <w:num w:numId="151">
    <w:abstractNumId w:val="2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70"/>
  </w:num>
  <w:num w:numId="153">
    <w:abstractNumId w:val="27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35"/>
  </w:num>
  <w:num w:numId="155">
    <w:abstractNumId w:val="23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20"/>
  </w:num>
  <w:num w:numId="157">
    <w:abstractNumId w:val="243"/>
  </w:num>
  <w:num w:numId="158">
    <w:abstractNumId w:val="33"/>
  </w:num>
  <w:num w:numId="159">
    <w:abstractNumId w:val="53"/>
  </w:num>
  <w:num w:numId="160">
    <w:abstractNumId w:val="46"/>
  </w:num>
  <w:num w:numId="161">
    <w:abstractNumId w:val="262"/>
  </w:num>
  <w:num w:numId="162">
    <w:abstractNumId w:val="210"/>
  </w:num>
  <w:num w:numId="163">
    <w:abstractNumId w:val="21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55"/>
  </w:num>
  <w:num w:numId="165">
    <w:abstractNumId w:val="1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14"/>
  </w:num>
  <w:num w:numId="167">
    <w:abstractNumId w:val="208"/>
  </w:num>
  <w:num w:numId="168">
    <w:abstractNumId w:val="36"/>
  </w:num>
  <w:num w:numId="169">
    <w:abstractNumId w:val="201"/>
  </w:num>
  <w:num w:numId="170">
    <w:abstractNumId w:val="201"/>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67"/>
  </w:num>
  <w:num w:numId="174">
    <w:abstractNumId w:val="2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0"/>
  </w:num>
  <w:num w:numId="176">
    <w:abstractNumId w:val="9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29"/>
  </w:num>
  <w:num w:numId="178">
    <w:abstractNumId w:val="260"/>
  </w:num>
  <w:num w:numId="179">
    <w:abstractNumId w:val="236"/>
  </w:num>
  <w:num w:numId="180">
    <w:abstractNumId w:val="165"/>
  </w:num>
  <w:num w:numId="181">
    <w:abstractNumId w:val="1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58"/>
  </w:num>
  <w:num w:numId="183">
    <w:abstractNumId w:val="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44"/>
  </w:num>
  <w:num w:numId="185">
    <w:abstractNumId w:val="125"/>
  </w:num>
  <w:num w:numId="186">
    <w:abstractNumId w:val="128"/>
  </w:num>
  <w:num w:numId="187">
    <w:abstractNumId w:val="12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97"/>
  </w:num>
  <w:num w:numId="189">
    <w:abstractNumId w:val="9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69"/>
  </w:num>
  <w:num w:numId="191">
    <w:abstractNumId w:val="1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15"/>
  </w:num>
  <w:num w:numId="193">
    <w:abstractNumId w:val="1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0"/>
  </w:num>
  <w:num w:numId="195">
    <w:abstractNumId w:val="60"/>
  </w:num>
  <w:num w:numId="196">
    <w:abstractNumId w:val="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35"/>
  </w:num>
  <w:num w:numId="198">
    <w:abstractNumId w:val="112"/>
  </w:num>
  <w:num w:numId="199">
    <w:abstractNumId w:val="11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37"/>
  </w:num>
  <w:num w:numId="201">
    <w:abstractNumId w:val="178"/>
  </w:num>
  <w:num w:numId="202">
    <w:abstractNumId w:val="51"/>
  </w:num>
  <w:num w:numId="203">
    <w:abstractNumId w:val="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0"/>
  </w:num>
  <w:num w:numId="205">
    <w:abstractNumId w:val="1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2"/>
  </w:num>
  <w:num w:numId="207">
    <w:abstractNumId w:val="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18"/>
  </w:num>
  <w:num w:numId="209">
    <w:abstractNumId w:val="1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00"/>
  </w:num>
  <w:num w:numId="211">
    <w:abstractNumId w:val="20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0"/>
  </w:num>
  <w:num w:numId="213">
    <w:abstractNumId w:val="107"/>
  </w:num>
  <w:num w:numId="214">
    <w:abstractNumId w:val="175"/>
  </w:num>
  <w:num w:numId="215">
    <w:abstractNumId w:val="101"/>
  </w:num>
  <w:num w:numId="216">
    <w:abstractNumId w:val="10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67"/>
  </w:num>
  <w:num w:numId="218">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3"/>
  </w:num>
  <w:num w:numId="220">
    <w:abstractNumId w:val="1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53"/>
  </w:num>
  <w:num w:numId="222">
    <w:abstractNumId w:val="2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38"/>
  </w:num>
  <w:num w:numId="224">
    <w:abstractNumId w:val="1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2"/>
  </w:num>
  <w:num w:numId="226">
    <w:abstractNumId w:val="92"/>
  </w:num>
  <w:num w:numId="227">
    <w:abstractNumId w:val="242"/>
  </w:num>
  <w:num w:numId="228">
    <w:abstractNumId w:val="24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48"/>
  </w:num>
  <w:num w:numId="230">
    <w:abstractNumId w:val="167"/>
  </w:num>
  <w:num w:numId="231">
    <w:abstractNumId w:val="207"/>
  </w:num>
  <w:num w:numId="232">
    <w:abstractNumId w:val="72"/>
  </w:num>
  <w:num w:numId="233">
    <w:abstractNumId w:val="184"/>
  </w:num>
  <w:num w:numId="234">
    <w:abstractNumId w:val="145"/>
  </w:num>
  <w:num w:numId="235">
    <w:abstractNumId w:val="1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26"/>
  </w:num>
  <w:num w:numId="237">
    <w:abstractNumId w:val="160"/>
  </w:num>
  <w:num w:numId="238">
    <w:abstractNumId w:val="1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33"/>
  </w:num>
  <w:num w:numId="240">
    <w:abstractNumId w:val="117"/>
  </w:num>
  <w:num w:numId="241">
    <w:abstractNumId w:val="1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47"/>
  </w:num>
  <w:num w:numId="243">
    <w:abstractNumId w:val="14"/>
  </w:num>
  <w:num w:numId="244">
    <w:abstractNumId w:val="55"/>
  </w:num>
  <w:num w:numId="245">
    <w:abstractNumId w:val="63"/>
  </w:num>
  <w:num w:numId="246">
    <w:abstractNumId w:val="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99"/>
  </w:num>
  <w:num w:numId="248">
    <w:abstractNumId w:val="124"/>
  </w:num>
  <w:num w:numId="249">
    <w:abstractNumId w:val="268"/>
  </w:num>
  <w:num w:numId="250">
    <w:abstractNumId w:val="89"/>
  </w:num>
  <w:num w:numId="251">
    <w:abstractNumId w:val="252"/>
  </w:num>
  <w:num w:numId="252">
    <w:abstractNumId w:val="161"/>
  </w:num>
  <w:num w:numId="253">
    <w:abstractNumId w:val="221"/>
  </w:num>
  <w:num w:numId="254">
    <w:abstractNumId w:val="2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95"/>
  </w:num>
  <w:num w:numId="256">
    <w:abstractNumId w:val="1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48"/>
  </w:num>
  <w:num w:numId="258">
    <w:abstractNumId w:val="24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87"/>
  </w:num>
  <w:num w:numId="260">
    <w:abstractNumId w:val="129"/>
  </w:num>
  <w:num w:numId="261">
    <w:abstractNumId w:val="13"/>
  </w:num>
  <w:num w:numId="262">
    <w:abstractNumId w:val="241"/>
  </w:num>
  <w:num w:numId="263">
    <w:abstractNumId w:val="181"/>
  </w:num>
  <w:num w:numId="264">
    <w:abstractNumId w:val="152"/>
  </w:num>
  <w:num w:numId="265">
    <w:abstractNumId w:val="82"/>
  </w:num>
  <w:num w:numId="266">
    <w:abstractNumId w:val="12"/>
  </w:num>
  <w:num w:numId="267">
    <w:abstractNumId w:val="259"/>
  </w:num>
  <w:num w:numId="268">
    <w:abstractNumId w:val="239"/>
  </w:num>
  <w:num w:numId="269">
    <w:abstractNumId w:val="196"/>
  </w:num>
  <w:num w:numId="270">
    <w:abstractNumId w:val="30"/>
  </w:num>
  <w:num w:numId="271">
    <w:abstractNumId w:val="265"/>
  </w:num>
  <w:num w:numId="272">
    <w:abstractNumId w:val="23"/>
  </w:num>
  <w:num w:numId="273">
    <w:abstractNumId w:val="136"/>
  </w:num>
  <w:num w:numId="274">
    <w:abstractNumId w:val="106"/>
  </w:num>
  <w:num w:numId="275">
    <w:abstractNumId w:val="113"/>
  </w:num>
  <w:num w:numId="276">
    <w:abstractNumId w:val="50"/>
  </w:num>
  <w:num w:numId="277">
    <w:abstractNumId w:val="233"/>
  </w:num>
  <w:num w:numId="278">
    <w:abstractNumId w:val="38"/>
  </w:num>
  <w:num w:numId="279">
    <w:abstractNumId w:val="27"/>
  </w:num>
  <w:num w:numId="280">
    <w:abstractNumId w:val="251"/>
  </w:num>
  <w:num w:numId="281">
    <w:abstractNumId w:val="154"/>
  </w:num>
  <w:num w:numId="282">
    <w:abstractNumId w:val="25"/>
  </w:num>
  <w:num w:numId="283">
    <w:abstractNumId w:val="26"/>
  </w:num>
  <w:num w:numId="284">
    <w:abstractNumId w:val="247"/>
  </w:num>
  <w:num w:numId="285">
    <w:abstractNumId w:val="193"/>
  </w:num>
  <w:num w:numId="286">
    <w:abstractNumId w:val="7"/>
  </w:num>
  <w:num w:numId="287">
    <w:abstractNumId w:val="6"/>
  </w:num>
  <w:num w:numId="288">
    <w:abstractNumId w:val="5"/>
  </w:num>
  <w:num w:numId="289">
    <w:abstractNumId w:val="4"/>
  </w:num>
  <w:num w:numId="290">
    <w:abstractNumId w:val="174"/>
  </w:num>
  <w:num w:numId="291">
    <w:abstractNumId w:val="150"/>
  </w:num>
  <w:num w:numId="292">
    <w:abstractNumId w:val="224"/>
  </w:num>
  <w:num w:numId="293">
    <w:abstractNumId w:val="266"/>
  </w:num>
  <w:num w:numId="294">
    <w:abstractNumId w:val="116"/>
  </w:num>
  <w:num w:numId="295">
    <w:abstractNumId w:val="215"/>
  </w:num>
  <w:num w:numId="296">
    <w:abstractNumId w:val="185"/>
  </w:num>
  <w:num w:numId="297">
    <w:abstractNumId w:val="126"/>
  </w:num>
  <w:num w:numId="298">
    <w:abstractNumId w:val="78"/>
  </w:num>
  <w:num w:numId="299">
    <w:abstractNumId w:val="44"/>
  </w:num>
  <w:num w:numId="300">
    <w:abstractNumId w:val="131"/>
  </w:num>
  <w:num w:numId="301">
    <w:abstractNumId w:val="156"/>
  </w:num>
  <w:num w:numId="302">
    <w:abstractNumId w:val="222"/>
  </w:num>
  <w:num w:numId="303">
    <w:abstractNumId w:val="123"/>
  </w:num>
  <w:num w:numId="304">
    <w:abstractNumId w:val="84"/>
  </w:num>
  <w:num w:numId="305">
    <w:abstractNumId w:val="108"/>
  </w:num>
  <w:num w:numId="306">
    <w:abstractNumId w:val="232"/>
  </w:num>
  <w:num w:numId="307">
    <w:abstractNumId w:val="91"/>
  </w:num>
  <w:num w:numId="308">
    <w:abstractNumId w:val="209"/>
  </w:num>
  <w:num w:numId="309">
    <w:abstractNumId w:val="70"/>
  </w:num>
  <w:num w:numId="310">
    <w:abstractNumId w:val="228"/>
  </w:num>
  <w:num w:numId="311">
    <w:abstractNumId w:val="74"/>
  </w:num>
  <w:num w:numId="312">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activeWritingStyle w:appName="MSWord" w:lang="es-ES_tradnl" w:vendorID="9"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14712</Words>
  <Characters>83861</Characters>
  <Application>Microsoft Office Word</Application>
  <DocSecurity>4</DocSecurity>
  <Lines>698</Lines>
  <Paragraphs>167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102987</CharactersWithSpaces>
  <SharedDoc>false</SharedDoc>
  <HLinks>
    <vt:vector size="6" baseType="variant">
      <vt:variant>
        <vt:i4>4522087</vt:i4>
      </vt:variant>
      <vt:variant>
        <vt:i4>206244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2004-05-04T09:13:00Z</cp:lastPrinted>
  <dcterms:created xsi:type="dcterms:W3CDTF">2004-05-04T09:12:00Z</dcterms:created>
  <dcterms:modified xsi:type="dcterms:W3CDTF">2004-05-04T09:45:00Z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38</vt:lpwstr>
  </property>
  <property fmtid="{D5CDD505-2E9C-101B-9397-08002B2CF9AE}" pid="8" name="Operator">
    <vt:lpwstr>Panichkina</vt:lpwstr>
  </property>
</Properties>
</file>