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6012101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spacing w:after="240"/>
        <w:ind w:left="6804"/>
        <w:rPr>
          <w:lang w:val="en-GB"/>
        </w:rPr>
      </w:pPr>
      <w:r>
        <w:rPr>
          <w:lang w:val="es-ES_tradnl"/>
        </w:rPr>
        <w:t>Distr.</w:t>
      </w:r>
      <w:r>
        <w:rPr>
          <w:lang w:val="es-ES_tradnl"/>
        </w:rPr>
        <w:br/>
      </w:r>
      <w:r>
        <w:rPr>
          <w:lang w:val="en-GB"/>
        </w:rPr>
        <w:t>GENERAL</w:t>
      </w:r>
    </w:p>
    <w:p w:rsidR="00000000" w:rsidRDefault="00000000">
      <w:pPr>
        <w:ind w:left="6804"/>
        <w:rPr>
          <w:lang w:val="en-GB"/>
        </w:rPr>
      </w:pPr>
      <w:r>
        <w:rPr>
          <w:lang w:val="en-GB"/>
        </w:rPr>
        <w:t>CAT/C/CR/28/2</w:t>
      </w:r>
    </w:p>
    <w:p w:rsidR="00000000" w:rsidRDefault="00000000">
      <w:pPr>
        <w:spacing w:after="240"/>
        <w:ind w:left="6804"/>
      </w:pPr>
      <w:r>
        <w:t>12 de junio de 2002</w:t>
      </w:r>
    </w:p>
    <w:p w:rsidR="00000000" w:rsidRDefault="00000000">
      <w:pPr>
        <w:ind w:left="6804"/>
      </w:pPr>
      <w:r>
        <w:t>ESPAÑOL</w:t>
      </w:r>
    </w:p>
    <w:p w:rsidR="00000000" w:rsidRDefault="00000000">
      <w:pPr>
        <w:spacing w:after="480"/>
        <w:ind w:left="6804"/>
      </w:pPr>
      <w:r>
        <w:t>Original.  INGLÉS</w:t>
      </w:r>
    </w:p>
    <w:p w:rsidR="00000000" w:rsidRDefault="00000000">
      <w:r>
        <w:t>COMITÉ CONTRA LA TORTURA</w:t>
      </w:r>
    </w:p>
    <w:p w:rsidR="00000000" w:rsidRDefault="00000000">
      <w:r>
        <w:t>28º período de sesiones</w:t>
      </w:r>
    </w:p>
    <w:p w:rsidR="00000000" w:rsidRDefault="00000000">
      <w:pPr>
        <w:spacing w:after="960"/>
      </w:pPr>
      <w:r>
        <w:t>29 de abril a 17 de mayo de 2002</w:t>
      </w:r>
    </w:p>
    <w:p w:rsidR="00000000" w:rsidRDefault="00000000">
      <w:pPr>
        <w:spacing w:after="240"/>
        <w:jc w:val="center"/>
      </w:pPr>
      <w:r>
        <w:t>EXAMEN DE LOS INFORMES PRESENTADOS POR LOS ESTADOS PARTES</w:t>
      </w:r>
      <w:r>
        <w:br/>
        <w:t>EN VIRTUD DEL ARTÍCULO 19 DE LA CONVENCIÓN</w:t>
      </w:r>
    </w:p>
    <w:p w:rsidR="00000000" w:rsidRDefault="00000000">
      <w:pPr>
        <w:spacing w:after="480"/>
        <w:jc w:val="center"/>
        <w:rPr>
          <w:u w:val="single"/>
        </w:rPr>
      </w:pPr>
      <w:r>
        <w:rPr>
          <w:u w:val="single"/>
        </w:rPr>
        <w:t>Conclusiones y recomendaciones del Comité contra la Tortura</w:t>
      </w:r>
    </w:p>
    <w:p w:rsidR="00000000" w:rsidRDefault="00000000">
      <w:pPr>
        <w:spacing w:after="240"/>
        <w:jc w:val="center"/>
      </w:pPr>
      <w:r>
        <w:t>LUXEMBURGO</w:t>
      </w:r>
    </w:p>
    <w:p w:rsidR="00000000" w:rsidRDefault="00000000">
      <w:pPr>
        <w:spacing w:after="240"/>
      </w:pPr>
      <w:r>
        <w:t>1.</w:t>
      </w:r>
      <w:r>
        <w:tab/>
        <w:t>El Comité examinó juntos los informes periódicos tercero y cuarto de Luxemburgo (CAT/C/34/Add.14) en sus sesiones 514ª, 517ª y 525ª, celebradas los días 7, 8 y 15 de mayo de 2002 (CAT/C/SR.514, 517 y 525), y aprobó las conclusiones y recomendaciones que figuran a continuación.</w:t>
      </w:r>
    </w:p>
    <w:p w:rsidR="00000000" w:rsidRDefault="00000000">
      <w:pPr>
        <w:spacing w:after="240"/>
        <w:jc w:val="center"/>
        <w:rPr>
          <w:u w:val="single"/>
        </w:rPr>
      </w:pPr>
      <w:r>
        <w:t xml:space="preserve">A.  </w:t>
      </w:r>
      <w:r>
        <w:rPr>
          <w:u w:val="single"/>
        </w:rPr>
        <w:t>Introducción</w:t>
      </w:r>
    </w:p>
    <w:p w:rsidR="00000000" w:rsidRDefault="00000000">
      <w:pPr>
        <w:spacing w:after="240"/>
      </w:pPr>
      <w:r>
        <w:t>2.</w:t>
      </w:r>
      <w:r>
        <w:tab/>
        <w:t>El Comité acoge con beneplácito los informes periódicos tercero y cuarto de Luxemburgo, que se presentaron combinados en un único documento, de conformidad con lo recomendado por el Comité.  El informe se presentó a tiempo y sigue exactamente las directrices generales del Comité para la preparación de informes periódicos.  El Comité felicita al Estado Parte por la excelente calidad del informe y celebra el diálogo fructífero y abierto que se ha sostenido con la delegación de alto nivel del Estado Parte durante el examen del informe.</w:t>
      </w:r>
    </w:p>
    <w:p w:rsidR="00000000" w:rsidRDefault="00000000">
      <w:pPr>
        <w:spacing w:after="240"/>
        <w:jc w:val="center"/>
        <w:rPr>
          <w:u w:val="single"/>
        </w:rPr>
      </w:pPr>
      <w:r>
        <w:rPr>
          <w:lang w:val="es-ES_tradnl"/>
        </w:rPr>
        <w:t xml:space="preserve">B.  </w:t>
      </w:r>
      <w:r>
        <w:rPr>
          <w:u w:val="single"/>
        </w:rPr>
        <w:t>Aspectos positivos</w:t>
      </w:r>
    </w:p>
    <w:p w:rsidR="00000000" w:rsidRDefault="00000000">
      <w:pPr>
        <w:spacing w:after="240"/>
      </w:pPr>
      <w:r>
        <w:t>3.</w:t>
      </w:r>
      <w:r>
        <w:tab/>
        <w:t>El Comité elogia al Estado Parte por mantener un alto grado de respeto de los derechos humanos en general y de sus obligaciones en virtud de la Convención en particular.</w:t>
      </w:r>
    </w:p>
    <w:p w:rsidR="00000000" w:rsidRDefault="00000000"/>
    <w:p w:rsidR="00000000" w:rsidRDefault="00000000">
      <w:r>
        <w:t>GE.02-42576  (S)    310702    310702</w:t>
      </w:r>
    </w:p>
    <w:p w:rsidR="00000000" w:rsidRDefault="00000000">
      <w:pPr>
        <w:spacing w:after="220"/>
      </w:pPr>
      <w:r>
        <w:t>4.</w:t>
      </w:r>
      <w:r>
        <w:tab/>
        <w:t>El Comité toma nota de los siguientes hechos positivos:</w:t>
      </w:r>
    </w:p>
    <w:p w:rsidR="00000000" w:rsidRDefault="00000000">
      <w:pPr>
        <w:spacing w:after="220"/>
        <w:ind w:left="1134" w:hanging="567"/>
      </w:pPr>
      <w:r>
        <w:t>a)</w:t>
      </w:r>
      <w:r>
        <w:tab/>
        <w:t>Se han tratado positivamente y con detalle todas las cuestiones que son motivo de preocupación, así como las recomendaciones anteriores del Comité.</w:t>
      </w:r>
    </w:p>
    <w:p w:rsidR="00000000" w:rsidRDefault="00000000">
      <w:pPr>
        <w:spacing w:after="220"/>
        <w:ind w:left="1134" w:hanging="567"/>
      </w:pPr>
      <w:r>
        <w:t>b)</w:t>
      </w:r>
      <w:r>
        <w:tab/>
        <w:t>Por Ley de 24 de abril de 2000, la tortura se ha incorporado al Código Penal como delito tipificado y como circunstancia agravante de un delito contra las personas.  Además, la definición de la tortura se basa en general en la definición que figura en el artículo 1 de la Convención y comprende tanto la tortura física como la moral.</w:t>
      </w:r>
    </w:p>
    <w:p w:rsidR="00000000" w:rsidRDefault="00000000">
      <w:pPr>
        <w:spacing w:after="220"/>
        <w:ind w:left="1134" w:hanging="567"/>
      </w:pPr>
      <w:r>
        <w:t>c)</w:t>
      </w:r>
      <w:r>
        <w:tab/>
        <w:t>La institución de la Comisión Consultiva de Derechos Humanos, el 26 de mayo de 2000.</w:t>
      </w:r>
    </w:p>
    <w:p w:rsidR="00000000" w:rsidRDefault="00000000">
      <w:pPr>
        <w:spacing w:after="220"/>
        <w:ind w:left="1134" w:hanging="567"/>
      </w:pPr>
      <w:r>
        <w:t>d)</w:t>
      </w:r>
      <w:r>
        <w:tab/>
        <w:t xml:space="preserve">La Ley de 31 de mayo de 1999, por la que se establecen el Cuerpo de Policía Granducal y el Departamento de Inspección General de la Policía, cuyo principal objeto es la fusión de la policía y la </w:t>
      </w:r>
      <w:r>
        <w:rPr>
          <w:u w:val="single"/>
        </w:rPr>
        <w:t>gendarmerie</w:t>
      </w:r>
      <w:r>
        <w:t>.  La ley tipifica también como delito, entre otras cosas, la trata de personas.</w:t>
      </w:r>
    </w:p>
    <w:p w:rsidR="00000000" w:rsidRDefault="00000000">
      <w:pPr>
        <w:spacing w:after="220"/>
        <w:ind w:left="1134" w:hanging="567"/>
      </w:pPr>
      <w:r>
        <w:t>e)</w:t>
      </w:r>
      <w:r>
        <w:tab/>
        <w:t>La Ley de 14 de mayo de 2000, por la que se ratifica el Estatuto de Roma de la Corte Penal Internacional.</w:t>
      </w:r>
    </w:p>
    <w:p w:rsidR="00000000" w:rsidRDefault="00000000">
      <w:pPr>
        <w:spacing w:after="220"/>
        <w:jc w:val="center"/>
        <w:rPr>
          <w:u w:val="single"/>
        </w:rPr>
      </w:pPr>
      <w:r>
        <w:t xml:space="preserve">C.  </w:t>
      </w:r>
      <w:r>
        <w:rPr>
          <w:u w:val="single"/>
        </w:rPr>
        <w:t>Motivos de preocupación</w:t>
      </w:r>
    </w:p>
    <w:p w:rsidR="00000000" w:rsidRDefault="00000000">
      <w:pPr>
        <w:spacing w:after="220"/>
      </w:pPr>
      <w:r>
        <w:t>5.</w:t>
      </w:r>
      <w:r>
        <w:tab/>
        <w:t>El Comité expresa su preocupación por lo siguiente:</w:t>
      </w:r>
    </w:p>
    <w:p w:rsidR="00000000" w:rsidRDefault="00000000">
      <w:pPr>
        <w:spacing w:after="220"/>
        <w:ind w:left="1134" w:hanging="567"/>
      </w:pPr>
      <w:r>
        <w:t>a)</w:t>
      </w:r>
      <w:r>
        <w:tab/>
        <w:t>Los menores respecto de los cuales se dicta una orden de internamiento en reformatorio son recluidos en cárceles para adultos;</w:t>
      </w:r>
    </w:p>
    <w:p w:rsidR="00000000" w:rsidRDefault="00000000">
      <w:pPr>
        <w:spacing w:after="220"/>
        <w:ind w:left="1134" w:hanging="567"/>
      </w:pPr>
      <w:r>
        <w:t>b)</w:t>
      </w:r>
      <w:r>
        <w:tab/>
        <w:t>La institución del régimen de incomunicación, en particular como medida preventiva durante la detención provisional.</w:t>
      </w:r>
    </w:p>
    <w:p w:rsidR="00000000" w:rsidRDefault="00000000">
      <w:pPr>
        <w:spacing w:after="220"/>
        <w:jc w:val="center"/>
        <w:rPr>
          <w:u w:val="single"/>
        </w:rPr>
      </w:pPr>
      <w:r>
        <w:t xml:space="preserve">D.  </w:t>
      </w:r>
      <w:r>
        <w:rPr>
          <w:u w:val="single"/>
        </w:rPr>
        <w:t>Recomendaciones</w:t>
      </w:r>
    </w:p>
    <w:p w:rsidR="00000000" w:rsidRDefault="00000000">
      <w:pPr>
        <w:spacing w:after="220"/>
      </w:pPr>
      <w:r>
        <w:t>6.</w:t>
      </w:r>
      <w:r>
        <w:tab/>
        <w:t>El Comité recomienda lo siguiente:</w:t>
      </w:r>
    </w:p>
    <w:p w:rsidR="00000000" w:rsidRDefault="00000000">
      <w:pPr>
        <w:spacing w:after="220"/>
        <w:ind w:left="1134" w:hanging="567"/>
      </w:pPr>
      <w:r>
        <w:t>a)</w:t>
      </w:r>
      <w:r>
        <w:tab/>
        <w:t>Que el Estado Parte se abstenga de recluir en cárceles para adultos a los menores que deban ingresar en un reformatorio;</w:t>
      </w:r>
    </w:p>
    <w:p w:rsidR="00000000" w:rsidRDefault="00000000">
      <w:pPr>
        <w:spacing w:after="220"/>
        <w:ind w:left="1134" w:hanging="567"/>
      </w:pPr>
      <w:r>
        <w:t>b)</w:t>
      </w:r>
      <w:r>
        <w:tab/>
        <w:t>Que el régimen de incomunicación se regule estricta y expresamente por ley y que la supervisión judicial se fortalezca de modo que este castigo se aplique solamente en circunstancias graves, con vistas a su abolición, en particular durante la prisión provisional;</w:t>
      </w:r>
    </w:p>
    <w:p w:rsidR="00000000" w:rsidRDefault="00000000">
      <w:pPr>
        <w:spacing w:after="220"/>
        <w:ind w:left="1134" w:hanging="567"/>
      </w:pPr>
      <w:r>
        <w:t>c)</w:t>
      </w:r>
      <w:r>
        <w:tab/>
        <w:t>Que el Estado Parte estudie la posibilidad de adoptar disposiciones legislativas sobre la indemnización apropiada de las víctimas de la tortura en particular;</w:t>
      </w:r>
    </w:p>
    <w:p w:rsidR="00000000" w:rsidRDefault="00000000">
      <w:pPr>
        <w:spacing w:after="220"/>
        <w:ind w:left="1134" w:hanging="567"/>
      </w:pPr>
      <w:r>
        <w:t>d)</w:t>
      </w:r>
      <w:r>
        <w:tab/>
        <w:t>Que las conclusiones y recomendaciones del Comité se difundan ampliamente en el Estado Parte en todos los idiomas que proceda.</w:t>
      </w:r>
    </w:p>
    <w:p w:rsidR="00000000" w:rsidRDefault="00000000">
      <w:pPr>
        <w:spacing w:after="220"/>
        <w:jc w:val="center"/>
      </w:pPr>
      <w:r>
        <w:t>-----</w:t>
      </w: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GB"/>
      </w:rPr>
    </w:pPr>
    <w:r>
      <w:rPr>
        <w:lang w:val="en-GB"/>
      </w:rPr>
      <w:t>CAT/C/CR/28/2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  <w:rPr>
        <w:lang w:val="en-GB"/>
      </w:rPr>
    </w:pPr>
    <w:r>
      <w:tab/>
    </w:r>
    <w:r>
      <w:rPr>
        <w:lang w:val="en-GB"/>
      </w:rPr>
      <w:t>CAT/C/CR/28/2</w:t>
    </w:r>
  </w:p>
  <w:p w:rsidR="00000000" w:rsidRDefault="00000000">
    <w:pPr>
      <w:tabs>
        <w:tab w:val="left" w:pos="6803"/>
      </w:tabs>
    </w:pPr>
    <w:r>
      <w:rPr>
        <w:lang w:val="en-GB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oNotTrackMoves/>
  <w:defaultTabStop w:val="567"/>
  <w:hyphenationZone w:val="425"/>
  <w:evenAndOddHeaders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2000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564</Words>
  <Characters>2820</Characters>
  <Application>Microsoft Office Word</Application>
  <DocSecurity>4</DocSecurity>
  <Lines>64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CAT/C/CR/28/2</vt:lpstr>
    </vt:vector>
  </TitlesOfParts>
  <Company>ONU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CAT/C/CR/28/2</dc:title>
  <dc:subject>02-42576</dc:subject>
  <dc:creator>ROSA SATORRE</dc:creator>
  <cp:keywords/>
  <dc:description/>
  <cp:lastModifiedBy>PDF</cp:lastModifiedBy>
  <cp:revision>2</cp:revision>
  <cp:lastPrinted>2002-04-29T12:35:00Z</cp:lastPrinted>
  <dcterms:created xsi:type="dcterms:W3CDTF">2002-07-31T12:20:00Z</dcterms:created>
  <dcterms:modified xsi:type="dcterms:W3CDTF">2002-07-31T12:20:00Z</dcterms:modified>
</cp:coreProperties>
</file>