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5D1F">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F5D1F">
      <w:pPr>
        <w:spacing w:line="60" w:lineRule="exact"/>
        <w:rPr>
          <w:sz w:val="6"/>
        </w:rPr>
      </w:pPr>
    </w:p>
    <w:p w:rsidR="00000000" w:rsidRDefault="000F5D1F" w:rsidP="000F5D1F">
      <w:pPr>
        <w:pStyle w:val="SingleTxt"/>
        <w:spacing w:after="60"/>
        <w:ind w:leftChars="2" w:left="31680" w:rightChars="602" w:right="31680"/>
        <w:rPr>
          <w:rFonts w:ascii="SimHei" w:eastAsia="SimHei" w:hint="eastAsia"/>
          <w:color w:val="FF0000"/>
          <w:sz w:val="24"/>
        </w:rPr>
      </w:pPr>
      <w:r>
        <w:rPr>
          <w:rFonts w:ascii="SimHei" w:eastAsia="SimHei" w:hint="eastAsia"/>
          <w:color w:val="FF0000"/>
          <w:sz w:val="24"/>
        </w:rPr>
        <w:t>消除对妇女歧视委员会</w:t>
      </w:r>
    </w:p>
    <w:p w:rsidR="00000000" w:rsidRDefault="000F5D1F" w:rsidP="000F5D1F">
      <w:pPr>
        <w:pStyle w:val="SingleTxt"/>
        <w:spacing w:after="60"/>
        <w:ind w:leftChars="2" w:left="31680" w:rightChars="602" w:right="31680"/>
        <w:rPr>
          <w:rFonts w:ascii="SimHei" w:eastAsia="SimHei" w:hint="eastAsia"/>
          <w:color w:val="FF0000"/>
        </w:rPr>
      </w:pPr>
      <w:r>
        <w:rPr>
          <w:rFonts w:ascii="SimHei" w:eastAsia="SimHei" w:hint="eastAsia"/>
          <w:color w:val="FF0000"/>
        </w:rPr>
        <w:t>第三十五届会议会前工作组</w:t>
      </w:r>
    </w:p>
    <w:p w:rsidR="00000000" w:rsidRDefault="000F5D1F" w:rsidP="000F5D1F">
      <w:pPr>
        <w:pStyle w:val="SingleTxt"/>
        <w:spacing w:after="60"/>
        <w:ind w:leftChars="2" w:left="31680" w:rightChars="602" w:right="31680"/>
        <w:rPr>
          <w:rFonts w:hint="eastAsia"/>
        </w:rPr>
      </w:pPr>
      <w:r>
        <w:rPr>
          <w:rFonts w:hint="eastAsia"/>
        </w:rPr>
        <w:t>2006</w:t>
      </w:r>
      <w:r>
        <w:rPr>
          <w:rFonts w:hint="eastAsia"/>
        </w:rPr>
        <w:t>年</w:t>
      </w:r>
      <w:r>
        <w:rPr>
          <w:rFonts w:hint="eastAsia"/>
        </w:rPr>
        <w:t>5</w:t>
      </w:r>
      <w:r>
        <w:rPr>
          <w:rFonts w:hint="eastAsia"/>
        </w:rPr>
        <w:t>月</w:t>
      </w:r>
      <w:r>
        <w:rPr>
          <w:rFonts w:hint="eastAsia"/>
        </w:rPr>
        <w:t>15</w:t>
      </w:r>
      <w:r>
        <w:rPr>
          <w:rFonts w:hint="eastAsia"/>
        </w:rPr>
        <w:t>日至</w:t>
      </w:r>
      <w:r>
        <w:rPr>
          <w:rFonts w:hint="eastAsia"/>
        </w:rPr>
        <w:t>6</w:t>
      </w:r>
      <w:r>
        <w:rPr>
          <w:rFonts w:hint="eastAsia"/>
        </w:rPr>
        <w:t>月</w:t>
      </w:r>
      <w:r>
        <w:rPr>
          <w:rFonts w:hint="eastAsia"/>
        </w:rPr>
        <w:t>2</w:t>
      </w:r>
      <w:r>
        <w:rPr>
          <w:rFonts w:hint="eastAsia"/>
        </w:rPr>
        <w:t>日</w:t>
      </w:r>
    </w:p>
    <w:p w:rsidR="00000000" w:rsidRDefault="000F5D1F">
      <w:pPr>
        <w:pStyle w:val="SingleTxt"/>
        <w:spacing w:after="0" w:line="120" w:lineRule="exact"/>
        <w:rPr>
          <w:sz w:val="10"/>
        </w:rPr>
      </w:pPr>
    </w:p>
    <w:p w:rsidR="00000000" w:rsidRDefault="000F5D1F">
      <w:pPr>
        <w:pStyle w:val="SingleTxt"/>
        <w:spacing w:after="0" w:line="120" w:lineRule="exact"/>
        <w:rPr>
          <w:rFonts w:hint="eastAsia"/>
          <w:sz w:val="10"/>
        </w:rPr>
      </w:pPr>
    </w:p>
    <w:p w:rsidR="00000000" w:rsidRDefault="000F5D1F">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与审议定期报告有关的议题和问题清单</w:t>
      </w:r>
    </w:p>
    <w:p w:rsidR="00000000" w:rsidRDefault="000F5D1F">
      <w:pPr>
        <w:pStyle w:val="SingleTxt"/>
        <w:spacing w:after="0" w:line="120" w:lineRule="exact"/>
        <w:rPr>
          <w:rFonts w:hint="eastAsia"/>
          <w:sz w:val="10"/>
        </w:rPr>
      </w:pPr>
    </w:p>
    <w:p w:rsidR="00000000" w:rsidRDefault="000F5D1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罗马尼亚</w:t>
      </w:r>
    </w:p>
    <w:p w:rsidR="00000000" w:rsidRDefault="000F5D1F">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导言</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1.</w:t>
      </w:r>
      <w:r>
        <w:rPr>
          <w:rFonts w:hint="eastAsia"/>
        </w:rPr>
        <w:tab/>
      </w:r>
      <w:r>
        <w:rPr>
          <w:rFonts w:hint="eastAsia"/>
        </w:rPr>
        <w:t>会前工作组审查了罗马尼亚的第六次定期报告（</w:t>
      </w:r>
      <w:r>
        <w:rPr>
          <w:rFonts w:hint="eastAsia"/>
        </w:rPr>
        <w:t>CEDAW/C/ROM/6</w:t>
      </w:r>
      <w:r>
        <w:rPr>
          <w:rFonts w:hint="eastAsia"/>
        </w:rPr>
        <w:t>）。</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概述</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2.</w:t>
      </w:r>
      <w:r>
        <w:rPr>
          <w:rFonts w:hint="eastAsia"/>
        </w:rPr>
        <w:tab/>
      </w:r>
      <w:r>
        <w:rPr>
          <w:rFonts w:hint="eastAsia"/>
        </w:rPr>
        <w:t>请提供资料，说明罗马尼亚第六次定期报告的编写过程。这方面的资料应指明政府那些部门和机构参与了这一过程，以及它们参与的性质和程度；是否与非政府组织进行了协商，报告是否已获政府通过并提交议会。</w:t>
      </w:r>
    </w:p>
    <w:p w:rsidR="00000000" w:rsidRDefault="000F5D1F">
      <w:pPr>
        <w:pStyle w:val="SingleTxt"/>
        <w:rPr>
          <w:rFonts w:hint="eastAsia"/>
        </w:rPr>
      </w:pPr>
      <w:r>
        <w:rPr>
          <w:rFonts w:hint="eastAsia"/>
        </w:rPr>
        <w:t>3.</w:t>
      </w:r>
      <w:r>
        <w:rPr>
          <w:rFonts w:hint="eastAsia"/>
        </w:rPr>
        <w:tab/>
      </w:r>
      <w:r>
        <w:rPr>
          <w:rFonts w:hint="eastAsia"/>
        </w:rPr>
        <w:t>委员会在</w:t>
      </w:r>
      <w:r>
        <w:rPr>
          <w:rFonts w:hint="eastAsia"/>
        </w:rPr>
        <w:t>2000</w:t>
      </w:r>
      <w:r>
        <w:rPr>
          <w:rFonts w:hint="eastAsia"/>
        </w:rPr>
        <w:t>年结论意见</w:t>
      </w:r>
      <w:r>
        <w:rPr>
          <w:vertAlign w:val="superscript"/>
        </w:rPr>
        <w:t>1</w:t>
      </w:r>
      <w:r>
        <w:rPr>
          <w:rFonts w:hint="eastAsia"/>
        </w:rPr>
        <w:t xml:space="preserve"> </w:t>
      </w:r>
      <w:r>
        <w:rPr>
          <w:rFonts w:hint="eastAsia"/>
        </w:rPr>
        <w:t>中呼吁拟订全面、综合政策来实</w:t>
      </w:r>
      <w:r>
        <w:rPr>
          <w:rFonts w:hint="eastAsia"/>
        </w:rPr>
        <w:t>施《消除对妇女一切形式歧视公约》（大会第</w:t>
      </w:r>
      <w:r>
        <w:rPr>
          <w:rFonts w:hint="eastAsia"/>
        </w:rPr>
        <w:t>34/180</w:t>
      </w:r>
      <w:r>
        <w:rPr>
          <w:rFonts w:hint="eastAsia"/>
        </w:rPr>
        <w:t>号决议，附件）并实现男女平等，包括拟订一个时间表来监测和评价这方面的进展。请提供资料，说明为响应这项建议采取了哪些步骤。</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宪法、立法和体制框架以及《公约》现况</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4.</w:t>
      </w:r>
      <w:r>
        <w:rPr>
          <w:rFonts w:hint="eastAsia"/>
        </w:rPr>
        <w:tab/>
      </w:r>
      <w:r>
        <w:rPr>
          <w:rFonts w:hint="eastAsia"/>
        </w:rPr>
        <w:t>报告指出，很少会采取行动对当事方根据一项国际公约主张的权利进行审理，即使审理一般都会引用《欧洲人权公约》。</w:t>
      </w:r>
      <w:r>
        <w:rPr>
          <w:vertAlign w:val="superscript"/>
        </w:rPr>
        <w:t>2</w:t>
      </w:r>
      <w:r>
        <w:t xml:space="preserve"> </w:t>
      </w:r>
      <w:r>
        <w:rPr>
          <w:rFonts w:hint="eastAsia"/>
        </w:rPr>
        <w:t>委员会在前一次结论意见中请罗马尼亚政府在下一次报告中提供资料，说明根据《公约》向法院提出的申诉，以及法院根据《公约》做出的任何裁决情况。</w:t>
      </w:r>
      <w:r>
        <w:rPr>
          <w:vertAlign w:val="superscript"/>
        </w:rPr>
        <w:t>3</w:t>
      </w:r>
      <w:r>
        <w:rPr>
          <w:rFonts w:hint="eastAsia"/>
        </w:rPr>
        <w:t xml:space="preserve"> </w:t>
      </w:r>
      <w:r>
        <w:rPr>
          <w:rFonts w:hint="eastAsia"/>
        </w:rPr>
        <w:t>委员会还感到关切的是，司法部门不了解可</w:t>
      </w:r>
      <w:r>
        <w:rPr>
          <w:rFonts w:hint="eastAsia"/>
        </w:rPr>
        <w:t>以创造机会，把《公约》应用到国内司法决策中。</w:t>
      </w:r>
      <w:r>
        <w:rPr>
          <w:vertAlign w:val="superscript"/>
        </w:rPr>
        <w:t>4</w:t>
      </w:r>
      <w:r>
        <w:rPr>
          <w:rFonts w:hint="eastAsia"/>
        </w:rPr>
        <w:t xml:space="preserve"> </w:t>
      </w:r>
      <w:r>
        <w:rPr>
          <w:rFonts w:hint="eastAsia"/>
        </w:rPr>
        <w:t>报告并没有清楚说明是否有遭受性别歧视的妇女利用《公约》条款提出任何诉讼。请对此问题作出澄清。还请提供资料，说明正在实施哪些措施进一步传播《公约》及提高律师、法官和广大民众的认识。</w:t>
      </w:r>
    </w:p>
    <w:p w:rsidR="00000000" w:rsidRDefault="000F5D1F">
      <w:pPr>
        <w:pStyle w:val="SingleTxt"/>
        <w:rPr>
          <w:rFonts w:hint="eastAsia"/>
        </w:rPr>
      </w:pPr>
      <w:r>
        <w:rPr>
          <w:rFonts w:hint="eastAsia"/>
        </w:rPr>
        <w:t>5.</w:t>
      </w:r>
      <w:r>
        <w:rPr>
          <w:rFonts w:hint="eastAsia"/>
        </w:rPr>
        <w:tab/>
      </w:r>
      <w:r>
        <w:rPr>
          <w:rFonts w:hint="eastAsia"/>
        </w:rPr>
        <w:t>报告指出，罗马尼亚议会通过《第</w:t>
      </w:r>
      <w:r>
        <w:rPr>
          <w:rFonts w:hint="eastAsia"/>
        </w:rPr>
        <w:t>48/2002</w:t>
      </w:r>
      <w:r>
        <w:rPr>
          <w:rFonts w:hint="eastAsia"/>
        </w:rPr>
        <w:t>号法》认可关于防止和制裁一切形式歧视的《第</w:t>
      </w:r>
      <w:r>
        <w:rPr>
          <w:rFonts w:hint="eastAsia"/>
        </w:rPr>
        <w:t>137/2002</w:t>
      </w:r>
      <w:r>
        <w:rPr>
          <w:rFonts w:hint="eastAsia"/>
        </w:rPr>
        <w:t>号紧急法令》。请提供资料说明这些文书（法令或立法）的性质</w:t>
      </w:r>
      <w:r>
        <w:rPr>
          <w:vertAlign w:val="superscript"/>
        </w:rPr>
        <w:t>5</w:t>
      </w:r>
      <w:r>
        <w:rPr>
          <w:rFonts w:hint="eastAsia"/>
        </w:rPr>
        <w:t xml:space="preserve"> </w:t>
      </w:r>
      <w:r>
        <w:rPr>
          <w:rFonts w:hint="eastAsia"/>
        </w:rPr>
        <w:t>以及它们对性别歧视案的应用范围和惩诫措施。</w:t>
      </w:r>
    </w:p>
    <w:p w:rsidR="00000000" w:rsidRDefault="000F5D1F">
      <w:pPr>
        <w:pStyle w:val="SingleTxt"/>
        <w:rPr>
          <w:rFonts w:hint="eastAsia"/>
        </w:rPr>
      </w:pPr>
      <w:r>
        <w:rPr>
          <w:rFonts w:hint="eastAsia"/>
        </w:rPr>
        <w:t>6.</w:t>
      </w:r>
      <w:r>
        <w:rPr>
          <w:rFonts w:hint="eastAsia"/>
        </w:rPr>
        <w:tab/>
      </w:r>
      <w:r>
        <w:rPr>
          <w:rFonts w:hint="eastAsia"/>
        </w:rPr>
        <w:t>请说明全国反歧视委员会的作用和职能，包括根据《公约》第一条处理对妇</w:t>
      </w:r>
      <w:r>
        <w:rPr>
          <w:rFonts w:hint="eastAsia"/>
        </w:rPr>
        <w:t>女直接和间接歧视的职权范围。还请提供统计资料，说明这类案件的数目及提供惩罚这类歧视的资料。</w:t>
      </w:r>
    </w:p>
    <w:p w:rsidR="00000000" w:rsidRDefault="000F5D1F">
      <w:pPr>
        <w:pStyle w:val="SingleTxt"/>
        <w:rPr>
          <w:rFonts w:hint="eastAsia"/>
        </w:rPr>
      </w:pPr>
      <w:r>
        <w:rPr>
          <w:rFonts w:hint="eastAsia"/>
        </w:rPr>
        <w:t>7.</w:t>
      </w:r>
      <w:r>
        <w:rPr>
          <w:rFonts w:hint="eastAsia"/>
        </w:rPr>
        <w:tab/>
        <w:t>2002</w:t>
      </w:r>
      <w:r>
        <w:rPr>
          <w:rFonts w:hint="eastAsia"/>
        </w:rPr>
        <w:t>年</w:t>
      </w:r>
      <w:r>
        <w:rPr>
          <w:rFonts w:hint="eastAsia"/>
        </w:rPr>
        <w:t>5</w:t>
      </w:r>
      <w:r>
        <w:rPr>
          <w:rFonts w:hint="eastAsia"/>
        </w:rPr>
        <w:t>月，罗马尼亚政府通过了关于男女平等机会和待遇的《第</w:t>
      </w:r>
      <w:r>
        <w:rPr>
          <w:rFonts w:hint="eastAsia"/>
        </w:rPr>
        <w:t>22</w:t>
      </w:r>
      <w:r>
        <w:rPr>
          <w:rFonts w:hint="eastAsia"/>
        </w:rPr>
        <w:t>号法》。请说明这项法律的影响力，包括它所提供的补救办法，以及妇女受益于这项法律及其补救办法的任何案例。</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对妇女的暴力行为</w:t>
      </w:r>
    </w:p>
    <w:p w:rsidR="00000000" w:rsidRDefault="000F5D1F">
      <w:pPr>
        <w:pStyle w:val="SingleTxt"/>
        <w:spacing w:after="0" w:line="120" w:lineRule="exact"/>
        <w:rPr>
          <w:rFonts w:hint="eastAsia"/>
          <w:sz w:val="10"/>
        </w:rPr>
      </w:pPr>
    </w:p>
    <w:p w:rsidR="00000000" w:rsidRDefault="000F5D1F">
      <w:pPr>
        <w:pStyle w:val="SingleTxt"/>
      </w:pPr>
      <w:r>
        <w:rPr>
          <w:rFonts w:hint="eastAsia"/>
        </w:rPr>
        <w:t>8.</w:t>
      </w:r>
      <w:r>
        <w:rPr>
          <w:rFonts w:hint="eastAsia"/>
        </w:rPr>
        <w:tab/>
      </w:r>
      <w:r>
        <w:rPr>
          <w:rFonts w:hint="eastAsia"/>
        </w:rPr>
        <w:t>报告指出，关于家庭暴力和虐待儿童的</w:t>
      </w:r>
      <w:r>
        <w:rPr>
          <w:rFonts w:hint="eastAsia"/>
        </w:rPr>
        <w:t>2000</w:t>
      </w:r>
      <w:r>
        <w:rPr>
          <w:rFonts w:hint="eastAsia"/>
        </w:rPr>
        <w:t>年《第</w:t>
      </w:r>
      <w:r>
        <w:rPr>
          <w:rFonts w:hint="eastAsia"/>
        </w:rPr>
        <w:t>197</w:t>
      </w:r>
      <w:r>
        <w:rPr>
          <w:rFonts w:hint="eastAsia"/>
        </w:rPr>
        <w:t>号法》修改和完善了关于家庭暴力的《刑法》。报告还提请注意关于防止和打击家庭暴力的《第</w:t>
      </w:r>
      <w:r>
        <w:rPr>
          <w:rFonts w:hint="eastAsia"/>
        </w:rPr>
        <w:t>217</w:t>
      </w:r>
      <w:r>
        <w:rPr>
          <w:rFonts w:hint="eastAsia"/>
        </w:rPr>
        <w:t>号法》。请详细说明这项法律的修正案和新的法律。特别是请澄清《第</w:t>
      </w:r>
      <w:r>
        <w:rPr>
          <w:rFonts w:hint="eastAsia"/>
        </w:rPr>
        <w:t>217</w:t>
      </w:r>
      <w:r>
        <w:rPr>
          <w:rFonts w:hint="eastAsia"/>
        </w:rPr>
        <w:t>号</w:t>
      </w:r>
      <w:r>
        <w:rPr>
          <w:rFonts w:hint="eastAsia"/>
        </w:rPr>
        <w:t>法》是否提供保护令等直接纠正、保护和预防手段，使妇女不会再一次沦为性暴力和家庭暴力的受害者，在法庭作证的家庭暴力目击者是否获得保护。</w:t>
      </w:r>
      <w:r>
        <w:rPr>
          <w:rFonts w:hint="eastAsia"/>
          <w:vertAlign w:val="superscript"/>
        </w:rPr>
        <w:t>6</w:t>
      </w:r>
    </w:p>
    <w:p w:rsidR="00000000" w:rsidRDefault="000F5D1F">
      <w:pPr>
        <w:pStyle w:val="SingleTxt"/>
        <w:rPr>
          <w:rFonts w:hint="eastAsia"/>
        </w:rPr>
      </w:pPr>
      <w:r>
        <w:rPr>
          <w:rFonts w:hint="eastAsia"/>
        </w:rPr>
        <w:t>9.</w:t>
      </w:r>
      <w:r>
        <w:rPr>
          <w:rFonts w:hint="eastAsia"/>
        </w:rPr>
        <w:tab/>
      </w:r>
      <w:r>
        <w:rPr>
          <w:rFonts w:hint="eastAsia"/>
        </w:rPr>
        <w:t>特别报告员在关于对妇女的暴力、及其根源和后果的报告（</w:t>
      </w:r>
      <w:r>
        <w:rPr>
          <w:rFonts w:hint="eastAsia"/>
        </w:rPr>
        <w:t>E/CN.4/2003/ 75/Add.1</w:t>
      </w:r>
      <w:r>
        <w:rPr>
          <w:rFonts w:hint="eastAsia"/>
        </w:rPr>
        <w:t>）中指出，《刑法》中为所谓的“赔偿性婚姻”进行辩护，使强奸犯在被强奸者同意与其结婚的情况下，免负刑事责任。请澄清这项条款是否仍然有效，如果是的话，具体说明为废除这项条款采取的步骤和预设的时间表。</w:t>
      </w:r>
    </w:p>
    <w:p w:rsidR="00000000" w:rsidRDefault="000F5D1F">
      <w:pPr>
        <w:pStyle w:val="SingleTxt"/>
        <w:rPr>
          <w:rFonts w:hint="eastAsia"/>
        </w:rPr>
      </w:pPr>
      <w:r>
        <w:rPr>
          <w:rFonts w:hint="eastAsia"/>
        </w:rPr>
        <w:t>10.</w:t>
      </w:r>
      <w:r>
        <w:rPr>
          <w:rFonts w:hint="eastAsia"/>
        </w:rPr>
        <w:tab/>
      </w:r>
      <w:r>
        <w:rPr>
          <w:rFonts w:hint="eastAsia"/>
        </w:rPr>
        <w:t>委员会在前一次结论意见中请罗马尼亚政府收集按年龄分列的统计数据，说明对妇</w:t>
      </w:r>
      <w:r>
        <w:rPr>
          <w:rFonts w:hint="eastAsia"/>
        </w:rPr>
        <w:t>女的暴力行为，包括家庭暴力的发生率和类别。</w:t>
      </w:r>
      <w:r>
        <w:rPr>
          <w:vertAlign w:val="superscript"/>
        </w:rPr>
        <w:t>7</w:t>
      </w:r>
      <w:r>
        <w:rPr>
          <w:rFonts w:hint="eastAsia"/>
        </w:rPr>
        <w:t xml:space="preserve"> </w:t>
      </w:r>
      <w:r>
        <w:rPr>
          <w:rFonts w:hint="eastAsia"/>
        </w:rPr>
        <w:t>请指出至此是否为收集这些数据采取了任何步骤。</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贩卖和利用妇女卖淫营利</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11.</w:t>
      </w:r>
      <w:r>
        <w:rPr>
          <w:rFonts w:hint="eastAsia"/>
        </w:rPr>
        <w:tab/>
      </w:r>
      <w:r>
        <w:rPr>
          <w:rFonts w:hint="eastAsia"/>
        </w:rPr>
        <w:t>报告指出，将采取具体措施，鼓励经济行为主体雇用很可能被贩卖的人以及接受过专业培训的贩运受害者。</w:t>
      </w:r>
      <w:r>
        <w:rPr>
          <w:vertAlign w:val="superscript"/>
        </w:rPr>
        <w:t>8</w:t>
      </w:r>
      <w:r>
        <w:rPr>
          <w:rFonts w:hint="eastAsia"/>
        </w:rPr>
        <w:t xml:space="preserve"> </w:t>
      </w:r>
      <w:r>
        <w:rPr>
          <w:rFonts w:hint="eastAsia"/>
        </w:rPr>
        <w:t>请提供进一步资料，说明已采取哪类措施及这些措施所产生的影响。</w:t>
      </w:r>
    </w:p>
    <w:p w:rsidR="00000000" w:rsidRDefault="000F5D1F">
      <w:pPr>
        <w:pStyle w:val="SingleTxt"/>
        <w:rPr>
          <w:rFonts w:hint="eastAsia"/>
        </w:rPr>
      </w:pPr>
      <w:r>
        <w:rPr>
          <w:rFonts w:hint="eastAsia"/>
        </w:rPr>
        <w:t>12.</w:t>
      </w:r>
      <w:r>
        <w:rPr>
          <w:rFonts w:hint="eastAsia"/>
        </w:rPr>
        <w:tab/>
      </w:r>
      <w:r>
        <w:rPr>
          <w:rFonts w:hint="eastAsia"/>
        </w:rPr>
        <w:t>根据关于贩运的法律第</w:t>
      </w:r>
      <w:r>
        <w:rPr>
          <w:rFonts w:hint="eastAsia"/>
        </w:rPr>
        <w:t>17</w:t>
      </w:r>
      <w:r>
        <w:rPr>
          <w:rFonts w:hint="eastAsia"/>
        </w:rPr>
        <w:t>条，在刑事诉讼期间，应请求，向贩卖人口的受害者提供人身保护。请提供进一步资料，说明根据该条款可利用哪类保护措施。尤其要澄清政府是否在调查和起诉行为人之后保护受害者免受可能的报复或恐吓，包括搬</w:t>
      </w:r>
      <w:r>
        <w:rPr>
          <w:rFonts w:hint="eastAsia"/>
        </w:rPr>
        <w:t>迁或提供另外住所，在适当情况下有权申请庇护，或获取福利，请说明提供这类保护的案件的数目。</w:t>
      </w:r>
    </w:p>
    <w:p w:rsidR="00000000" w:rsidRDefault="000F5D1F">
      <w:pPr>
        <w:pStyle w:val="SingleTxt"/>
      </w:pPr>
      <w:r>
        <w:rPr>
          <w:rFonts w:hint="eastAsia"/>
        </w:rPr>
        <w:t>13.</w:t>
      </w:r>
      <w:r>
        <w:rPr>
          <w:rFonts w:hint="eastAsia"/>
        </w:rPr>
        <w:tab/>
      </w:r>
      <w:r>
        <w:rPr>
          <w:rFonts w:hint="eastAsia"/>
        </w:rPr>
        <w:t>买卖儿童、儿童卖淫和儿童色情制品问题特别报告员（</w:t>
      </w:r>
      <w:r>
        <w:rPr>
          <w:rFonts w:hint="eastAsia"/>
        </w:rPr>
        <w:t>E/CN.4/2005/78/ Add.2</w:t>
      </w:r>
      <w:r>
        <w:rPr>
          <w:rFonts w:hint="eastAsia"/>
        </w:rPr>
        <w:t>）认为罗马尼亚法律将从国际贩运中解救出来的女孩和妇女看成是受害者，而将在本国卖淫的女孩和妇女看成是罪犯，这是很荒谬的。在委员会建议政府适当注意《公约》第六条之后，是否为保护儿童，特别是女孩和妇女做过任何改变或采取过任何措施？</w:t>
      </w:r>
      <w:r>
        <w:rPr>
          <w:rFonts w:hint="eastAsia"/>
          <w:vertAlign w:val="superscript"/>
        </w:rPr>
        <w:t>9</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陈规定型观念和教育</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14.</w:t>
      </w:r>
      <w:r>
        <w:tab/>
      </w:r>
      <w:r>
        <w:rPr>
          <w:rFonts w:hint="eastAsia"/>
        </w:rPr>
        <w:t>报告没有在第</w:t>
      </w:r>
      <w:r>
        <w:rPr>
          <w:rFonts w:hint="eastAsia"/>
        </w:rPr>
        <w:t>10</w:t>
      </w:r>
      <w:r>
        <w:rPr>
          <w:rFonts w:hint="eastAsia"/>
        </w:rPr>
        <w:t>条下提供任何资料。请说明自审议上份报告以来有哪</w:t>
      </w:r>
      <w:r>
        <w:rPr>
          <w:rFonts w:hint="eastAsia"/>
        </w:rPr>
        <w:t>些新的发展，或另外提供一份最新资料。</w:t>
      </w:r>
    </w:p>
    <w:p w:rsidR="00000000" w:rsidRDefault="000F5D1F">
      <w:pPr>
        <w:pStyle w:val="SingleTxt"/>
        <w:rPr>
          <w:rFonts w:hint="eastAsia"/>
        </w:rPr>
      </w:pPr>
      <w:r>
        <w:rPr>
          <w:rFonts w:hint="eastAsia"/>
        </w:rPr>
        <w:t>15.</w:t>
      </w:r>
      <w:r>
        <w:rPr>
          <w:rFonts w:hint="eastAsia"/>
        </w:rPr>
        <w:tab/>
      </w:r>
      <w:r>
        <w:rPr>
          <w:rFonts w:hint="eastAsia"/>
        </w:rPr>
        <w:t>委员会在前一次结论意见中请罗马尼亚政府优先审查和修改特别是中小学教育的教材、教科书和学校课程。</w:t>
      </w:r>
      <w:r>
        <w:rPr>
          <w:vertAlign w:val="superscript"/>
        </w:rPr>
        <w:t>10</w:t>
      </w:r>
      <w:r>
        <w:rPr>
          <w:rFonts w:hint="eastAsia"/>
        </w:rPr>
        <w:t xml:space="preserve"> </w:t>
      </w:r>
      <w:r>
        <w:rPr>
          <w:rFonts w:hint="eastAsia"/>
        </w:rPr>
        <w:t>请说明政府是否进行了这方面的工作，请提供资料说明取得的成果。</w:t>
      </w:r>
    </w:p>
    <w:p w:rsidR="00000000" w:rsidRDefault="000F5D1F">
      <w:pPr>
        <w:pStyle w:val="SingleTxt"/>
        <w:rPr>
          <w:rFonts w:hint="eastAsia"/>
        </w:rPr>
      </w:pPr>
      <w:r>
        <w:rPr>
          <w:rFonts w:hint="eastAsia"/>
        </w:rPr>
        <w:t>16.</w:t>
      </w:r>
      <w:r>
        <w:rPr>
          <w:rFonts w:hint="eastAsia"/>
        </w:rPr>
        <w:tab/>
      </w:r>
      <w:r>
        <w:rPr>
          <w:rFonts w:hint="eastAsia"/>
        </w:rPr>
        <w:t>请提供资料，说明政府为鼓励媒体消除有关性别角色的传统陈规定型观念和促进两性平等价值所做出的努力。</w:t>
      </w:r>
    </w:p>
    <w:p w:rsidR="00000000" w:rsidRDefault="000F5D1F">
      <w:pPr>
        <w:pStyle w:val="SingleTxt"/>
        <w:rPr>
          <w:rFonts w:hint="eastAsia"/>
        </w:rPr>
      </w:pPr>
      <w:r>
        <w:rPr>
          <w:rFonts w:hint="eastAsia"/>
        </w:rPr>
        <w:t>17.</w:t>
      </w:r>
      <w:r>
        <w:rPr>
          <w:rFonts w:hint="eastAsia"/>
        </w:rPr>
        <w:tab/>
      </w:r>
      <w:r>
        <w:rPr>
          <w:rFonts w:hint="eastAsia"/>
        </w:rPr>
        <w:t>委员会在前一次结论建议中对</w:t>
      </w:r>
      <w:r>
        <w:rPr>
          <w:rFonts w:hint="eastAsia"/>
        </w:rPr>
        <w:t>50</w:t>
      </w:r>
      <w:r>
        <w:rPr>
          <w:rFonts w:hint="eastAsia"/>
        </w:rPr>
        <w:t>岁以上妇女文盲率高、城市和农村妇女之间的识字率差距大以及中等教育女孩的辍学率高，表示关切。</w:t>
      </w:r>
      <w:r>
        <w:rPr>
          <w:vertAlign w:val="superscript"/>
        </w:rPr>
        <w:t>11</w:t>
      </w:r>
      <w:r>
        <w:rPr>
          <w:rFonts w:hint="eastAsia"/>
        </w:rPr>
        <w:t xml:space="preserve"> </w:t>
      </w:r>
      <w:r>
        <w:rPr>
          <w:rFonts w:hint="eastAsia"/>
        </w:rPr>
        <w:t>政府为提高妇女识字率、减少女孩，包括罗姆妇女和女孩的辍学比率采取</w:t>
      </w:r>
      <w:r>
        <w:rPr>
          <w:rFonts w:hint="eastAsia"/>
        </w:rPr>
        <w:t>了哪些措施？请提供这方面的统计数据。</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参与政治和公共生活以及在国际上的代表权</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18.</w:t>
      </w:r>
      <w:r>
        <w:rPr>
          <w:rFonts w:hint="eastAsia"/>
        </w:rPr>
        <w:tab/>
      </w:r>
      <w:r>
        <w:rPr>
          <w:rFonts w:hint="eastAsia"/>
        </w:rPr>
        <w:t>委员会在前一次结论意见中关切地看到，对妇女在家庭中的角色的陈规定型态度反映在妇女在各级和各领域决策中的人数很少。委员会呼吁政府加倍努力消除陈规定型态度，敦请政府按照《公约》第四条第</w:t>
      </w:r>
      <w:r>
        <w:rPr>
          <w:rFonts w:hint="eastAsia"/>
        </w:rPr>
        <w:t>1</w:t>
      </w:r>
      <w:r>
        <w:rPr>
          <w:rFonts w:hint="eastAsia"/>
        </w:rPr>
        <w:t>款采取暂行特别措施，增加妇女在各级决策职位，包括政府和议会中的人数。</w:t>
      </w:r>
      <w:r>
        <w:rPr>
          <w:vertAlign w:val="superscript"/>
        </w:rPr>
        <w:t>12</w:t>
      </w:r>
      <w:r>
        <w:rPr>
          <w:rFonts w:hint="eastAsia"/>
        </w:rPr>
        <w:t xml:space="preserve"> </w:t>
      </w:r>
      <w:r>
        <w:rPr>
          <w:rFonts w:hint="eastAsia"/>
        </w:rPr>
        <w:t>请提供资料，说明是否采取了这类措施，包括暂行特别措施，如果是的话，请说明有哪些成果。</w:t>
      </w:r>
    </w:p>
    <w:p w:rsidR="00000000" w:rsidRDefault="000F5D1F">
      <w:pPr>
        <w:pStyle w:val="SingleTxt"/>
        <w:rPr>
          <w:rFonts w:hint="eastAsia"/>
        </w:rPr>
      </w:pPr>
      <w:r>
        <w:rPr>
          <w:rFonts w:hint="eastAsia"/>
        </w:rPr>
        <w:t>19.</w:t>
      </w:r>
      <w:r>
        <w:rPr>
          <w:rFonts w:hint="eastAsia"/>
        </w:rPr>
        <w:tab/>
      </w:r>
      <w:r>
        <w:rPr>
          <w:rFonts w:hint="eastAsia"/>
        </w:rPr>
        <w:t>请提供统计数据，说明妇女在各级司法部门、地方政府、教育系统和外交事务中</w:t>
      </w:r>
      <w:r>
        <w:rPr>
          <w:rFonts w:hint="eastAsia"/>
        </w:rPr>
        <w:t>的比率。</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罗姆妇女</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20.</w:t>
      </w:r>
      <w:r>
        <w:rPr>
          <w:rFonts w:hint="eastAsia"/>
        </w:rPr>
        <w:tab/>
      </w:r>
      <w:r>
        <w:rPr>
          <w:rFonts w:hint="eastAsia"/>
        </w:rPr>
        <w:t>人人有权享有最佳身心健康问题特别报告员在其报告（</w:t>
      </w:r>
      <w:r>
        <w:rPr>
          <w:rFonts w:hint="eastAsia"/>
        </w:rPr>
        <w:t>E/CN.4/2005/51/ Add.4</w:t>
      </w:r>
      <w:r>
        <w:rPr>
          <w:rFonts w:hint="eastAsia"/>
        </w:rPr>
        <w:t>）中提到罗姆人融入社会十年计划（</w:t>
      </w:r>
      <w:r>
        <w:rPr>
          <w:rFonts w:hint="eastAsia"/>
        </w:rPr>
        <w:t>2005-2015</w:t>
      </w:r>
      <w:r>
        <w:rPr>
          <w:rFonts w:hint="eastAsia"/>
        </w:rPr>
        <w:t>年），这项计划是罗马尼亚同中欧和东南欧七个国家提出的，是为了弥和罗姆人和非罗姆人之间在福利和生活条件方面的差距，打破贫穷和被排除在外的恶性循环。请提供资料，说明已采取哪些措施实现罗马尼亚罗姆人融入社会十年国家一级行动计划的各项目标和指标，特别是有哪些措施是具体针对罗姆妇女的。</w:t>
      </w:r>
    </w:p>
    <w:p w:rsidR="00000000" w:rsidRDefault="000F5D1F">
      <w:pPr>
        <w:pStyle w:val="SingleTxt"/>
        <w:rPr>
          <w:rFonts w:hint="eastAsia"/>
        </w:rPr>
      </w:pPr>
      <w:r>
        <w:rPr>
          <w:rFonts w:hint="eastAsia"/>
        </w:rPr>
        <w:t>21.</w:t>
      </w:r>
      <w:r>
        <w:rPr>
          <w:rFonts w:hint="eastAsia"/>
        </w:rPr>
        <w:tab/>
      </w:r>
      <w:r>
        <w:rPr>
          <w:rFonts w:hint="eastAsia"/>
        </w:rPr>
        <w:t>请提供有关罗姆妇女地位的统计数据，并表明已采取哪些措</w:t>
      </w:r>
      <w:r>
        <w:rPr>
          <w:rFonts w:hint="eastAsia"/>
        </w:rPr>
        <w:t>施防止她们在教育、卫生、住房、就业、归还财产和社会方案等领域受到歧视，并且说明已采取哪些措施保护罗姆妇女免受一切形式暴力。</w:t>
      </w:r>
    </w:p>
    <w:p w:rsidR="00000000" w:rsidRDefault="000F5D1F">
      <w:pPr>
        <w:pStyle w:val="SingleTxt"/>
        <w:rPr>
          <w:rFonts w:hint="eastAsia"/>
        </w:rPr>
      </w:pPr>
      <w:r>
        <w:rPr>
          <w:rFonts w:hint="eastAsia"/>
        </w:rPr>
        <w:t>22.</w:t>
      </w:r>
      <w:r>
        <w:rPr>
          <w:rFonts w:hint="eastAsia"/>
        </w:rPr>
        <w:tab/>
      </w:r>
      <w:r>
        <w:rPr>
          <w:rFonts w:hint="eastAsia"/>
        </w:rPr>
        <w:t>存在哪些方案，或打算制定哪些方案来解决罗姆妇女没有证件的问题，例如获取出生证、身份证和护照？这些证件对他们获得服务以便实现基本的公民、政治、社会和经济权利是必不可少的。</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就业</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23.</w:t>
      </w:r>
      <w:r>
        <w:rPr>
          <w:rFonts w:hint="eastAsia"/>
        </w:rPr>
        <w:tab/>
      </w:r>
      <w:r>
        <w:rPr>
          <w:rFonts w:hint="eastAsia"/>
        </w:rPr>
        <w:t>请提供最新统计数据和分析，说明妇女加入劳工市场的趋势。</w:t>
      </w:r>
    </w:p>
    <w:p w:rsidR="00000000" w:rsidRDefault="000F5D1F">
      <w:pPr>
        <w:pStyle w:val="SingleTxt"/>
        <w:rPr>
          <w:rFonts w:hint="eastAsia"/>
        </w:rPr>
      </w:pPr>
      <w:r>
        <w:rPr>
          <w:rFonts w:hint="eastAsia"/>
        </w:rPr>
        <w:t>24.</w:t>
      </w:r>
      <w:r>
        <w:rPr>
          <w:rFonts w:hint="eastAsia"/>
        </w:rPr>
        <w:tab/>
      </w:r>
      <w:r>
        <w:rPr>
          <w:rFonts w:hint="eastAsia"/>
        </w:rPr>
        <w:t>请提供详情，说明向没有养恤金福利的人，例如贫穷老年妇女和无国籍妇女提供社会救济情况，并说明为解决这一情况已经采取的措施。</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保健</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25.</w:t>
      </w:r>
      <w:r>
        <w:rPr>
          <w:rFonts w:hint="eastAsia"/>
        </w:rPr>
        <w:tab/>
      </w:r>
      <w:r>
        <w:rPr>
          <w:rFonts w:hint="eastAsia"/>
        </w:rPr>
        <w:t>请提供妇女吸烟的详细资料，并按照委员会在上一次结论意见中的要求，</w:t>
      </w:r>
      <w:r>
        <w:rPr>
          <w:vertAlign w:val="superscript"/>
        </w:rPr>
        <w:t>13</w:t>
      </w:r>
      <w:r>
        <w:rPr>
          <w:rFonts w:hint="eastAsia"/>
        </w:rPr>
        <w:t>提供关于妇女酗酒、吸毒和滥用其他药物的统计数据。</w:t>
      </w:r>
    </w:p>
    <w:p w:rsidR="00000000" w:rsidRDefault="000F5D1F">
      <w:pPr>
        <w:pStyle w:val="SingleTxt"/>
        <w:rPr>
          <w:rFonts w:hint="eastAsia"/>
        </w:rPr>
      </w:pPr>
      <w:r>
        <w:rPr>
          <w:rFonts w:hint="eastAsia"/>
        </w:rPr>
        <w:t>26.</w:t>
      </w:r>
      <w:r>
        <w:rPr>
          <w:rFonts w:hint="eastAsia"/>
        </w:rPr>
        <w:tab/>
      </w:r>
      <w:r>
        <w:rPr>
          <w:rFonts w:hint="eastAsia"/>
        </w:rPr>
        <w:t>请提供按性别、各少数民族和年龄分列的数据，说明艾滋病毒</w:t>
      </w:r>
      <w:r>
        <w:rPr>
          <w:rFonts w:hint="eastAsia"/>
        </w:rPr>
        <w:t>/</w:t>
      </w:r>
      <w:r>
        <w:rPr>
          <w:rFonts w:hint="eastAsia"/>
        </w:rPr>
        <w:t>艾滋病在国家的流行情况以及今后的感染率趋势。还请说明已采取哪些措施防治艾滋病毒</w:t>
      </w:r>
      <w:r>
        <w:rPr>
          <w:rFonts w:hint="eastAsia"/>
        </w:rPr>
        <w:t>/</w:t>
      </w:r>
      <w:r>
        <w:rPr>
          <w:rFonts w:hint="eastAsia"/>
        </w:rPr>
        <w:t>艾滋病，请说明是否已将性别观点纳入这类措施。</w:t>
      </w:r>
    </w:p>
    <w:p w:rsidR="00000000" w:rsidRDefault="000F5D1F">
      <w:pPr>
        <w:pStyle w:val="SingleTxt"/>
        <w:rPr>
          <w:rFonts w:hint="eastAsia"/>
        </w:rPr>
      </w:pPr>
      <w:r>
        <w:rPr>
          <w:rFonts w:hint="eastAsia"/>
        </w:rPr>
        <w:t>27.</w:t>
      </w:r>
      <w:r>
        <w:rPr>
          <w:rFonts w:hint="eastAsia"/>
        </w:rPr>
        <w:tab/>
      </w:r>
      <w:r>
        <w:rPr>
          <w:rFonts w:hint="eastAsia"/>
        </w:rPr>
        <w:t>报告指出，孕产妇死亡率“仍比其他欧洲国家高”。</w:t>
      </w:r>
      <w:r>
        <w:rPr>
          <w:vertAlign w:val="superscript"/>
        </w:rPr>
        <w:t>14</w:t>
      </w:r>
      <w:r>
        <w:rPr>
          <w:rFonts w:hint="eastAsia"/>
        </w:rPr>
        <w:t xml:space="preserve"> </w:t>
      </w:r>
      <w:r>
        <w:rPr>
          <w:rFonts w:hint="eastAsia"/>
        </w:rPr>
        <w:t>请说明已为减少孕产妇死亡率采取了哪些措施。还请提供数据，说明妇女患贫血症的比率，以及为消除这一疾病做出哪些努力。</w:t>
      </w:r>
    </w:p>
    <w:p w:rsidR="00000000" w:rsidRDefault="000F5D1F">
      <w:pPr>
        <w:pStyle w:val="SingleTxt"/>
        <w:rPr>
          <w:rFonts w:hint="eastAsia"/>
        </w:rPr>
      </w:pPr>
      <w:r>
        <w:rPr>
          <w:rFonts w:hint="eastAsia"/>
        </w:rPr>
        <w:t>28.</w:t>
      </w:r>
      <w:r>
        <w:rPr>
          <w:rFonts w:hint="eastAsia"/>
        </w:rPr>
        <w:tab/>
      </w:r>
      <w:r>
        <w:rPr>
          <w:rFonts w:hint="eastAsia"/>
        </w:rPr>
        <w:t>报告指</w:t>
      </w:r>
      <w:r>
        <w:rPr>
          <w:rFonts w:hint="eastAsia"/>
        </w:rPr>
        <w:t>出，为了促进使用新的避孕方法，卫生部同国家和国际组织合作制定了一项国家战略。</w:t>
      </w:r>
      <w:r>
        <w:rPr>
          <w:vertAlign w:val="superscript"/>
        </w:rPr>
        <w:t>15</w:t>
      </w:r>
      <w:r>
        <w:rPr>
          <w:rFonts w:hint="eastAsia"/>
        </w:rPr>
        <w:t xml:space="preserve"> </w:t>
      </w:r>
      <w:r>
        <w:rPr>
          <w:rFonts w:hint="eastAsia"/>
        </w:rPr>
        <w:t>人人有权享有最佳身心健康问题特别报告员承认这项战略是改进性健康和生殖健康的一个重要步骤，但是也关切地注意到堕胎率仍然很高，认为有些妇女好像将堕胎作为计划生育的一种方式（</w:t>
      </w:r>
      <w:r>
        <w:rPr>
          <w:rFonts w:hint="eastAsia"/>
        </w:rPr>
        <w:t>E/CN.4/2005/51/Add.4</w:t>
      </w:r>
      <w:r>
        <w:rPr>
          <w:rFonts w:hint="eastAsia"/>
        </w:rPr>
        <w:t>，第</w:t>
      </w:r>
      <w:r>
        <w:rPr>
          <w:rFonts w:hint="eastAsia"/>
        </w:rPr>
        <w:t>44</w:t>
      </w:r>
      <w:r>
        <w:rPr>
          <w:rFonts w:hint="eastAsia"/>
        </w:rPr>
        <w:t>段）。请提供资料，说明特别是弱势群体或处于社会边缘地位群体的妇女，例如农村妇女或罗姆妇女在获得生殖健康服务方面所面临的任何障碍；上述国家战略如何消除这些障碍；以及该项战略所产生的影响。还提供最新资料，说明所使用的避</w:t>
      </w:r>
      <w:r>
        <w:rPr>
          <w:rFonts w:hint="eastAsia"/>
        </w:rPr>
        <w:t>孕方法和堕胎率。</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农村妇女</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29.</w:t>
      </w:r>
      <w:r>
        <w:rPr>
          <w:rFonts w:hint="eastAsia"/>
        </w:rPr>
        <w:tab/>
      </w:r>
      <w:r>
        <w:rPr>
          <w:rFonts w:hint="eastAsia"/>
        </w:rPr>
        <w:t>请提供最新资料，说明农村妇女的情况，并指出政府为改进她们获得保健、教育、就业及参与各级决策进程的机会采取了哪些措施。</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婚姻和家庭关系</w:t>
      </w:r>
    </w:p>
    <w:p w:rsidR="00000000" w:rsidRDefault="000F5D1F">
      <w:pPr>
        <w:pStyle w:val="SingleTxt"/>
        <w:spacing w:after="0" w:line="120" w:lineRule="exact"/>
        <w:rPr>
          <w:rFonts w:hint="eastAsia"/>
          <w:sz w:val="10"/>
        </w:rPr>
      </w:pPr>
    </w:p>
    <w:p w:rsidR="00000000" w:rsidRDefault="000F5D1F">
      <w:pPr>
        <w:pStyle w:val="SingleTxt"/>
        <w:rPr>
          <w:rFonts w:hint="eastAsia"/>
        </w:rPr>
      </w:pPr>
      <w:r>
        <w:rPr>
          <w:rFonts w:hint="eastAsia"/>
        </w:rPr>
        <w:t>30.</w:t>
      </w:r>
      <w:r>
        <w:rPr>
          <w:rFonts w:hint="eastAsia"/>
        </w:rPr>
        <w:tab/>
      </w:r>
      <w:r>
        <w:rPr>
          <w:rFonts w:hint="eastAsia"/>
        </w:rPr>
        <w:t>委员会在前一次结论意见中关切地看到，《家庭法》为男女孩规定了不同的结婚年龄，男孩</w:t>
      </w:r>
      <w:r>
        <w:rPr>
          <w:rFonts w:hint="eastAsia"/>
        </w:rPr>
        <w:t>18</w:t>
      </w:r>
      <w:r>
        <w:rPr>
          <w:rFonts w:hint="eastAsia"/>
        </w:rPr>
        <w:t>岁，女孩</w:t>
      </w:r>
      <w:r>
        <w:rPr>
          <w:rFonts w:hint="eastAsia"/>
        </w:rPr>
        <w:t>16</w:t>
      </w:r>
      <w:r>
        <w:rPr>
          <w:rFonts w:hint="eastAsia"/>
        </w:rPr>
        <w:t>岁，特殊情况下</w:t>
      </w:r>
      <w:r>
        <w:rPr>
          <w:rFonts w:hint="eastAsia"/>
        </w:rPr>
        <w:t>15</w:t>
      </w:r>
      <w:r>
        <w:rPr>
          <w:rFonts w:hint="eastAsia"/>
        </w:rPr>
        <w:t>岁。</w:t>
      </w:r>
      <w:r>
        <w:rPr>
          <w:vertAlign w:val="superscript"/>
        </w:rPr>
        <w:t>16</w:t>
      </w:r>
      <w:r>
        <w:rPr>
          <w:rFonts w:hint="eastAsia"/>
        </w:rPr>
        <w:t xml:space="preserve"> </w:t>
      </w:r>
      <w:r>
        <w:rPr>
          <w:rFonts w:hint="eastAsia"/>
        </w:rPr>
        <w:t>儿童权利委员会在其前结论意见中也表示了同样的关切。</w:t>
      </w:r>
      <w:r>
        <w:rPr>
          <w:vertAlign w:val="superscript"/>
        </w:rPr>
        <w:t>17</w:t>
      </w:r>
      <w:r>
        <w:rPr>
          <w:rFonts w:hint="eastAsia"/>
        </w:rPr>
        <w:t xml:space="preserve"> </w:t>
      </w:r>
      <w:r>
        <w:rPr>
          <w:rFonts w:hint="eastAsia"/>
        </w:rPr>
        <w:t>政府是否采取了任何步骤，将女孩的最低结婚年龄提高到</w:t>
      </w:r>
      <w:r>
        <w:rPr>
          <w:rFonts w:hint="eastAsia"/>
        </w:rPr>
        <w:t>18</w:t>
      </w:r>
      <w:r>
        <w:rPr>
          <w:rFonts w:hint="eastAsia"/>
        </w:rPr>
        <w:t>岁？</w:t>
      </w:r>
    </w:p>
    <w:p w:rsidR="00000000" w:rsidRDefault="000F5D1F">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任择议定书</w:t>
      </w:r>
    </w:p>
    <w:p w:rsidR="00000000" w:rsidRDefault="000F5D1F">
      <w:pPr>
        <w:pStyle w:val="SingleTxt"/>
        <w:spacing w:after="0" w:line="120" w:lineRule="exact"/>
        <w:rPr>
          <w:rFonts w:hint="eastAsia"/>
          <w:sz w:val="10"/>
        </w:rPr>
      </w:pPr>
    </w:p>
    <w:p w:rsidR="00000000" w:rsidRDefault="000F5D1F">
      <w:pPr>
        <w:pStyle w:val="SingleTxt"/>
      </w:pPr>
      <w:r>
        <w:rPr>
          <w:rFonts w:hint="eastAsia"/>
        </w:rPr>
        <w:t>31.</w:t>
      </w:r>
      <w:r>
        <w:rPr>
          <w:rFonts w:hint="eastAsia"/>
        </w:rPr>
        <w:tab/>
      </w:r>
      <w:r>
        <w:rPr>
          <w:rFonts w:hint="eastAsia"/>
        </w:rPr>
        <w:t>请说明已制定哪些措施宣传《公约任择议定书》及鼓励利用《任</w:t>
      </w:r>
      <w:r>
        <w:rPr>
          <w:rFonts w:hint="eastAsia"/>
        </w:rPr>
        <w:t>择议定书》。</w:t>
      </w:r>
    </w:p>
    <w:p w:rsidR="00000000" w:rsidRDefault="000F5D1F">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w:t>
      </w:r>
      <w:r>
        <w:rPr>
          <w:rFonts w:hint="eastAsia"/>
        </w:rPr>
        <w:tab/>
      </w:r>
      <w:r>
        <w:rPr>
          <w:rFonts w:hint="eastAsia"/>
        </w:rPr>
        <w:t>见《大会正式记录，第五十五届会议，补编第</w:t>
      </w:r>
      <w:r>
        <w:rPr>
          <w:rFonts w:hint="eastAsia"/>
        </w:rPr>
        <w:t>38</w:t>
      </w:r>
      <w:r>
        <w:rPr>
          <w:rFonts w:hint="eastAsia"/>
        </w:rPr>
        <w:t>号》（</w:t>
      </w:r>
      <w:r>
        <w:rPr>
          <w:rFonts w:hint="eastAsia"/>
        </w:rPr>
        <w:t>A/55/38</w:t>
      </w:r>
      <w:r>
        <w:rPr>
          <w:rFonts w:hint="eastAsia"/>
        </w:rPr>
        <w:t>），第二部分，第</w:t>
      </w:r>
      <w:r>
        <w:rPr>
          <w:rFonts w:hint="eastAsia"/>
        </w:rPr>
        <w:t>300</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2</w:t>
      </w:r>
      <w:r>
        <w:rPr>
          <w:rFonts w:hint="eastAsia"/>
        </w:rPr>
        <w:tab/>
      </w:r>
      <w:r>
        <w:rPr>
          <w:rFonts w:hint="eastAsia"/>
        </w:rPr>
        <w:t>见</w:t>
      </w:r>
      <w:r>
        <w:rPr>
          <w:rFonts w:hint="eastAsia"/>
        </w:rPr>
        <w:t>CEDAW/C/ROM/6</w:t>
      </w:r>
      <w:r>
        <w:rPr>
          <w:rFonts w:hint="eastAsia"/>
        </w:rPr>
        <w:t>，第二部分，第</w:t>
      </w:r>
      <w:r>
        <w:rPr>
          <w:rFonts w:hint="eastAsia"/>
        </w:rPr>
        <w:t>2.1</w:t>
      </w:r>
      <w:r>
        <w:rPr>
          <w:rFonts w:hint="eastAsia"/>
        </w:rPr>
        <w:t>条。</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3</w:t>
      </w:r>
      <w:r>
        <w:rPr>
          <w:rFonts w:hint="eastAsia"/>
        </w:rPr>
        <w:tab/>
      </w:r>
      <w:r>
        <w:rPr>
          <w:rFonts w:hint="eastAsia"/>
        </w:rPr>
        <w:t>见《大会正式记录，第五十五届会议，补编第</w:t>
      </w:r>
      <w:r>
        <w:rPr>
          <w:rFonts w:hint="eastAsia"/>
        </w:rPr>
        <w:t>38</w:t>
      </w:r>
      <w:r>
        <w:rPr>
          <w:rFonts w:hint="eastAsia"/>
        </w:rPr>
        <w:t>号》（</w:t>
      </w:r>
      <w:r>
        <w:rPr>
          <w:rFonts w:hint="eastAsia"/>
        </w:rPr>
        <w:t>A/55/38</w:t>
      </w:r>
      <w:r>
        <w:rPr>
          <w:rFonts w:hint="eastAsia"/>
        </w:rPr>
        <w:t>），第二部分，第</w:t>
      </w:r>
      <w:r>
        <w:rPr>
          <w:rFonts w:hint="eastAsia"/>
        </w:rPr>
        <w:t>305</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4</w:t>
      </w:r>
      <w:r>
        <w:rPr>
          <w:rFonts w:hint="eastAsia"/>
        </w:rPr>
        <w:tab/>
      </w:r>
      <w:r>
        <w:rPr>
          <w:rFonts w:hint="eastAsia"/>
        </w:rPr>
        <w:t>见同上，第</w:t>
      </w:r>
      <w:r>
        <w:rPr>
          <w:rFonts w:hint="eastAsia"/>
        </w:rPr>
        <w:t>304</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5</w:t>
      </w:r>
      <w:r>
        <w:rPr>
          <w:rFonts w:hint="eastAsia"/>
        </w:rPr>
        <w:tab/>
      </w:r>
      <w:r>
        <w:rPr>
          <w:rFonts w:hint="eastAsia"/>
        </w:rPr>
        <w:t>见</w:t>
      </w:r>
      <w:r>
        <w:rPr>
          <w:rFonts w:hint="eastAsia"/>
        </w:rPr>
        <w:t>CEDAW/C/ROM/6</w:t>
      </w:r>
      <w:r>
        <w:rPr>
          <w:rFonts w:hint="eastAsia"/>
        </w:rPr>
        <w:t>，第二部分，第</w:t>
      </w:r>
      <w:r>
        <w:rPr>
          <w:rFonts w:hint="eastAsia"/>
        </w:rPr>
        <w:t>2.3</w:t>
      </w:r>
      <w:r>
        <w:rPr>
          <w:rFonts w:hint="eastAsia"/>
        </w:rPr>
        <w:t>条。</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6</w:t>
      </w:r>
      <w:r>
        <w:rPr>
          <w:rFonts w:hint="eastAsia"/>
        </w:rPr>
        <w:tab/>
      </w:r>
      <w:r>
        <w:rPr>
          <w:rFonts w:hint="eastAsia"/>
        </w:rPr>
        <w:t>见同上，第</w:t>
      </w:r>
      <w:r>
        <w:rPr>
          <w:rFonts w:hint="eastAsia"/>
        </w:rPr>
        <w:t>12</w:t>
      </w:r>
      <w:r>
        <w:rPr>
          <w:rFonts w:hint="eastAsia"/>
        </w:rPr>
        <w:t>条。</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7</w:t>
      </w:r>
      <w:r>
        <w:rPr>
          <w:rFonts w:hint="eastAsia"/>
        </w:rPr>
        <w:tab/>
      </w:r>
      <w:r>
        <w:rPr>
          <w:rFonts w:hint="eastAsia"/>
        </w:rPr>
        <w:t>见《大会正式记录，第五十五届会议，补编第</w:t>
      </w:r>
      <w:r>
        <w:rPr>
          <w:rFonts w:hint="eastAsia"/>
        </w:rPr>
        <w:t>38</w:t>
      </w:r>
      <w:r>
        <w:rPr>
          <w:rFonts w:hint="eastAsia"/>
        </w:rPr>
        <w:t>号》（</w:t>
      </w:r>
      <w:r>
        <w:rPr>
          <w:rFonts w:hint="eastAsia"/>
        </w:rPr>
        <w:t>A/55/38</w:t>
      </w:r>
      <w:r>
        <w:rPr>
          <w:rFonts w:hint="eastAsia"/>
        </w:rPr>
        <w:t>），第二部分，第</w:t>
      </w:r>
      <w:r>
        <w:rPr>
          <w:rFonts w:hint="eastAsia"/>
        </w:rPr>
        <w:t>307</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tab/>
      </w:r>
      <w:r>
        <w:rPr>
          <w:vertAlign w:val="superscript"/>
        </w:rPr>
        <w:t>8</w:t>
      </w:r>
      <w:r>
        <w:tab/>
      </w:r>
      <w:r>
        <w:rPr>
          <w:rFonts w:hint="eastAsia"/>
        </w:rPr>
        <w:t>见</w:t>
      </w:r>
      <w:r>
        <w:rPr>
          <w:rFonts w:hint="eastAsia"/>
        </w:rPr>
        <w:t>CEDAW/C/</w:t>
      </w:r>
      <w:r>
        <w:rPr>
          <w:rFonts w:hint="eastAsia"/>
        </w:rPr>
        <w:t>ROM/6</w:t>
      </w:r>
      <w:r>
        <w:rPr>
          <w:rFonts w:hint="eastAsia"/>
        </w:rPr>
        <w:t>，第二部分，第</w:t>
      </w:r>
      <w:r>
        <w:rPr>
          <w:rFonts w:hint="eastAsia"/>
        </w:rPr>
        <w:t>6</w:t>
      </w:r>
      <w:r>
        <w:rPr>
          <w:rFonts w:hint="eastAsia"/>
        </w:rPr>
        <w:t>条，“援助和保护在国外和回国后的受害人”。</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9</w:t>
      </w:r>
      <w:r>
        <w:rPr>
          <w:rFonts w:hint="eastAsia"/>
        </w:rPr>
        <w:tab/>
      </w:r>
      <w:r>
        <w:rPr>
          <w:rFonts w:hint="eastAsia"/>
        </w:rPr>
        <w:t>见《大会正式记录，第五十五届会议，补编第</w:t>
      </w:r>
      <w:r>
        <w:rPr>
          <w:rFonts w:hint="eastAsia"/>
        </w:rPr>
        <w:t>38</w:t>
      </w:r>
      <w:r>
        <w:rPr>
          <w:rFonts w:hint="eastAsia"/>
        </w:rPr>
        <w:t>号》（</w:t>
      </w:r>
      <w:r>
        <w:rPr>
          <w:rFonts w:hint="eastAsia"/>
        </w:rPr>
        <w:t>A/55/38</w:t>
      </w:r>
      <w:r>
        <w:rPr>
          <w:rFonts w:hint="eastAsia"/>
        </w:rPr>
        <w:t>），第</w:t>
      </w:r>
      <w:r>
        <w:rPr>
          <w:rFonts w:hint="eastAsia"/>
        </w:rPr>
        <w:t>309</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10</w:t>
      </w:r>
      <w:r>
        <w:rPr>
          <w:rFonts w:hint="eastAsia"/>
        </w:rPr>
        <w:tab/>
      </w:r>
      <w:r>
        <w:rPr>
          <w:rFonts w:hint="eastAsia"/>
        </w:rPr>
        <w:t>见同上，第</w:t>
      </w:r>
      <w:r>
        <w:rPr>
          <w:rFonts w:hint="eastAsia"/>
        </w:rPr>
        <w:t>302</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11</w:t>
      </w:r>
      <w:r>
        <w:rPr>
          <w:rFonts w:hint="eastAsia"/>
        </w:rPr>
        <w:tab/>
      </w:r>
      <w:r>
        <w:rPr>
          <w:rFonts w:hint="eastAsia"/>
        </w:rPr>
        <w:t>见同上，第</w:t>
      </w:r>
      <w:r>
        <w:rPr>
          <w:rFonts w:hint="eastAsia"/>
        </w:rPr>
        <w:t>310</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12</w:t>
      </w:r>
      <w:r>
        <w:rPr>
          <w:rFonts w:hint="eastAsia"/>
        </w:rPr>
        <w:tab/>
      </w:r>
      <w:r>
        <w:rPr>
          <w:rFonts w:hint="eastAsia"/>
        </w:rPr>
        <w:t>见同上，第</w:t>
      </w:r>
      <w:r>
        <w:rPr>
          <w:rFonts w:hint="eastAsia"/>
        </w:rPr>
        <w:t>301</w:t>
      </w:r>
      <w:r>
        <w:rPr>
          <w:rFonts w:hint="eastAsia"/>
        </w:rPr>
        <w:t>和</w:t>
      </w:r>
      <w:r>
        <w:rPr>
          <w:rFonts w:hint="eastAsia"/>
        </w:rPr>
        <w:t>302</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13</w:t>
      </w:r>
      <w:r>
        <w:rPr>
          <w:rFonts w:hint="eastAsia"/>
        </w:rPr>
        <w:tab/>
      </w:r>
      <w:r>
        <w:rPr>
          <w:rFonts w:hint="eastAsia"/>
        </w:rPr>
        <w:t>见同上，第</w:t>
      </w:r>
      <w:r>
        <w:rPr>
          <w:rFonts w:hint="eastAsia"/>
        </w:rPr>
        <w:t>315</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14</w:t>
      </w:r>
      <w:r>
        <w:rPr>
          <w:rFonts w:hint="eastAsia"/>
        </w:rPr>
        <w:tab/>
      </w:r>
      <w:r>
        <w:rPr>
          <w:rFonts w:hint="eastAsia"/>
        </w:rPr>
        <w:t>见</w:t>
      </w:r>
      <w:r>
        <w:rPr>
          <w:rFonts w:hint="eastAsia"/>
        </w:rPr>
        <w:t>CEDAW/C/ROM/6</w:t>
      </w:r>
      <w:r>
        <w:rPr>
          <w:rFonts w:hint="eastAsia"/>
        </w:rPr>
        <w:t>，第</w:t>
      </w:r>
      <w:r>
        <w:rPr>
          <w:rFonts w:hint="eastAsia"/>
        </w:rPr>
        <w:t>12</w:t>
      </w:r>
      <w:r>
        <w:rPr>
          <w:rFonts w:hint="eastAsia"/>
        </w:rPr>
        <w:t>条，第</w:t>
      </w:r>
      <w:r>
        <w:rPr>
          <w:rFonts w:hint="eastAsia"/>
        </w:rPr>
        <w:t>6</w:t>
      </w:r>
      <w:r>
        <w:rPr>
          <w:rFonts w:hint="eastAsia"/>
        </w:rPr>
        <w:t>号方案，“两性平等——</w:t>
      </w:r>
      <w:r>
        <w:rPr>
          <w:rFonts w:hint="eastAsia"/>
        </w:rPr>
        <w:t xml:space="preserve"> </w:t>
      </w:r>
      <w:r>
        <w:rPr>
          <w:rFonts w:hint="eastAsia"/>
        </w:rPr>
        <w:t>一项持续挑战”。</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15</w:t>
      </w:r>
      <w:r>
        <w:rPr>
          <w:rFonts w:hint="eastAsia"/>
        </w:rPr>
        <w:tab/>
      </w:r>
      <w:r>
        <w:rPr>
          <w:rFonts w:hint="eastAsia"/>
        </w:rPr>
        <w:t>同上。</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rFonts w:hint="eastAsia"/>
        </w:rPr>
      </w:pPr>
      <w:r>
        <w:rPr>
          <w:rFonts w:hint="eastAsia"/>
        </w:rPr>
        <w:tab/>
      </w:r>
      <w:r>
        <w:rPr>
          <w:vertAlign w:val="superscript"/>
        </w:rPr>
        <w:t>16</w:t>
      </w:r>
      <w:r>
        <w:rPr>
          <w:rFonts w:hint="eastAsia"/>
        </w:rPr>
        <w:tab/>
      </w:r>
      <w:r>
        <w:rPr>
          <w:rFonts w:hint="eastAsia"/>
        </w:rPr>
        <w:t>见《大会正式记录，第五十五届会议，补编第</w:t>
      </w:r>
      <w:r>
        <w:rPr>
          <w:rFonts w:hint="eastAsia"/>
        </w:rPr>
        <w:t>38</w:t>
      </w:r>
      <w:r>
        <w:rPr>
          <w:rFonts w:hint="eastAsia"/>
        </w:rPr>
        <w:t>号》（</w:t>
      </w:r>
      <w:r>
        <w:rPr>
          <w:rFonts w:hint="eastAsia"/>
        </w:rPr>
        <w:t>A/55/38</w:t>
      </w:r>
      <w:r>
        <w:rPr>
          <w:rFonts w:hint="eastAsia"/>
        </w:rPr>
        <w:t>），第</w:t>
      </w:r>
      <w:r>
        <w:rPr>
          <w:rFonts w:hint="eastAsia"/>
        </w:rPr>
        <w:t>318</w:t>
      </w:r>
      <w:r>
        <w:rPr>
          <w:rFonts w:hint="eastAsia"/>
        </w:rPr>
        <w:t>段。</w:t>
      </w:r>
    </w:p>
    <w:p w:rsidR="00000000" w:rsidRDefault="000F5D1F">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pPr>
      <w:r>
        <w:rPr>
          <w:rFonts w:hint="eastAsia"/>
        </w:rPr>
        <w:tab/>
      </w:r>
      <w:r>
        <w:rPr>
          <w:vertAlign w:val="superscript"/>
        </w:rPr>
        <w:t>17</w:t>
      </w:r>
      <w:r>
        <w:rPr>
          <w:rFonts w:hint="eastAsia"/>
        </w:rPr>
        <w:tab/>
      </w:r>
      <w:r>
        <w:rPr>
          <w:rFonts w:hint="eastAsia"/>
        </w:rPr>
        <w:t>见</w:t>
      </w:r>
      <w:r>
        <w:rPr>
          <w:rFonts w:hint="eastAsia"/>
        </w:rPr>
        <w:t>CRC/C/15</w:t>
      </w:r>
      <w:r>
        <w:rPr>
          <w:rFonts w:hint="eastAsia"/>
        </w:rPr>
        <w:t>/Add.199</w:t>
      </w:r>
      <w:r>
        <w:rPr>
          <w:rFonts w:hint="eastAsia"/>
        </w:rPr>
        <w:t>，第</w:t>
      </w:r>
      <w:r>
        <w:rPr>
          <w:rFonts w:hint="eastAsia"/>
        </w:rPr>
        <w:t>5</w:t>
      </w:r>
      <w:r>
        <w:rPr>
          <w:rFonts w:hint="eastAsia"/>
        </w:rPr>
        <w:t>段。</w:t>
      </w:r>
    </w:p>
    <w:p w:rsidR="00000000" w:rsidRDefault="000F5D1F">
      <w:pPr>
        <w:pStyle w:val="SingleTxt"/>
      </w:pPr>
    </w:p>
    <w:p w:rsidR="00000000" w:rsidRDefault="000F5D1F">
      <w:pPr>
        <w:pStyle w:val="SingleTxt"/>
        <w:jc w:val="center"/>
        <w:rPr>
          <w:rFonts w:hint="eastAsia"/>
        </w:rPr>
      </w:pPr>
      <w:r>
        <w:rPr>
          <w:rFonts w:hint="eastAsia"/>
        </w:rPr>
        <w:t>————————</w: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F5D1F">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NO&gt;&gt;N0624189C&lt;&lt;ODS JOB NO&gt;&gt;</w:t>
      </w:r>
    </w:p>
    <w:p w:rsidR="00000000" w:rsidRDefault="000F5D1F">
      <w:pPr>
        <w:pStyle w:val="CommentText"/>
      </w:pPr>
      <w:r>
        <w:t>&lt;&lt;ODS DOC SYMBOL1&gt;&gt;CEDAW/C/ROM/Q/6&lt;&lt;ODS DOC SYMBOL1&gt;&gt;</w:t>
      </w:r>
    </w:p>
    <w:p w:rsidR="00000000" w:rsidRDefault="000F5D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5D1F">
      <w:pPr>
        <w:spacing w:line="240" w:lineRule="auto"/>
      </w:pPr>
      <w:r>
        <w:separator/>
      </w:r>
    </w:p>
  </w:endnote>
  <w:endnote w:type="continuationSeparator" w:id="0">
    <w:p w:rsidR="00000000" w:rsidRDefault="000F5D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F5D1F">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F5D1F">
          <w:pPr>
            <w:pStyle w:val="Footer"/>
            <w:jc w:val="right"/>
          </w:pPr>
        </w:p>
      </w:tc>
    </w:tr>
  </w:tbl>
  <w:p w:rsidR="00000000" w:rsidRDefault="000F5D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F5D1F">
          <w:pPr>
            <w:pStyle w:val="Footer"/>
          </w:pPr>
        </w:p>
      </w:tc>
      <w:tc>
        <w:tcPr>
          <w:tcW w:w="5034" w:type="dxa"/>
          <w:vAlign w:val="bottom"/>
        </w:tcPr>
        <w:p w:rsidR="00000000" w:rsidRDefault="000F5D1F">
          <w:pPr>
            <w:pStyle w:val="Footer"/>
            <w:jc w:val="right"/>
          </w:pPr>
          <w:r>
            <w:fldChar w:fldCharType="begin"/>
          </w:r>
          <w:r>
            <w:instrText xml:space="preserve"> PAGE  \* MERGEFORMAT </w:instrText>
          </w:r>
          <w:r>
            <w:fldChar w:fldCharType="separate"/>
          </w:r>
          <w:r>
            <w:t>3</w:t>
          </w:r>
          <w:r>
            <w:fldChar w:fldCharType="end"/>
          </w:r>
        </w:p>
      </w:tc>
    </w:tr>
  </w:tbl>
  <w:p w:rsidR="00000000" w:rsidRDefault="000F5D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5D1F">
    <w:pPr>
      <w:pStyle w:val="Footer"/>
      <w:rPr>
        <w:b w:val="0"/>
        <w:sz w:val="21"/>
      </w:rPr>
    </w:pPr>
    <w:r>
      <w:rPr>
        <w:b w:val="0"/>
        <w:sz w:val="21"/>
      </w:rPr>
      <w:t>06-24189 (C)    030306    0</w:t>
    </w:r>
    <w:r>
      <w:rPr>
        <w:rFonts w:hint="eastAsia"/>
        <w:b w:val="0"/>
        <w:sz w:val="21"/>
      </w:rPr>
      <w:t>6</w:t>
    </w:r>
    <w:r>
      <w:rPr>
        <w:b w:val="0"/>
        <w:sz w:val="21"/>
      </w:rPr>
      <w:t>0306</w:t>
    </w:r>
  </w:p>
  <w:p w:rsidR="00000000" w:rsidRDefault="000F5D1F">
    <w:pPr>
      <w:spacing w:before="60" w:line="200" w:lineRule="exact"/>
      <w:rPr>
        <w:rFonts w:ascii="Barcode 3 of 9 by request" w:hAnsi="Barcode 3 of 9 by request"/>
        <w:b/>
      </w:rPr>
    </w:pPr>
    <w:r>
      <w:rPr>
        <w:rFonts w:ascii="Barcode 3 of 9 by request" w:hAnsi="Barcode 3 of 9 by request"/>
        <w:b/>
      </w:rPr>
      <w:t>*0624189*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5D1F">
      <w:pPr>
        <w:spacing w:line="240" w:lineRule="auto"/>
      </w:pPr>
      <w:r>
        <w:separator/>
      </w:r>
    </w:p>
  </w:footnote>
  <w:footnote w:type="continuationSeparator" w:id="0">
    <w:p w:rsidR="00000000" w:rsidRDefault="000F5D1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5D1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F5D1F">
                      <w:pPr>
                        <w:pStyle w:val="Header"/>
                        <w:spacing w:after="80"/>
                        <w:rPr>
                          <w:b/>
                          <w:sz w:val="17"/>
                        </w:rPr>
                      </w:pPr>
                      <w:r>
                        <w:rPr>
                          <w:b/>
                          <w:sz w:val="17"/>
                        </w:rPr>
                        <w:t>CEDAW/C/ROM/Q/6</w:t>
                      </w:r>
                    </w:p>
                  </w:tc>
                  <w:tc>
                    <w:tcPr>
                      <w:tcW w:w="5048" w:type="dxa"/>
                      <w:vAlign w:val="bottom"/>
                    </w:tcPr>
                    <w:p w:rsidR="00000000" w:rsidRDefault="000F5D1F">
                      <w:pPr>
                        <w:pStyle w:val="Header"/>
                      </w:pPr>
                    </w:p>
                  </w:tc>
                </w:tr>
              </w:tbl>
              <w:p w:rsidR="00000000" w:rsidRDefault="000F5D1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5D1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F5D1F">
                      <w:pPr>
                        <w:pStyle w:val="Header"/>
                      </w:pPr>
                    </w:p>
                  </w:tc>
                  <w:tc>
                    <w:tcPr>
                      <w:tcW w:w="5048" w:type="dxa"/>
                      <w:vAlign w:val="bottom"/>
                    </w:tcPr>
                    <w:p w:rsidR="00000000" w:rsidRDefault="000F5D1F">
                      <w:pPr>
                        <w:pStyle w:val="Header"/>
                        <w:spacing w:after="80"/>
                        <w:jc w:val="right"/>
                        <w:rPr>
                          <w:b/>
                          <w:sz w:val="17"/>
                        </w:rPr>
                      </w:pPr>
                      <w:r>
                        <w:rPr>
                          <w:b/>
                          <w:sz w:val="17"/>
                        </w:rPr>
                        <w:t>CEDAW/C/ROM/Q/6</w:t>
                      </w:r>
                    </w:p>
                  </w:tc>
                </w:tr>
              </w:tbl>
              <w:p w:rsidR="00000000" w:rsidRDefault="000F5D1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F5D1F">
          <w:pPr>
            <w:pStyle w:val="Header"/>
            <w:spacing w:after="120"/>
          </w:pPr>
        </w:p>
      </w:tc>
      <w:tc>
        <w:tcPr>
          <w:tcW w:w="1872" w:type="dxa"/>
          <w:tcBorders>
            <w:top w:val="nil"/>
            <w:left w:val="nil"/>
            <w:bottom w:val="single" w:sz="4" w:space="0" w:color="auto"/>
            <w:right w:val="nil"/>
          </w:tcBorders>
          <w:vAlign w:val="bottom"/>
        </w:tcPr>
        <w:p w:rsidR="00000000" w:rsidRDefault="000F5D1F">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F5D1F">
          <w:pPr>
            <w:pStyle w:val="Header"/>
            <w:spacing w:after="120"/>
          </w:pPr>
        </w:p>
      </w:tc>
      <w:tc>
        <w:tcPr>
          <w:tcW w:w="6523" w:type="dxa"/>
          <w:gridSpan w:val="3"/>
          <w:tcBorders>
            <w:top w:val="nil"/>
            <w:left w:val="nil"/>
            <w:bottom w:val="single" w:sz="4" w:space="0" w:color="auto"/>
            <w:right w:val="nil"/>
          </w:tcBorders>
          <w:vAlign w:val="bottom"/>
        </w:tcPr>
        <w:p w:rsidR="00000000" w:rsidRDefault="000F5D1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/C/ROM/Q/6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F5D1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F5D1F">
          <w:pPr>
            <w:pStyle w:val="Header"/>
            <w:spacing w:before="109"/>
            <w:ind w:left="-72"/>
          </w:pPr>
        </w:p>
      </w:tc>
      <w:tc>
        <w:tcPr>
          <w:tcW w:w="5227" w:type="dxa"/>
          <w:gridSpan w:val="3"/>
          <w:tcBorders>
            <w:left w:val="nil"/>
            <w:bottom w:val="single" w:sz="12" w:space="0" w:color="auto"/>
            <w:right w:val="nil"/>
          </w:tcBorders>
        </w:tcPr>
        <w:p w:rsidR="00000000" w:rsidRDefault="000F5D1F">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F5D1F">
          <w:pPr>
            <w:pStyle w:val="Header"/>
            <w:spacing w:before="109"/>
          </w:pPr>
        </w:p>
      </w:tc>
      <w:tc>
        <w:tcPr>
          <w:tcW w:w="3180" w:type="dxa"/>
          <w:gridSpan w:val="2"/>
          <w:tcBorders>
            <w:left w:val="nil"/>
            <w:bottom w:val="single" w:sz="12" w:space="0" w:color="auto"/>
            <w:right w:val="nil"/>
          </w:tcBorders>
        </w:tcPr>
        <w:p w:rsidR="00000000" w:rsidRDefault="000F5D1F">
          <w:pPr>
            <w:spacing w:before="240" w:line="240" w:lineRule="exact"/>
            <w:rPr>
              <w:rFonts w:ascii="Times New Roman"/>
            </w:rPr>
          </w:pPr>
          <w:r>
            <w:rPr>
              <w:rFonts w:ascii="Times New Roman"/>
            </w:rPr>
            <w:t>Distr.: General</w:t>
          </w:r>
        </w:p>
        <w:p w:rsidR="00000000" w:rsidRDefault="000F5D1F">
          <w:pPr>
            <w:spacing w:line="240" w:lineRule="exact"/>
            <w:rPr>
              <w:rFonts w:ascii="Times New Roman"/>
            </w:rPr>
          </w:pPr>
          <w:r>
            <w:rPr>
              <w:rFonts w:ascii="Times New Roman"/>
            </w:rPr>
            <w:t>9 February 2006</w:t>
          </w:r>
        </w:p>
        <w:p w:rsidR="00000000" w:rsidRDefault="000F5D1F">
          <w:pPr>
            <w:spacing w:line="240" w:lineRule="exact"/>
            <w:rPr>
              <w:rFonts w:ascii="Times New Roman"/>
            </w:rPr>
          </w:pPr>
          <w:r>
            <w:rPr>
              <w:rFonts w:ascii="Times New Roman"/>
            </w:rPr>
            <w:t>Chinese</w:t>
          </w:r>
        </w:p>
        <w:p w:rsidR="00000000" w:rsidRDefault="000F5D1F">
          <w:pPr>
            <w:spacing w:line="240" w:lineRule="exact"/>
            <w:rPr>
              <w:rFonts w:ascii="Times New Roman"/>
            </w:rPr>
          </w:pPr>
          <w:r>
            <w:rPr>
              <w:rFonts w:ascii="Times New Roman"/>
            </w:rPr>
            <w:t>Original: English</w:t>
          </w:r>
        </w:p>
      </w:tc>
    </w:tr>
  </w:tbl>
  <w:p w:rsidR="00000000" w:rsidRDefault="000F5D1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8:23: PM"/>
    <w:docVar w:name="DocCategory" w:val="Doc"/>
    <w:docVar w:name="DocType" w:val="Final"/>
    <w:docVar w:name="JobNo" w:val="0624189C"/>
    <w:docVar w:name="OandT" w:val=" "/>
    <w:docVar w:name="Symbol1" w:val="CEDAW/C/ROM/Q/6"/>
    <w:docVar w:name="Symbol2" w:val="-"/>
  </w:docVars>
  <w:rsids>
    <w:rsidRoot w:val="000F5D1F"/>
    <w:rsid w:val="000F5D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595</Words>
  <Characters>3397</Characters>
  <Application>Microsoft Office Word</Application>
  <DocSecurity>4</DocSecurity>
  <Lines>28</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4171</CharactersWithSpaces>
  <SharedDoc>false</SharedDoc>
  <HLinks>
    <vt:vector size="6" baseType="variant">
      <vt:variant>
        <vt:i4>4522087</vt:i4>
      </vt:variant>
      <vt:variant>
        <vt:i4>9448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Chuanzong.Du</dc:creator>
  <cp:keywords/>
  <dc:description/>
  <cp:lastModifiedBy>Chuanzong.Du</cp:lastModifiedBy>
  <cp:revision>16</cp:revision>
  <cp:lastPrinted>2006-03-06T09:27:00Z</cp:lastPrinted>
  <dcterms:created xsi:type="dcterms:W3CDTF">2006-03-03T19:23:00Z</dcterms:created>
  <dcterms:modified xsi:type="dcterms:W3CDTF">2006-03-06T09:28:00Z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0624189</vt:lpwstr>
  </property>
  <property fmtid="{D5CDD505-2E9C-101B-9397-08002B2CF9AE}" pid="3" name="Symbol1">
    <vt:lpwstr>CEDAW/C/ROM/Q/6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