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3BE" w:rsidRPr="00472D1B" w:rsidRDefault="004D2264" w:rsidP="003333BE">
      <w:pPr>
        <w:suppressAutoHyphens w:val="0"/>
        <w:spacing w:after="600"/>
        <w:jc w:val="right"/>
        <w:rPr>
          <w:b/>
          <w:lang w:val="es-ES"/>
        </w:rPr>
      </w:pPr>
      <w:r>
        <w:fldChar w:fldCharType="begin"/>
      </w:r>
      <w:r>
        <w:instrText xml:space="preserve"> HYPERLINK "http://www.un.org/ga/search/view_doc.asp?symbol=A/70/44&amp;referer=/english/&amp;Lang=S" </w:instrText>
      </w:r>
      <w:r>
        <w:fldChar w:fldCharType="separate"/>
      </w:r>
      <w:r w:rsidR="00C61636" w:rsidRPr="004D2264">
        <w:rPr>
          <w:rStyle w:val="Hipervnculo"/>
        </w:rPr>
        <w:t>A/71/44</w:t>
      </w:r>
      <w:r>
        <w:fldChar w:fldCharType="end"/>
      </w:r>
    </w:p>
    <w:p w:rsidR="003333BE" w:rsidRPr="00472D1B" w:rsidRDefault="003333BE" w:rsidP="003333BE">
      <w:pPr>
        <w:ind w:left="1134"/>
      </w:pPr>
      <w:r w:rsidRPr="00472D1B">
        <w:rPr>
          <w:noProof/>
          <w:lang w:val="es-ES" w:eastAsia="es-ES"/>
        </w:rPr>
        <w:drawing>
          <wp:inline distT="0" distB="0" distL="0" distR="0" wp14:anchorId="26D8EE3C" wp14:editId="6B383AE7">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3333BE" w:rsidRPr="00472D1B" w:rsidRDefault="003333BE" w:rsidP="003333BE">
      <w:pPr>
        <w:pStyle w:val="SingleTxtG"/>
        <w:spacing w:after="960"/>
        <w:ind w:left="1138" w:right="1138"/>
        <w:rPr>
          <w:lang w:val="es-ES"/>
        </w:rPr>
      </w:pPr>
      <w:r w:rsidRPr="00472D1B">
        <w:rPr>
          <w:b/>
          <w:sz w:val="36"/>
          <w:szCs w:val="36"/>
          <w:lang w:val="es-ES"/>
        </w:rPr>
        <w:t>Naciones Unidas</w:t>
      </w:r>
    </w:p>
    <w:p w:rsidR="003333BE" w:rsidRPr="00472D1B" w:rsidRDefault="003333BE" w:rsidP="003333BE">
      <w:pPr>
        <w:pStyle w:val="SLG"/>
        <w:spacing w:before="0" w:after="840"/>
        <w:ind w:left="1138" w:right="1138"/>
        <w:rPr>
          <w:lang w:val="es-ES"/>
        </w:rPr>
      </w:pPr>
      <w:r w:rsidRPr="00472D1B">
        <w:rPr>
          <w:lang w:val="es-ES"/>
        </w:rPr>
        <w:t xml:space="preserve">Informe del Comité </w:t>
      </w:r>
      <w:r w:rsidR="00C61636">
        <w:rPr>
          <w:bCs/>
          <w:lang w:val="es-ES"/>
        </w:rPr>
        <w:t xml:space="preserve">contra </w:t>
      </w:r>
      <w:r w:rsidR="00C61636">
        <w:rPr>
          <w:bCs/>
          <w:lang w:val="es-ES"/>
        </w:rPr>
        <w:br/>
        <w:t>la Tortura</w:t>
      </w:r>
    </w:p>
    <w:p w:rsidR="003333BE" w:rsidRPr="00472D1B" w:rsidRDefault="00C61636" w:rsidP="003333BE">
      <w:pPr>
        <w:spacing w:after="240"/>
        <w:ind w:left="1138"/>
        <w:rPr>
          <w:b/>
          <w:bCs/>
          <w:sz w:val="36"/>
          <w:szCs w:val="36"/>
          <w:lang w:val="es-ES"/>
        </w:rPr>
      </w:pPr>
      <w:r>
        <w:rPr>
          <w:b/>
          <w:bCs/>
          <w:sz w:val="36"/>
          <w:szCs w:val="36"/>
          <w:lang w:val="es-ES"/>
        </w:rPr>
        <w:t>55º</w:t>
      </w:r>
      <w:r w:rsidR="003333BE" w:rsidRPr="00472D1B">
        <w:rPr>
          <w:b/>
          <w:bCs/>
          <w:sz w:val="36"/>
          <w:szCs w:val="36"/>
          <w:lang w:val="es-ES"/>
        </w:rPr>
        <w:t xml:space="preserve"> período de sesiones</w:t>
      </w:r>
      <w:r w:rsidR="003333BE" w:rsidRPr="00472D1B">
        <w:rPr>
          <w:b/>
          <w:bCs/>
          <w:sz w:val="36"/>
          <w:szCs w:val="36"/>
          <w:lang w:val="es-ES"/>
        </w:rPr>
        <w:br/>
        <w:t>(</w:t>
      </w:r>
      <w:r>
        <w:rPr>
          <w:b/>
          <w:bCs/>
          <w:sz w:val="36"/>
          <w:szCs w:val="36"/>
          <w:lang w:val="es-ES"/>
        </w:rPr>
        <w:t xml:space="preserve">27 de julio a 14 de agosto de </w:t>
      </w:r>
      <w:r w:rsidR="003333BE" w:rsidRPr="00472D1B">
        <w:rPr>
          <w:b/>
          <w:bCs/>
          <w:sz w:val="36"/>
          <w:szCs w:val="36"/>
          <w:lang w:val="es-ES"/>
        </w:rPr>
        <w:t>2015)</w:t>
      </w:r>
    </w:p>
    <w:p w:rsidR="003333BE" w:rsidRDefault="00C61636" w:rsidP="00C61636">
      <w:pPr>
        <w:spacing w:after="240"/>
        <w:ind w:left="1138"/>
        <w:rPr>
          <w:b/>
          <w:bCs/>
          <w:sz w:val="36"/>
          <w:szCs w:val="36"/>
          <w:lang w:val="es-ES"/>
        </w:rPr>
      </w:pPr>
      <w:r>
        <w:rPr>
          <w:b/>
          <w:bCs/>
          <w:sz w:val="36"/>
          <w:szCs w:val="36"/>
          <w:lang w:val="es-ES"/>
        </w:rPr>
        <w:t>56º</w:t>
      </w:r>
      <w:r w:rsidR="003333BE" w:rsidRPr="00472D1B">
        <w:rPr>
          <w:b/>
          <w:bCs/>
          <w:sz w:val="36"/>
          <w:szCs w:val="36"/>
          <w:lang w:val="es-ES"/>
        </w:rPr>
        <w:t xml:space="preserve"> período de sesiones</w:t>
      </w:r>
      <w:r w:rsidR="003333BE" w:rsidRPr="00472D1B">
        <w:rPr>
          <w:b/>
          <w:bCs/>
          <w:sz w:val="36"/>
          <w:szCs w:val="36"/>
          <w:lang w:val="es-ES"/>
        </w:rPr>
        <w:br/>
        <w:t>(</w:t>
      </w:r>
      <w:r>
        <w:rPr>
          <w:b/>
          <w:bCs/>
          <w:sz w:val="36"/>
          <w:szCs w:val="36"/>
          <w:lang w:val="es-ES"/>
        </w:rPr>
        <w:t>9 de noviembre a 9 de diciembre de 2015</w:t>
      </w:r>
      <w:r w:rsidR="003333BE" w:rsidRPr="00472D1B">
        <w:rPr>
          <w:b/>
          <w:bCs/>
          <w:sz w:val="36"/>
          <w:szCs w:val="36"/>
          <w:lang w:val="es-ES"/>
        </w:rPr>
        <w:t>)</w:t>
      </w:r>
    </w:p>
    <w:p w:rsidR="00C61636" w:rsidRPr="00472D1B" w:rsidRDefault="00C61636" w:rsidP="003333BE">
      <w:pPr>
        <w:spacing w:after="1080"/>
        <w:ind w:left="1138"/>
        <w:rPr>
          <w:b/>
          <w:bCs/>
          <w:sz w:val="36"/>
          <w:szCs w:val="36"/>
          <w:lang w:val="es-ES"/>
        </w:rPr>
      </w:pPr>
      <w:r>
        <w:rPr>
          <w:b/>
          <w:bCs/>
          <w:sz w:val="36"/>
          <w:szCs w:val="36"/>
          <w:lang w:val="es-ES"/>
        </w:rPr>
        <w:t>57º período de sesiones</w:t>
      </w:r>
      <w:r>
        <w:rPr>
          <w:b/>
          <w:bCs/>
          <w:sz w:val="36"/>
          <w:szCs w:val="36"/>
          <w:lang w:val="es-ES"/>
        </w:rPr>
        <w:br/>
        <w:t>(18 de abril a 13 de mayo de 2016)</w:t>
      </w:r>
    </w:p>
    <w:p w:rsidR="003333BE" w:rsidRPr="00472D1B" w:rsidRDefault="003333BE" w:rsidP="003333BE">
      <w:pPr>
        <w:pStyle w:val="SMG"/>
        <w:spacing w:before="0" w:after="0"/>
        <w:rPr>
          <w:lang w:val="es-ES"/>
        </w:rPr>
      </w:pPr>
      <w:r w:rsidRPr="00472D1B">
        <w:rPr>
          <w:lang w:val="es-ES"/>
        </w:rPr>
        <w:t>Asamblea General</w:t>
      </w:r>
    </w:p>
    <w:p w:rsidR="003333BE" w:rsidRPr="00472D1B" w:rsidRDefault="003333BE" w:rsidP="003333BE">
      <w:pPr>
        <w:ind w:left="1134"/>
        <w:rPr>
          <w:b/>
          <w:sz w:val="28"/>
          <w:szCs w:val="28"/>
          <w:lang w:val="es-ES"/>
        </w:rPr>
      </w:pPr>
      <w:r w:rsidRPr="00472D1B">
        <w:rPr>
          <w:b/>
          <w:sz w:val="28"/>
          <w:szCs w:val="28"/>
          <w:lang w:val="es-ES"/>
        </w:rPr>
        <w:t>Documentos Oficiales</w:t>
      </w:r>
    </w:p>
    <w:p w:rsidR="003333BE" w:rsidRPr="00472D1B" w:rsidRDefault="003333BE" w:rsidP="003333BE">
      <w:pPr>
        <w:ind w:left="1134"/>
        <w:rPr>
          <w:b/>
          <w:sz w:val="28"/>
          <w:szCs w:val="28"/>
          <w:lang w:val="es-ES"/>
        </w:rPr>
      </w:pPr>
      <w:r w:rsidRPr="00472D1B">
        <w:rPr>
          <w:b/>
          <w:sz w:val="28"/>
          <w:szCs w:val="28"/>
          <w:lang w:val="es-ES"/>
        </w:rPr>
        <w:t>Septuagésimo primer período de sesiones</w:t>
      </w:r>
    </w:p>
    <w:p w:rsidR="003333BE" w:rsidRPr="00472D1B" w:rsidRDefault="003333BE" w:rsidP="003333BE">
      <w:pPr>
        <w:pStyle w:val="SingleTxtG"/>
        <w:rPr>
          <w:lang w:val="es-ES"/>
        </w:rPr>
      </w:pPr>
      <w:r w:rsidRPr="00472D1B">
        <w:rPr>
          <w:b/>
          <w:sz w:val="28"/>
          <w:szCs w:val="28"/>
          <w:lang w:val="es-ES"/>
        </w:rPr>
        <w:t xml:space="preserve">Suplemento núm. </w:t>
      </w:r>
      <w:r w:rsidR="00C61636">
        <w:rPr>
          <w:b/>
          <w:sz w:val="28"/>
          <w:szCs w:val="28"/>
          <w:lang w:val="es-ES"/>
        </w:rPr>
        <w:t>44</w:t>
      </w:r>
      <w:r w:rsidRPr="00472D1B">
        <w:rPr>
          <w:b/>
          <w:sz w:val="28"/>
          <w:szCs w:val="28"/>
          <w:lang w:val="es-ES"/>
        </w:rPr>
        <w:t xml:space="preserve"> (</w:t>
      </w:r>
      <w:hyperlink r:id="rId10" w:history="1">
        <w:r w:rsidR="00C61636" w:rsidRPr="004D2264">
          <w:rPr>
            <w:rStyle w:val="Hipervnculo"/>
            <w:b/>
            <w:sz w:val="28"/>
            <w:szCs w:val="28"/>
            <w:lang w:val="es-ES"/>
          </w:rPr>
          <w:t>A/71/44</w:t>
        </w:r>
      </w:hyperlink>
      <w:r w:rsidRPr="00472D1B">
        <w:rPr>
          <w:b/>
          <w:sz w:val="28"/>
          <w:szCs w:val="28"/>
          <w:lang w:val="es-ES"/>
        </w:rPr>
        <w:t>)</w:t>
      </w:r>
    </w:p>
    <w:p w:rsidR="003333BE" w:rsidRPr="00472D1B" w:rsidRDefault="003333BE" w:rsidP="003333BE">
      <w:pPr>
        <w:ind w:left="1134"/>
        <w:rPr>
          <w:lang w:val="es-ES"/>
        </w:rPr>
      </w:pPr>
    </w:p>
    <w:p w:rsidR="003333BE" w:rsidRPr="00472D1B" w:rsidRDefault="003333BE" w:rsidP="003333BE">
      <w:pPr>
        <w:ind w:left="1134" w:right="1134"/>
        <w:rPr>
          <w:b/>
          <w:sz w:val="28"/>
          <w:szCs w:val="28"/>
          <w:lang w:val="es-ES"/>
        </w:rPr>
      </w:pPr>
    </w:p>
    <w:p w:rsidR="003333BE" w:rsidRPr="00472D1B" w:rsidRDefault="003333BE" w:rsidP="003333BE">
      <w:pPr>
        <w:ind w:left="1134" w:right="1134"/>
        <w:rPr>
          <w:b/>
          <w:sz w:val="28"/>
          <w:szCs w:val="28"/>
          <w:lang w:val="es-ES"/>
        </w:rPr>
        <w:sectPr w:rsidR="003333BE" w:rsidRPr="00472D1B" w:rsidSect="00C66C4E">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pPr>
    </w:p>
    <w:p w:rsidR="003333BE" w:rsidRPr="00472D1B" w:rsidRDefault="003D1455" w:rsidP="003333BE">
      <w:pPr>
        <w:spacing w:after="1200"/>
        <w:jc w:val="right"/>
        <w:outlineLvl w:val="0"/>
        <w:rPr>
          <w:b/>
          <w:lang w:val="es-ES"/>
        </w:rPr>
      </w:pPr>
      <w:r>
        <w:lastRenderedPageBreak/>
        <w:fldChar w:fldCharType="begin"/>
      </w:r>
      <w:r w:rsidRPr="008A42A9">
        <w:rPr>
          <w:lang w:val="es-ES"/>
        </w:rPr>
        <w:instrText xml:space="preserve"> HYPERLINK "http://www.un.org/ga/search/view_doc.asp?symbol=A/70/44&amp;referer=/e</w:instrText>
      </w:r>
      <w:r w:rsidRPr="008A42A9">
        <w:rPr>
          <w:lang w:val="es-ES"/>
        </w:rPr>
        <w:instrText xml:space="preserve">nglish/&amp;Lang=S" </w:instrText>
      </w:r>
      <w:r>
        <w:fldChar w:fldCharType="separate"/>
      </w:r>
      <w:r w:rsidR="00C61636" w:rsidRPr="00F46346">
        <w:rPr>
          <w:rStyle w:val="Hipervnculo"/>
          <w:lang w:val="es-ES"/>
        </w:rPr>
        <w:t>A/71/44</w:t>
      </w:r>
      <w:r>
        <w:rPr>
          <w:rStyle w:val="Hipervnculo"/>
          <w:lang w:val="es-ES"/>
        </w:rPr>
        <w:fldChar w:fldCharType="end"/>
      </w:r>
    </w:p>
    <w:p w:rsidR="003333BE" w:rsidRPr="00472D1B" w:rsidRDefault="003333BE" w:rsidP="003333BE">
      <w:pPr>
        <w:rPr>
          <w:b/>
          <w:sz w:val="24"/>
          <w:szCs w:val="24"/>
          <w:lang w:val="es-ES"/>
        </w:rPr>
      </w:pPr>
      <w:r w:rsidRPr="00472D1B">
        <w:rPr>
          <w:b/>
          <w:sz w:val="24"/>
          <w:szCs w:val="24"/>
          <w:lang w:val="es-ES"/>
        </w:rPr>
        <w:t>Asamblea Gene</w:t>
      </w:r>
      <w:r w:rsidR="00F45BAB">
        <w:rPr>
          <w:b/>
          <w:sz w:val="24"/>
          <w:szCs w:val="24"/>
          <w:lang w:val="es-ES"/>
        </w:rPr>
        <w:t>r</w:t>
      </w:r>
      <w:r w:rsidRPr="00472D1B">
        <w:rPr>
          <w:b/>
          <w:sz w:val="24"/>
          <w:szCs w:val="24"/>
          <w:lang w:val="es-ES"/>
        </w:rPr>
        <w:t>al</w:t>
      </w:r>
    </w:p>
    <w:p w:rsidR="003333BE" w:rsidRPr="00472D1B" w:rsidRDefault="003333BE" w:rsidP="003333BE">
      <w:pPr>
        <w:rPr>
          <w:sz w:val="24"/>
          <w:szCs w:val="24"/>
          <w:lang w:val="es-ES"/>
        </w:rPr>
      </w:pPr>
      <w:r w:rsidRPr="00472D1B">
        <w:rPr>
          <w:sz w:val="24"/>
          <w:szCs w:val="24"/>
          <w:lang w:val="es-ES"/>
        </w:rPr>
        <w:t>Documentos Oficiales</w:t>
      </w:r>
    </w:p>
    <w:p w:rsidR="003333BE" w:rsidRPr="00472D1B" w:rsidRDefault="003333BE" w:rsidP="003333BE">
      <w:pPr>
        <w:rPr>
          <w:sz w:val="24"/>
          <w:szCs w:val="24"/>
          <w:lang w:val="es-ES"/>
        </w:rPr>
      </w:pPr>
      <w:r w:rsidRPr="00472D1B">
        <w:rPr>
          <w:sz w:val="24"/>
          <w:szCs w:val="24"/>
          <w:lang w:val="es-ES"/>
        </w:rPr>
        <w:t>Septuagésimo primer período de sesiones</w:t>
      </w:r>
    </w:p>
    <w:p w:rsidR="003333BE" w:rsidRPr="00472D1B" w:rsidRDefault="003333BE" w:rsidP="003333BE">
      <w:pPr>
        <w:spacing w:after="1080"/>
        <w:rPr>
          <w:b/>
          <w:sz w:val="24"/>
          <w:szCs w:val="24"/>
          <w:lang w:val="es-ES"/>
        </w:rPr>
      </w:pPr>
      <w:r w:rsidRPr="00472D1B">
        <w:rPr>
          <w:sz w:val="24"/>
          <w:szCs w:val="24"/>
          <w:lang w:val="es-ES"/>
        </w:rPr>
        <w:t>Suplemento núm. 4</w:t>
      </w:r>
      <w:r w:rsidR="00C61636">
        <w:rPr>
          <w:sz w:val="24"/>
          <w:szCs w:val="24"/>
          <w:lang w:val="es-ES"/>
        </w:rPr>
        <w:t>4</w:t>
      </w:r>
    </w:p>
    <w:p w:rsidR="003333BE" w:rsidRPr="00472D1B" w:rsidRDefault="003333BE" w:rsidP="003333BE">
      <w:pPr>
        <w:pStyle w:val="SLG"/>
        <w:spacing w:before="0" w:after="480" w:line="420" w:lineRule="exact"/>
        <w:ind w:left="1138" w:right="1138"/>
        <w:rPr>
          <w:sz w:val="40"/>
          <w:szCs w:val="40"/>
          <w:lang w:val="es-ES"/>
        </w:rPr>
      </w:pPr>
      <w:r w:rsidRPr="00472D1B">
        <w:rPr>
          <w:sz w:val="40"/>
          <w:szCs w:val="40"/>
          <w:lang w:val="es-ES"/>
        </w:rPr>
        <w:t xml:space="preserve">Informe </w:t>
      </w:r>
      <w:r w:rsidRPr="00472D1B">
        <w:rPr>
          <w:bCs/>
          <w:sz w:val="40"/>
          <w:szCs w:val="40"/>
          <w:lang w:val="es-ES"/>
        </w:rPr>
        <w:t xml:space="preserve">del Comité </w:t>
      </w:r>
      <w:r w:rsidR="00C61636">
        <w:rPr>
          <w:bCs/>
          <w:sz w:val="40"/>
          <w:szCs w:val="40"/>
          <w:lang w:val="es-ES"/>
        </w:rPr>
        <w:t>contra la Tortura</w:t>
      </w:r>
    </w:p>
    <w:p w:rsidR="003333BE" w:rsidRPr="00472D1B" w:rsidRDefault="00C61636" w:rsidP="003333BE">
      <w:pPr>
        <w:spacing w:after="240"/>
        <w:ind w:left="1138"/>
        <w:rPr>
          <w:b/>
          <w:bCs/>
          <w:sz w:val="28"/>
          <w:szCs w:val="28"/>
          <w:lang w:val="es-ES"/>
        </w:rPr>
      </w:pPr>
      <w:r>
        <w:rPr>
          <w:b/>
          <w:bCs/>
          <w:sz w:val="28"/>
          <w:szCs w:val="28"/>
          <w:lang w:val="es-ES"/>
        </w:rPr>
        <w:t>55º</w:t>
      </w:r>
      <w:r w:rsidR="003333BE" w:rsidRPr="00472D1B">
        <w:rPr>
          <w:b/>
          <w:bCs/>
          <w:sz w:val="28"/>
          <w:szCs w:val="28"/>
          <w:lang w:val="es-ES"/>
        </w:rPr>
        <w:t xml:space="preserve"> período de sesiones</w:t>
      </w:r>
      <w:r w:rsidR="003333BE" w:rsidRPr="00472D1B">
        <w:rPr>
          <w:b/>
          <w:bCs/>
          <w:sz w:val="28"/>
          <w:szCs w:val="28"/>
          <w:lang w:val="es-ES"/>
        </w:rPr>
        <w:br/>
        <w:t>(</w:t>
      </w:r>
      <w:r>
        <w:rPr>
          <w:b/>
          <w:bCs/>
          <w:sz w:val="28"/>
          <w:szCs w:val="28"/>
          <w:lang w:val="es-ES"/>
        </w:rPr>
        <w:t xml:space="preserve">27 de julio a 14 de agosto de </w:t>
      </w:r>
      <w:r w:rsidR="003333BE" w:rsidRPr="00472D1B">
        <w:rPr>
          <w:b/>
          <w:bCs/>
          <w:sz w:val="28"/>
          <w:szCs w:val="28"/>
          <w:lang w:val="es-ES"/>
        </w:rPr>
        <w:t>2015)</w:t>
      </w:r>
    </w:p>
    <w:p w:rsidR="003333BE" w:rsidRDefault="00C61636" w:rsidP="00C61636">
      <w:pPr>
        <w:spacing w:after="240"/>
        <w:ind w:left="1138"/>
        <w:rPr>
          <w:b/>
          <w:bCs/>
          <w:sz w:val="28"/>
          <w:szCs w:val="28"/>
          <w:lang w:val="es-ES"/>
        </w:rPr>
      </w:pPr>
      <w:r>
        <w:rPr>
          <w:b/>
          <w:bCs/>
          <w:sz w:val="28"/>
          <w:szCs w:val="28"/>
          <w:lang w:val="es-ES"/>
        </w:rPr>
        <w:t>56</w:t>
      </w:r>
      <w:r w:rsidR="003333BE" w:rsidRPr="00472D1B">
        <w:rPr>
          <w:b/>
          <w:bCs/>
          <w:sz w:val="28"/>
          <w:szCs w:val="28"/>
          <w:lang w:val="es-ES"/>
        </w:rPr>
        <w:t>º período de sesiones</w:t>
      </w:r>
      <w:r w:rsidR="003333BE" w:rsidRPr="00472D1B">
        <w:rPr>
          <w:b/>
          <w:bCs/>
          <w:sz w:val="28"/>
          <w:szCs w:val="28"/>
          <w:lang w:val="es-ES"/>
        </w:rPr>
        <w:br/>
        <w:t>(</w:t>
      </w:r>
      <w:r>
        <w:rPr>
          <w:b/>
          <w:bCs/>
          <w:sz w:val="28"/>
          <w:szCs w:val="28"/>
          <w:lang w:val="es-ES"/>
        </w:rPr>
        <w:t>9 de noviembre a 9 de diciembre de 2015</w:t>
      </w:r>
      <w:r w:rsidR="003333BE" w:rsidRPr="00472D1B">
        <w:rPr>
          <w:b/>
          <w:bCs/>
          <w:sz w:val="28"/>
          <w:szCs w:val="28"/>
          <w:lang w:val="es-ES"/>
        </w:rPr>
        <w:t>)</w:t>
      </w:r>
    </w:p>
    <w:p w:rsidR="00C61636" w:rsidRPr="00472D1B" w:rsidRDefault="00C61636" w:rsidP="003333BE">
      <w:pPr>
        <w:spacing w:after="4680"/>
        <w:ind w:left="1138"/>
        <w:rPr>
          <w:b/>
          <w:sz w:val="28"/>
          <w:szCs w:val="28"/>
          <w:lang w:val="es-ES"/>
        </w:rPr>
      </w:pPr>
      <w:r>
        <w:rPr>
          <w:b/>
          <w:sz w:val="28"/>
          <w:szCs w:val="28"/>
          <w:lang w:val="es-ES"/>
        </w:rPr>
        <w:t>57º período de sesiones</w:t>
      </w:r>
      <w:r>
        <w:rPr>
          <w:b/>
          <w:sz w:val="28"/>
          <w:szCs w:val="28"/>
          <w:lang w:val="es-ES"/>
        </w:rPr>
        <w:br/>
        <w:t>(18 de abril a 13 de mayo de 2016)</w:t>
      </w:r>
    </w:p>
    <w:p w:rsidR="003333BE" w:rsidRPr="00472D1B" w:rsidRDefault="003333BE" w:rsidP="003333BE">
      <w:pPr>
        <w:spacing w:before="4800" w:after="120"/>
        <w:ind w:left="1138"/>
        <w:rPr>
          <w:b/>
          <w:sz w:val="28"/>
          <w:lang w:val="es-ES"/>
        </w:rPr>
      </w:pPr>
      <w:r w:rsidRPr="00472D1B">
        <w:rPr>
          <w:noProof/>
          <w:lang w:val="es-ES" w:eastAsia="es-ES"/>
        </w:rPr>
        <w:drawing>
          <wp:anchor distT="0" distB="0" distL="114300" distR="114300" simplePos="0" relativeHeight="251661312" behindDoc="0" locked="1" layoutInCell="1" allowOverlap="0" wp14:anchorId="2CB993CD" wp14:editId="6667F1E4">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2D1B">
        <w:rPr>
          <w:noProof/>
          <w:lang w:val="es-ES" w:eastAsia="es-ES"/>
        </w:rPr>
        <w:drawing>
          <wp:anchor distT="0" distB="0" distL="114300" distR="114300" simplePos="0" relativeHeight="251660288" behindDoc="0" locked="1" layoutInCell="1" allowOverlap="0" wp14:anchorId="3CB7B08A" wp14:editId="6DFC6982">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2D1B">
        <w:rPr>
          <w:noProof/>
          <w:lang w:val="es-ES" w:eastAsia="es-ES"/>
        </w:rPr>
        <w:drawing>
          <wp:anchor distT="0" distB="0" distL="114300" distR="114300" simplePos="0" relativeHeight="251659264" behindDoc="0" locked="1" layoutInCell="1" allowOverlap="0" wp14:anchorId="07689618" wp14:editId="5252BF8E">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2D1B">
        <w:rPr>
          <w:b/>
          <w:noProof/>
          <w:sz w:val="28"/>
          <w:lang w:val="es-ES" w:eastAsia="es-ES"/>
        </w:rPr>
        <w:drawing>
          <wp:anchor distT="0" distB="0" distL="114300" distR="114300" simplePos="0" relativeHeight="251662336" behindDoc="0" locked="1" layoutInCell="1" allowOverlap="0" wp14:anchorId="4B8B8433" wp14:editId="425B7BA8">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2D1B">
        <w:rPr>
          <w:b/>
          <w:sz w:val="28"/>
          <w:lang w:val="es-ES"/>
        </w:rPr>
        <w:t xml:space="preserve">Naciones Unidas </w:t>
      </w:r>
      <w:r w:rsidRPr="00472D1B">
        <w:rPr>
          <w:b/>
          <w:sz w:val="28"/>
          <w:szCs w:val="28"/>
          <w:lang w:val="es-ES"/>
        </w:rPr>
        <w:t>●</w:t>
      </w:r>
      <w:r w:rsidRPr="00472D1B">
        <w:rPr>
          <w:b/>
          <w:sz w:val="28"/>
          <w:lang w:val="es-ES"/>
        </w:rPr>
        <w:t xml:space="preserve"> Nueva York, 2016</w:t>
      </w:r>
    </w:p>
    <w:p w:rsidR="003333BE" w:rsidRPr="00472D1B" w:rsidRDefault="003333BE" w:rsidP="003333BE">
      <w:pPr>
        <w:spacing w:before="4800" w:after="120"/>
        <w:ind w:left="1138"/>
        <w:rPr>
          <w:i/>
          <w:lang w:val="es-ES"/>
        </w:rPr>
      </w:pPr>
      <w:r w:rsidRPr="00472D1B">
        <w:rPr>
          <w:b/>
          <w:sz w:val="28"/>
          <w:lang w:val="es-ES"/>
        </w:rPr>
        <w:br w:type="page"/>
      </w:r>
      <w:r w:rsidRPr="00472D1B">
        <w:rPr>
          <w:i/>
          <w:lang w:val="es-ES"/>
        </w:rPr>
        <w:lastRenderedPageBreak/>
        <w:t>Nota</w:t>
      </w:r>
    </w:p>
    <w:p w:rsidR="003333BE" w:rsidRPr="00472D1B" w:rsidRDefault="003333BE" w:rsidP="003333BE">
      <w:pPr>
        <w:pStyle w:val="SingleTxtG"/>
        <w:rPr>
          <w:lang w:val="es-ES"/>
        </w:rPr>
      </w:pPr>
      <w:r w:rsidRPr="00472D1B">
        <w:rPr>
          <w:lang w:val="es-ES"/>
        </w:rPr>
        <w:tab/>
        <w:t>Las signaturas de los documentos de las Naciones Unidas se componen de letras y cifras. La mención de una de tales signaturas indica que se hace referencia a un documento de las Naciones Unidas.</w:t>
      </w:r>
    </w:p>
    <w:p w:rsidR="003333BE" w:rsidRPr="00472D1B" w:rsidRDefault="003333BE" w:rsidP="003333BE">
      <w:pPr>
        <w:pStyle w:val="SingleTxtG"/>
        <w:rPr>
          <w:lang w:val="es-ES"/>
        </w:rPr>
      </w:pPr>
    </w:p>
    <w:p w:rsidR="003333BE" w:rsidRPr="00472D1B" w:rsidRDefault="003333BE" w:rsidP="003333BE">
      <w:pPr>
        <w:pStyle w:val="SingleTxtG"/>
        <w:rPr>
          <w:lang w:val="es-ES"/>
        </w:rPr>
      </w:pPr>
    </w:p>
    <w:p w:rsidR="003333BE" w:rsidRPr="00472D1B" w:rsidRDefault="003333BE" w:rsidP="003333BE">
      <w:pPr>
        <w:pStyle w:val="SingleTxtG"/>
        <w:rPr>
          <w:lang w:val="es-ES"/>
        </w:rPr>
      </w:pPr>
    </w:p>
    <w:p w:rsidR="003333BE" w:rsidRPr="00472D1B" w:rsidRDefault="003333BE" w:rsidP="003333BE">
      <w:pPr>
        <w:pStyle w:val="SingleTxtG"/>
        <w:rPr>
          <w:lang w:val="es-ES"/>
        </w:rPr>
      </w:pPr>
    </w:p>
    <w:p w:rsidR="003333BE" w:rsidRPr="00472D1B" w:rsidRDefault="003333BE" w:rsidP="003333BE">
      <w:pPr>
        <w:pStyle w:val="SingleTxtG"/>
        <w:rPr>
          <w:lang w:val="es-ES"/>
        </w:rPr>
      </w:pPr>
    </w:p>
    <w:p w:rsidR="003333BE" w:rsidRPr="00472D1B" w:rsidRDefault="003333BE" w:rsidP="003333BE">
      <w:pPr>
        <w:ind w:left="1134" w:right="1134"/>
        <w:rPr>
          <w:b/>
          <w:sz w:val="28"/>
          <w:szCs w:val="28"/>
          <w:lang w:val="es-ES"/>
        </w:rPr>
        <w:sectPr w:rsidR="003333BE" w:rsidRPr="00472D1B" w:rsidSect="00C66C4E">
          <w:footerReference w:type="even" r:id="rId14"/>
          <w:footerReference w:type="default" r:id="rId15"/>
          <w:endnotePr>
            <w:numFmt w:val="decimal"/>
          </w:endnotePr>
          <w:pgSz w:w="11906" w:h="16838" w:code="9"/>
          <w:pgMar w:top="1701" w:right="1134" w:bottom="2268" w:left="1134" w:header="1134" w:footer="1701" w:gutter="0"/>
          <w:pgNumType w:fmt="lowerRoman" w:start="3"/>
          <w:cols w:space="708"/>
          <w:docGrid w:linePitch="360"/>
        </w:sectPr>
      </w:pPr>
    </w:p>
    <w:tbl>
      <w:tblPr>
        <w:tblW w:w="964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42"/>
      </w:tblGrid>
      <w:tr w:rsidR="00C61636" w:rsidRPr="00C61636" w:rsidTr="000927C6">
        <w:tc>
          <w:tcPr>
            <w:tcW w:w="9642" w:type="dxa"/>
            <w:tcBorders>
              <w:top w:val="single" w:sz="2" w:space="0" w:color="auto"/>
            </w:tcBorders>
            <w:shd w:val="clear" w:color="auto" w:fill="auto"/>
          </w:tcPr>
          <w:p w:rsidR="00C61636" w:rsidRPr="00C61636" w:rsidRDefault="000927C6" w:rsidP="000927C6">
            <w:pPr>
              <w:pStyle w:val="SingleTxtG"/>
              <w:keepNext/>
              <w:keepLines/>
              <w:tabs>
                <w:tab w:val="left" w:pos="255"/>
              </w:tabs>
              <w:suppressAutoHyphens w:val="0"/>
              <w:spacing w:before="240"/>
              <w:ind w:left="0" w:right="0"/>
              <w:jc w:val="left"/>
              <w:rPr>
                <w:i/>
                <w:lang w:val="es-ES"/>
              </w:rPr>
            </w:pPr>
            <w:r>
              <w:rPr>
                <w:i/>
                <w:noProof/>
                <w:sz w:val="24"/>
                <w:lang w:val="es-ES" w:eastAsia="es-ES"/>
              </w:rPr>
              <w:lastRenderedPageBreak/>
              <w:tab/>
            </w:r>
            <w:r w:rsidR="00C61636" w:rsidRPr="000927C6">
              <w:rPr>
                <w:i/>
                <w:noProof/>
                <w:sz w:val="24"/>
                <w:lang w:val="es-ES" w:eastAsia="es-ES"/>
              </w:rPr>
              <w:t>Resumen</w:t>
            </w:r>
          </w:p>
        </w:tc>
      </w:tr>
      <w:tr w:rsidR="00C61636" w:rsidRPr="008A42A9" w:rsidTr="000927C6">
        <w:tc>
          <w:tcPr>
            <w:tcW w:w="9642" w:type="dxa"/>
            <w:shd w:val="clear" w:color="auto" w:fill="auto"/>
          </w:tcPr>
          <w:p w:rsidR="00C61636" w:rsidRPr="00C61636" w:rsidRDefault="00C61636" w:rsidP="000927C6">
            <w:pPr>
              <w:pStyle w:val="SingleTxtG"/>
              <w:keepNext/>
              <w:keepLines/>
              <w:suppressAutoHyphens w:val="0"/>
              <w:rPr>
                <w:lang w:val="es-ES"/>
              </w:rPr>
            </w:pPr>
            <w:r w:rsidRPr="00C61636">
              <w:rPr>
                <w:lang w:val="es-ES"/>
              </w:rPr>
              <w:tab/>
            </w:r>
            <w:r w:rsidRPr="00C61636">
              <w:rPr>
                <w:noProof/>
                <w:lang w:val="es-ES" w:eastAsia="es-ES"/>
              </w:rPr>
              <w:t>El presente informe anual abarca el período comprendido entre el 16 de mayo de</w:t>
            </w:r>
            <w:r w:rsidR="001E4713">
              <w:rPr>
                <w:noProof/>
                <w:lang w:val="es-ES" w:eastAsia="es-ES"/>
              </w:rPr>
              <w:t xml:space="preserve"> </w:t>
            </w:r>
            <w:r w:rsidRPr="00C61636">
              <w:rPr>
                <w:noProof/>
                <w:lang w:val="es-ES" w:eastAsia="es-ES"/>
              </w:rPr>
              <w:t>2015 y el 13 de mayo de 2016, durante el que el Comité contra la Tortura celebró sus períodos de sesiones 55º, 56º y 57º. Al 13 de mayo de 2016, 159 Estados eran partes en la Convención contra la Tortura y Otros Tratos o Penas Crueles, Inhumanos o Degradantes.</w:t>
            </w:r>
          </w:p>
        </w:tc>
      </w:tr>
      <w:tr w:rsidR="00C61636" w:rsidRPr="008A42A9" w:rsidTr="000927C6">
        <w:tc>
          <w:tcPr>
            <w:tcW w:w="9642" w:type="dxa"/>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En el período abarcado por el presente informe, el Comité examinó y aprobó observaciones finales sobre 17 informes presentados en virtud del artículo 19 de la Convención (véase el cap. III). En su 55º período de sesiones, examinó los informes de Eslovaquia, el Iraq y Suiza. En su 56ª período de sesiones, examinó los informes de Austria, Azerbaiyán, China, Dinamarca, Jordania y Liechtenstein, así como los informes de Hong Kong (China) y Macao (China). En su 57º período de sesiones, examinó los informes de la Arabia Saudita, Filipinas, Francia, Israel, Túnez y Turquía  .</w:t>
            </w:r>
          </w:p>
        </w:tc>
      </w:tr>
      <w:tr w:rsidR="00C61636" w:rsidRPr="001E4713"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El Comité deplora el hecho de que algunos Estados partes no cumplan la obligación de presentar informes que les impone el artículo 19 de la Convención. A la fecha del presente informe, estaba atrasada la presentación de los informes iniciales de</w:t>
            </w:r>
            <w:r w:rsidR="001E4713">
              <w:rPr>
                <w:noProof/>
                <w:lang w:val="es-ES" w:eastAsia="es-ES"/>
              </w:rPr>
              <w:t xml:space="preserve"> </w:t>
            </w:r>
            <w:r w:rsidRPr="00C61636">
              <w:rPr>
                <w:noProof/>
                <w:lang w:val="es-ES" w:eastAsia="es-ES"/>
              </w:rPr>
              <w:t>28 Estados partes y de los informes periódicos de 35 Estados partes (véase el cap. II).</w:t>
            </w:r>
          </w:p>
        </w:tc>
      </w:tr>
      <w:tr w:rsidR="00C61636" w:rsidRPr="008A42A9"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En el período objeto del informe, el Comité siguió estableciendo el procedimiento para el seguimiento de las observaciones finales (véase el cap. IV). El Comité expresa su reconocimiento a los Estados partes que han proporcionado información oportuna y minuciosa sobre el seguimiento.</w:t>
            </w:r>
          </w:p>
        </w:tc>
      </w:tr>
      <w:tr w:rsidR="00C61636" w:rsidRPr="00C61636"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En el período objeto del informe, el Comité siguió aplicando el procedimiento previsto en el artículo 20 (véase el cap. V).</w:t>
            </w:r>
          </w:p>
        </w:tc>
      </w:tr>
      <w:tr w:rsidR="00C61636" w:rsidRPr="008A42A9"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El Comité, en virtud del artículo 22 de la Convención, adoptó 29 decisiones sobre el fondo y declaró inadmisibles 12 comunicaciones. Se suspendió el examen de 18 casos (véase el cap. VI). Se han registrado 749 quejas desde la entrada en vigor de la Convención, 70 de ellas desde el último informe.</w:t>
            </w:r>
          </w:p>
        </w:tc>
      </w:tr>
      <w:tr w:rsidR="00C61636" w:rsidRPr="00C61636"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El volumen de trabajo del Comité en relación con el artículo 22 sigue aumentando, como pone de manifiesto el gran número de comunicaciones registradas en el período a que se refiere el informe. Al término del 57º período de sesiones, estaban pendientes de examen 159 comunicaciones (véase el cap. VI).</w:t>
            </w:r>
          </w:p>
        </w:tc>
      </w:tr>
      <w:tr w:rsidR="00C61636" w:rsidRPr="001E4713"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El Comité observa una vez más que algunos Estados no han cumplido las decisiones que adoptó con respecto a las quejas. Ha seguido procurando por conducto de sus relatores para el seguimiento de las decisiones adoptadas en virtud del artículo</w:t>
            </w:r>
            <w:r w:rsidR="001E4713">
              <w:rPr>
                <w:noProof/>
                <w:lang w:val="es-ES" w:eastAsia="es-ES"/>
              </w:rPr>
              <w:t xml:space="preserve"> </w:t>
            </w:r>
            <w:r w:rsidRPr="00C61636">
              <w:rPr>
                <w:noProof/>
                <w:lang w:val="es-ES" w:eastAsia="es-ES"/>
              </w:rPr>
              <w:t>22 que se cumplan sus decisiones (véase el cap. VI).</w:t>
            </w:r>
          </w:p>
        </w:tc>
      </w:tr>
      <w:tr w:rsidR="00C61636" w:rsidRPr="008A42A9" w:rsidTr="000927C6">
        <w:tc>
          <w:tcPr>
            <w:tcW w:w="9642" w:type="dxa"/>
            <w:tcBorders>
              <w:bottom w:val="nil"/>
            </w:tcBorders>
            <w:shd w:val="clear" w:color="auto" w:fill="auto"/>
          </w:tcPr>
          <w:p w:rsidR="00C61636" w:rsidRPr="00C61636" w:rsidRDefault="00C61636" w:rsidP="000927C6">
            <w:pPr>
              <w:pStyle w:val="SingleTxtG"/>
              <w:keepNext/>
              <w:keepLines/>
              <w:suppressAutoHyphens w:val="0"/>
              <w:rPr>
                <w:noProof/>
                <w:lang w:val="es-ES" w:eastAsia="es-ES"/>
              </w:rPr>
            </w:pPr>
            <w:r w:rsidRPr="00C61636">
              <w:rPr>
                <w:noProof/>
                <w:lang w:val="es-ES" w:eastAsia="es-ES"/>
              </w:rPr>
              <w:tab/>
              <w:t xml:space="preserve">El Comité reafirmó su apoyo al fortalecimiento de los órganos de tratados y, al mismo tiempo, insistió en la necesidad de que se asignaran recursos de personal suficientes para que pudiera ponerse al día con las comunicaciones individuales y, de esa forma, utilizar con eficiencia el tiempo adicional de reunión dispuesto en la resolución </w:t>
            </w:r>
            <w:r w:rsidR="003D1455">
              <w:fldChar w:fldCharType="begin"/>
            </w:r>
            <w:r w:rsidR="003D1455" w:rsidRPr="008A42A9">
              <w:rPr>
                <w:lang w:val="es-ES"/>
              </w:rPr>
              <w:instrText xml:space="preserve"> HYPERLINK "http://www</w:instrText>
            </w:r>
            <w:r w:rsidR="003D1455" w:rsidRPr="008A42A9">
              <w:rPr>
                <w:lang w:val="es-ES"/>
              </w:rPr>
              <w:instrText xml:space="preserve">.un.org/ga/search/view_doc.asp?symbol=A/RES/68/268&amp;referer=http://www.un.org/en/ga/documents/symbol.shtml&amp;Lang=S" </w:instrText>
            </w:r>
            <w:r w:rsidR="003D1455">
              <w:fldChar w:fldCharType="separate"/>
            </w:r>
            <w:r w:rsidRPr="00581856">
              <w:rPr>
                <w:rStyle w:val="Hipervnculo"/>
                <w:noProof/>
                <w:lang w:val="es-ES" w:eastAsia="es-ES"/>
              </w:rPr>
              <w:t>68/268</w:t>
            </w:r>
            <w:r w:rsidR="003D1455">
              <w:rPr>
                <w:rStyle w:val="Hipervnculo"/>
                <w:noProof/>
                <w:lang w:val="es-ES" w:eastAsia="es-ES"/>
              </w:rPr>
              <w:fldChar w:fldCharType="end"/>
            </w:r>
            <w:r w:rsidRPr="00C61636">
              <w:rPr>
                <w:noProof/>
                <w:lang w:val="es-ES" w:eastAsia="es-ES"/>
              </w:rPr>
              <w:t xml:space="preserve"> de la Asamblea General.</w:t>
            </w:r>
          </w:p>
        </w:tc>
      </w:tr>
      <w:tr w:rsidR="00C61636" w:rsidRPr="008A42A9" w:rsidTr="000927C6">
        <w:tc>
          <w:tcPr>
            <w:tcW w:w="9642" w:type="dxa"/>
            <w:tcBorders>
              <w:bottom w:val="single" w:sz="2" w:space="0" w:color="auto"/>
            </w:tcBorders>
            <w:shd w:val="clear" w:color="auto" w:fill="auto"/>
          </w:tcPr>
          <w:p w:rsidR="00C61636" w:rsidRPr="00C61636" w:rsidRDefault="00C61636" w:rsidP="00C61636">
            <w:pPr>
              <w:pStyle w:val="SingleTxtG"/>
              <w:rPr>
                <w:lang w:val="es-ES"/>
              </w:rPr>
            </w:pPr>
          </w:p>
        </w:tc>
      </w:tr>
    </w:tbl>
    <w:p w:rsidR="00C61636" w:rsidRDefault="00C61636" w:rsidP="00C61636">
      <w:pPr>
        <w:pStyle w:val="SingleTxtG"/>
        <w:rPr>
          <w:lang w:val="es-ES"/>
        </w:rPr>
      </w:pPr>
    </w:p>
    <w:p w:rsidR="00AC5DE7" w:rsidRDefault="00AC5DE7" w:rsidP="00D939C3">
      <w:pPr>
        <w:suppressAutoHyphens w:val="0"/>
        <w:spacing w:after="120"/>
        <w:rPr>
          <w:lang w:val="es-ES"/>
        </w:rPr>
        <w:sectPr w:rsidR="00AC5DE7" w:rsidSect="00C66C4E">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pgNumType w:fmt="lowerRoman" w:start="3"/>
          <w:cols w:space="708"/>
          <w:titlePg/>
          <w:docGrid w:linePitch="360"/>
        </w:sectPr>
      </w:pPr>
    </w:p>
    <w:p w:rsidR="00D939C3" w:rsidRPr="00472D1B" w:rsidRDefault="00D939C3" w:rsidP="00D939C3">
      <w:pPr>
        <w:suppressAutoHyphens w:val="0"/>
        <w:spacing w:after="120"/>
        <w:rPr>
          <w:sz w:val="28"/>
          <w:lang w:val="es-ES"/>
        </w:rPr>
      </w:pPr>
      <w:r w:rsidRPr="00472D1B">
        <w:rPr>
          <w:sz w:val="28"/>
          <w:lang w:val="es-ES"/>
        </w:rPr>
        <w:lastRenderedPageBreak/>
        <w:t>Índice</w:t>
      </w:r>
    </w:p>
    <w:p w:rsidR="00D939C3" w:rsidRPr="00472D1B" w:rsidRDefault="00D939C3" w:rsidP="00D939C3">
      <w:pPr>
        <w:tabs>
          <w:tab w:val="right" w:pos="8929"/>
          <w:tab w:val="right" w:pos="9638"/>
        </w:tabs>
        <w:suppressAutoHyphens w:val="0"/>
        <w:spacing w:after="120"/>
        <w:ind w:left="283"/>
        <w:rPr>
          <w:sz w:val="18"/>
          <w:lang w:val="es-ES"/>
        </w:rPr>
      </w:pPr>
      <w:r w:rsidRPr="00472D1B">
        <w:rPr>
          <w:i/>
          <w:sz w:val="18"/>
          <w:lang w:val="es-ES"/>
        </w:rPr>
        <w:t>Capítulo</w:t>
      </w:r>
      <w:r w:rsidRPr="00472D1B">
        <w:rPr>
          <w:i/>
          <w:sz w:val="18"/>
          <w:lang w:val="es-ES"/>
        </w:rPr>
        <w:tab/>
      </w:r>
      <w:r>
        <w:rPr>
          <w:i/>
          <w:sz w:val="18"/>
          <w:lang w:val="es-ES"/>
        </w:rPr>
        <w:tab/>
      </w:r>
      <w:r w:rsidRPr="00472D1B">
        <w:rPr>
          <w:i/>
          <w:sz w:val="18"/>
          <w:lang w:val="es-ES"/>
        </w:rPr>
        <w:t>Página</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I.</w:t>
      </w:r>
      <w:r>
        <w:rPr>
          <w:lang w:val="es-ES" w:eastAsia="es-ES"/>
        </w:rPr>
        <w:tab/>
        <w:t>Cuestiones de organización y otros asuntos</w:t>
      </w:r>
      <w:r>
        <w:rPr>
          <w:lang w:val="es-ES" w:eastAsia="es-ES"/>
        </w:rPr>
        <w:tab/>
      </w:r>
      <w:r>
        <w:rPr>
          <w:lang w:val="es-ES" w:eastAsia="es-ES"/>
        </w:rPr>
        <w:tab/>
      </w:r>
      <w:r w:rsidR="00265D06">
        <w:rPr>
          <w:lang w:val="es-ES" w:eastAsia="es-ES"/>
        </w:rPr>
        <w:t>1</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A.</w:t>
      </w:r>
      <w:r>
        <w:rPr>
          <w:lang w:val="es-ES" w:eastAsia="es-ES"/>
        </w:rPr>
        <w:tab/>
        <w:t>Estados partes en la Convención</w:t>
      </w:r>
      <w:r>
        <w:rPr>
          <w:lang w:val="es-ES" w:eastAsia="es-ES"/>
        </w:rPr>
        <w:tab/>
      </w:r>
      <w:r>
        <w:rPr>
          <w:lang w:val="es-ES" w:eastAsia="es-ES"/>
        </w:rPr>
        <w:tab/>
      </w:r>
      <w:r w:rsidR="00265D06">
        <w:rPr>
          <w:lang w:val="es-ES" w:eastAsia="es-ES"/>
        </w:rPr>
        <w:t>1</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B.</w:t>
      </w:r>
      <w:r>
        <w:rPr>
          <w:lang w:val="es-ES" w:eastAsia="es-ES"/>
        </w:rPr>
        <w:tab/>
        <w:t>Períodos de sesiones y programas del Comité</w:t>
      </w:r>
      <w:r>
        <w:rPr>
          <w:lang w:val="es-ES" w:eastAsia="es-ES"/>
        </w:rPr>
        <w:tab/>
      </w:r>
      <w:r>
        <w:rPr>
          <w:lang w:val="es-ES" w:eastAsia="es-ES"/>
        </w:rPr>
        <w:tab/>
      </w:r>
      <w:r w:rsidR="00265D06">
        <w:rPr>
          <w:lang w:val="es-ES" w:eastAsia="es-ES"/>
        </w:rPr>
        <w:t>1</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C.</w:t>
      </w:r>
      <w:r>
        <w:rPr>
          <w:lang w:val="es-ES" w:eastAsia="es-ES"/>
        </w:rPr>
        <w:tab/>
        <w:t>Composición, miembros de la Mesa y mandatos</w:t>
      </w:r>
      <w:r>
        <w:rPr>
          <w:lang w:val="es-ES" w:eastAsia="es-ES"/>
        </w:rPr>
        <w:tab/>
      </w:r>
      <w:r>
        <w:rPr>
          <w:lang w:val="es-ES" w:eastAsia="es-ES"/>
        </w:rPr>
        <w:tab/>
      </w:r>
      <w:r w:rsidR="00265D06">
        <w:rPr>
          <w:lang w:val="es-ES" w:eastAsia="es-ES"/>
        </w:rPr>
        <w:t>1</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D.</w:t>
      </w:r>
      <w:r>
        <w:rPr>
          <w:lang w:val="es-ES" w:eastAsia="es-ES"/>
        </w:rPr>
        <w:tab/>
        <w:t>Participación de miembros del Comité en otras reuniones</w:t>
      </w:r>
      <w:r>
        <w:rPr>
          <w:lang w:val="es-ES" w:eastAsia="es-ES"/>
        </w:rPr>
        <w:tab/>
      </w:r>
      <w:r>
        <w:rPr>
          <w:lang w:val="es-ES" w:eastAsia="es-ES"/>
        </w:rPr>
        <w:tab/>
      </w:r>
      <w:r w:rsidR="00265D06">
        <w:rPr>
          <w:lang w:val="es-ES" w:eastAsia="es-ES"/>
        </w:rPr>
        <w:t>2</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E.</w:t>
      </w:r>
      <w:r>
        <w:rPr>
          <w:lang w:val="es-ES" w:eastAsia="es-ES"/>
        </w:rPr>
        <w:tab/>
        <w:t>Informe oral del Presidente a la Asa</w:t>
      </w:r>
      <w:bookmarkStart w:id="0" w:name="_GoBack"/>
      <w:bookmarkEnd w:id="0"/>
      <w:r>
        <w:rPr>
          <w:lang w:val="es-ES" w:eastAsia="es-ES"/>
        </w:rPr>
        <w:t>mblea General</w:t>
      </w:r>
      <w:r>
        <w:rPr>
          <w:lang w:val="es-ES" w:eastAsia="es-ES"/>
        </w:rPr>
        <w:tab/>
      </w:r>
      <w:r>
        <w:rPr>
          <w:lang w:val="es-ES" w:eastAsia="es-ES"/>
        </w:rPr>
        <w:tab/>
      </w:r>
      <w:r w:rsidR="00265D06">
        <w:rPr>
          <w:lang w:val="es-ES" w:eastAsia="es-ES"/>
        </w:rPr>
        <w:t>2</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F.</w:t>
      </w:r>
      <w:r>
        <w:rPr>
          <w:lang w:val="es-ES" w:eastAsia="es-ES"/>
        </w:rPr>
        <w:tab/>
        <w:t>Actividades del Comité relacionadas con el Protocolo Facultativo de la Convención</w:t>
      </w:r>
      <w:r>
        <w:rPr>
          <w:lang w:val="es-ES" w:eastAsia="es-ES"/>
        </w:rPr>
        <w:tab/>
      </w:r>
      <w:r>
        <w:rPr>
          <w:lang w:val="es-ES" w:eastAsia="es-ES"/>
        </w:rPr>
        <w:tab/>
      </w:r>
      <w:r w:rsidR="00265D06">
        <w:rPr>
          <w:lang w:val="es-ES" w:eastAsia="es-ES"/>
        </w:rPr>
        <w:t>2</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G.</w:t>
      </w:r>
      <w:r>
        <w:rPr>
          <w:lang w:val="es-ES" w:eastAsia="es-ES"/>
        </w:rPr>
        <w:tab/>
        <w:t xml:space="preserve">Declaración conjunta con motivo del Día Internacional de las Naciones Unidas </w:t>
      </w:r>
      <w:r>
        <w:rPr>
          <w:lang w:val="es-ES" w:eastAsia="es-ES"/>
        </w:rPr>
        <w:br/>
      </w:r>
      <w:r>
        <w:rPr>
          <w:lang w:val="es-ES" w:eastAsia="es-ES"/>
        </w:rPr>
        <w:tab/>
      </w:r>
      <w:r>
        <w:rPr>
          <w:lang w:val="es-ES" w:eastAsia="es-ES"/>
        </w:rPr>
        <w:tab/>
      </w:r>
      <w:r>
        <w:rPr>
          <w:lang w:val="es-ES" w:eastAsia="es-ES"/>
        </w:rPr>
        <w:tab/>
        <w:t xml:space="preserve">en Apoyo de las Víctimas de la Tortura y cooperación con la Junta de Síndicos </w:t>
      </w:r>
      <w:r>
        <w:rPr>
          <w:lang w:val="es-ES" w:eastAsia="es-ES"/>
        </w:rPr>
        <w:br/>
      </w:r>
      <w:r>
        <w:rPr>
          <w:lang w:val="es-ES" w:eastAsia="es-ES"/>
        </w:rPr>
        <w:tab/>
      </w:r>
      <w:r>
        <w:rPr>
          <w:lang w:val="es-ES" w:eastAsia="es-ES"/>
        </w:rPr>
        <w:tab/>
      </w:r>
      <w:r>
        <w:rPr>
          <w:lang w:val="es-ES" w:eastAsia="es-ES"/>
        </w:rPr>
        <w:tab/>
        <w:t xml:space="preserve">del Fondo de Contribuciones Voluntarias de las Naciones Unidas para las Víctimas </w:t>
      </w:r>
      <w:r>
        <w:rPr>
          <w:lang w:val="es-ES" w:eastAsia="es-ES"/>
        </w:rPr>
        <w:br/>
      </w:r>
      <w:r>
        <w:rPr>
          <w:lang w:val="es-ES" w:eastAsia="es-ES"/>
        </w:rPr>
        <w:tab/>
      </w:r>
      <w:r>
        <w:rPr>
          <w:lang w:val="es-ES" w:eastAsia="es-ES"/>
        </w:rPr>
        <w:tab/>
      </w:r>
      <w:r>
        <w:rPr>
          <w:lang w:val="es-ES" w:eastAsia="es-ES"/>
        </w:rPr>
        <w:tab/>
        <w:t>de la Tortura</w:t>
      </w:r>
      <w:r>
        <w:rPr>
          <w:lang w:val="es-ES" w:eastAsia="es-ES"/>
        </w:rPr>
        <w:tab/>
      </w:r>
      <w:r>
        <w:rPr>
          <w:lang w:val="es-ES" w:eastAsia="es-ES"/>
        </w:rPr>
        <w:tab/>
      </w:r>
      <w:r w:rsidR="00F85780">
        <w:rPr>
          <w:lang w:val="es-ES" w:eastAsia="es-ES"/>
        </w:rPr>
        <w:t>3</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H.</w:t>
      </w:r>
      <w:r>
        <w:rPr>
          <w:lang w:val="es-ES" w:eastAsia="es-ES"/>
        </w:rPr>
        <w:tab/>
        <w:t>Observación general revisada sobre el artículo 3 de la Convención</w:t>
      </w:r>
      <w:r>
        <w:rPr>
          <w:lang w:val="es-ES" w:eastAsia="es-ES"/>
        </w:rPr>
        <w:tab/>
      </w:r>
      <w:r>
        <w:rPr>
          <w:lang w:val="es-ES" w:eastAsia="es-ES"/>
        </w:rPr>
        <w:tab/>
      </w:r>
      <w:r w:rsidR="00F85780">
        <w:rPr>
          <w:lang w:val="es-ES" w:eastAsia="es-ES"/>
        </w:rPr>
        <w:t>3</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I.</w:t>
      </w:r>
      <w:r>
        <w:rPr>
          <w:lang w:val="es-ES" w:eastAsia="es-ES"/>
        </w:rPr>
        <w:tab/>
        <w:t>Participación de organizaciones no gubernamentales</w:t>
      </w:r>
      <w:r>
        <w:rPr>
          <w:lang w:val="es-ES" w:eastAsia="es-ES"/>
        </w:rPr>
        <w:tab/>
      </w:r>
      <w:r>
        <w:rPr>
          <w:lang w:val="es-ES" w:eastAsia="es-ES"/>
        </w:rPr>
        <w:tab/>
      </w:r>
      <w:r w:rsidR="00F85780">
        <w:rPr>
          <w:lang w:val="es-ES" w:eastAsia="es-ES"/>
        </w:rPr>
        <w:t>3</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J.</w:t>
      </w:r>
      <w:r>
        <w:rPr>
          <w:lang w:val="es-ES" w:eastAsia="es-ES"/>
        </w:rPr>
        <w:tab/>
        <w:t xml:space="preserve">Participación de instituciones nacionales de derechos humanos y de mecanismos </w:t>
      </w:r>
      <w:r>
        <w:rPr>
          <w:lang w:val="es-ES" w:eastAsia="es-ES"/>
        </w:rPr>
        <w:br/>
      </w:r>
      <w:r>
        <w:rPr>
          <w:lang w:val="es-ES" w:eastAsia="es-ES"/>
        </w:rPr>
        <w:tab/>
      </w:r>
      <w:r>
        <w:rPr>
          <w:lang w:val="es-ES" w:eastAsia="es-ES"/>
        </w:rPr>
        <w:tab/>
      </w:r>
      <w:r>
        <w:rPr>
          <w:lang w:val="es-ES" w:eastAsia="es-ES"/>
        </w:rPr>
        <w:tab/>
        <w:t>nacionales de prevención</w:t>
      </w:r>
      <w:r>
        <w:rPr>
          <w:lang w:val="es-ES" w:eastAsia="es-ES"/>
        </w:rPr>
        <w:tab/>
      </w:r>
      <w:r>
        <w:rPr>
          <w:lang w:val="es-ES" w:eastAsia="es-ES"/>
        </w:rPr>
        <w:tab/>
      </w:r>
      <w:r w:rsidR="00F85780">
        <w:rPr>
          <w:lang w:val="es-ES" w:eastAsia="es-ES"/>
        </w:rPr>
        <w:t>4</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K.</w:t>
      </w:r>
      <w:r>
        <w:rPr>
          <w:lang w:val="es-ES" w:eastAsia="es-ES"/>
        </w:rPr>
        <w:tab/>
        <w:t>Relatores sobre las represalias</w:t>
      </w:r>
      <w:r>
        <w:rPr>
          <w:lang w:val="es-ES" w:eastAsia="es-ES"/>
        </w:rPr>
        <w:tab/>
      </w:r>
      <w:r>
        <w:rPr>
          <w:lang w:val="es-ES" w:eastAsia="es-ES"/>
        </w:rPr>
        <w:tab/>
      </w:r>
      <w:r w:rsidR="00F85780">
        <w:rPr>
          <w:lang w:val="es-ES" w:eastAsia="es-ES"/>
        </w:rPr>
        <w:t>4</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L.</w:t>
      </w:r>
      <w:r>
        <w:rPr>
          <w:lang w:val="es-ES" w:eastAsia="es-ES"/>
        </w:rPr>
        <w:tab/>
        <w:t>Proceso de fortalecimiento de los órganos de tratados</w:t>
      </w:r>
      <w:r>
        <w:rPr>
          <w:lang w:val="es-ES" w:eastAsia="es-ES"/>
        </w:rPr>
        <w:tab/>
      </w:r>
      <w:r>
        <w:rPr>
          <w:lang w:val="es-ES" w:eastAsia="es-ES"/>
        </w:rPr>
        <w:tab/>
      </w:r>
      <w:r w:rsidR="00F85780">
        <w:rPr>
          <w:lang w:val="es-ES" w:eastAsia="es-ES"/>
        </w:rPr>
        <w:t>5</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M.</w:t>
      </w:r>
      <w:r>
        <w:rPr>
          <w:lang w:val="es-ES" w:eastAsia="es-ES"/>
        </w:rPr>
        <w:tab/>
        <w:t xml:space="preserve">Aplicación de las decisiones adoptadas en el retiro sobre los métodos de trabajo </w:t>
      </w:r>
      <w:r>
        <w:rPr>
          <w:lang w:val="es-ES" w:eastAsia="es-ES"/>
        </w:rPr>
        <w:br/>
      </w:r>
      <w:r>
        <w:rPr>
          <w:lang w:val="es-ES" w:eastAsia="es-ES"/>
        </w:rPr>
        <w:tab/>
      </w:r>
      <w:r>
        <w:rPr>
          <w:lang w:val="es-ES" w:eastAsia="es-ES"/>
        </w:rPr>
        <w:tab/>
      </w:r>
      <w:r>
        <w:rPr>
          <w:lang w:val="es-ES" w:eastAsia="es-ES"/>
        </w:rPr>
        <w:tab/>
        <w:t>del Comité</w:t>
      </w:r>
      <w:r>
        <w:rPr>
          <w:lang w:val="es-ES" w:eastAsia="es-ES"/>
        </w:rPr>
        <w:tab/>
      </w:r>
      <w:r>
        <w:rPr>
          <w:lang w:val="es-ES" w:eastAsia="es-ES"/>
        </w:rPr>
        <w:tab/>
      </w:r>
      <w:r w:rsidR="00F85780">
        <w:rPr>
          <w:lang w:val="es-ES" w:eastAsia="es-ES"/>
        </w:rPr>
        <w:t>5</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II.</w:t>
      </w:r>
      <w:r>
        <w:rPr>
          <w:lang w:val="es-ES" w:eastAsia="es-ES"/>
        </w:rPr>
        <w:tab/>
        <w:t>Presentación de informes por los Estados partes en virtud del artículo 19 de la Convención</w:t>
      </w:r>
      <w:r>
        <w:rPr>
          <w:lang w:val="es-ES" w:eastAsia="es-ES"/>
        </w:rPr>
        <w:tab/>
      </w:r>
      <w:r>
        <w:rPr>
          <w:lang w:val="es-ES" w:eastAsia="es-ES"/>
        </w:rPr>
        <w:tab/>
      </w:r>
      <w:r w:rsidR="00487143">
        <w:rPr>
          <w:lang w:val="es-ES" w:eastAsia="es-ES"/>
        </w:rPr>
        <w:t>6</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A.</w:t>
      </w:r>
      <w:r>
        <w:rPr>
          <w:lang w:val="es-ES" w:eastAsia="es-ES"/>
        </w:rPr>
        <w:tab/>
        <w:t>Invitación a presentar informes periódicos</w:t>
      </w:r>
      <w:r>
        <w:rPr>
          <w:lang w:val="es-ES" w:eastAsia="es-ES"/>
        </w:rPr>
        <w:tab/>
      </w:r>
      <w:r>
        <w:rPr>
          <w:lang w:val="es-ES" w:eastAsia="es-ES"/>
        </w:rPr>
        <w:tab/>
      </w:r>
      <w:r w:rsidR="00F85780">
        <w:rPr>
          <w:lang w:val="es-ES" w:eastAsia="es-ES"/>
        </w:rPr>
        <w:t>6</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B.</w:t>
      </w:r>
      <w:r>
        <w:rPr>
          <w:lang w:val="es-ES" w:eastAsia="es-ES"/>
        </w:rPr>
        <w:tab/>
        <w:t>Procedimiento simplificado de presentación de informes</w:t>
      </w:r>
      <w:r>
        <w:rPr>
          <w:lang w:val="es-ES" w:eastAsia="es-ES"/>
        </w:rPr>
        <w:tab/>
      </w:r>
      <w:r>
        <w:rPr>
          <w:lang w:val="es-ES" w:eastAsia="es-ES"/>
        </w:rPr>
        <w:tab/>
      </w:r>
      <w:r w:rsidR="00F85780">
        <w:rPr>
          <w:lang w:val="es-ES" w:eastAsia="es-ES"/>
        </w:rPr>
        <w:t>6</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C.</w:t>
      </w:r>
      <w:r>
        <w:rPr>
          <w:lang w:val="es-ES" w:eastAsia="es-ES"/>
        </w:rPr>
        <w:tab/>
        <w:t>Recordatorios sobre informes iniciales y periódicos atrasados</w:t>
      </w:r>
      <w:r>
        <w:rPr>
          <w:lang w:val="es-ES" w:eastAsia="es-ES"/>
        </w:rPr>
        <w:tab/>
      </w:r>
      <w:r>
        <w:rPr>
          <w:lang w:val="es-ES" w:eastAsia="es-ES"/>
        </w:rPr>
        <w:tab/>
      </w:r>
      <w:r w:rsidR="00487143">
        <w:rPr>
          <w:lang w:val="es-ES" w:eastAsia="es-ES"/>
        </w:rPr>
        <w:t>8</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D.</w:t>
      </w:r>
      <w:r>
        <w:rPr>
          <w:lang w:val="es-ES" w:eastAsia="es-ES"/>
        </w:rPr>
        <w:tab/>
        <w:t>Examen de las medidas adoptadas por un Estado parte en ausencia de informe</w:t>
      </w:r>
      <w:r>
        <w:rPr>
          <w:lang w:val="es-ES" w:eastAsia="es-ES"/>
        </w:rPr>
        <w:tab/>
      </w:r>
      <w:r>
        <w:rPr>
          <w:lang w:val="es-ES" w:eastAsia="es-ES"/>
        </w:rPr>
        <w:tab/>
      </w:r>
      <w:r w:rsidR="00F85780">
        <w:rPr>
          <w:lang w:val="es-ES" w:eastAsia="es-ES"/>
        </w:rPr>
        <w:t>8</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E.</w:t>
      </w:r>
      <w:r>
        <w:rPr>
          <w:lang w:val="es-ES" w:eastAsia="es-ES"/>
        </w:rPr>
        <w:tab/>
        <w:t>Solicitud de un informe especial</w:t>
      </w:r>
      <w:r>
        <w:rPr>
          <w:lang w:val="es-ES" w:eastAsia="es-ES"/>
        </w:rPr>
        <w:tab/>
      </w:r>
      <w:r>
        <w:rPr>
          <w:lang w:val="es-ES" w:eastAsia="es-ES"/>
        </w:rPr>
        <w:tab/>
      </w:r>
      <w:r w:rsidR="00487143">
        <w:rPr>
          <w:lang w:val="es-ES" w:eastAsia="es-ES"/>
        </w:rPr>
        <w:t>9</w:t>
      </w:r>
    </w:p>
    <w:p w:rsidR="005A2CDC" w:rsidRDefault="005A2CDC" w:rsidP="005A2CDC">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III.</w:t>
      </w:r>
      <w:r>
        <w:rPr>
          <w:lang w:val="es-ES" w:eastAsia="es-ES"/>
        </w:rPr>
        <w:tab/>
        <w:t xml:space="preserve">Examen de los informes presentados por los Estados partes en virtud del artículo 19 de </w:t>
      </w:r>
      <w:r>
        <w:rPr>
          <w:lang w:val="es-ES" w:eastAsia="es-ES"/>
        </w:rPr>
        <w:br/>
      </w:r>
      <w:r>
        <w:rPr>
          <w:lang w:val="es-ES" w:eastAsia="es-ES"/>
        </w:rPr>
        <w:tab/>
      </w:r>
      <w:r>
        <w:rPr>
          <w:lang w:val="es-ES" w:eastAsia="es-ES"/>
        </w:rPr>
        <w:tab/>
        <w:t>la Convención</w:t>
      </w:r>
      <w:r>
        <w:rPr>
          <w:lang w:val="es-ES" w:eastAsia="es-ES"/>
        </w:rPr>
        <w:tab/>
      </w:r>
      <w:r>
        <w:rPr>
          <w:lang w:val="es-ES" w:eastAsia="es-ES"/>
        </w:rPr>
        <w:tab/>
      </w:r>
      <w:r w:rsidR="00F85780">
        <w:rPr>
          <w:lang w:val="es-ES" w:eastAsia="es-ES"/>
        </w:rPr>
        <w:t>9</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rPr>
        <w:tab/>
      </w:r>
      <w:r>
        <w:rPr>
          <w:lang w:val="es-ES" w:eastAsia="es-ES"/>
        </w:rPr>
        <w:t>IV.</w:t>
      </w:r>
      <w:r>
        <w:rPr>
          <w:lang w:val="es-ES" w:eastAsia="es-ES"/>
        </w:rPr>
        <w:tab/>
        <w:t>Seguimiento de las observaciones finales sobre los informes de los Estados partes</w:t>
      </w:r>
      <w:r>
        <w:rPr>
          <w:lang w:val="es-ES" w:eastAsia="es-ES"/>
        </w:rPr>
        <w:tab/>
      </w:r>
      <w:r>
        <w:rPr>
          <w:lang w:val="es-ES" w:eastAsia="es-ES"/>
        </w:rPr>
        <w:tab/>
      </w:r>
      <w:r w:rsidR="00F85780">
        <w:rPr>
          <w:lang w:val="es-ES" w:eastAsia="es-ES"/>
        </w:rPr>
        <w:t>11</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V.</w:t>
      </w:r>
      <w:r>
        <w:rPr>
          <w:lang w:val="es-ES" w:eastAsia="es-ES"/>
        </w:rPr>
        <w:tab/>
        <w:t>Actividades realizadas por el Comité en el marco del artículo 20 de la Convención</w:t>
      </w:r>
      <w:r>
        <w:rPr>
          <w:lang w:val="es-ES" w:eastAsia="es-ES"/>
        </w:rPr>
        <w:tab/>
      </w:r>
      <w:r>
        <w:rPr>
          <w:lang w:val="es-ES" w:eastAsia="es-ES"/>
        </w:rPr>
        <w:tab/>
      </w:r>
      <w:r w:rsidR="00F85780">
        <w:rPr>
          <w:lang w:val="es-ES" w:eastAsia="es-ES"/>
        </w:rPr>
        <w:t>13</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VI.</w:t>
      </w:r>
      <w:r>
        <w:rPr>
          <w:lang w:val="es-ES" w:eastAsia="es-ES"/>
        </w:rPr>
        <w:tab/>
        <w:t>Examen de las quejas de conformidad con el artículo 22 de la Convención</w:t>
      </w:r>
      <w:r>
        <w:rPr>
          <w:lang w:val="es-ES" w:eastAsia="es-ES"/>
        </w:rPr>
        <w:tab/>
      </w:r>
      <w:r>
        <w:rPr>
          <w:lang w:val="es-ES" w:eastAsia="es-ES"/>
        </w:rPr>
        <w:tab/>
      </w:r>
      <w:r w:rsidR="00F85780">
        <w:rPr>
          <w:lang w:val="es-ES" w:eastAsia="es-ES"/>
        </w:rPr>
        <w:t>14</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A.</w:t>
      </w:r>
      <w:r>
        <w:rPr>
          <w:lang w:val="es-ES" w:eastAsia="es-ES"/>
        </w:rPr>
        <w:tab/>
        <w:t>Introducción</w:t>
      </w:r>
      <w:r>
        <w:rPr>
          <w:lang w:val="es-ES" w:eastAsia="es-ES"/>
        </w:rPr>
        <w:tab/>
      </w:r>
      <w:r>
        <w:rPr>
          <w:lang w:val="es-ES" w:eastAsia="es-ES"/>
        </w:rPr>
        <w:tab/>
      </w:r>
      <w:r w:rsidR="00F85780">
        <w:rPr>
          <w:lang w:val="es-ES" w:eastAsia="es-ES"/>
        </w:rPr>
        <w:t>14</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B.</w:t>
      </w:r>
      <w:r>
        <w:rPr>
          <w:lang w:val="es-ES" w:eastAsia="es-ES"/>
        </w:rPr>
        <w:tab/>
        <w:t>Medidas provisionales de protección</w:t>
      </w:r>
      <w:r>
        <w:rPr>
          <w:lang w:val="es-ES" w:eastAsia="es-ES"/>
        </w:rPr>
        <w:tab/>
      </w:r>
      <w:r>
        <w:rPr>
          <w:lang w:val="es-ES" w:eastAsia="es-ES"/>
        </w:rPr>
        <w:tab/>
      </w:r>
      <w:r w:rsidR="00F85780">
        <w:rPr>
          <w:lang w:val="es-ES" w:eastAsia="es-ES"/>
        </w:rPr>
        <w:t>14</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C.</w:t>
      </w:r>
      <w:r>
        <w:rPr>
          <w:lang w:val="es-ES" w:eastAsia="es-ES"/>
        </w:rPr>
        <w:tab/>
        <w:t>Marcha de los trabajos</w:t>
      </w:r>
      <w:r>
        <w:rPr>
          <w:lang w:val="es-ES" w:eastAsia="es-ES"/>
        </w:rPr>
        <w:tab/>
      </w:r>
      <w:r>
        <w:rPr>
          <w:lang w:val="es-ES" w:eastAsia="es-ES"/>
        </w:rPr>
        <w:tab/>
      </w:r>
      <w:r w:rsidR="00F85780">
        <w:rPr>
          <w:lang w:val="es-ES" w:eastAsia="es-ES"/>
        </w:rPr>
        <w:t>15</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D.</w:t>
      </w:r>
      <w:r>
        <w:rPr>
          <w:lang w:val="es-ES" w:eastAsia="es-ES"/>
        </w:rPr>
        <w:tab/>
        <w:t>Actividades de seguimiento</w:t>
      </w:r>
      <w:r>
        <w:rPr>
          <w:lang w:val="es-ES" w:eastAsia="es-ES"/>
        </w:rPr>
        <w:tab/>
      </w:r>
      <w:r>
        <w:rPr>
          <w:lang w:val="es-ES" w:eastAsia="es-ES"/>
        </w:rPr>
        <w:tab/>
      </w:r>
      <w:r w:rsidR="00F85780">
        <w:rPr>
          <w:lang w:val="es-ES" w:eastAsia="es-ES"/>
        </w:rPr>
        <w:t>17</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VII.</w:t>
      </w:r>
      <w:r>
        <w:rPr>
          <w:lang w:val="es-ES" w:eastAsia="es-ES"/>
        </w:rPr>
        <w:tab/>
        <w:t>Reuniones futuras del Comité</w:t>
      </w:r>
      <w:r>
        <w:rPr>
          <w:lang w:val="es-ES" w:eastAsia="es-ES"/>
        </w:rPr>
        <w:tab/>
      </w:r>
      <w:r>
        <w:rPr>
          <w:lang w:val="es-ES" w:eastAsia="es-ES"/>
        </w:rPr>
        <w:tab/>
      </w:r>
      <w:r w:rsidR="00F85780">
        <w:rPr>
          <w:lang w:val="es-ES" w:eastAsia="es-ES"/>
        </w:rPr>
        <w:t>1</w:t>
      </w:r>
      <w:r w:rsidR="00487143">
        <w:rPr>
          <w:lang w:val="es-ES" w:eastAsia="es-ES"/>
        </w:rPr>
        <w:t>8</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t>VIII.</w:t>
      </w:r>
      <w:r>
        <w:rPr>
          <w:lang w:val="es-ES" w:eastAsia="es-ES"/>
        </w:rPr>
        <w:tab/>
        <w:t>Aprobación del informe anual del Comité sobre sus actividades</w:t>
      </w:r>
      <w:r>
        <w:rPr>
          <w:lang w:val="es-ES" w:eastAsia="es-ES"/>
        </w:rPr>
        <w:tab/>
      </w:r>
      <w:r>
        <w:rPr>
          <w:lang w:val="es-ES" w:eastAsia="es-ES"/>
        </w:rPr>
        <w:tab/>
      </w:r>
      <w:r w:rsidR="00F85780">
        <w:rPr>
          <w:lang w:val="es-ES" w:eastAsia="es-ES"/>
        </w:rPr>
        <w:t>18</w:t>
      </w:r>
    </w:p>
    <w:p w:rsidR="001F0C08" w:rsidRDefault="001F0C08" w:rsidP="001F0C08">
      <w:pPr>
        <w:pStyle w:val="H56G"/>
        <w:rPr>
          <w:lang w:val="es-ES" w:eastAsia="es-ES"/>
        </w:rPr>
      </w:pPr>
      <w:r>
        <w:rPr>
          <w:lang w:val="es-ES" w:eastAsia="es-ES"/>
        </w:rPr>
        <w:lastRenderedPageBreak/>
        <w:tab/>
        <w:t>Anexo</w:t>
      </w:r>
    </w:p>
    <w:p w:rsidR="001F0C08" w:rsidRDefault="001F0C08" w:rsidP="001F0C08">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Composición, miembros de la Mesa y mandatos del 16 de mayo al 31 de diciembre de 2015</w:t>
      </w:r>
      <w:r>
        <w:rPr>
          <w:lang w:val="es-ES" w:eastAsia="es-ES"/>
        </w:rPr>
        <w:tab/>
      </w:r>
      <w:r>
        <w:rPr>
          <w:lang w:val="es-ES" w:eastAsia="es-ES"/>
        </w:rPr>
        <w:tab/>
      </w:r>
      <w:r w:rsidR="00F85780">
        <w:rPr>
          <w:lang w:val="es-ES" w:eastAsia="es-ES"/>
        </w:rPr>
        <w:t>19</w:t>
      </w:r>
    </w:p>
    <w:p w:rsidR="001F0C08" w:rsidRDefault="001F0C08" w:rsidP="00487143">
      <w:pPr>
        <w:tabs>
          <w:tab w:val="right" w:pos="850"/>
          <w:tab w:val="left" w:pos="1134"/>
          <w:tab w:val="left" w:pos="1559"/>
          <w:tab w:val="left" w:pos="1820"/>
          <w:tab w:val="left" w:leader="dot" w:pos="8787"/>
          <w:tab w:val="right" w:pos="9638"/>
        </w:tabs>
        <w:suppressAutoHyphens w:val="0"/>
        <w:spacing w:after="120" w:line="236" w:lineRule="atLeast"/>
        <w:rPr>
          <w:lang w:val="es-ES" w:eastAsia="es-ES"/>
        </w:rPr>
      </w:pPr>
      <w:r>
        <w:rPr>
          <w:lang w:val="es-ES" w:eastAsia="es-ES"/>
        </w:rPr>
        <w:tab/>
      </w:r>
      <w:r>
        <w:rPr>
          <w:lang w:val="es-ES" w:eastAsia="es-ES"/>
        </w:rPr>
        <w:tab/>
        <w:t xml:space="preserve">Composición, miembros de la Mesa y mandatos del 1 de enero de 2016 al 31 de diciembre </w:t>
      </w:r>
      <w:r>
        <w:rPr>
          <w:lang w:val="es-ES" w:eastAsia="es-ES"/>
        </w:rPr>
        <w:br/>
      </w:r>
      <w:r>
        <w:rPr>
          <w:lang w:val="es-ES" w:eastAsia="es-ES"/>
        </w:rPr>
        <w:tab/>
      </w:r>
      <w:r>
        <w:rPr>
          <w:lang w:val="es-ES" w:eastAsia="es-ES"/>
        </w:rPr>
        <w:tab/>
        <w:t>de 2017</w:t>
      </w:r>
      <w:r>
        <w:rPr>
          <w:lang w:val="es-ES" w:eastAsia="es-ES"/>
        </w:rPr>
        <w:tab/>
      </w:r>
      <w:r>
        <w:rPr>
          <w:lang w:val="es-ES" w:eastAsia="es-ES"/>
        </w:rPr>
        <w:tab/>
      </w:r>
      <w:r>
        <w:rPr>
          <w:lang w:val="es-ES" w:eastAsia="es-ES"/>
        </w:rPr>
        <w:tab/>
      </w:r>
      <w:r w:rsidR="00F85780">
        <w:rPr>
          <w:lang w:val="es-ES" w:eastAsia="es-ES"/>
        </w:rPr>
        <w:t>20</w:t>
      </w:r>
    </w:p>
    <w:p w:rsidR="00D939C3" w:rsidRDefault="00D939C3" w:rsidP="00F45BAB">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p>
    <w:p w:rsidR="00AC5DE7" w:rsidRDefault="00AC5DE7" w:rsidP="00F45BAB">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p>
    <w:p w:rsidR="00AC5DE7" w:rsidRPr="00877B1F" w:rsidRDefault="00AC5DE7" w:rsidP="00F45BAB">
      <w:pPr>
        <w:tabs>
          <w:tab w:val="right" w:pos="850"/>
          <w:tab w:val="left" w:pos="1134"/>
          <w:tab w:val="left" w:pos="1559"/>
          <w:tab w:val="left" w:pos="1984"/>
          <w:tab w:val="left" w:leader="dot" w:pos="8787"/>
          <w:tab w:val="right" w:pos="9638"/>
        </w:tabs>
        <w:suppressAutoHyphens w:val="0"/>
        <w:spacing w:after="120" w:line="236" w:lineRule="atLeast"/>
        <w:rPr>
          <w:lang w:val="es-ES" w:eastAsia="es-ES"/>
        </w:rPr>
      </w:pPr>
    </w:p>
    <w:p w:rsidR="003333BE" w:rsidRPr="00472D1B" w:rsidRDefault="003333BE" w:rsidP="003333BE">
      <w:pPr>
        <w:tabs>
          <w:tab w:val="right" w:pos="850"/>
          <w:tab w:val="left" w:pos="1134"/>
          <w:tab w:val="left" w:pos="1559"/>
          <w:tab w:val="left" w:pos="1984"/>
          <w:tab w:val="left" w:leader="dot" w:pos="7654"/>
          <w:tab w:val="right" w:pos="8929"/>
          <w:tab w:val="right" w:pos="9638"/>
        </w:tabs>
        <w:spacing w:after="120"/>
        <w:rPr>
          <w:lang w:val="es-ES"/>
        </w:rPr>
      </w:pPr>
    </w:p>
    <w:p w:rsidR="003333BE" w:rsidRPr="00472D1B" w:rsidRDefault="003333BE" w:rsidP="003333BE">
      <w:pPr>
        <w:pStyle w:val="HChG"/>
        <w:rPr>
          <w:lang w:val="es-ES"/>
        </w:rPr>
        <w:sectPr w:rsidR="003333BE" w:rsidRPr="00472D1B" w:rsidSect="00AC5DE7">
          <w:footerReference w:type="first" r:id="rId22"/>
          <w:endnotePr>
            <w:numFmt w:val="decimal"/>
          </w:endnotePr>
          <w:type w:val="oddPage"/>
          <w:pgSz w:w="11906" w:h="16838" w:code="9"/>
          <w:pgMar w:top="1701" w:right="1134" w:bottom="2268" w:left="1134" w:header="1134" w:footer="1701" w:gutter="0"/>
          <w:pgNumType w:fmt="lowerRoman"/>
          <w:cols w:space="708"/>
          <w:titlePg/>
          <w:docGrid w:linePitch="360"/>
        </w:sectPr>
      </w:pPr>
    </w:p>
    <w:p w:rsidR="003333BE" w:rsidRPr="00472D1B" w:rsidRDefault="003333BE" w:rsidP="003333BE">
      <w:pPr>
        <w:pStyle w:val="HChG"/>
        <w:rPr>
          <w:lang w:val="es-ES"/>
        </w:rPr>
      </w:pPr>
      <w:r w:rsidRPr="00472D1B">
        <w:rPr>
          <w:lang w:val="es-ES"/>
        </w:rPr>
        <w:lastRenderedPageBreak/>
        <w:tab/>
        <w:t>I.</w:t>
      </w:r>
      <w:r w:rsidRPr="00472D1B">
        <w:rPr>
          <w:lang w:val="es-ES"/>
        </w:rPr>
        <w:tab/>
        <w:t>Cuestiones de organización y otros asuntos</w:t>
      </w:r>
    </w:p>
    <w:p w:rsidR="003333BE" w:rsidRDefault="003333BE" w:rsidP="003333BE">
      <w:pPr>
        <w:pStyle w:val="H1G"/>
        <w:rPr>
          <w:lang w:val="es-ES"/>
        </w:rPr>
      </w:pPr>
      <w:r w:rsidRPr="00472D1B">
        <w:rPr>
          <w:lang w:val="es-ES"/>
        </w:rPr>
        <w:tab/>
        <w:t>A.</w:t>
      </w:r>
      <w:r w:rsidRPr="00472D1B">
        <w:rPr>
          <w:lang w:val="es-ES"/>
        </w:rPr>
        <w:tab/>
        <w:t>Estados partes en la Convención</w:t>
      </w:r>
      <w:bookmarkStart w:id="1" w:name="_Toc326246344"/>
      <w:bookmarkEnd w:id="1"/>
    </w:p>
    <w:p w:rsidR="00AC5DE7" w:rsidRPr="00AC5DE7" w:rsidRDefault="00AC5DE7" w:rsidP="00AC5DE7">
      <w:pPr>
        <w:pStyle w:val="SingleTxtG"/>
        <w:rPr>
          <w:lang w:val="es-ES"/>
        </w:rPr>
      </w:pPr>
      <w:r w:rsidRPr="00AC5DE7">
        <w:rPr>
          <w:lang w:val="es-ES"/>
        </w:rPr>
        <w:t>1.</w:t>
      </w:r>
      <w:r w:rsidRPr="00AC5DE7">
        <w:rPr>
          <w:lang w:val="es-ES"/>
        </w:rPr>
        <w:tab/>
        <w:t xml:space="preserve">Al 13 de mayo de 2016, fecha de clausura del 57º período de sesiones del Comité contra la Tortura, había 159 Estados partes en la Convención contra la Tortura y Otros Tratos o Penas Crueles, Inhumanos o Degradantes. La Convención fue aprobada por la Asamblea General en su resolución </w:t>
      </w:r>
      <w:hyperlink r:id="rId23" w:history="1">
        <w:r w:rsidRPr="00581856">
          <w:rPr>
            <w:rStyle w:val="Hipervnculo"/>
            <w:lang w:val="es-ES"/>
          </w:rPr>
          <w:t>39/46</w:t>
        </w:r>
      </w:hyperlink>
      <w:r w:rsidRPr="00AC5DE7">
        <w:rPr>
          <w:lang w:val="es-ES"/>
        </w:rPr>
        <w:t xml:space="preserve"> y entró en vigor el 26 de junio de 1987.</w:t>
      </w:r>
    </w:p>
    <w:p w:rsidR="00AC5DE7" w:rsidRPr="00AC5DE7" w:rsidRDefault="00AC5DE7" w:rsidP="00AC5DE7">
      <w:pPr>
        <w:pStyle w:val="SingleTxtG"/>
        <w:rPr>
          <w:lang w:val="es-ES"/>
        </w:rPr>
      </w:pPr>
      <w:r w:rsidRPr="00AC5DE7">
        <w:rPr>
          <w:lang w:val="es-ES"/>
        </w:rPr>
        <w:t>2.</w:t>
      </w:r>
      <w:r w:rsidRPr="00AC5DE7">
        <w:rPr>
          <w:lang w:val="es-ES"/>
        </w:rPr>
        <w:tab/>
        <w:t>Desde el informe anterior, Fiji ratificó la Convenc</w:t>
      </w:r>
      <w:r w:rsidR="00DB069A">
        <w:rPr>
          <w:lang w:val="es-ES"/>
        </w:rPr>
        <w:t>ión el 14 de marzo de 2016. San </w:t>
      </w:r>
      <w:r w:rsidRPr="00AC5DE7">
        <w:rPr>
          <w:lang w:val="es-ES"/>
        </w:rPr>
        <w:t>Marino hizo una declaración reconociendo la competencia del Comité con arreglo a los artículos 21 y 22 de la Convención. El Comité insta a los Estados que no han ratificado la Convención a que lo hagan y, a los que ya son partes, a que acepten todos los procedimientos previstos en ella, de manera que pueda cumplir todos los aspectos de su mandato.</w:t>
      </w:r>
    </w:p>
    <w:p w:rsidR="00AC5DE7" w:rsidRPr="00AC5DE7" w:rsidRDefault="00AC5DE7" w:rsidP="00AC5DE7">
      <w:pPr>
        <w:pStyle w:val="SingleTxtG"/>
        <w:rPr>
          <w:lang w:val="es-ES"/>
        </w:rPr>
      </w:pPr>
      <w:r w:rsidRPr="00AC5DE7">
        <w:rPr>
          <w:lang w:val="es-ES"/>
        </w:rPr>
        <w:t>3.</w:t>
      </w:r>
      <w:r w:rsidRPr="00AC5DE7">
        <w:rPr>
          <w:lang w:val="es-ES"/>
        </w:rPr>
        <w:tab/>
        <w:t xml:space="preserve">La información relativa al estado del tratado, incluidas las declaraciones con respecto a los artículos 20, 21 y 22 y las reservas y objeciones formuladas por los Estados partes en relación con la Convención pueden consultarse en </w:t>
      </w:r>
      <w:hyperlink r:id="rId24" w:history="1">
        <w:r w:rsidRPr="00F46346">
          <w:rPr>
            <w:rStyle w:val="Hipervnculo"/>
            <w:lang w:val="es-ES"/>
          </w:rPr>
          <w:t>http://</w:t>
        </w:r>
        <w:proofErr w:type="spellStart"/>
        <w:r w:rsidRPr="00F46346">
          <w:rPr>
            <w:rStyle w:val="Hipervnculo"/>
            <w:lang w:val="es-ES"/>
          </w:rPr>
          <w:t>treaties.un.org</w:t>
        </w:r>
        <w:proofErr w:type="spellEnd"/>
      </w:hyperlink>
      <w:r w:rsidRPr="00AC5DE7">
        <w:rPr>
          <w:lang w:val="es-ES"/>
        </w:rPr>
        <w:t>.</w:t>
      </w:r>
    </w:p>
    <w:p w:rsidR="00AC5DE7" w:rsidRPr="00AC5DE7" w:rsidRDefault="00AC5DE7" w:rsidP="00DE112A">
      <w:pPr>
        <w:pStyle w:val="H1G"/>
        <w:rPr>
          <w:lang w:val="es-ES"/>
        </w:rPr>
      </w:pPr>
      <w:bookmarkStart w:id="2" w:name="_Toc208302675"/>
      <w:r w:rsidRPr="00AC5DE7">
        <w:rPr>
          <w:lang w:val="es-ES"/>
        </w:rPr>
        <w:tab/>
      </w:r>
      <w:bookmarkStart w:id="3" w:name="_Toc272490295"/>
      <w:bookmarkStart w:id="4" w:name="_Toc272491360"/>
      <w:bookmarkStart w:id="5" w:name="_Toc305402552"/>
      <w:bookmarkStart w:id="6" w:name="_Toc428797487"/>
      <w:r w:rsidRPr="00AC5DE7">
        <w:rPr>
          <w:lang w:val="es-ES"/>
        </w:rPr>
        <w:t>B.</w:t>
      </w:r>
      <w:r w:rsidRPr="00AC5DE7">
        <w:rPr>
          <w:lang w:val="es-ES"/>
        </w:rPr>
        <w:tab/>
      </w:r>
      <w:bookmarkEnd w:id="2"/>
      <w:bookmarkEnd w:id="3"/>
      <w:bookmarkEnd w:id="4"/>
      <w:bookmarkEnd w:id="5"/>
      <w:r w:rsidRPr="00AC5DE7">
        <w:rPr>
          <w:lang w:val="es-ES"/>
        </w:rPr>
        <w:t>Períodos de sesiones y programas del Comité</w:t>
      </w:r>
      <w:bookmarkEnd w:id="6"/>
    </w:p>
    <w:p w:rsidR="00AC5DE7" w:rsidRPr="00AC5DE7" w:rsidRDefault="00AC5DE7" w:rsidP="00AC5DE7">
      <w:pPr>
        <w:pStyle w:val="SingleTxtG"/>
        <w:rPr>
          <w:lang w:val="es-ES"/>
        </w:rPr>
      </w:pPr>
      <w:r w:rsidRPr="00AC5DE7">
        <w:rPr>
          <w:lang w:val="es-ES"/>
        </w:rPr>
        <w:t>4.</w:t>
      </w:r>
      <w:r w:rsidRPr="00AC5DE7">
        <w:rPr>
          <w:lang w:val="es-ES"/>
        </w:rPr>
        <w:tab/>
        <w:t>El Comité ha celebrado tres períodos de sesiones desde la aprobación de su anterior informe anual. El 55º período de sesiones (sesiones 1328ª a 1355</w:t>
      </w:r>
      <w:r w:rsidRPr="00AC5DE7">
        <w:rPr>
          <w:vertAlign w:val="superscript"/>
          <w:lang w:val="es-ES"/>
        </w:rPr>
        <w:t>a</w:t>
      </w:r>
      <w:r w:rsidRPr="00AC5DE7">
        <w:rPr>
          <w:lang w:val="es-ES"/>
        </w:rPr>
        <w:t>) tuvo lugar del 27 de julio al 14 de agosto de 2015, el 56º período de sesiones (sesiones 1356ª a</w:t>
      </w:r>
      <w:r w:rsidR="001E4713">
        <w:rPr>
          <w:lang w:val="es-ES"/>
        </w:rPr>
        <w:t xml:space="preserve"> </w:t>
      </w:r>
      <w:r w:rsidRPr="00AC5DE7">
        <w:rPr>
          <w:lang w:val="es-ES"/>
        </w:rPr>
        <w:t>1393ª) del 9 de noviembre al 9 de diciembre de 2015 y el 57º período de sesiones (sesiones 1394ª a 1431ª) del 18 de abril al 13 de mayo de 2016. Los períodos de sesiones se celebraron en la Oficina de las Naciones Unidas en Ginebra.</w:t>
      </w:r>
    </w:p>
    <w:p w:rsidR="00AC5DE7" w:rsidRPr="00AC5DE7" w:rsidRDefault="00AC5DE7" w:rsidP="00AC5DE7">
      <w:pPr>
        <w:pStyle w:val="SingleTxtG"/>
        <w:rPr>
          <w:lang w:val="es-ES"/>
        </w:rPr>
      </w:pPr>
      <w:r w:rsidRPr="00AC5DE7">
        <w:rPr>
          <w:lang w:val="es-ES"/>
        </w:rPr>
        <w:t>5.</w:t>
      </w:r>
      <w:r w:rsidRPr="00AC5DE7">
        <w:rPr>
          <w:lang w:val="es-ES"/>
        </w:rPr>
        <w:tab/>
        <w:t>En su 1328ª sesión, celebrada el 27 de julio de 2015, el Comité aprobó los temas que figuraban en el programa provisional de su 55º período de sesiones presentado por el Secretario General (</w:t>
      </w:r>
      <w:hyperlink r:id="rId25" w:history="1">
        <w:r w:rsidRPr="00AC5DE7">
          <w:rPr>
            <w:rStyle w:val="Hipervnculo"/>
            <w:lang w:val="es-ES"/>
          </w:rPr>
          <w:t>CAT/C/55/1</w:t>
        </w:r>
      </w:hyperlink>
      <w:r w:rsidRPr="00AC5DE7">
        <w:rPr>
          <w:lang w:val="es-ES"/>
        </w:rPr>
        <w:t>).</w:t>
      </w:r>
    </w:p>
    <w:p w:rsidR="00AC5DE7" w:rsidRPr="00AC5DE7" w:rsidRDefault="00AC5DE7" w:rsidP="00AC5DE7">
      <w:pPr>
        <w:pStyle w:val="SingleTxtG"/>
        <w:rPr>
          <w:lang w:val="es-ES"/>
        </w:rPr>
      </w:pPr>
      <w:r w:rsidRPr="00AC5DE7">
        <w:rPr>
          <w:lang w:val="es-ES"/>
        </w:rPr>
        <w:t>6.</w:t>
      </w:r>
      <w:r w:rsidRPr="00AC5DE7">
        <w:rPr>
          <w:lang w:val="es-ES"/>
        </w:rPr>
        <w:tab/>
        <w:t>En su 1356ª sesión, celebrada el 9 de noviembre de 2015, el Comité aprobó los temas que figuraban en el programa provisional de su 56º período de sesiones presentado por el Secretario General (</w:t>
      </w:r>
      <w:hyperlink r:id="rId26" w:history="1">
        <w:r w:rsidRPr="00AC5DE7">
          <w:rPr>
            <w:rStyle w:val="Hipervnculo"/>
            <w:lang w:val="es-ES"/>
          </w:rPr>
          <w:t>CAT/C/56/1</w:t>
        </w:r>
      </w:hyperlink>
      <w:r w:rsidR="00F46346">
        <w:rPr>
          <w:rStyle w:val="Hipervnculo"/>
          <w:lang w:val="es-ES"/>
        </w:rPr>
        <w:t xml:space="preserve"> </w:t>
      </w:r>
      <w:r w:rsidRPr="00AC5DE7">
        <w:rPr>
          <w:lang w:val="es-ES"/>
        </w:rPr>
        <w:t>).</w:t>
      </w:r>
    </w:p>
    <w:p w:rsidR="00AC5DE7" w:rsidRPr="00AC5DE7" w:rsidRDefault="00AC5DE7" w:rsidP="00AC5DE7">
      <w:pPr>
        <w:pStyle w:val="SingleTxtG"/>
        <w:rPr>
          <w:lang w:val="es-ES"/>
        </w:rPr>
      </w:pPr>
      <w:r w:rsidRPr="00AC5DE7">
        <w:rPr>
          <w:lang w:val="es-ES"/>
        </w:rPr>
        <w:t>7.</w:t>
      </w:r>
      <w:r w:rsidRPr="00AC5DE7">
        <w:rPr>
          <w:lang w:val="es-ES"/>
        </w:rPr>
        <w:tab/>
        <w:t>En su 1394ª sesión, celebrada el 18 de abril de 2016, el Comité aprobó los temas que figuraban en el programa provisional de su 57º período de sesiones presentado al Secretario General (</w:t>
      </w:r>
      <w:hyperlink r:id="rId27" w:history="1">
        <w:r w:rsidRPr="00AC5DE7">
          <w:rPr>
            <w:rStyle w:val="Hipervnculo"/>
            <w:lang w:val="es-ES"/>
          </w:rPr>
          <w:t>CAT/C/57/1</w:t>
        </w:r>
      </w:hyperlink>
      <w:r w:rsidRPr="00AC5DE7">
        <w:rPr>
          <w:lang w:val="es-ES"/>
        </w:rPr>
        <w:t>).</w:t>
      </w:r>
    </w:p>
    <w:p w:rsidR="00AC5DE7" w:rsidRPr="00AC5DE7" w:rsidRDefault="00AC5DE7" w:rsidP="00AC5DE7">
      <w:pPr>
        <w:pStyle w:val="SingleTxtG"/>
        <w:rPr>
          <w:lang w:val="es-ES"/>
        </w:rPr>
      </w:pPr>
      <w:r w:rsidRPr="00AC5DE7">
        <w:rPr>
          <w:lang w:val="es-ES"/>
        </w:rPr>
        <w:t>8.</w:t>
      </w:r>
      <w:r w:rsidRPr="00AC5DE7">
        <w:rPr>
          <w:lang w:val="es-ES"/>
        </w:rPr>
        <w:tab/>
        <w:t>Las deliberaciones del Comité en los tres períodos de sesiones se recogen en las actas resumidas correspondientes (</w:t>
      </w:r>
      <w:hyperlink r:id="rId28" w:history="1">
        <w:r w:rsidRPr="00AC5DE7">
          <w:rPr>
            <w:rStyle w:val="Hipervnculo"/>
            <w:lang w:val="es-ES"/>
          </w:rPr>
          <w:t>CAT/C/</w:t>
        </w:r>
        <w:proofErr w:type="spellStart"/>
        <w:r w:rsidRPr="00AC5DE7">
          <w:rPr>
            <w:rStyle w:val="Hipervnculo"/>
            <w:lang w:val="es-ES"/>
          </w:rPr>
          <w:t>SR.1328</w:t>
        </w:r>
        <w:proofErr w:type="spellEnd"/>
      </w:hyperlink>
      <w:r w:rsidRPr="00AC5DE7">
        <w:rPr>
          <w:lang w:val="es-ES"/>
        </w:rPr>
        <w:t xml:space="preserve"> a </w:t>
      </w:r>
      <w:hyperlink r:id="rId29" w:history="1">
        <w:r w:rsidRPr="00AC5DE7">
          <w:rPr>
            <w:rStyle w:val="Hipervnculo"/>
            <w:lang w:val="es-ES"/>
          </w:rPr>
          <w:t>1431</w:t>
        </w:r>
      </w:hyperlink>
      <w:r w:rsidRPr="00AC5DE7">
        <w:rPr>
          <w:lang w:val="es-ES"/>
        </w:rPr>
        <w:t xml:space="preserve">) y en el documento </w:t>
      </w:r>
      <w:hyperlink r:id="rId30" w:history="1">
        <w:r w:rsidRPr="00F46346">
          <w:rPr>
            <w:rStyle w:val="Hipervnculo"/>
            <w:lang w:val="es-ES"/>
          </w:rPr>
          <w:t>CAT/C/56/4</w:t>
        </w:r>
      </w:hyperlink>
      <w:r w:rsidRPr="00AC5DE7">
        <w:rPr>
          <w:lang w:val="es-ES"/>
        </w:rPr>
        <w:t>.</w:t>
      </w:r>
      <w:bookmarkStart w:id="7" w:name="_Toc208302676"/>
      <w:bookmarkStart w:id="8" w:name="_Toc272490296"/>
      <w:bookmarkStart w:id="9" w:name="_Toc272491361"/>
    </w:p>
    <w:p w:rsidR="00AC5DE7" w:rsidRPr="00AC5DE7" w:rsidRDefault="00AC5DE7" w:rsidP="00B562CF">
      <w:pPr>
        <w:pStyle w:val="H1G"/>
        <w:rPr>
          <w:lang w:val="es-ES"/>
        </w:rPr>
      </w:pPr>
      <w:r w:rsidRPr="00AC5DE7">
        <w:rPr>
          <w:lang w:val="es-ES"/>
        </w:rPr>
        <w:tab/>
      </w:r>
      <w:bookmarkStart w:id="10" w:name="_Toc428797488"/>
      <w:r w:rsidRPr="00AC5DE7">
        <w:rPr>
          <w:lang w:val="es-ES"/>
        </w:rPr>
        <w:t>C.</w:t>
      </w:r>
      <w:r w:rsidRPr="00AC5DE7">
        <w:rPr>
          <w:lang w:val="es-ES"/>
        </w:rPr>
        <w:tab/>
        <w:t>Composición, miembros de la Mesa y mandatos</w:t>
      </w:r>
      <w:bookmarkEnd w:id="10"/>
    </w:p>
    <w:p w:rsidR="00AC5DE7" w:rsidRPr="00AC5DE7" w:rsidRDefault="00AC5DE7" w:rsidP="00AC5DE7">
      <w:pPr>
        <w:pStyle w:val="SingleTxtG"/>
        <w:rPr>
          <w:lang w:val="es-ES"/>
        </w:rPr>
      </w:pPr>
      <w:r w:rsidRPr="00AC5DE7">
        <w:rPr>
          <w:lang w:val="es-ES"/>
        </w:rPr>
        <w:t>9</w:t>
      </w:r>
      <w:r w:rsidRPr="00AC5DE7">
        <w:rPr>
          <w:lang w:val="es-ES"/>
        </w:rPr>
        <w:tab/>
        <w:t>A raíz de la 15ª reunión de los Estados partes en la Convención, celebrada el 8 de octubre de 2015, cambió la composición del Comité el 1 de enero de 2016. La lista de los miembros, la composición de la Mesa y los mandatos figuran en el anexo del presente documento. En su 55º período de sesiones, el Comité decidió establecer la función de coordinador, con el cometido de mantenerse en contacto con el</w:t>
      </w:r>
      <w:r w:rsidRPr="00AC5DE7">
        <w:rPr>
          <w:b/>
          <w:bCs/>
          <w:lang w:val="es-ES"/>
        </w:rPr>
        <w:t xml:space="preserve"> </w:t>
      </w:r>
      <w:r w:rsidRPr="00AC5DE7">
        <w:rPr>
          <w:bCs/>
          <w:lang w:val="es-ES"/>
        </w:rPr>
        <w:t xml:space="preserve">Asesor Especial del </w:t>
      </w:r>
      <w:r w:rsidRPr="00AC5DE7">
        <w:rPr>
          <w:bCs/>
          <w:lang w:val="es-ES"/>
        </w:rPr>
        <w:lastRenderedPageBreak/>
        <w:t>Secretario General sobre la Prevención del Genocidio,</w:t>
      </w:r>
      <w:r w:rsidRPr="00AC5DE7">
        <w:rPr>
          <w:lang w:val="es-ES"/>
        </w:rPr>
        <w:t xml:space="preserve"> Adama Dieng, y designó a Felice Gaer para el desempeño de ese cargo.</w:t>
      </w:r>
    </w:p>
    <w:p w:rsidR="00AC5DE7" w:rsidRPr="00AC5DE7" w:rsidRDefault="00AC5DE7" w:rsidP="00B562CF">
      <w:pPr>
        <w:pStyle w:val="H1G"/>
        <w:rPr>
          <w:lang w:val="es-ES"/>
        </w:rPr>
      </w:pPr>
      <w:r w:rsidRPr="00AC5DE7">
        <w:rPr>
          <w:lang w:val="es-ES"/>
        </w:rPr>
        <w:tab/>
      </w:r>
      <w:bookmarkStart w:id="11" w:name="_Toc208302680"/>
      <w:bookmarkStart w:id="12" w:name="_Toc272490300"/>
      <w:bookmarkStart w:id="13" w:name="_Toc272491365"/>
      <w:bookmarkStart w:id="14" w:name="_Toc305402555"/>
      <w:bookmarkStart w:id="15" w:name="_Toc428797489"/>
      <w:bookmarkEnd w:id="7"/>
      <w:bookmarkEnd w:id="8"/>
      <w:bookmarkEnd w:id="9"/>
      <w:r w:rsidRPr="00AC5DE7">
        <w:rPr>
          <w:lang w:val="es-ES"/>
        </w:rPr>
        <w:t>D.</w:t>
      </w:r>
      <w:r w:rsidRPr="00AC5DE7">
        <w:rPr>
          <w:lang w:val="es-ES"/>
        </w:rPr>
        <w:tab/>
      </w:r>
      <w:bookmarkEnd w:id="11"/>
      <w:bookmarkEnd w:id="12"/>
      <w:bookmarkEnd w:id="13"/>
      <w:bookmarkEnd w:id="14"/>
      <w:r w:rsidRPr="00AC5DE7">
        <w:rPr>
          <w:lang w:val="es-ES"/>
        </w:rPr>
        <w:t>Participación de miembros del Comité en otras reuniones</w:t>
      </w:r>
      <w:bookmarkEnd w:id="15"/>
    </w:p>
    <w:p w:rsidR="00AC5DE7" w:rsidRPr="00AC5DE7" w:rsidRDefault="00AC5DE7" w:rsidP="00AC5DE7">
      <w:pPr>
        <w:pStyle w:val="SingleTxtG"/>
        <w:rPr>
          <w:lang w:val="es-ES"/>
        </w:rPr>
      </w:pPr>
      <w:r w:rsidRPr="00AC5DE7">
        <w:rPr>
          <w:lang w:val="es-ES"/>
        </w:rPr>
        <w:t>10.</w:t>
      </w:r>
      <w:r w:rsidRPr="00AC5DE7">
        <w:rPr>
          <w:lang w:val="es-ES"/>
        </w:rPr>
        <w:tab/>
        <w:t>En el período a que se refiere el presente informe, los miembros del Comité participaron en distintas reuniones:</w:t>
      </w:r>
    </w:p>
    <w:p w:rsidR="00AC5DE7" w:rsidRPr="00AC5DE7" w:rsidRDefault="00AC5DE7" w:rsidP="00AC5DE7">
      <w:pPr>
        <w:pStyle w:val="SingleTxtG"/>
        <w:rPr>
          <w:lang w:val="es-ES"/>
        </w:rPr>
      </w:pPr>
      <w:r w:rsidRPr="00AC5DE7">
        <w:rPr>
          <w:lang w:val="es-ES"/>
        </w:rPr>
        <w:tab/>
        <w:t>a)</w:t>
      </w:r>
      <w:r w:rsidRPr="00AC5DE7">
        <w:rPr>
          <w:lang w:val="es-ES"/>
        </w:rPr>
        <w:tab/>
        <w:t>Un curso práctico de tribunales regionales y subregionales organizado por la Oficina del Alto Comisionado de las Naciones Unidas para los Derechos Humanos (ACNUDH) y celebrado los días 20 y 21 de octubre de 2015 en Estrasburgo (Francia), que incluyó la presentación de una ponencia por Skype de la Sra. Gaer;</w:t>
      </w:r>
    </w:p>
    <w:p w:rsidR="00AC5DE7" w:rsidRPr="00AC5DE7" w:rsidRDefault="00AC5DE7" w:rsidP="00AC5DE7">
      <w:pPr>
        <w:pStyle w:val="SingleTxtG"/>
        <w:rPr>
          <w:lang w:val="es-ES"/>
        </w:rPr>
      </w:pPr>
      <w:r w:rsidRPr="00AC5DE7">
        <w:rPr>
          <w:lang w:val="es-ES"/>
        </w:rPr>
        <w:tab/>
        <w:t>b)</w:t>
      </w:r>
      <w:r w:rsidRPr="00AC5DE7">
        <w:rPr>
          <w:lang w:val="es-ES"/>
        </w:rPr>
        <w:tab/>
        <w:t>Un curso práctico regional sobre intercambio de mejores prácticas y experiencia en la prevención de la tortura durante la detención policial, organizado por la Iniciativa sobre la Convención contra la Tortura</w:t>
      </w:r>
      <w:r w:rsidR="001E4713">
        <w:rPr>
          <w:lang w:val="es-ES"/>
        </w:rPr>
        <w:t xml:space="preserve"> </w:t>
      </w:r>
      <w:r w:rsidRPr="00AC5DE7">
        <w:rPr>
          <w:lang w:val="es-ES"/>
        </w:rPr>
        <w:t>y Marruecos y celebrado del 13 al 15 de diciembre de 2015 en Marrakech (Marruecos), al que a</w:t>
      </w:r>
      <w:r w:rsidR="00DB069A">
        <w:rPr>
          <w:lang w:val="es-ES"/>
        </w:rPr>
        <w:t>sistieron Essadia Belmir y Jens </w:t>
      </w:r>
      <w:r w:rsidRPr="00AC5DE7">
        <w:rPr>
          <w:lang w:val="es-ES"/>
        </w:rPr>
        <w:t>Modvig;</w:t>
      </w:r>
    </w:p>
    <w:p w:rsidR="00AC5DE7" w:rsidRPr="00AC5DE7" w:rsidRDefault="00AC5DE7" w:rsidP="00AC5DE7">
      <w:pPr>
        <w:pStyle w:val="SingleTxtG"/>
        <w:rPr>
          <w:lang w:val="es-ES"/>
        </w:rPr>
      </w:pPr>
      <w:r w:rsidRPr="00AC5DE7">
        <w:rPr>
          <w:lang w:val="es-ES"/>
        </w:rPr>
        <w:tab/>
        <w:t>c)</w:t>
      </w:r>
      <w:r w:rsidRPr="00AC5DE7">
        <w:rPr>
          <w:lang w:val="es-ES"/>
        </w:rPr>
        <w:tab/>
        <w:t>Un curso regional sobre la penalización de la tortura, organizado por la Iniciativa sobre la Convención contra la Tortura y Ghana y celebrado los días 5 y 6 de abril de 2016 en Accra, al que asistió el Sr. Modvig.</w:t>
      </w:r>
    </w:p>
    <w:p w:rsidR="00AC5DE7" w:rsidRPr="00AC5DE7" w:rsidRDefault="00AC5DE7" w:rsidP="00B562CF">
      <w:pPr>
        <w:pStyle w:val="H1G"/>
        <w:rPr>
          <w:lang w:val="es-ES"/>
        </w:rPr>
      </w:pPr>
      <w:bookmarkStart w:id="16" w:name="_Toc272490301"/>
      <w:bookmarkStart w:id="17" w:name="_Toc272491366"/>
      <w:bookmarkStart w:id="18" w:name="_Toc305402556"/>
      <w:r w:rsidRPr="00AC5DE7">
        <w:rPr>
          <w:lang w:val="es-ES"/>
        </w:rPr>
        <w:tab/>
      </w:r>
      <w:bookmarkStart w:id="19" w:name="_Toc428797490"/>
      <w:r w:rsidRPr="00AC5DE7">
        <w:rPr>
          <w:lang w:val="es-ES"/>
        </w:rPr>
        <w:t>E.</w:t>
      </w:r>
      <w:r w:rsidRPr="00AC5DE7">
        <w:rPr>
          <w:lang w:val="es-ES"/>
        </w:rPr>
        <w:tab/>
        <w:t>Informe oral del Presidente a la Asamblea General</w:t>
      </w:r>
      <w:bookmarkEnd w:id="16"/>
      <w:bookmarkEnd w:id="17"/>
      <w:bookmarkEnd w:id="18"/>
      <w:bookmarkEnd w:id="19"/>
    </w:p>
    <w:p w:rsidR="00AC5DE7" w:rsidRPr="00AC5DE7" w:rsidRDefault="00AC5DE7" w:rsidP="00AC5DE7">
      <w:pPr>
        <w:pStyle w:val="SingleTxtG"/>
        <w:rPr>
          <w:lang w:val="es-ES"/>
        </w:rPr>
      </w:pPr>
      <w:r w:rsidRPr="00AC5DE7">
        <w:rPr>
          <w:lang w:val="es-ES"/>
        </w:rPr>
        <w:t>11.</w:t>
      </w:r>
      <w:r w:rsidRPr="00AC5DE7">
        <w:rPr>
          <w:lang w:val="es-ES"/>
        </w:rPr>
        <w:tab/>
        <w:t xml:space="preserve">De conformidad con el párrafo 35 de la resolución </w:t>
      </w:r>
      <w:hyperlink r:id="rId31" w:history="1">
        <w:r w:rsidRPr="00581856">
          <w:rPr>
            <w:rStyle w:val="Hipervnculo"/>
            <w:lang w:val="es-ES"/>
          </w:rPr>
          <w:t>68/156</w:t>
        </w:r>
      </w:hyperlink>
      <w:r w:rsidRPr="00AC5DE7">
        <w:rPr>
          <w:lang w:val="es-ES"/>
        </w:rPr>
        <w:t xml:space="preserve"> de la Asamblea General, el 20 de octubre de 2015, el Presidente del Comité presentó un informe oral a la Asamblea en su septuagésimo período de sesiones y participó en un diálogo interactivo con ella (véase la página web del Comité, que se encuentra en el sitio web de la Oficina del </w:t>
      </w:r>
      <w:proofErr w:type="spellStart"/>
      <w:r w:rsidRPr="00AC5DE7">
        <w:rPr>
          <w:lang w:val="es-ES"/>
        </w:rPr>
        <w:t>ACNUDH</w:t>
      </w:r>
      <w:proofErr w:type="spellEnd"/>
      <w:r w:rsidRPr="00AC5DE7">
        <w:rPr>
          <w:lang w:val="es-ES"/>
        </w:rPr>
        <w:t xml:space="preserve">, </w:t>
      </w:r>
      <w:r w:rsidR="003D1455">
        <w:fldChar w:fldCharType="begin"/>
      </w:r>
      <w:r w:rsidR="000C673F" w:rsidRPr="003D1455">
        <w:rPr>
          <w:lang w:val="es-ES"/>
        </w:rPr>
        <w:instrText>HYPERLINK "\\\\conf-share1\\LS\\SPA\\COMMON\\MSWDocs\\_3Final\\www.ohchr.org\\SP"</w:instrText>
      </w:r>
      <w:r w:rsidR="003D1455">
        <w:fldChar w:fldCharType="separate"/>
      </w:r>
      <w:proofErr w:type="spellStart"/>
      <w:r w:rsidRPr="00F46346">
        <w:rPr>
          <w:rStyle w:val="Hipervnculo"/>
          <w:lang w:val="es-ES"/>
        </w:rPr>
        <w:t>www.ohchr.org</w:t>
      </w:r>
      <w:proofErr w:type="spellEnd"/>
      <w:r w:rsidRPr="00F46346">
        <w:rPr>
          <w:rStyle w:val="Hipervnculo"/>
          <w:lang w:val="es-ES"/>
        </w:rPr>
        <w:t>/</w:t>
      </w:r>
      <w:proofErr w:type="spellStart"/>
      <w:r w:rsidRPr="00F46346">
        <w:rPr>
          <w:rStyle w:val="Hipervnculo"/>
          <w:lang w:val="es-ES"/>
        </w:rPr>
        <w:t>SP</w:t>
      </w:r>
      <w:proofErr w:type="spellEnd"/>
      <w:r w:rsidR="003D1455">
        <w:rPr>
          <w:rStyle w:val="Hipervnculo"/>
          <w:lang w:val="es-ES"/>
        </w:rPr>
        <w:fldChar w:fldCharType="end"/>
      </w:r>
      <w:r w:rsidRPr="00AC5DE7">
        <w:rPr>
          <w:lang w:val="es-ES"/>
        </w:rPr>
        <w:t>).</w:t>
      </w:r>
    </w:p>
    <w:p w:rsidR="00AC5DE7" w:rsidRPr="00AC5DE7" w:rsidRDefault="00AC5DE7" w:rsidP="00B562CF">
      <w:pPr>
        <w:pStyle w:val="H1G"/>
        <w:rPr>
          <w:lang w:val="es-ES"/>
        </w:rPr>
      </w:pPr>
      <w:bookmarkStart w:id="20" w:name="_Toc208302682"/>
      <w:r w:rsidRPr="00AC5DE7">
        <w:rPr>
          <w:lang w:val="es-ES"/>
        </w:rPr>
        <w:tab/>
      </w:r>
      <w:bookmarkStart w:id="21" w:name="_Toc272490302"/>
      <w:bookmarkStart w:id="22" w:name="_Toc272491367"/>
      <w:bookmarkStart w:id="23" w:name="_Toc305402557"/>
      <w:bookmarkStart w:id="24" w:name="_Toc428797491"/>
      <w:r w:rsidRPr="00AC5DE7">
        <w:rPr>
          <w:lang w:val="es-ES"/>
        </w:rPr>
        <w:t>F.</w:t>
      </w:r>
      <w:r w:rsidRPr="00AC5DE7">
        <w:rPr>
          <w:lang w:val="es-ES"/>
        </w:rPr>
        <w:tab/>
      </w:r>
      <w:bookmarkEnd w:id="20"/>
      <w:bookmarkEnd w:id="21"/>
      <w:bookmarkEnd w:id="22"/>
      <w:bookmarkEnd w:id="23"/>
      <w:r w:rsidRPr="00AC5DE7">
        <w:rPr>
          <w:lang w:val="es-ES"/>
        </w:rPr>
        <w:t>Actividades del Comité relacionadas con el Protocolo F</w:t>
      </w:r>
      <w:r w:rsidR="00B562CF">
        <w:rPr>
          <w:lang w:val="es-ES"/>
        </w:rPr>
        <w:t xml:space="preserve">acultativo </w:t>
      </w:r>
      <w:r w:rsidR="005A2CDC">
        <w:rPr>
          <w:lang w:val="es-ES"/>
        </w:rPr>
        <w:br/>
      </w:r>
      <w:r w:rsidRPr="00AC5DE7">
        <w:rPr>
          <w:lang w:val="es-ES"/>
        </w:rPr>
        <w:t>de</w:t>
      </w:r>
      <w:r w:rsidR="001E4713">
        <w:rPr>
          <w:lang w:val="es-ES"/>
        </w:rPr>
        <w:t xml:space="preserve"> </w:t>
      </w:r>
      <w:r w:rsidRPr="00AC5DE7">
        <w:rPr>
          <w:lang w:val="es-ES"/>
        </w:rPr>
        <w:t>la</w:t>
      </w:r>
      <w:r w:rsidR="001E4713">
        <w:rPr>
          <w:lang w:val="es-ES"/>
        </w:rPr>
        <w:t xml:space="preserve"> </w:t>
      </w:r>
      <w:r w:rsidRPr="00AC5DE7">
        <w:rPr>
          <w:lang w:val="es-ES"/>
        </w:rPr>
        <w:t>Convención</w:t>
      </w:r>
      <w:bookmarkEnd w:id="24"/>
    </w:p>
    <w:p w:rsidR="00AC5DE7" w:rsidRPr="00AC5DE7" w:rsidRDefault="00AC5DE7" w:rsidP="00AC5DE7">
      <w:pPr>
        <w:pStyle w:val="SingleTxtG"/>
        <w:rPr>
          <w:lang w:val="es-ES"/>
        </w:rPr>
      </w:pPr>
      <w:r w:rsidRPr="00AC5DE7">
        <w:rPr>
          <w:lang w:val="es-ES"/>
        </w:rPr>
        <w:t>12.</w:t>
      </w:r>
      <w:r w:rsidRPr="00AC5DE7">
        <w:rPr>
          <w:lang w:val="es-ES"/>
        </w:rPr>
        <w:tab/>
        <w:t xml:space="preserve">Al 13 de mayo de 2016, había 81 Estados partes en el Protocolo Facultativo de la Convención (véase </w:t>
      </w:r>
      <w:hyperlink r:id="rId32" w:history="1">
        <w:r w:rsidRPr="00F46346">
          <w:rPr>
            <w:rStyle w:val="Hipervnculo"/>
            <w:lang w:val="es-ES"/>
          </w:rPr>
          <w:t>http://</w:t>
        </w:r>
        <w:proofErr w:type="spellStart"/>
        <w:r w:rsidRPr="00F46346">
          <w:rPr>
            <w:rStyle w:val="Hipervnculo"/>
            <w:lang w:val="es-ES"/>
          </w:rPr>
          <w:t>treaties.un.org</w:t>
        </w:r>
        <w:proofErr w:type="spellEnd"/>
      </w:hyperlink>
      <w:r w:rsidRPr="00AC5DE7">
        <w:rPr>
          <w:lang w:val="es-ES"/>
        </w:rPr>
        <w:t>). Con arreglo al Protocolo, el 18 de noviembre de 2015 se celebró una reunión conjunta de los miembros del Comité y los de su Subcomité para la Prevención de la Tortura y Otros Tratos o Penas Crueles, Inhumanos o Degradantes. El Comité y el Subcomité para la Prevención estrecharon su cooperación a través de su activa participación conj</w:t>
      </w:r>
      <w:r w:rsidR="00962428">
        <w:rPr>
          <w:lang w:val="es-ES"/>
        </w:rPr>
        <w:t>unta en un seminario sobre el</w:t>
      </w:r>
      <w:r w:rsidRPr="00AC5DE7">
        <w:rPr>
          <w:lang w:val="es-ES"/>
        </w:rPr>
        <w:t xml:space="preserve"> tema de los derechos de las personas lesbianas, gais, bisexuales, transexuales e intersexuales y la prevención de la tortur</w:t>
      </w:r>
      <w:r w:rsidR="00DB069A">
        <w:rPr>
          <w:lang w:val="es-ES"/>
        </w:rPr>
        <w:t>a y</w:t>
      </w:r>
      <w:r w:rsidRPr="00AC5DE7">
        <w:rPr>
          <w:lang w:val="es-ES"/>
        </w:rPr>
        <w:t xml:space="preserve"> los malos tratos. El seminario contó con la asistencia de la Asociación para la Prevención de la Tortura</w:t>
      </w:r>
      <w:r w:rsidR="001E4713">
        <w:rPr>
          <w:lang w:val="es-ES"/>
        </w:rPr>
        <w:t xml:space="preserve"> </w:t>
      </w:r>
      <w:r w:rsidRPr="00AC5DE7">
        <w:rPr>
          <w:lang w:val="es-ES"/>
        </w:rPr>
        <w:t>y la Asociación Internacional de Lesbianas, Ga</w:t>
      </w:r>
      <w:r w:rsidR="00962428">
        <w:rPr>
          <w:lang w:val="es-ES"/>
        </w:rPr>
        <w:t>i</w:t>
      </w:r>
      <w:r w:rsidRPr="00AC5DE7">
        <w:rPr>
          <w:lang w:val="es-ES"/>
        </w:rPr>
        <w:t>s, Bisexuales,</w:t>
      </w:r>
      <w:r w:rsidR="001E4713">
        <w:rPr>
          <w:lang w:val="es-ES"/>
        </w:rPr>
        <w:t xml:space="preserve"> </w:t>
      </w:r>
      <w:r w:rsidRPr="00AC5DE7">
        <w:rPr>
          <w:iCs/>
          <w:lang w:val="es-ES"/>
        </w:rPr>
        <w:t>Trans</w:t>
      </w:r>
      <w:r w:rsidR="001E4713">
        <w:rPr>
          <w:lang w:val="es-ES"/>
        </w:rPr>
        <w:t xml:space="preserve"> </w:t>
      </w:r>
      <w:r w:rsidRPr="00AC5DE7">
        <w:rPr>
          <w:lang w:val="es-ES"/>
        </w:rPr>
        <w:t>e</w:t>
      </w:r>
      <w:r w:rsidR="001E4713">
        <w:rPr>
          <w:lang w:val="es-ES"/>
        </w:rPr>
        <w:t xml:space="preserve"> </w:t>
      </w:r>
      <w:r w:rsidRPr="00AC5DE7">
        <w:rPr>
          <w:iCs/>
          <w:lang w:val="es-ES"/>
        </w:rPr>
        <w:t>Intersex</w:t>
      </w:r>
      <w:r w:rsidR="001E4713">
        <w:rPr>
          <w:lang w:val="es-ES"/>
        </w:rPr>
        <w:t xml:space="preserve"> </w:t>
      </w:r>
      <w:r w:rsidRPr="00AC5DE7">
        <w:rPr>
          <w:lang w:val="es-ES"/>
        </w:rPr>
        <w:t>.</w:t>
      </w:r>
    </w:p>
    <w:p w:rsidR="00AC5DE7" w:rsidRPr="00AC5DE7" w:rsidRDefault="00AC5DE7" w:rsidP="00AC5DE7">
      <w:pPr>
        <w:pStyle w:val="SingleTxtG"/>
        <w:rPr>
          <w:lang w:val="es-ES"/>
        </w:rPr>
      </w:pPr>
      <w:r w:rsidRPr="00AC5DE7">
        <w:rPr>
          <w:lang w:val="es-ES"/>
        </w:rPr>
        <w:t>13.</w:t>
      </w:r>
      <w:r w:rsidRPr="00AC5DE7">
        <w:rPr>
          <w:lang w:val="es-ES"/>
        </w:rPr>
        <w:tab/>
        <w:t xml:space="preserve">El 28 de abril de 2016, el Comité celebró una reunión adicional con el Presidente del Subcomité para la Prevención de la Tortura y Otros Tratos o Penas Crueles, Inhumanos o Degradantes, en la </w:t>
      </w:r>
      <w:r w:rsidR="00962428">
        <w:rPr>
          <w:lang w:val="es-ES"/>
        </w:rPr>
        <w:t xml:space="preserve">que este último le presentó su </w:t>
      </w:r>
      <w:r w:rsidRPr="00AC5DE7">
        <w:rPr>
          <w:lang w:val="es-ES"/>
        </w:rPr>
        <w:t>noveno informe anual público (</w:t>
      </w:r>
      <w:hyperlink r:id="rId33" w:history="1">
        <w:r w:rsidRPr="00AC5DE7">
          <w:rPr>
            <w:rStyle w:val="Hipervnculo"/>
            <w:lang w:val="es-ES"/>
          </w:rPr>
          <w:t>CAT/C/57/4</w:t>
        </w:r>
      </w:hyperlink>
      <w:r w:rsidRPr="00AC5DE7">
        <w:rPr>
          <w:lang w:val="es-ES"/>
        </w:rPr>
        <w:t>). En el presente informe se examina la labor del Subcomité en 2015. Tras una breve introducción, la sección II ofrece una actualización sobre los acontecimientos relacionados con el sistema del Protocolo Facultativo, lo que incluye visitas, el</w:t>
      </w:r>
      <w:r w:rsidR="00962428">
        <w:rPr>
          <w:lang w:val="es-ES"/>
        </w:rPr>
        <w:t xml:space="preserve"> aumento de los Estados partes </w:t>
      </w:r>
      <w:r w:rsidRPr="00AC5DE7">
        <w:rPr>
          <w:lang w:val="es-ES"/>
        </w:rPr>
        <w:t xml:space="preserve">y de los mecanismos nacionales de prevención designados y el funcionamiento del Fondo Especial establecido por el Protocolo Facultativo. En la sección III se destacan esferas de cooperación entre el Subcomité y otros órganos internacionales y </w:t>
      </w:r>
      <w:r w:rsidRPr="00AC5DE7">
        <w:rPr>
          <w:lang w:val="es-ES"/>
        </w:rPr>
        <w:lastRenderedPageBreak/>
        <w:t>regionales y la sociedad civil. La sección IV contiene información sobre las prácticas de trabajo del Subcomité, incluidas reflexiones preliminares sobre algunas cuestiones sustantivas. En la sección V se exponen las opiniones del Subcomité sobre la prevención de la tortura y otros tratos o penas crueles, inhumanos o degradantes respecto de las personas lesbianas, gais, bisexuales, transexuales e intersexuales. La sección VI se hace eco del programa de trabajo del Subcomité para 2016 y de los problemas prácticos que el Subcomité enfrenta en el desarrollo de su labor. El anexo contiene una recopilación de consejos formulados por el Subcomité en 2015 en respuesta a solicitudes de los mecanismos nacionales de prevención.</w:t>
      </w:r>
    </w:p>
    <w:p w:rsidR="00AC5DE7" w:rsidRPr="00AC5DE7" w:rsidRDefault="00AC5DE7" w:rsidP="00B562CF">
      <w:pPr>
        <w:pStyle w:val="H1G"/>
        <w:rPr>
          <w:lang w:val="es-ES"/>
        </w:rPr>
      </w:pPr>
      <w:bookmarkStart w:id="25" w:name="_Toc208302683"/>
      <w:bookmarkStart w:id="26" w:name="_Toc272490303"/>
      <w:bookmarkStart w:id="27" w:name="_Toc272491368"/>
      <w:bookmarkStart w:id="28" w:name="_Toc305402558"/>
      <w:r w:rsidRPr="00AC5DE7">
        <w:rPr>
          <w:lang w:val="es-ES"/>
        </w:rPr>
        <w:tab/>
      </w:r>
      <w:bookmarkStart w:id="29" w:name="_Toc428797492"/>
      <w:r w:rsidRPr="00AC5DE7">
        <w:rPr>
          <w:lang w:val="es-ES"/>
        </w:rPr>
        <w:t>G.</w:t>
      </w:r>
      <w:r w:rsidRPr="00AC5DE7">
        <w:rPr>
          <w:lang w:val="es-ES"/>
        </w:rPr>
        <w:tab/>
      </w:r>
      <w:bookmarkEnd w:id="25"/>
      <w:bookmarkEnd w:id="26"/>
      <w:bookmarkEnd w:id="27"/>
      <w:bookmarkEnd w:id="28"/>
      <w:r w:rsidRPr="00AC5DE7">
        <w:rPr>
          <w:lang w:val="es-ES"/>
        </w:rPr>
        <w:t>Declaración conjunta con motivo del Día Internacional de las</w:t>
      </w:r>
      <w:r w:rsidR="00B562CF">
        <w:rPr>
          <w:lang w:val="es-ES"/>
        </w:rPr>
        <w:t xml:space="preserve"> </w:t>
      </w:r>
      <w:r w:rsidR="005A2CDC">
        <w:rPr>
          <w:lang w:val="es-ES"/>
        </w:rPr>
        <w:br/>
      </w:r>
      <w:r w:rsidRPr="00AC5DE7">
        <w:rPr>
          <w:lang w:val="es-ES"/>
        </w:rPr>
        <w:t>Naciones</w:t>
      </w:r>
      <w:r w:rsidR="001E4713">
        <w:rPr>
          <w:lang w:val="es-ES"/>
        </w:rPr>
        <w:t xml:space="preserve"> </w:t>
      </w:r>
      <w:r w:rsidRPr="00AC5DE7">
        <w:rPr>
          <w:lang w:val="es-ES"/>
        </w:rPr>
        <w:t xml:space="preserve">Unidas en Apoyo </w:t>
      </w:r>
      <w:r w:rsidR="00B562CF">
        <w:rPr>
          <w:lang w:val="es-ES"/>
        </w:rPr>
        <w:t>de las Víctimas de la Tortura y</w:t>
      </w:r>
      <w:r w:rsidR="00B562CF">
        <w:rPr>
          <w:lang w:val="es-ES"/>
        </w:rPr>
        <w:br/>
      </w:r>
      <w:r w:rsidRPr="00AC5DE7">
        <w:rPr>
          <w:lang w:val="es-ES"/>
        </w:rPr>
        <w:t>cooperación con la Junta de Síndi</w:t>
      </w:r>
      <w:r w:rsidR="00B562CF">
        <w:rPr>
          <w:lang w:val="es-ES"/>
        </w:rPr>
        <w:t xml:space="preserve">cos del Fondo de Contribuciones </w:t>
      </w:r>
      <w:r w:rsidRPr="00AC5DE7">
        <w:rPr>
          <w:lang w:val="es-ES"/>
        </w:rPr>
        <w:t>Voluntarias de las Naciones Unidas para</w:t>
      </w:r>
      <w:r w:rsidR="001E4713">
        <w:rPr>
          <w:lang w:val="es-ES"/>
        </w:rPr>
        <w:t xml:space="preserve"> </w:t>
      </w:r>
      <w:r w:rsidRPr="00AC5DE7">
        <w:rPr>
          <w:lang w:val="es-ES"/>
        </w:rPr>
        <w:t>las</w:t>
      </w:r>
      <w:r w:rsidR="001E4713">
        <w:rPr>
          <w:lang w:val="es-ES"/>
        </w:rPr>
        <w:t xml:space="preserve"> </w:t>
      </w:r>
      <w:r w:rsidRPr="00AC5DE7">
        <w:rPr>
          <w:lang w:val="es-ES"/>
        </w:rPr>
        <w:t>Víctimas de la Tortura</w:t>
      </w:r>
      <w:bookmarkEnd w:id="29"/>
    </w:p>
    <w:p w:rsidR="00AC5DE7" w:rsidRPr="00AC5DE7" w:rsidRDefault="00AC5DE7" w:rsidP="00AC5DE7">
      <w:pPr>
        <w:pStyle w:val="SingleTxtG"/>
        <w:rPr>
          <w:lang w:val="es-ES"/>
        </w:rPr>
      </w:pPr>
      <w:r w:rsidRPr="00AC5DE7">
        <w:rPr>
          <w:lang w:val="es-ES"/>
        </w:rPr>
        <w:t>14.</w:t>
      </w:r>
      <w:r w:rsidRPr="00AC5DE7">
        <w:rPr>
          <w:lang w:val="es-ES"/>
        </w:rPr>
        <w:tab/>
        <w:t xml:space="preserve">El Comité aprobó una declaración conjunta del Subcomité para la Prevención, el Relator Especial sobre la tortura </w:t>
      </w:r>
      <w:r w:rsidRPr="00AC5DE7">
        <w:rPr>
          <w:bCs/>
          <w:lang w:val="es-ES"/>
        </w:rPr>
        <w:t>y otros tratos o penas crueles, inhumanos o degradantes</w:t>
      </w:r>
      <w:r w:rsidRPr="00AC5DE7">
        <w:rPr>
          <w:lang w:val="es-ES"/>
        </w:rPr>
        <w:t xml:space="preserve"> y la Junta de Síndicos del Fondo de Contribuciones Voluntarias de las Naciones Unidas para las Víctimas de la Tortura, que se publicó el</w:t>
      </w:r>
      <w:r w:rsidR="001E4713">
        <w:rPr>
          <w:lang w:val="es-ES"/>
        </w:rPr>
        <w:t xml:space="preserve"> </w:t>
      </w:r>
      <w:r w:rsidRPr="00AC5DE7">
        <w:rPr>
          <w:lang w:val="es-ES"/>
        </w:rPr>
        <w:t>26 de junio de</w:t>
      </w:r>
      <w:r w:rsidR="00962428">
        <w:rPr>
          <w:lang w:val="es-ES"/>
        </w:rPr>
        <w:t xml:space="preserve"> </w:t>
      </w:r>
      <w:r w:rsidRPr="00AC5DE7">
        <w:rPr>
          <w:lang w:val="es-ES"/>
        </w:rPr>
        <w:t xml:space="preserve">2015, con motivo del Día Internacional en Apoyo de las Víctimas de la Tortura (véase la página web del Fondo de Contribuciones: </w:t>
      </w:r>
      <w:hyperlink r:id="rId34" w:history="1">
        <w:proofErr w:type="spellStart"/>
        <w:r w:rsidRPr="00F46346">
          <w:rPr>
            <w:rStyle w:val="Hipervnculo"/>
            <w:lang w:val="es-ES"/>
          </w:rPr>
          <w:t>www.ohchr.org</w:t>
        </w:r>
        <w:proofErr w:type="spellEnd"/>
        <w:r w:rsidRPr="00F46346">
          <w:rPr>
            <w:rStyle w:val="Hipervnculo"/>
            <w:lang w:val="es-ES"/>
          </w:rPr>
          <w:t>/EN/</w:t>
        </w:r>
        <w:proofErr w:type="spellStart"/>
        <w:r w:rsidRPr="00F46346">
          <w:rPr>
            <w:rStyle w:val="Hipervnculo"/>
            <w:lang w:val="es-ES"/>
          </w:rPr>
          <w:t>Issues</w:t>
        </w:r>
        <w:proofErr w:type="spellEnd"/>
        <w:r w:rsidRPr="00F46346">
          <w:rPr>
            <w:rStyle w:val="Hipervnculo"/>
            <w:lang w:val="es-ES"/>
          </w:rPr>
          <w:t>/Torture/</w:t>
        </w:r>
        <w:proofErr w:type="spellStart"/>
        <w:r w:rsidRPr="00F46346">
          <w:rPr>
            <w:rStyle w:val="Hipervnculo"/>
            <w:lang w:val="es-ES"/>
          </w:rPr>
          <w:t>UNVFT</w:t>
        </w:r>
        <w:proofErr w:type="spellEnd"/>
        <w:r w:rsidRPr="00F46346">
          <w:rPr>
            <w:rStyle w:val="Hipervnculo"/>
            <w:lang w:val="es-ES"/>
          </w:rPr>
          <w:t>/</w:t>
        </w:r>
        <w:proofErr w:type="spellStart"/>
        <w:r w:rsidRPr="00F46346">
          <w:rPr>
            <w:rStyle w:val="Hipervnculo"/>
            <w:lang w:val="es-ES"/>
          </w:rPr>
          <w:t>Pages</w:t>
        </w:r>
        <w:proofErr w:type="spellEnd"/>
        <w:r w:rsidRPr="00F46346">
          <w:rPr>
            <w:rStyle w:val="Hipervnculo"/>
            <w:lang w:val="es-ES"/>
          </w:rPr>
          <w:t>/</w:t>
        </w:r>
        <w:proofErr w:type="spellStart"/>
        <w:r w:rsidRPr="00F46346">
          <w:rPr>
            <w:rStyle w:val="Hipervnculo"/>
            <w:lang w:val="es-ES"/>
          </w:rPr>
          <w:t>IntlDay.aspx</w:t>
        </w:r>
        <w:proofErr w:type="spellEnd"/>
      </w:hyperlink>
      <w:r w:rsidRPr="00AC5DE7">
        <w:rPr>
          <w:lang w:val="es-ES"/>
        </w:rPr>
        <w:t>). El 8 de marzo de 2016, en el contexto del Día Internacional de la Mujer, el Comité emitió una declaración conjunta, titulada “Los delitos por razón de género a través del prisma de la tortura”, con el Grupo de Trabajo sobre la cuestión de la discriminación contra la mujer en la legislación y en la práctica, el Relator Especial sobre el derecho de toda persona al disfrute del más alto nivel posible de salud física y</w:t>
      </w:r>
      <w:r w:rsidR="001E4713">
        <w:rPr>
          <w:lang w:val="es-ES"/>
        </w:rPr>
        <w:t xml:space="preserve"> </w:t>
      </w:r>
      <w:r w:rsidRPr="00AC5DE7">
        <w:rPr>
          <w:iCs/>
          <w:lang w:val="es-ES"/>
        </w:rPr>
        <w:t>mental</w:t>
      </w:r>
      <w:r w:rsidRPr="00AC5DE7">
        <w:rPr>
          <w:lang w:val="es-ES"/>
        </w:rPr>
        <w:t>, la Relatora</w:t>
      </w:r>
      <w:r w:rsidRPr="00AC5DE7">
        <w:rPr>
          <w:i/>
          <w:iCs/>
          <w:lang w:val="es-ES"/>
        </w:rPr>
        <w:t xml:space="preserve"> </w:t>
      </w:r>
      <w:r w:rsidRPr="00AC5DE7">
        <w:rPr>
          <w:iCs/>
          <w:lang w:val="es-ES"/>
        </w:rPr>
        <w:t>Especial</w:t>
      </w:r>
      <w:r w:rsidR="001E4713">
        <w:rPr>
          <w:lang w:val="es-ES"/>
        </w:rPr>
        <w:t xml:space="preserve"> </w:t>
      </w:r>
      <w:r w:rsidRPr="00AC5DE7">
        <w:rPr>
          <w:iCs/>
          <w:lang w:val="es-ES"/>
        </w:rPr>
        <w:t>sobre</w:t>
      </w:r>
      <w:r w:rsidR="001E4713">
        <w:rPr>
          <w:lang w:val="es-ES"/>
        </w:rPr>
        <w:t xml:space="preserve"> </w:t>
      </w:r>
      <w:r w:rsidRPr="00AC5DE7">
        <w:rPr>
          <w:iCs/>
          <w:lang w:val="es-ES"/>
        </w:rPr>
        <w:t>la</w:t>
      </w:r>
      <w:r w:rsidR="001E4713">
        <w:rPr>
          <w:lang w:val="es-ES"/>
        </w:rPr>
        <w:t xml:space="preserve"> </w:t>
      </w:r>
      <w:r w:rsidRPr="00AC5DE7">
        <w:rPr>
          <w:iCs/>
          <w:lang w:val="es-ES"/>
        </w:rPr>
        <w:t>violencia</w:t>
      </w:r>
      <w:r w:rsidR="001E4713">
        <w:rPr>
          <w:lang w:val="es-ES"/>
        </w:rPr>
        <w:t xml:space="preserve"> </w:t>
      </w:r>
      <w:r w:rsidRPr="00AC5DE7">
        <w:rPr>
          <w:iCs/>
          <w:lang w:val="es-ES"/>
        </w:rPr>
        <w:t>contra</w:t>
      </w:r>
      <w:r w:rsidR="001E4713">
        <w:rPr>
          <w:lang w:val="es-ES"/>
        </w:rPr>
        <w:t xml:space="preserve"> </w:t>
      </w:r>
      <w:r w:rsidRPr="00AC5DE7">
        <w:rPr>
          <w:iCs/>
          <w:lang w:val="es-ES"/>
        </w:rPr>
        <w:t>la</w:t>
      </w:r>
      <w:r w:rsidR="001E4713">
        <w:rPr>
          <w:lang w:val="es-ES"/>
        </w:rPr>
        <w:t xml:space="preserve"> </w:t>
      </w:r>
      <w:r w:rsidRPr="00AC5DE7">
        <w:rPr>
          <w:iCs/>
          <w:lang w:val="es-ES"/>
        </w:rPr>
        <w:t>mujer</w:t>
      </w:r>
      <w:r w:rsidRPr="00AC5DE7">
        <w:rPr>
          <w:lang w:val="es-ES"/>
        </w:rPr>
        <w:t>,</w:t>
      </w:r>
      <w:r w:rsidR="00962428">
        <w:rPr>
          <w:lang w:val="es-ES"/>
        </w:rPr>
        <w:t xml:space="preserve"> </w:t>
      </w:r>
      <w:r w:rsidRPr="00AC5DE7">
        <w:rPr>
          <w:iCs/>
          <w:lang w:val="es-ES"/>
        </w:rPr>
        <w:t>sus</w:t>
      </w:r>
      <w:r w:rsidR="001E4713">
        <w:rPr>
          <w:lang w:val="es-ES"/>
        </w:rPr>
        <w:t xml:space="preserve"> </w:t>
      </w:r>
      <w:r w:rsidRPr="00AC5DE7">
        <w:rPr>
          <w:iCs/>
          <w:lang w:val="es-ES"/>
        </w:rPr>
        <w:t>causas</w:t>
      </w:r>
      <w:r w:rsidR="001E4713">
        <w:rPr>
          <w:lang w:val="es-ES"/>
        </w:rPr>
        <w:t xml:space="preserve"> </w:t>
      </w:r>
      <w:r w:rsidRPr="00AC5DE7">
        <w:rPr>
          <w:iCs/>
          <w:lang w:val="es-ES"/>
        </w:rPr>
        <w:t>y</w:t>
      </w:r>
      <w:r w:rsidR="001E4713">
        <w:rPr>
          <w:lang w:val="es-ES"/>
        </w:rPr>
        <w:t xml:space="preserve"> </w:t>
      </w:r>
      <w:r w:rsidRPr="00AC5DE7">
        <w:rPr>
          <w:iCs/>
          <w:lang w:val="es-ES"/>
        </w:rPr>
        <w:t>consecuencias</w:t>
      </w:r>
      <w:r w:rsidRPr="00AC5DE7">
        <w:rPr>
          <w:lang w:val="es-ES"/>
        </w:rPr>
        <w:t xml:space="preserve">, la </w:t>
      </w:r>
      <w:r w:rsidRPr="00AC5DE7">
        <w:rPr>
          <w:bCs/>
          <w:lang w:val="es-ES"/>
        </w:rPr>
        <w:t>Relatora Especial sobre la trata de personas, especialmente mujeres y niños,</w:t>
      </w:r>
      <w:r w:rsidRPr="00AC5DE7">
        <w:rPr>
          <w:lang w:val="es-ES"/>
        </w:rPr>
        <w:t xml:space="preserve"> el</w:t>
      </w:r>
      <w:r w:rsidRPr="00AC5DE7">
        <w:rPr>
          <w:b/>
          <w:bCs/>
          <w:lang w:val="es-ES"/>
        </w:rPr>
        <w:t xml:space="preserve"> </w:t>
      </w:r>
      <w:r w:rsidRPr="00AC5DE7">
        <w:rPr>
          <w:bCs/>
          <w:lang w:val="es-ES"/>
        </w:rPr>
        <w:t>Relator Especial sobre la tortura, el</w:t>
      </w:r>
      <w:r w:rsidRPr="00AC5DE7">
        <w:rPr>
          <w:lang w:val="es-ES"/>
        </w:rPr>
        <w:t xml:space="preserve"> Subcomité para la Prevención y la Junta de Síndicos del Fondo de Contribuciones Voluntarias. En su 57º período de sesiones, el Comité celebró una reunión con un representante de la Junta de Síndicos del Fondo de Contribuciones Voluntarias. Además, Alessio Bruni asistió a una reunión de expertos del Fondo de Contribuciones Voluntarias sobre reparación y rehabilitación en el caso de los niños y adolescentes víctimas de la tortura y la transmisión intergeneracional del trauma, celebrada los días 6 y 7 de abril de 2016 en Ginebra.</w:t>
      </w:r>
    </w:p>
    <w:p w:rsidR="00AC5DE7" w:rsidRPr="00AC5DE7" w:rsidRDefault="00AC5DE7" w:rsidP="00B562CF">
      <w:pPr>
        <w:pStyle w:val="H1G"/>
        <w:rPr>
          <w:lang w:val="es-ES"/>
        </w:rPr>
      </w:pPr>
      <w:r w:rsidRPr="00AC5DE7">
        <w:rPr>
          <w:lang w:val="es-ES"/>
        </w:rPr>
        <w:tab/>
      </w:r>
      <w:bookmarkStart w:id="30" w:name="_Toc272490304"/>
      <w:bookmarkStart w:id="31" w:name="_Toc272491369"/>
      <w:bookmarkStart w:id="32" w:name="_Toc305402559"/>
      <w:bookmarkStart w:id="33" w:name="_Toc428797493"/>
      <w:r w:rsidRPr="00AC5DE7">
        <w:rPr>
          <w:lang w:val="es-ES"/>
        </w:rPr>
        <w:t>H.</w:t>
      </w:r>
      <w:r w:rsidRPr="00AC5DE7">
        <w:rPr>
          <w:lang w:val="es-ES"/>
        </w:rPr>
        <w:tab/>
      </w:r>
      <w:bookmarkEnd w:id="30"/>
      <w:bookmarkEnd w:id="31"/>
      <w:bookmarkEnd w:id="32"/>
      <w:bookmarkEnd w:id="33"/>
      <w:r w:rsidRPr="00AC5DE7">
        <w:rPr>
          <w:lang w:val="es-ES"/>
        </w:rPr>
        <w:t>Observación general revisada sobre el artículo 3 de la Convención</w:t>
      </w:r>
    </w:p>
    <w:p w:rsidR="00AC5DE7" w:rsidRPr="00AC5DE7" w:rsidRDefault="00AC5DE7" w:rsidP="00AC5DE7">
      <w:pPr>
        <w:pStyle w:val="SingleTxtG"/>
        <w:rPr>
          <w:lang w:val="es-ES"/>
        </w:rPr>
      </w:pPr>
      <w:r w:rsidRPr="00AC5DE7">
        <w:rPr>
          <w:lang w:val="es-ES"/>
        </w:rPr>
        <w:t>15.</w:t>
      </w:r>
      <w:r w:rsidRPr="00AC5DE7">
        <w:rPr>
          <w:lang w:val="es-ES"/>
        </w:rPr>
        <w:tab/>
        <w:t>En su 55º período de sesiones, el Comité decidió revisar la observación general núm</w:t>
      </w:r>
      <w:r w:rsidR="00DB069A">
        <w:rPr>
          <w:lang w:val="es-ES"/>
        </w:rPr>
        <w:t>. </w:t>
      </w:r>
      <w:r w:rsidRPr="00AC5DE7">
        <w:rPr>
          <w:lang w:val="es-ES"/>
        </w:rPr>
        <w:t>1 (1997) sobre el artículo 3. En su 56º período de sesiones, el Comité celebró un debate preliminar sobre las principales cuestiones que habían de examinarse en el contexto de la observación general revisada. En su 57º período de sesiones, el Comité celebró un debate preliminar sobre la lista de temas que habían de quedar abarcados en la observación general revisada. Se ha encargado el proceso de redacción a un grupo de trabajo integrado por el Sr. Bruni como Relator, la Sra. Belmir, la Sra. Gaer y Abdelwahab Hani. El Comité proseguirá el examen sobre una lista de temas en su 59º período de sesiones.</w:t>
      </w:r>
    </w:p>
    <w:p w:rsidR="00AC5DE7" w:rsidRPr="00AC5DE7" w:rsidRDefault="00AC5DE7" w:rsidP="00B562CF">
      <w:pPr>
        <w:pStyle w:val="H1G"/>
        <w:rPr>
          <w:lang w:val="es-ES"/>
        </w:rPr>
      </w:pPr>
      <w:bookmarkStart w:id="34" w:name="_Toc272490305"/>
      <w:bookmarkStart w:id="35" w:name="_Toc272491370"/>
      <w:bookmarkStart w:id="36" w:name="_Toc305402560"/>
      <w:r w:rsidRPr="00AC5DE7">
        <w:rPr>
          <w:lang w:val="es-ES"/>
        </w:rPr>
        <w:tab/>
      </w:r>
      <w:bookmarkStart w:id="37" w:name="_Toc428797494"/>
      <w:r w:rsidRPr="00AC5DE7">
        <w:rPr>
          <w:lang w:val="es-ES"/>
        </w:rPr>
        <w:t>I.</w:t>
      </w:r>
      <w:r w:rsidRPr="00AC5DE7">
        <w:rPr>
          <w:lang w:val="es-ES"/>
        </w:rPr>
        <w:tab/>
      </w:r>
      <w:bookmarkEnd w:id="34"/>
      <w:bookmarkEnd w:id="35"/>
      <w:bookmarkEnd w:id="36"/>
      <w:r w:rsidRPr="00AC5DE7">
        <w:rPr>
          <w:lang w:val="es-ES"/>
        </w:rPr>
        <w:t>Participación de organizaciones no gubernamentales</w:t>
      </w:r>
      <w:bookmarkEnd w:id="37"/>
    </w:p>
    <w:p w:rsidR="00AC5DE7" w:rsidRPr="00AC5DE7" w:rsidRDefault="00AC5DE7" w:rsidP="00AC5DE7">
      <w:pPr>
        <w:pStyle w:val="SingleTxtG"/>
        <w:rPr>
          <w:lang w:val="es-ES"/>
        </w:rPr>
      </w:pPr>
      <w:r w:rsidRPr="00AC5DE7">
        <w:rPr>
          <w:lang w:val="es-ES"/>
        </w:rPr>
        <w:t>16.</w:t>
      </w:r>
      <w:r w:rsidRPr="00AC5DE7">
        <w:rPr>
          <w:lang w:val="es-ES"/>
        </w:rPr>
        <w:tab/>
        <w:t>El Comité reconoce desde hace mucho tiempo la labor de las organizaciones no gubernamentales (ONG) y se reúne con ellas en privado</w:t>
      </w:r>
      <w:r w:rsidR="00962428">
        <w:rPr>
          <w:lang w:val="es-ES"/>
        </w:rPr>
        <w:t xml:space="preserve"> </w:t>
      </w:r>
      <w:r w:rsidRPr="00AC5DE7">
        <w:rPr>
          <w:lang w:val="es-ES"/>
        </w:rPr>
        <w:t xml:space="preserve">en la víspera del examen del informe presentado por cada Estado parte en virtud del artículo 19 de la Convención. El </w:t>
      </w:r>
      <w:r w:rsidRPr="00AC5DE7">
        <w:rPr>
          <w:lang w:val="es-ES"/>
        </w:rPr>
        <w:lastRenderedPageBreak/>
        <w:t>Comité expresa su reconocimiento a dichas organizaciones por su participación en esas reuniones y valora particularmente la asistencia de las ONG</w:t>
      </w:r>
      <w:r w:rsidR="00962428">
        <w:rPr>
          <w:lang w:val="es-ES"/>
        </w:rPr>
        <w:t xml:space="preserve"> </w:t>
      </w:r>
      <w:r w:rsidRPr="00AC5DE7">
        <w:rPr>
          <w:lang w:val="es-ES"/>
        </w:rPr>
        <w:t>nacionales, que aportan información inmediata y directa. El Comité se ha beneficiado de la organización por ONG de sesiones informativas temáticas, como las relativas a</w:t>
      </w:r>
      <w:r w:rsidR="00DB069A">
        <w:rPr>
          <w:lang w:val="es-ES"/>
        </w:rPr>
        <w:t>:</w:t>
      </w:r>
      <w:r w:rsidRPr="00AC5DE7">
        <w:rPr>
          <w:lang w:val="es-ES"/>
        </w:rPr>
        <w:t xml:space="preserve"> a) la no devolución y el modo de abordar problemas prácticos y jurídicos, celebrada el 6 de agosto de 2015 y organizada por la</w:t>
      </w:r>
      <w:r w:rsidRPr="00AC5DE7">
        <w:rPr>
          <w:b/>
          <w:bCs/>
          <w:lang w:val="es-ES"/>
        </w:rPr>
        <w:t xml:space="preserve"> </w:t>
      </w:r>
      <w:r w:rsidRPr="00AC5DE7">
        <w:rPr>
          <w:bCs/>
          <w:lang w:val="es-ES"/>
        </w:rPr>
        <w:t>Organización Mundial Contra la Tortura</w:t>
      </w:r>
      <w:r w:rsidR="00DB069A">
        <w:rPr>
          <w:bCs/>
          <w:lang w:val="es-ES"/>
        </w:rPr>
        <w:t>;</w:t>
      </w:r>
      <w:r w:rsidRPr="00DB069A">
        <w:rPr>
          <w:bCs/>
          <w:lang w:val="es-ES"/>
        </w:rPr>
        <w:t xml:space="preserve"> </w:t>
      </w:r>
      <w:r w:rsidRPr="00AC5DE7">
        <w:rPr>
          <w:bCs/>
          <w:lang w:val="es-ES"/>
        </w:rPr>
        <w:t>b)</w:t>
      </w:r>
      <w:r w:rsidRPr="00AC5DE7">
        <w:rPr>
          <w:lang w:val="es-ES"/>
        </w:rPr>
        <w:t xml:space="preserve"> las sinergias entre las Naciones Unidas, la Unión Europea y la sociedad civil en la lucha contra la tortura y las medidas adoptadas por las ONG al respecto, sesión esta celebrada el 19 de noviembre de 2015 y organizada por la Federación Internacional de la Acción de Cristianos para la Abolición de la Tortura, sobre la que se presentará un informe al Comité y servirá de asistencia para el seguimiento de las observaciones finales; c) el fomento de los vínculos entre la </w:t>
      </w:r>
      <w:r w:rsidRPr="00AC5DE7">
        <w:rPr>
          <w:bCs/>
          <w:lang w:val="es-ES"/>
        </w:rPr>
        <w:t>Organización Internacional de Policía Criminal</w:t>
      </w:r>
      <w:r w:rsidRPr="00AC5DE7">
        <w:rPr>
          <w:lang w:val="es-ES"/>
        </w:rPr>
        <w:t xml:space="preserve"> (INTERPOL) y el Comité, celebrada el 7 de diciembre de 2015 y organizada por las ONG REDRESS y Fair Trials; y d) directrices para la legislación contra la tortura, celebrada el 22 de abril de 2016 y organizada por la </w:t>
      </w:r>
      <w:r w:rsidRPr="00AC5DE7">
        <w:rPr>
          <w:bCs/>
          <w:lang w:val="es-ES"/>
        </w:rPr>
        <w:t>Asociación para la Prevención de la Tortura y REDRESS</w:t>
      </w:r>
      <w:r w:rsidRPr="00AC5DE7">
        <w:rPr>
          <w:lang w:val="es-ES"/>
        </w:rPr>
        <w:t>. El Comité desearía hacer llegar su especial agradecimiento a esas organizaciones y, en particular, a la Organización Mundial Contra la Tortura por su función esencial en la coordinación de las aportaciones de las ONG a la labor del Comité desde su</w:t>
      </w:r>
      <w:r w:rsidR="001E4713">
        <w:rPr>
          <w:lang w:val="es-ES"/>
        </w:rPr>
        <w:t xml:space="preserve"> </w:t>
      </w:r>
      <w:r w:rsidRPr="00AC5DE7">
        <w:rPr>
          <w:lang w:val="es-ES"/>
        </w:rPr>
        <w:t>52º</w:t>
      </w:r>
      <w:r w:rsidR="001E4713">
        <w:rPr>
          <w:lang w:val="es-ES"/>
        </w:rPr>
        <w:t xml:space="preserve"> </w:t>
      </w:r>
      <w:r w:rsidRPr="00AC5DE7">
        <w:rPr>
          <w:lang w:val="es-ES"/>
        </w:rPr>
        <w:t>período de sesiones.</w:t>
      </w:r>
    </w:p>
    <w:p w:rsidR="00AC5DE7" w:rsidRPr="00AC5DE7" w:rsidRDefault="00AC5DE7" w:rsidP="00B562CF">
      <w:pPr>
        <w:pStyle w:val="H1G"/>
        <w:rPr>
          <w:lang w:val="es-ES"/>
        </w:rPr>
      </w:pPr>
      <w:bookmarkStart w:id="38" w:name="_Toc272490306"/>
      <w:bookmarkStart w:id="39" w:name="_Toc272491371"/>
      <w:bookmarkStart w:id="40" w:name="_Toc305402561"/>
      <w:r w:rsidRPr="00AC5DE7">
        <w:rPr>
          <w:lang w:val="es-ES"/>
        </w:rPr>
        <w:tab/>
      </w:r>
      <w:bookmarkStart w:id="41" w:name="_Toc428797495"/>
      <w:r w:rsidRPr="00AC5DE7">
        <w:rPr>
          <w:lang w:val="es-ES"/>
        </w:rPr>
        <w:t>J.</w:t>
      </w:r>
      <w:r w:rsidRPr="00AC5DE7">
        <w:rPr>
          <w:lang w:val="es-ES"/>
        </w:rPr>
        <w:tab/>
      </w:r>
      <w:bookmarkEnd w:id="38"/>
      <w:bookmarkEnd w:id="39"/>
      <w:bookmarkEnd w:id="40"/>
      <w:r w:rsidRPr="00AC5DE7">
        <w:rPr>
          <w:lang w:val="es-ES"/>
        </w:rPr>
        <w:t xml:space="preserve">Participación de instituciones nacionales de derechos humanos </w:t>
      </w:r>
      <w:r w:rsidR="00DB069A">
        <w:rPr>
          <w:lang w:val="es-ES"/>
        </w:rPr>
        <w:br/>
      </w:r>
      <w:r w:rsidRPr="00AC5DE7">
        <w:rPr>
          <w:lang w:val="es-ES"/>
        </w:rPr>
        <w:t>y</w:t>
      </w:r>
      <w:r w:rsidR="001E4713">
        <w:rPr>
          <w:lang w:val="es-ES"/>
        </w:rPr>
        <w:t xml:space="preserve"> </w:t>
      </w:r>
      <w:r w:rsidRPr="00AC5DE7">
        <w:rPr>
          <w:lang w:val="es-ES"/>
        </w:rPr>
        <w:t>de</w:t>
      </w:r>
      <w:r w:rsidR="001E4713">
        <w:rPr>
          <w:lang w:val="es-ES"/>
        </w:rPr>
        <w:t xml:space="preserve"> </w:t>
      </w:r>
      <w:r w:rsidRPr="00AC5DE7">
        <w:rPr>
          <w:lang w:val="es-ES"/>
        </w:rPr>
        <w:t>mecanismos nacionales de prevención</w:t>
      </w:r>
      <w:bookmarkEnd w:id="41"/>
    </w:p>
    <w:p w:rsidR="00AC5DE7" w:rsidRPr="00AC5DE7" w:rsidRDefault="00AC5DE7" w:rsidP="00AC5DE7">
      <w:pPr>
        <w:pStyle w:val="SingleTxtG"/>
        <w:rPr>
          <w:lang w:val="es-ES"/>
        </w:rPr>
      </w:pPr>
      <w:r w:rsidRPr="00AC5DE7">
        <w:rPr>
          <w:lang w:val="es-ES"/>
        </w:rPr>
        <w:t>17.</w:t>
      </w:r>
      <w:r w:rsidRPr="00AC5DE7">
        <w:rPr>
          <w:lang w:val="es-ES"/>
        </w:rPr>
        <w:tab/>
        <w:t>Asimismo, el Comité reconoce desde hace tiempo la labor de las instituciones nacionales de derechos humanos y los mecanismos nacionales de prevención establecidos por los Estados partes según lo dispuesto en el Protocolo Facultativo de la Convención. Desde su 55º período de sesiones, tales instituciones y mecanismos han tenido la posibilidad de reunirse en sesión plenaria privada con el</w:t>
      </w:r>
      <w:r w:rsidR="00DB069A">
        <w:rPr>
          <w:lang w:val="es-ES"/>
        </w:rPr>
        <w:t xml:space="preserve"> Comité. En concreto, en su 55º </w:t>
      </w:r>
      <w:r w:rsidRPr="00AC5DE7">
        <w:rPr>
          <w:lang w:val="es-ES"/>
        </w:rPr>
        <w:t xml:space="preserve">período de sesiones el Comité se reunió con las instituciones de Eslovaquia, el Iraq y Suiza y con el mecanismo de Suiza; en su 56º período de sesiones, se reunió con las instituciones de Dinamarca y Jordania, el mecanismo de Dinamarca y las instituciones y mecanismos de Austria y Azerbaiyán; y en su 57º período de sesiones, se reunió con las instituciones de Filipinas y Túnez y con la institución y el mecanismo de Francia. El Comité expresa su reconocimiento a esas instituciones por la información oral y escrita que le envían y espera poder seguir aprovechándola, ya que le permite comprender mejor las cuestiones que debe examinar. </w:t>
      </w:r>
    </w:p>
    <w:p w:rsidR="00AC5DE7" w:rsidRPr="00AC5DE7" w:rsidRDefault="00AC5DE7" w:rsidP="00B562CF">
      <w:pPr>
        <w:pStyle w:val="H1G"/>
        <w:rPr>
          <w:lang w:val="es-ES"/>
        </w:rPr>
      </w:pPr>
      <w:r w:rsidRPr="00AC5DE7">
        <w:rPr>
          <w:lang w:val="es-ES"/>
        </w:rPr>
        <w:tab/>
      </w:r>
      <w:bookmarkStart w:id="42" w:name="_Toc428797496"/>
      <w:r w:rsidRPr="00AC5DE7">
        <w:rPr>
          <w:lang w:val="es-ES"/>
        </w:rPr>
        <w:t>K.</w:t>
      </w:r>
      <w:r w:rsidRPr="00AC5DE7">
        <w:rPr>
          <w:lang w:val="es-ES"/>
        </w:rPr>
        <w:tab/>
        <w:t>Relatores sobre las represalias</w:t>
      </w:r>
      <w:bookmarkEnd w:id="42"/>
    </w:p>
    <w:p w:rsidR="00AC5DE7" w:rsidRPr="00AC5DE7" w:rsidRDefault="00AC5DE7" w:rsidP="00AC5DE7">
      <w:pPr>
        <w:pStyle w:val="SingleTxtG"/>
        <w:rPr>
          <w:lang w:val="es-ES"/>
        </w:rPr>
      </w:pPr>
      <w:r w:rsidRPr="00AC5DE7">
        <w:rPr>
          <w:lang w:val="es-ES"/>
        </w:rPr>
        <w:t>18.</w:t>
      </w:r>
      <w:r w:rsidRPr="00AC5DE7">
        <w:rPr>
          <w:lang w:val="es-ES"/>
        </w:rPr>
        <w:tab/>
        <w:t>En su 49º período de sesiones, el Comité decidió establecer un mecanismo para la prevención, la vigilancia y el seguimiento de los casos de represalias contra organizaciones de la sociedad civil, defensores de los derechos humanos, víctimas y testigos a raíz de su colaboración con el sistema de órganos de tratados. Posteriormente nombró a George Tugushi Relator sobre las represalias en relación con el artículo 19 de la Convención, y al Sr. Bruni Relator sobre las represalias en relación con los artículos</w:t>
      </w:r>
      <w:r w:rsidR="001E4713">
        <w:rPr>
          <w:lang w:val="es-ES"/>
        </w:rPr>
        <w:t xml:space="preserve"> </w:t>
      </w:r>
      <w:r w:rsidR="00DB069A">
        <w:rPr>
          <w:lang w:val="es-ES"/>
        </w:rPr>
        <w:t>20 y 22. En su 55º </w:t>
      </w:r>
      <w:r w:rsidRPr="00AC5DE7">
        <w:rPr>
          <w:lang w:val="es-ES"/>
        </w:rPr>
        <w:t>período de sesiones, el Comité aprobó directrices sobre la recepción y la tramitación de denuncias de represalias contra personas y organizaciones que colaboraban con él en el marco de los artículos 13, 19, 20 y 22 de la Convención (</w:t>
      </w:r>
      <w:hyperlink r:id="rId35" w:history="1">
        <w:r w:rsidRPr="00F46346">
          <w:rPr>
            <w:rStyle w:val="Hipervnculo"/>
            <w:lang w:val="es-ES"/>
          </w:rPr>
          <w:t>CAT/C/55/2</w:t>
        </w:r>
      </w:hyperlink>
      <w:r w:rsidRPr="00AC5DE7">
        <w:rPr>
          <w:lang w:val="es-ES"/>
        </w:rPr>
        <w:t xml:space="preserve">). En las directrices aprobadas se reconoce claramente la utilidad de las </w:t>
      </w:r>
      <w:r w:rsidRPr="00AC5DE7">
        <w:rPr>
          <w:bCs/>
          <w:lang w:val="es-ES"/>
        </w:rPr>
        <w:t>Directrices contra la Intimidación o las Represalias</w:t>
      </w:r>
      <w:r w:rsidRPr="00AC5DE7" w:rsidDel="00027D6E">
        <w:rPr>
          <w:lang w:val="es-ES"/>
        </w:rPr>
        <w:t xml:space="preserve"> </w:t>
      </w:r>
      <w:r w:rsidRPr="00AC5DE7">
        <w:rPr>
          <w:lang w:val="es-ES"/>
        </w:rPr>
        <w:t>(Directrices de San José) .</w:t>
      </w:r>
    </w:p>
    <w:p w:rsidR="00AC5DE7" w:rsidRPr="00AC5DE7" w:rsidRDefault="00AC5DE7" w:rsidP="00AC5DE7">
      <w:pPr>
        <w:pStyle w:val="SingleTxtG"/>
        <w:rPr>
          <w:lang w:val="es-ES"/>
        </w:rPr>
      </w:pPr>
      <w:r w:rsidRPr="00AC5DE7">
        <w:rPr>
          <w:lang w:val="es-ES"/>
        </w:rPr>
        <w:t>19.</w:t>
      </w:r>
      <w:r w:rsidRPr="00AC5DE7">
        <w:rPr>
          <w:lang w:val="es-ES"/>
        </w:rPr>
        <w:tab/>
        <w:t xml:space="preserve">En su 57º período de sesiones, el Comité designó al Sr. Bruni Relator sobre las represalias en relación con los artículos 19, 20 y 22. En la página web del Comité figura </w:t>
      </w:r>
      <w:r w:rsidRPr="00AC5DE7">
        <w:rPr>
          <w:lang w:val="es-ES"/>
        </w:rPr>
        <w:lastRenderedPageBreak/>
        <w:t>información sobre las medidas adoptadas por los relatores durante el período que se examina .</w:t>
      </w:r>
    </w:p>
    <w:p w:rsidR="00AC5DE7" w:rsidRPr="00AC5DE7" w:rsidRDefault="00AC5DE7" w:rsidP="00B562CF">
      <w:pPr>
        <w:pStyle w:val="H1G"/>
        <w:rPr>
          <w:lang w:val="es-ES"/>
        </w:rPr>
      </w:pPr>
      <w:r w:rsidRPr="00AC5DE7">
        <w:rPr>
          <w:lang w:val="es-ES"/>
        </w:rPr>
        <w:tab/>
      </w:r>
      <w:bookmarkStart w:id="43" w:name="_Toc428797497"/>
      <w:r w:rsidRPr="00AC5DE7">
        <w:rPr>
          <w:lang w:val="es-ES"/>
        </w:rPr>
        <w:t>L.</w:t>
      </w:r>
      <w:r w:rsidRPr="00AC5DE7">
        <w:rPr>
          <w:lang w:val="es-ES"/>
        </w:rPr>
        <w:tab/>
        <w:t>Proceso de fortalecimiento de los órganos de tratados</w:t>
      </w:r>
      <w:bookmarkEnd w:id="43"/>
    </w:p>
    <w:p w:rsidR="00AC5DE7" w:rsidRPr="00AC5DE7" w:rsidRDefault="00AC5DE7" w:rsidP="00AC5DE7">
      <w:pPr>
        <w:pStyle w:val="SingleTxtG"/>
        <w:rPr>
          <w:iCs/>
          <w:lang w:val="es-ES"/>
        </w:rPr>
      </w:pPr>
      <w:r w:rsidRPr="00AC5DE7">
        <w:rPr>
          <w:lang w:val="es-ES"/>
        </w:rPr>
        <w:t>2</w:t>
      </w:r>
      <w:r w:rsidR="00DB069A">
        <w:rPr>
          <w:lang w:val="es-ES"/>
        </w:rPr>
        <w:t>0</w:t>
      </w:r>
      <w:r w:rsidRPr="00AC5DE7">
        <w:rPr>
          <w:lang w:val="es-ES"/>
        </w:rPr>
        <w:t>.</w:t>
      </w:r>
      <w:r w:rsidRPr="00AC5DE7">
        <w:rPr>
          <w:lang w:val="es-ES"/>
        </w:rPr>
        <w:tab/>
        <w:t>En su 55º período de sesiones, el Comité examinó las recomendaciones formuladas por los presidentes de órganos creados en virtud de tratado</w:t>
      </w:r>
      <w:r w:rsidR="00DB069A">
        <w:rPr>
          <w:lang w:val="es-ES"/>
        </w:rPr>
        <w:t>s de derechos humanos en su 27ª </w:t>
      </w:r>
      <w:r w:rsidRPr="00AC5DE7">
        <w:rPr>
          <w:lang w:val="es-ES"/>
        </w:rPr>
        <w:t xml:space="preserve">reunión, celebrada en San José del 22 al 26 de junio de 2015, facilitada por el Presidente del Comité, quien había desempeñado en ella un importante papel. A este respecto, el Comité adoptó importantes decisiones en relación con las represalias (véase la secc. I.K). El Comité reafirmó su apoyo al fortalecimiento de los órganos creados en virtud de tratados y, al mismo tiempo, insistió en la necesidad de que se asignaran recursos de personal suficientes a la Dependencia de Peticiones para que pudiera ponerse al día con las comunicaciones individuales y, de esa forma, utilizar con eficiencia el tiempo adicional de reunión dispuesto en la resolución </w:t>
      </w:r>
      <w:hyperlink r:id="rId36" w:history="1">
        <w:r w:rsidRPr="00581856">
          <w:rPr>
            <w:rStyle w:val="Hipervnculo"/>
            <w:lang w:val="es-ES"/>
          </w:rPr>
          <w:t>68/268</w:t>
        </w:r>
      </w:hyperlink>
      <w:r w:rsidRPr="00AC5DE7">
        <w:rPr>
          <w:lang w:val="es-ES"/>
        </w:rPr>
        <w:t xml:space="preserve"> de la Asamblea General</w:t>
      </w:r>
      <w:r w:rsidRPr="00AC5DE7">
        <w:rPr>
          <w:iCs/>
          <w:lang w:val="es-ES"/>
        </w:rPr>
        <w:t>.</w:t>
      </w:r>
    </w:p>
    <w:p w:rsidR="00AC5DE7" w:rsidRPr="00AC5DE7" w:rsidRDefault="00AC5DE7" w:rsidP="00B562CF">
      <w:pPr>
        <w:pStyle w:val="H1G"/>
        <w:rPr>
          <w:lang w:val="es-ES"/>
        </w:rPr>
      </w:pPr>
      <w:r w:rsidRPr="00AC5DE7">
        <w:rPr>
          <w:lang w:val="es-ES"/>
        </w:rPr>
        <w:tab/>
      </w:r>
      <w:bookmarkStart w:id="44" w:name="_Toc428797498"/>
      <w:r w:rsidRPr="00AC5DE7">
        <w:rPr>
          <w:lang w:val="es-ES"/>
        </w:rPr>
        <w:t>M.</w:t>
      </w:r>
      <w:r w:rsidRPr="00AC5DE7">
        <w:rPr>
          <w:lang w:val="es-ES"/>
        </w:rPr>
        <w:tab/>
        <w:t xml:space="preserve">Aplicación de las decisiones adoptadas en el retiro sobre los </w:t>
      </w:r>
      <w:r w:rsidR="00DB069A">
        <w:rPr>
          <w:lang w:val="es-ES"/>
        </w:rPr>
        <w:br/>
      </w:r>
      <w:r w:rsidRPr="00AC5DE7">
        <w:rPr>
          <w:lang w:val="es-ES"/>
        </w:rPr>
        <w:t xml:space="preserve">métodos de trabajo del Comité </w:t>
      </w:r>
      <w:bookmarkEnd w:id="44"/>
    </w:p>
    <w:p w:rsidR="00AC5DE7" w:rsidRPr="00AC5DE7" w:rsidRDefault="00AC5DE7" w:rsidP="00AC5DE7">
      <w:pPr>
        <w:pStyle w:val="SingleTxtG"/>
        <w:rPr>
          <w:lang w:val="es-ES"/>
        </w:rPr>
      </w:pPr>
      <w:r w:rsidRPr="00AC5DE7">
        <w:rPr>
          <w:lang w:val="es-ES"/>
        </w:rPr>
        <w:t>21.</w:t>
      </w:r>
      <w:r w:rsidRPr="00AC5DE7">
        <w:rPr>
          <w:lang w:val="es-ES"/>
        </w:rPr>
        <w:tab/>
        <w:t>A los efectos del seguimiento de las decisiones adoptadas en su retiro de dos días sobre los métodos de trabajo, celebrado en su 53</w:t>
      </w:r>
      <w:r w:rsidRPr="00AC5DE7">
        <w:rPr>
          <w:vertAlign w:val="superscript"/>
          <w:lang w:val="es-ES"/>
        </w:rPr>
        <w:t>er</w:t>
      </w:r>
      <w:r w:rsidRPr="00AC5DE7">
        <w:rPr>
          <w:lang w:val="es-ES"/>
        </w:rPr>
        <w:t xml:space="preserve"> período de sesiones, el Comité adoptó las medidas siguientes:</w:t>
      </w:r>
    </w:p>
    <w:p w:rsidR="00AC5DE7" w:rsidRPr="00AC5DE7" w:rsidRDefault="004C5748" w:rsidP="00AC5DE7">
      <w:pPr>
        <w:pStyle w:val="SingleTxtG"/>
        <w:rPr>
          <w:lang w:val="es-ES"/>
        </w:rPr>
      </w:pPr>
      <w:r>
        <w:rPr>
          <w:lang w:val="es-ES"/>
        </w:rPr>
        <w:tab/>
      </w:r>
      <w:r w:rsidR="00AC5DE7" w:rsidRPr="00AC5DE7">
        <w:rPr>
          <w:lang w:val="es-ES"/>
        </w:rPr>
        <w:t>a)</w:t>
      </w:r>
      <w:r w:rsidR="00AC5DE7" w:rsidRPr="00AC5DE7">
        <w:rPr>
          <w:lang w:val="es-ES"/>
        </w:rPr>
        <w:tab/>
        <w:t>Se ofreció el procedimiento simplificado de presentación de informes a cuatro Estados cuyos informes iniciales estaban muy atrasados (Antigua y Barbuda, Cabo Verde, Côte d’Ivoire y Seychelles) (véase la secc. II.D.);</w:t>
      </w:r>
    </w:p>
    <w:p w:rsidR="00AC5DE7" w:rsidRPr="00AC5DE7" w:rsidRDefault="004C5748" w:rsidP="00AC5DE7">
      <w:pPr>
        <w:pStyle w:val="SingleTxtG"/>
        <w:rPr>
          <w:lang w:val="es-ES"/>
        </w:rPr>
      </w:pPr>
      <w:r>
        <w:rPr>
          <w:lang w:val="es-ES"/>
        </w:rPr>
        <w:tab/>
      </w:r>
      <w:r w:rsidR="00AC5DE7" w:rsidRPr="00AC5DE7">
        <w:rPr>
          <w:lang w:val="es-ES"/>
        </w:rPr>
        <w:t>b)</w:t>
      </w:r>
      <w:r w:rsidR="00AC5DE7" w:rsidRPr="00AC5DE7">
        <w:rPr>
          <w:lang w:val="es-ES"/>
        </w:rPr>
        <w:tab/>
        <w:t>El Comité comenzó una evaluación sustantiva preliminar del procedimiento simplificado de presentación de informes (véase la secc. II.B.);</w:t>
      </w:r>
    </w:p>
    <w:p w:rsidR="00AC5DE7" w:rsidRPr="00AC5DE7" w:rsidRDefault="004C5748" w:rsidP="00AC5DE7">
      <w:pPr>
        <w:pStyle w:val="SingleTxtG"/>
        <w:rPr>
          <w:lang w:val="es-ES"/>
        </w:rPr>
      </w:pPr>
      <w:r>
        <w:rPr>
          <w:lang w:val="es-ES"/>
        </w:rPr>
        <w:tab/>
      </w:r>
      <w:r w:rsidR="00AC5DE7" w:rsidRPr="00AC5DE7">
        <w:rPr>
          <w:lang w:val="es-ES"/>
        </w:rPr>
        <w:t>c)</w:t>
      </w:r>
      <w:r w:rsidR="00AC5DE7" w:rsidRPr="00AC5DE7">
        <w:rPr>
          <w:lang w:val="es-ES"/>
        </w:rPr>
        <w:tab/>
        <w:t>El Comité aprobó directrices para el seguimiento de las observaciones finales</w:t>
      </w:r>
      <w:r w:rsidR="00DB069A">
        <w:rPr>
          <w:lang w:val="es-ES"/>
        </w:rPr>
        <w:t xml:space="preserve"> </w:t>
      </w:r>
      <w:r w:rsidR="00AC5DE7" w:rsidRPr="00AC5DE7">
        <w:rPr>
          <w:lang w:val="es-ES"/>
        </w:rPr>
        <w:t>(</w:t>
      </w:r>
      <w:hyperlink r:id="rId37" w:history="1">
        <w:r w:rsidR="00AC5DE7" w:rsidRPr="00F46346">
          <w:rPr>
            <w:rStyle w:val="Hipervnculo"/>
            <w:lang w:val="es-ES"/>
          </w:rPr>
          <w:t>CAT/C/55/3</w:t>
        </w:r>
      </w:hyperlink>
      <w:r w:rsidR="00AC5DE7" w:rsidRPr="00AC5DE7">
        <w:rPr>
          <w:lang w:val="es-ES"/>
        </w:rPr>
        <w:t>);</w:t>
      </w:r>
    </w:p>
    <w:p w:rsidR="00AC5DE7" w:rsidRPr="00AC5DE7" w:rsidRDefault="004C5748" w:rsidP="00AC5DE7">
      <w:pPr>
        <w:pStyle w:val="SingleTxtG"/>
        <w:rPr>
          <w:lang w:val="es-ES"/>
        </w:rPr>
      </w:pPr>
      <w:r>
        <w:rPr>
          <w:lang w:val="es-ES"/>
        </w:rPr>
        <w:tab/>
      </w:r>
      <w:r w:rsidR="00AC5DE7" w:rsidRPr="00AC5DE7">
        <w:rPr>
          <w:lang w:val="es-ES"/>
        </w:rPr>
        <w:t>d)</w:t>
      </w:r>
      <w:r w:rsidR="00AC5DE7" w:rsidRPr="00AC5DE7">
        <w:rPr>
          <w:lang w:val="es-ES"/>
        </w:rPr>
        <w:tab/>
        <w:t xml:space="preserve"> El Comité mejoró la contribución y participación de las instituciones nacionales de de</w:t>
      </w:r>
      <w:r w:rsidR="00DB069A">
        <w:rPr>
          <w:lang w:val="es-ES"/>
        </w:rPr>
        <w:t>rechos humanos, los mecanismos n</w:t>
      </w:r>
      <w:r w:rsidR="00AC5DE7" w:rsidRPr="00AC5DE7">
        <w:rPr>
          <w:lang w:val="es-ES"/>
        </w:rPr>
        <w:t>acionales de prevención y las ONG en sus períodos de sesiones (véase la secc. I.J.), lo que incluía la utilización de nuevas tecnologías de las comunicaciones como Skype;</w:t>
      </w:r>
    </w:p>
    <w:p w:rsidR="00AC5DE7" w:rsidRPr="00AC5DE7" w:rsidRDefault="004C5748" w:rsidP="00AC5DE7">
      <w:pPr>
        <w:pStyle w:val="SingleTxtG"/>
        <w:rPr>
          <w:lang w:val="es-ES"/>
        </w:rPr>
      </w:pPr>
      <w:r>
        <w:rPr>
          <w:lang w:val="es-ES"/>
        </w:rPr>
        <w:tab/>
      </w:r>
      <w:r w:rsidR="00962428">
        <w:rPr>
          <w:lang w:val="es-ES"/>
        </w:rPr>
        <w:t>e)</w:t>
      </w:r>
      <w:r w:rsidR="00962428">
        <w:rPr>
          <w:lang w:val="es-ES"/>
        </w:rPr>
        <w:tab/>
        <w:t>El Comité estableció un</w:t>
      </w:r>
      <w:r w:rsidR="00AC5DE7" w:rsidRPr="00AC5DE7">
        <w:rPr>
          <w:lang w:val="es-ES"/>
        </w:rPr>
        <w:t xml:space="preserve"> grupo de trabajo sobre quejas individuales a fin de poder comprender cabalmente los procesos internos de ese procedimiento y considerar si era necesario revisar el reglamento;</w:t>
      </w:r>
    </w:p>
    <w:p w:rsidR="00AC5DE7" w:rsidRPr="00AC5DE7" w:rsidRDefault="004C5748" w:rsidP="00AC5DE7">
      <w:pPr>
        <w:pStyle w:val="SingleTxtG"/>
        <w:rPr>
          <w:lang w:val="es-ES"/>
        </w:rPr>
      </w:pPr>
      <w:r>
        <w:rPr>
          <w:lang w:val="es-ES"/>
        </w:rPr>
        <w:tab/>
      </w:r>
      <w:r w:rsidR="00AC5DE7" w:rsidRPr="00AC5DE7">
        <w:rPr>
          <w:lang w:val="es-ES"/>
        </w:rPr>
        <w:t>f)</w:t>
      </w:r>
      <w:r w:rsidR="00AC5DE7" w:rsidRPr="00AC5DE7">
        <w:rPr>
          <w:lang w:val="es-ES"/>
        </w:rPr>
        <w:tab/>
        <w:t>El Comité decidió redactar una observación gen</w:t>
      </w:r>
      <w:r w:rsidR="00DB069A">
        <w:rPr>
          <w:lang w:val="es-ES"/>
        </w:rPr>
        <w:t>eral revisada sobre el artículo </w:t>
      </w:r>
      <w:r w:rsidR="00AC5DE7" w:rsidRPr="00AC5DE7">
        <w:rPr>
          <w:lang w:val="es-ES"/>
        </w:rPr>
        <w:t>3 (véase la secc. I.H.);</w:t>
      </w:r>
    </w:p>
    <w:p w:rsidR="00AC5DE7" w:rsidRPr="00AC5DE7" w:rsidRDefault="004C5748" w:rsidP="00AC5DE7">
      <w:pPr>
        <w:pStyle w:val="SingleTxtG"/>
        <w:rPr>
          <w:lang w:val="es-ES"/>
        </w:rPr>
      </w:pPr>
      <w:r>
        <w:rPr>
          <w:lang w:val="es-ES"/>
        </w:rPr>
        <w:tab/>
      </w:r>
      <w:r w:rsidR="00AC5DE7" w:rsidRPr="00AC5DE7">
        <w:rPr>
          <w:lang w:val="es-ES"/>
        </w:rPr>
        <w:t>g)</w:t>
      </w:r>
      <w:r w:rsidR="00AC5DE7" w:rsidRPr="00AC5DE7">
        <w:rPr>
          <w:lang w:val="es-ES"/>
        </w:rPr>
        <w:tab/>
        <w:t>El Comité aprobó directrices sobre la recepción y la tramitación de denuncias de represalias contra personas y organizaciones que colaboraban con él en el marco de los artículos 13, 19, 20 y 22 de la Convención (véase la secc. I.K.).</w:t>
      </w:r>
    </w:p>
    <w:p w:rsidR="00AC5DE7" w:rsidRPr="00AC5DE7" w:rsidRDefault="00AC5DE7" w:rsidP="00B562CF">
      <w:pPr>
        <w:pStyle w:val="HChG"/>
        <w:rPr>
          <w:lang w:val="es-ES"/>
        </w:rPr>
      </w:pPr>
      <w:r w:rsidRPr="00AC5DE7">
        <w:rPr>
          <w:lang w:val="es-ES"/>
        </w:rPr>
        <w:lastRenderedPageBreak/>
        <w:tab/>
      </w:r>
      <w:bookmarkStart w:id="45" w:name="_Toc428797500"/>
      <w:r w:rsidRPr="00AC5DE7">
        <w:rPr>
          <w:lang w:val="es-ES"/>
        </w:rPr>
        <w:t>II.</w:t>
      </w:r>
      <w:r w:rsidRPr="00AC5DE7">
        <w:rPr>
          <w:lang w:val="es-ES"/>
        </w:rPr>
        <w:tab/>
        <w:t>Presentación de informes por los Estados partes en</w:t>
      </w:r>
      <w:r w:rsidR="001E4713">
        <w:rPr>
          <w:lang w:val="es-ES"/>
        </w:rPr>
        <w:t xml:space="preserve"> </w:t>
      </w:r>
      <w:r w:rsidRPr="00AC5DE7">
        <w:rPr>
          <w:lang w:val="es-ES"/>
        </w:rPr>
        <w:t>virtud</w:t>
      </w:r>
      <w:r w:rsidR="001E4713">
        <w:rPr>
          <w:lang w:val="es-ES"/>
        </w:rPr>
        <w:t xml:space="preserve"> </w:t>
      </w:r>
      <w:r w:rsidR="005A2CDC">
        <w:rPr>
          <w:lang w:val="es-ES"/>
        </w:rPr>
        <w:br/>
      </w:r>
      <w:r w:rsidRPr="00AC5DE7">
        <w:rPr>
          <w:lang w:val="es-ES"/>
        </w:rPr>
        <w:t>del</w:t>
      </w:r>
      <w:r w:rsidR="001E4713">
        <w:rPr>
          <w:lang w:val="es-ES"/>
        </w:rPr>
        <w:t xml:space="preserve"> </w:t>
      </w:r>
      <w:r w:rsidRPr="00AC5DE7">
        <w:rPr>
          <w:lang w:val="es-ES"/>
        </w:rPr>
        <w:t>artículo 19 de la Convención</w:t>
      </w:r>
      <w:bookmarkEnd w:id="45"/>
    </w:p>
    <w:p w:rsidR="00AC5DE7" w:rsidRPr="00AC5DE7" w:rsidRDefault="00AC5DE7" w:rsidP="003A0AB5">
      <w:pPr>
        <w:pStyle w:val="SingleTxtG"/>
        <w:keepNext/>
        <w:keepLines/>
        <w:rPr>
          <w:lang w:val="es-ES"/>
        </w:rPr>
      </w:pPr>
      <w:r w:rsidRPr="00AC5DE7">
        <w:rPr>
          <w:lang w:val="es-ES"/>
        </w:rPr>
        <w:t>22.</w:t>
      </w:r>
      <w:r w:rsidRPr="00AC5DE7">
        <w:rPr>
          <w:lang w:val="es-ES"/>
        </w:rPr>
        <w:tab/>
        <w:t xml:space="preserve">En el período a que se refiere el presente informe, se presentaron al Secretario General 21 informes de Estados partes en virtud del artículo 19 de la Convención. Presentaron sus informes iniciales el Líbano y el Pakistán. Presentaron sus </w:t>
      </w:r>
      <w:r w:rsidR="00DB069A">
        <w:rPr>
          <w:lang w:val="es-ES"/>
        </w:rPr>
        <w:t>s</w:t>
      </w:r>
      <w:r w:rsidRPr="00AC5DE7">
        <w:rPr>
          <w:lang w:val="es-ES"/>
        </w:rPr>
        <w:t xml:space="preserve">egundos informes periódicos el Afganistán, Bahrein, Irlanda, Namibia y Turkmenistán. Kuwait presentó su tercer informe periódico. La República de Corea presentó sus informes periódicos tercero a quinto combinados. Armenia y Mauricio presentaron sus cuartos informes periódicos. Belarús y Sri Lanka presentaron sus </w:t>
      </w:r>
      <w:r w:rsidR="00DB069A">
        <w:rPr>
          <w:lang w:val="es-ES"/>
        </w:rPr>
        <w:t>quintos informes periódicos. La </w:t>
      </w:r>
      <w:r w:rsidRPr="00AC5DE7">
        <w:rPr>
          <w:lang w:val="es-ES"/>
        </w:rPr>
        <w:t>Argentina presentó sus informes periódicos quinto y sexto combinados. Bosnia y Herzegovina, Bulgaria, Italia y Mónaco presentaron sus</w:t>
      </w:r>
      <w:r w:rsidR="00DB069A">
        <w:rPr>
          <w:lang w:val="es-ES"/>
        </w:rPr>
        <w:t xml:space="preserve"> sextos informes periódicos. El </w:t>
      </w:r>
      <w:r w:rsidRPr="00AC5DE7">
        <w:rPr>
          <w:lang w:val="es-ES"/>
        </w:rPr>
        <w:t>Ecuador, Finlandia y el Paraguay presentaron sus séptimos informes periódicos.</w:t>
      </w:r>
    </w:p>
    <w:p w:rsidR="00AC5DE7" w:rsidRPr="00AC5DE7" w:rsidRDefault="00DB069A" w:rsidP="00AC5DE7">
      <w:pPr>
        <w:pStyle w:val="SingleTxtG"/>
        <w:rPr>
          <w:lang w:val="es-ES"/>
        </w:rPr>
      </w:pPr>
      <w:r>
        <w:rPr>
          <w:lang w:val="es-ES"/>
        </w:rPr>
        <w:t>23</w:t>
      </w:r>
      <w:r w:rsidR="00AC5DE7" w:rsidRPr="00AC5DE7">
        <w:rPr>
          <w:lang w:val="es-ES"/>
        </w:rPr>
        <w:t>.</w:t>
      </w:r>
      <w:r w:rsidR="00AC5DE7" w:rsidRPr="00AC5DE7">
        <w:rPr>
          <w:lang w:val="es-ES"/>
        </w:rPr>
        <w:tab/>
        <w:t>Al 13 de mayo de 2016, el Comité había recibido en total 400 informes y había examinado 376; estaba atrasada la presentación de 28 informes iniciales y 35 informes periódicos (véase el estado de los informes en la página web del Comité).</w:t>
      </w:r>
    </w:p>
    <w:p w:rsidR="00AC5DE7" w:rsidRPr="00AC5DE7" w:rsidRDefault="00AC5DE7" w:rsidP="004C5748">
      <w:pPr>
        <w:pStyle w:val="H1G"/>
        <w:rPr>
          <w:lang w:val="es-ES"/>
        </w:rPr>
      </w:pPr>
      <w:r w:rsidRPr="00AC5DE7">
        <w:rPr>
          <w:lang w:val="es-ES"/>
        </w:rPr>
        <w:tab/>
      </w:r>
      <w:bookmarkStart w:id="46" w:name="_Toc272490313"/>
      <w:bookmarkStart w:id="47" w:name="_Toc272491378"/>
      <w:bookmarkStart w:id="48" w:name="_Toc305402567"/>
      <w:bookmarkStart w:id="49" w:name="_Toc428797501"/>
      <w:r w:rsidRPr="00AC5DE7">
        <w:rPr>
          <w:lang w:val="es-ES"/>
        </w:rPr>
        <w:t>A.</w:t>
      </w:r>
      <w:r w:rsidRPr="00AC5DE7">
        <w:rPr>
          <w:lang w:val="es-ES"/>
        </w:rPr>
        <w:tab/>
      </w:r>
      <w:bookmarkEnd w:id="46"/>
      <w:bookmarkEnd w:id="47"/>
      <w:bookmarkEnd w:id="48"/>
      <w:r w:rsidRPr="00AC5DE7">
        <w:rPr>
          <w:lang w:val="es-ES"/>
        </w:rPr>
        <w:t>Invitación a presentar informes periódicos</w:t>
      </w:r>
      <w:bookmarkEnd w:id="49"/>
    </w:p>
    <w:p w:rsidR="00AC5DE7" w:rsidRPr="00AC5DE7" w:rsidRDefault="00AC5DE7" w:rsidP="00AC5DE7">
      <w:pPr>
        <w:pStyle w:val="SingleTxtG"/>
        <w:rPr>
          <w:lang w:val="es-ES"/>
        </w:rPr>
      </w:pPr>
      <w:r w:rsidRPr="00AC5DE7">
        <w:rPr>
          <w:lang w:val="es-ES"/>
        </w:rPr>
        <w:t>24.</w:t>
      </w:r>
      <w:r w:rsidRPr="00AC5DE7">
        <w:rPr>
          <w:lang w:val="es-ES"/>
        </w:rPr>
        <w:tab/>
        <w:t>De conformidad con la decisión adoptada en su 41</w:t>
      </w:r>
      <w:r w:rsidRPr="00AC5DE7">
        <w:rPr>
          <w:vertAlign w:val="superscript"/>
          <w:lang w:val="es-ES"/>
        </w:rPr>
        <w:t>er</w:t>
      </w:r>
      <w:r w:rsidRPr="00AC5DE7">
        <w:rPr>
          <w:lang w:val="es-ES"/>
        </w:rPr>
        <w:t xml:space="preserve"> período de sesiones</w:t>
      </w:r>
      <w:r w:rsidRPr="00FE3A40">
        <w:rPr>
          <w:sz w:val="18"/>
          <w:szCs w:val="18"/>
          <w:vertAlign w:val="superscript"/>
          <w:lang w:val="es-ES"/>
        </w:rPr>
        <w:footnoteReference w:id="1"/>
      </w:r>
      <w:r w:rsidRPr="00AC5DE7">
        <w:rPr>
          <w:lang w:val="es-ES"/>
        </w:rPr>
        <w:t>, el Comité, en sus períodos de sesiones 55º, 56º y 57º, invitó nuevamente a los Estados partes, en el último párrafo de las observaciones finales, a que presentaran sus siguientes informes periódicos dentro de un plazo de cuatro años a partir de la aprobación de las observaciones finales e indicó en el mismo párrafo el plazo para la presentación del siguiente informe.</w:t>
      </w:r>
    </w:p>
    <w:p w:rsidR="00AC5DE7" w:rsidRPr="00AC5DE7" w:rsidRDefault="00AC5DE7" w:rsidP="00AC5DE7">
      <w:pPr>
        <w:pStyle w:val="SingleTxtG"/>
        <w:rPr>
          <w:lang w:val="es-ES"/>
        </w:rPr>
      </w:pPr>
      <w:r w:rsidRPr="00AC5DE7">
        <w:rPr>
          <w:lang w:val="es-ES"/>
        </w:rPr>
        <w:t>25.</w:t>
      </w:r>
      <w:r w:rsidRPr="00AC5DE7">
        <w:rPr>
          <w:lang w:val="es-ES"/>
        </w:rPr>
        <w:tab/>
        <w:t>Asimismo, de conformidad con la decisión adoptada en su 47º período de sesiones</w:t>
      </w:r>
      <w:r w:rsidRPr="00FE3A40">
        <w:rPr>
          <w:sz w:val="18"/>
          <w:szCs w:val="18"/>
          <w:vertAlign w:val="superscript"/>
          <w:lang w:val="es-ES"/>
        </w:rPr>
        <w:footnoteReference w:id="2"/>
      </w:r>
      <w:r w:rsidRPr="00AC5DE7">
        <w:rPr>
          <w:lang w:val="es-ES"/>
        </w:rPr>
        <w:t>, el Comité, en sus períodos de sesiones 55º</w:t>
      </w:r>
      <w:r w:rsidR="00DB069A">
        <w:rPr>
          <w:lang w:val="es-ES"/>
        </w:rPr>
        <w:t>,</w:t>
      </w:r>
      <w:r w:rsidRPr="00AC5DE7">
        <w:rPr>
          <w:lang w:val="es-ES"/>
        </w:rPr>
        <w:t xml:space="preserve"> 56</w:t>
      </w:r>
      <w:r w:rsidR="00DB069A">
        <w:rPr>
          <w:lang w:val="es-ES"/>
        </w:rPr>
        <w:t>º</w:t>
      </w:r>
      <w:r w:rsidRPr="00AC5DE7">
        <w:rPr>
          <w:lang w:val="es-ES"/>
        </w:rPr>
        <w:t xml:space="preserve"> y 57º, invitó nuevamente a los Estados partes a que aceptaran, en el plazo de un año a partir de la aprobación de sus observaciones finales, el uso del procedimiento facultativo de presentación de informes y, en el caso de los Estados partes que ya habían aceptado presentar sus informes con arreglo a este procedimiento, les indicó que les haría llegar, en su debido momento, una lista de cuestiones previa a la presentación de su próximo informe periódico.</w:t>
      </w:r>
    </w:p>
    <w:p w:rsidR="00AC5DE7" w:rsidRPr="00AC5DE7" w:rsidRDefault="00AC5DE7" w:rsidP="004C5748">
      <w:pPr>
        <w:pStyle w:val="H1G"/>
        <w:rPr>
          <w:lang w:val="es-ES"/>
        </w:rPr>
      </w:pPr>
      <w:r w:rsidRPr="00AC5DE7">
        <w:rPr>
          <w:lang w:val="es-ES"/>
        </w:rPr>
        <w:tab/>
      </w:r>
      <w:bookmarkStart w:id="50" w:name="_Toc272490314"/>
      <w:bookmarkStart w:id="51" w:name="_Toc272491379"/>
      <w:bookmarkStart w:id="52" w:name="_Toc305402568"/>
      <w:bookmarkStart w:id="53" w:name="_Toc428797502"/>
      <w:r w:rsidRPr="00AC5DE7">
        <w:rPr>
          <w:lang w:val="es-ES"/>
        </w:rPr>
        <w:t>B.</w:t>
      </w:r>
      <w:r w:rsidRPr="00AC5DE7">
        <w:rPr>
          <w:lang w:val="es-ES"/>
        </w:rPr>
        <w:tab/>
      </w:r>
      <w:bookmarkEnd w:id="50"/>
      <w:bookmarkEnd w:id="51"/>
      <w:bookmarkEnd w:id="52"/>
      <w:r w:rsidRPr="00AC5DE7">
        <w:rPr>
          <w:lang w:val="es-ES"/>
        </w:rPr>
        <w:t>Procedimiento simplificado de presentación de informes</w:t>
      </w:r>
      <w:bookmarkEnd w:id="53"/>
    </w:p>
    <w:p w:rsidR="00AC5DE7" w:rsidRPr="00AC5DE7" w:rsidRDefault="00AC5DE7" w:rsidP="00AC5DE7">
      <w:pPr>
        <w:pStyle w:val="SingleTxtG"/>
        <w:rPr>
          <w:lang w:val="es-ES"/>
        </w:rPr>
      </w:pPr>
      <w:r w:rsidRPr="00AC5DE7">
        <w:rPr>
          <w:lang w:val="es-ES"/>
        </w:rPr>
        <w:t>26.</w:t>
      </w:r>
      <w:r w:rsidRPr="00AC5DE7">
        <w:rPr>
          <w:lang w:val="es-ES"/>
        </w:rPr>
        <w:tab/>
        <w:t>El Comité observa con agrado que un elevado número de Estados partes han aceptado el procedimiento facultativo de presentación de informes, que consiste en la preparación y aprobación de una lista de cuestiones que se transmite a los Estados partes antes de la presentación de su informe periódico (conocida como lista de cuestiones previa a la presentación del informe) y que tiene por objeto ayudarlos a cumplir sus obligaciones en la materia, ya que estrecha la cooperación entre el Comité y ellos</w:t>
      </w:r>
      <w:r w:rsidRPr="00FE3A40">
        <w:rPr>
          <w:sz w:val="18"/>
          <w:szCs w:val="18"/>
          <w:vertAlign w:val="superscript"/>
          <w:lang w:val="es-ES"/>
        </w:rPr>
        <w:footnoteReference w:id="3"/>
      </w:r>
      <w:r w:rsidRPr="00AC5DE7">
        <w:rPr>
          <w:lang w:val="es-ES"/>
        </w:rPr>
        <w:t xml:space="preserve">. Si bien el Comité entiende que, desde 2007, la aprobación de las listas de cuestiones previas a la presentación de los informes facilita el cumplimiento por los Estados partes de dichas obligaciones, desea destacar que ese procedimiento ha aumentado sustancialmente su volumen de trabajo, puesto que es más laborioso preparar esas listas que las tradicionales listas de cuestiones </w:t>
      </w:r>
      <w:r w:rsidRPr="00AC5DE7">
        <w:rPr>
          <w:lang w:val="es-ES"/>
        </w:rPr>
        <w:lastRenderedPageBreak/>
        <w:t>posteriores a la presentación del informe del Estado parte. Ello reviste particular importancia en el caso de un Comité que tiene una composición tan reducida.</w:t>
      </w:r>
    </w:p>
    <w:p w:rsidR="00AC5DE7" w:rsidRPr="00AC5DE7" w:rsidRDefault="00AC5DE7" w:rsidP="00AC5DE7">
      <w:pPr>
        <w:pStyle w:val="SingleTxtG"/>
        <w:rPr>
          <w:lang w:val="es-ES"/>
        </w:rPr>
      </w:pPr>
      <w:r w:rsidRPr="00AC5DE7">
        <w:rPr>
          <w:lang w:val="es-ES"/>
        </w:rPr>
        <w:t>27.</w:t>
      </w:r>
      <w:r w:rsidRPr="00AC5DE7">
        <w:rPr>
          <w:lang w:val="es-ES"/>
        </w:rPr>
        <w:tab/>
        <w:t>En su</w:t>
      </w:r>
      <w:r w:rsidR="001E4713">
        <w:rPr>
          <w:lang w:val="es-ES"/>
        </w:rPr>
        <w:t xml:space="preserve"> </w:t>
      </w:r>
      <w:r w:rsidRPr="00AC5DE7">
        <w:rPr>
          <w:lang w:val="es-ES"/>
        </w:rPr>
        <w:t>52º</w:t>
      </w:r>
      <w:r w:rsidR="001E4713">
        <w:rPr>
          <w:lang w:val="es-ES"/>
        </w:rPr>
        <w:t xml:space="preserve"> </w:t>
      </w:r>
      <w:r w:rsidRPr="00AC5DE7">
        <w:rPr>
          <w:lang w:val="es-ES"/>
        </w:rPr>
        <w:t xml:space="preserve">período de sesiones, el Comité decidió que ese procedimiento se llamaría procedimiento simplificado de presentación de informes (lista de cuestiones previa a la presentación de los informes) y que seguiría invitando a los Estados partes a presentar su siguiente informe periódico con arreglo a él. </w:t>
      </w:r>
    </w:p>
    <w:p w:rsidR="00AC5DE7" w:rsidRPr="00AC5DE7" w:rsidRDefault="00AC5DE7" w:rsidP="00AC5DE7">
      <w:pPr>
        <w:pStyle w:val="SingleTxtG"/>
        <w:rPr>
          <w:lang w:val="es-ES"/>
        </w:rPr>
      </w:pPr>
      <w:r w:rsidRPr="00AC5DE7">
        <w:rPr>
          <w:lang w:val="es-ES"/>
        </w:rPr>
        <w:t>28.</w:t>
      </w:r>
      <w:r w:rsidRPr="00AC5DE7">
        <w:rPr>
          <w:lang w:val="es-ES"/>
        </w:rPr>
        <w:tab/>
        <w:t>En su 56º período de sesiones, el Comité aprobó listas de cuestiones previas a la presentación de los informes de los Estados partes que habían aceptado la invitación a utilizar este procedimiento para los informes que debían presentar en 2017, a saber, Kenya, Kirguistán, Letonia, los Países Bajos, Polonia y Portugal. También aprobó una lista de cuestiones previas a la presentación del informe de Ghana, Estado parte que había aceptado recientemente el procedimiento simplificado de presentación de informes.</w:t>
      </w:r>
      <w:r w:rsidR="00962428">
        <w:rPr>
          <w:lang w:val="es-ES"/>
        </w:rPr>
        <w:t xml:space="preserve"> </w:t>
      </w:r>
      <w:r w:rsidRPr="00AC5DE7">
        <w:rPr>
          <w:lang w:val="es-ES"/>
        </w:rPr>
        <w:t xml:space="preserve">Las listas de cuestiones previas a la presentación del informe fueron transmitidas a los respectivos Estados partes. </w:t>
      </w:r>
    </w:p>
    <w:p w:rsidR="00AC5DE7" w:rsidRPr="00AC5DE7" w:rsidRDefault="00AC5DE7" w:rsidP="00AC5DE7">
      <w:pPr>
        <w:pStyle w:val="SingleTxtG"/>
        <w:rPr>
          <w:lang w:val="es-ES"/>
        </w:rPr>
      </w:pPr>
      <w:r w:rsidRPr="00AC5DE7">
        <w:rPr>
          <w:lang w:val="es-ES"/>
        </w:rPr>
        <w:t>29.</w:t>
      </w:r>
      <w:r w:rsidRPr="00AC5DE7">
        <w:rPr>
          <w:lang w:val="es-ES"/>
        </w:rPr>
        <w:tab/>
        <w:t>En su 57º período de sesiones, el Comité aprobó una lista de cuestiones previas a la presentación del informe del Reino Unido de Gran Bretaña e Irlanda del Norte, Estado parte que había aceptado la invitación a utilizar este procedimiento para el informe que debía presentar en 2017. Aprobó también listas de cuestiones previas a la presentación de los informes de Chipre, Lituania y el Uruguay, Estados partes que habían aceptado la invitación a utilizar este procedimiento para el informe que debían presentar en 2018.</w:t>
      </w:r>
    </w:p>
    <w:p w:rsidR="00AC5DE7" w:rsidRPr="00AC5DE7" w:rsidRDefault="00AC5DE7" w:rsidP="00AC5DE7">
      <w:pPr>
        <w:pStyle w:val="SingleTxtG"/>
        <w:rPr>
          <w:lang w:val="es-ES"/>
        </w:rPr>
      </w:pPr>
      <w:r w:rsidRPr="00AC5DE7">
        <w:rPr>
          <w:lang w:val="es-ES"/>
        </w:rPr>
        <w:t>30.</w:t>
      </w:r>
      <w:r w:rsidRPr="00AC5DE7">
        <w:rPr>
          <w:lang w:val="es-ES"/>
        </w:rPr>
        <w:tab/>
        <w:t>En el retiro sobre sus métodos de trabajo, el Comité decidió ofrecer el procedimiento simplificado de presentación de informes a los Estados cuyos informes iniciales estuvieran muy atrasados (dos Estados por año, teniendo en cuenta la capacidad de la secretaría). Decidió también establecer un grupo de trabajo que ayudara a realizar una evaluación sustantiva del procedimiento simplificado de presentación de informes. El Comité tuvo en cuenta el informe de la secretaría sobre la situación del procedimiento facultativo de presentación de informes (</w:t>
      </w:r>
      <w:hyperlink r:id="rId38" w:history="1">
        <w:r w:rsidRPr="00AC5DE7">
          <w:rPr>
            <w:rStyle w:val="Hipervnculo"/>
            <w:lang w:val="es-ES"/>
          </w:rPr>
          <w:t>CAT/C/47/2</w:t>
        </w:r>
      </w:hyperlink>
      <w:r w:rsidRPr="00AC5DE7">
        <w:rPr>
          <w:lang w:val="es-ES"/>
        </w:rPr>
        <w:t>) y la nota de la secretaría sobre el procedimiento simplificado de presentación de informes (</w:t>
      </w:r>
      <w:proofErr w:type="spellStart"/>
      <w:r w:rsidR="00C3233D">
        <w:fldChar w:fldCharType="begin"/>
      </w:r>
      <w:r w:rsidR="00CF312F" w:rsidRPr="00CF312F">
        <w:rPr>
          <w:lang w:val="es-ES"/>
        </w:rPr>
        <w:instrText>HYPERLINK "http://www.un.org/ga/search/view_doc.asp?symbol=HRI/MC/2014/4&amp;referer=http://www.un.org/en/ga/documents/symbol.shtml&amp;Lang=S"</w:instrText>
      </w:r>
      <w:r w:rsidR="00C3233D">
        <w:fldChar w:fldCharType="separate"/>
      </w:r>
      <w:r w:rsidRPr="00AC5DE7">
        <w:rPr>
          <w:rStyle w:val="Hipervnculo"/>
          <w:lang w:val="es-ES"/>
        </w:rPr>
        <w:t>HRI</w:t>
      </w:r>
      <w:proofErr w:type="spellEnd"/>
      <w:r w:rsidRPr="00AC5DE7">
        <w:rPr>
          <w:rStyle w:val="Hipervnculo"/>
          <w:lang w:val="es-ES"/>
        </w:rPr>
        <w:t>/MC/2014/4</w:t>
      </w:r>
      <w:r w:rsidR="00C3233D">
        <w:rPr>
          <w:rStyle w:val="Hipervnculo"/>
          <w:lang w:val="es-ES"/>
        </w:rPr>
        <w:fldChar w:fldCharType="end"/>
      </w:r>
      <w:r w:rsidRPr="00AC5DE7">
        <w:rPr>
          <w:lang w:val="es-ES"/>
        </w:rPr>
        <w:t>), publicados tras la aprobación de la resolución 68/268 de la Asamblea General. En su 55º período de sesiones, el Comité celebró un debate sobre la evaluación preliminar del procedimiento simplificado de presentación de informes.</w:t>
      </w:r>
    </w:p>
    <w:p w:rsidR="00AC5DE7" w:rsidRPr="00AC5DE7" w:rsidRDefault="00AC5DE7" w:rsidP="00AC5DE7">
      <w:pPr>
        <w:pStyle w:val="SingleTxtG"/>
        <w:rPr>
          <w:lang w:val="es-ES"/>
        </w:rPr>
      </w:pPr>
      <w:r w:rsidRPr="00AC5DE7">
        <w:rPr>
          <w:lang w:val="es-ES"/>
        </w:rPr>
        <w:t>31.</w:t>
      </w:r>
      <w:r w:rsidRPr="00AC5DE7">
        <w:rPr>
          <w:lang w:val="es-ES"/>
        </w:rPr>
        <w:tab/>
        <w:t>En opinión del Comité, el hecho de que solo 4 de los 127 Estados partes que se encuentran en el proceso de presentar su informe periódico no hayan aceptado hacerlo con arreglo a ese procedimiento indica su éxito; 92 Estados partes han aceptado expresamente presentar su informe de conformidad con el procedimiento y los 31 restantes todavía no han contestado o aún no han sido invitados a utilizarlo. Además, el hecho de que otros órganos de tratados también hayan adoptado o estén considerando la posibilidad de adoptar este procedimiento indica su claro valor añadido para el sistema de presentación de informes. Además, cabe destacar que, por vez primera el 29 de enero de 2016 un Estado que tenía muy retrasada la presentación de su informe inicial, a saber, Côte d’Ivoire, aceptó el procedimiento simplificado de presentación de informes que le ofrecía el Comité (véase la secc. II.D.).</w:t>
      </w:r>
    </w:p>
    <w:p w:rsidR="00AC5DE7" w:rsidRPr="00962428" w:rsidRDefault="00AC5DE7" w:rsidP="00AC5DE7">
      <w:pPr>
        <w:pStyle w:val="SingleTxtG"/>
        <w:rPr>
          <w:spacing w:val="-4"/>
          <w:lang w:val="es-ES"/>
        </w:rPr>
      </w:pPr>
      <w:r w:rsidRPr="00AC5DE7">
        <w:rPr>
          <w:lang w:val="es-ES"/>
        </w:rPr>
        <w:t>32.</w:t>
      </w:r>
      <w:r w:rsidRPr="00AC5DE7">
        <w:rPr>
          <w:lang w:val="es-ES"/>
        </w:rPr>
        <w:tab/>
      </w:r>
      <w:r w:rsidRPr="00962428">
        <w:rPr>
          <w:spacing w:val="-4"/>
          <w:lang w:val="es-ES"/>
        </w:rPr>
        <w:t>Puede consultarse información actualizada sobre el procedimiento en la página web específica al respecto (</w:t>
      </w:r>
      <w:proofErr w:type="spellStart"/>
      <w:r w:rsidR="00CF312F">
        <w:rPr>
          <w:spacing w:val="-4"/>
          <w:lang w:val="es-ES"/>
        </w:rPr>
        <w:fldChar w:fldCharType="begin"/>
      </w:r>
      <w:r w:rsidR="000C673F">
        <w:rPr>
          <w:spacing w:val="-4"/>
          <w:lang w:val="es-ES"/>
        </w:rPr>
        <w:instrText>HYPERLINK "\\\\conf-share1\\LS\\SPA\\COMMON\\MSWDocs\\_3Final\\www.ohchr.org\\EN\\HRBodies\\CAT\\Pages\\ReportingProcedures.aspx"</w:instrText>
      </w:r>
      <w:r w:rsidR="000C673F">
        <w:rPr>
          <w:spacing w:val="-4"/>
          <w:lang w:val="es-ES"/>
        </w:rPr>
      </w:r>
      <w:r w:rsidR="00CF312F">
        <w:rPr>
          <w:spacing w:val="-4"/>
          <w:lang w:val="es-ES"/>
        </w:rPr>
        <w:fldChar w:fldCharType="separate"/>
      </w:r>
      <w:r w:rsidRPr="00CF312F">
        <w:rPr>
          <w:rStyle w:val="Hipervnculo"/>
          <w:spacing w:val="-4"/>
          <w:lang w:val="es-ES"/>
        </w:rPr>
        <w:t>www.ohchr.org</w:t>
      </w:r>
      <w:proofErr w:type="spellEnd"/>
      <w:r w:rsidRPr="00CF312F">
        <w:rPr>
          <w:rStyle w:val="Hipervnculo"/>
          <w:spacing w:val="-4"/>
          <w:lang w:val="es-ES"/>
        </w:rPr>
        <w:t>/EN/</w:t>
      </w:r>
      <w:proofErr w:type="spellStart"/>
      <w:r w:rsidRPr="00CF312F">
        <w:rPr>
          <w:rStyle w:val="Hipervnculo"/>
          <w:spacing w:val="-4"/>
          <w:lang w:val="es-ES"/>
        </w:rPr>
        <w:t>HRBodies</w:t>
      </w:r>
      <w:proofErr w:type="spellEnd"/>
      <w:r w:rsidRPr="00CF312F">
        <w:rPr>
          <w:rStyle w:val="Hipervnculo"/>
          <w:spacing w:val="-4"/>
          <w:lang w:val="es-ES"/>
        </w:rPr>
        <w:t>/CAT/</w:t>
      </w:r>
      <w:proofErr w:type="spellStart"/>
      <w:r w:rsidRPr="00CF312F">
        <w:rPr>
          <w:rStyle w:val="Hipervnculo"/>
          <w:spacing w:val="-4"/>
          <w:lang w:val="es-ES"/>
        </w:rPr>
        <w:t>Pages</w:t>
      </w:r>
      <w:proofErr w:type="spellEnd"/>
      <w:r w:rsidRPr="00CF312F">
        <w:rPr>
          <w:rStyle w:val="Hipervnculo"/>
          <w:spacing w:val="-4"/>
          <w:lang w:val="es-ES"/>
        </w:rPr>
        <w:t>/</w:t>
      </w:r>
      <w:proofErr w:type="spellStart"/>
      <w:r w:rsidRPr="00CF312F">
        <w:rPr>
          <w:rStyle w:val="Hipervnculo"/>
          <w:spacing w:val="-4"/>
          <w:lang w:val="es-ES"/>
        </w:rPr>
        <w:t>ReportingProcedures.aspx</w:t>
      </w:r>
      <w:proofErr w:type="spellEnd"/>
      <w:r w:rsidR="00CF312F">
        <w:rPr>
          <w:spacing w:val="-4"/>
          <w:lang w:val="es-ES"/>
        </w:rPr>
        <w:fldChar w:fldCharType="end"/>
      </w:r>
      <w:r w:rsidRPr="00962428">
        <w:rPr>
          <w:spacing w:val="-4"/>
          <w:lang w:val="es-ES"/>
        </w:rPr>
        <w:t>).</w:t>
      </w:r>
    </w:p>
    <w:p w:rsidR="00AC5DE7" w:rsidRPr="00AC5DE7" w:rsidRDefault="00AC5DE7" w:rsidP="004C5748">
      <w:pPr>
        <w:pStyle w:val="H1G"/>
        <w:rPr>
          <w:lang w:val="es-ES"/>
        </w:rPr>
      </w:pPr>
      <w:r w:rsidRPr="00AC5DE7">
        <w:rPr>
          <w:lang w:val="es-ES"/>
        </w:rPr>
        <w:lastRenderedPageBreak/>
        <w:tab/>
      </w:r>
      <w:bookmarkStart w:id="54" w:name="_Toc272490315"/>
      <w:bookmarkStart w:id="55" w:name="_Toc272491380"/>
      <w:bookmarkStart w:id="56" w:name="_Toc305402570"/>
      <w:bookmarkStart w:id="57" w:name="_Toc428797504"/>
      <w:r w:rsidRPr="00AC5DE7">
        <w:rPr>
          <w:lang w:val="es-ES"/>
        </w:rPr>
        <w:t>C.</w:t>
      </w:r>
      <w:r w:rsidRPr="00AC5DE7">
        <w:rPr>
          <w:lang w:val="es-ES"/>
        </w:rPr>
        <w:tab/>
      </w:r>
      <w:bookmarkEnd w:id="54"/>
      <w:bookmarkEnd w:id="55"/>
      <w:bookmarkEnd w:id="56"/>
      <w:r w:rsidRPr="00AC5DE7">
        <w:rPr>
          <w:lang w:val="es-ES"/>
        </w:rPr>
        <w:t>Recordatorios sobre informes iniciales y periódicos atrasados</w:t>
      </w:r>
      <w:bookmarkEnd w:id="57"/>
    </w:p>
    <w:p w:rsidR="00AC5DE7" w:rsidRPr="00AC5DE7" w:rsidRDefault="00AC5DE7" w:rsidP="00AC5DE7">
      <w:pPr>
        <w:pStyle w:val="SingleTxtG"/>
        <w:rPr>
          <w:lang w:val="es-ES"/>
        </w:rPr>
      </w:pPr>
      <w:r w:rsidRPr="00AC5DE7">
        <w:rPr>
          <w:lang w:val="es-ES"/>
        </w:rPr>
        <w:t>33.</w:t>
      </w:r>
      <w:r w:rsidRPr="00AC5DE7">
        <w:rPr>
          <w:lang w:val="es-ES"/>
        </w:rPr>
        <w:tab/>
        <w:t>En su 53</w:t>
      </w:r>
      <w:r w:rsidRPr="00AC5DE7">
        <w:rPr>
          <w:vertAlign w:val="superscript"/>
          <w:lang w:val="es-ES"/>
        </w:rPr>
        <w:t>er</w:t>
      </w:r>
      <w:r w:rsidRPr="00AC5DE7">
        <w:rPr>
          <w:lang w:val="es-ES"/>
        </w:rPr>
        <w:t xml:space="preserve"> período de sesiones, el Comité decidió enviar recordatorios a todos los Estados partes cuyos informes iniciales estuvieran atrasados y a todos aquellos cuyos informes periódicos llevaran cuatro o más años de atraso.</w:t>
      </w:r>
    </w:p>
    <w:p w:rsidR="00AC5DE7" w:rsidRPr="00AC5DE7" w:rsidRDefault="00AC5DE7" w:rsidP="00AC5DE7">
      <w:pPr>
        <w:pStyle w:val="SingleTxtG"/>
        <w:rPr>
          <w:lang w:val="es-ES"/>
        </w:rPr>
      </w:pPr>
      <w:r w:rsidRPr="00AC5DE7">
        <w:rPr>
          <w:lang w:val="es-ES"/>
        </w:rPr>
        <w:t>34.</w:t>
      </w:r>
      <w:r w:rsidRPr="00AC5DE7">
        <w:rPr>
          <w:lang w:val="es-ES"/>
        </w:rPr>
        <w:tab/>
        <w:t>El Comité señaló a la atención de esos Estados partes que la demora en la presentación de los informes dificultaba seriamente la aplicación de la Convención, así como la capacidad del Comité de cumplir su función de vigilar esa aplicación. El</w:t>
      </w:r>
      <w:r w:rsidR="001E4713">
        <w:rPr>
          <w:lang w:val="es-ES"/>
        </w:rPr>
        <w:t xml:space="preserve"> </w:t>
      </w:r>
      <w:r w:rsidRPr="00AC5DE7">
        <w:rPr>
          <w:lang w:val="es-ES"/>
        </w:rPr>
        <w:t xml:space="preserve">Comité solicitó información sobre los progresos realizados por esos Estados partes en el cumplimiento de sus obligaciones en materia de presentación de informes y sobre los obstáculos que pudieran estar encontrando a ese respecto. También les comunicó que, de conformidad con el artículo 67 de su reglamento, podía examinar la aplicación de la Convención en el Estado parte sin que hubiera un informe sobre la base de la información que obrara en su poder, incluida la procedente de fuentes ajenas a las Naciones Unidas. En sus informes anuales, el Comité también recuerda a los Estados partes sus obligaciones de informar con arreglo a la Convención. El Comité desearía reiterar su apoyo a la </w:t>
      </w:r>
      <w:r w:rsidRPr="00AC5DE7">
        <w:rPr>
          <w:bCs/>
          <w:lang w:val="es-ES"/>
        </w:rPr>
        <w:t>Iniciativa sobre la Convención contra la Tortura, que realiza un activo papel en relación con la ratificación universal de la Convención y su plena aplicación, incluido el cumplimiento por los Estados de sus obligaciones de informar. El Comité celebró una reunión con la Iniciativa en su 55º período de sesiones y participó en varias de sus actividades.</w:t>
      </w:r>
    </w:p>
    <w:p w:rsidR="00AC5DE7" w:rsidRPr="00AC5DE7" w:rsidRDefault="00AC5DE7" w:rsidP="004C5748">
      <w:pPr>
        <w:pStyle w:val="H1G"/>
        <w:rPr>
          <w:lang w:val="es-ES"/>
        </w:rPr>
      </w:pPr>
      <w:r w:rsidRPr="00AC5DE7">
        <w:rPr>
          <w:lang w:val="es-ES"/>
        </w:rPr>
        <w:tab/>
      </w:r>
      <w:bookmarkStart w:id="58" w:name="_Toc428797505"/>
      <w:r w:rsidRPr="00AC5DE7">
        <w:rPr>
          <w:lang w:val="es-ES"/>
        </w:rPr>
        <w:t>D.</w:t>
      </w:r>
      <w:r w:rsidRPr="00AC5DE7">
        <w:rPr>
          <w:lang w:val="es-ES"/>
        </w:rPr>
        <w:tab/>
        <w:t xml:space="preserve">Examen de las medidas adoptadas </w:t>
      </w:r>
      <w:r w:rsidR="004C5748">
        <w:rPr>
          <w:lang w:val="es-ES"/>
        </w:rPr>
        <w:t>por un Estado parte en ausencia</w:t>
      </w:r>
      <w:r w:rsidR="004C5748">
        <w:rPr>
          <w:lang w:val="es-ES"/>
        </w:rPr>
        <w:br/>
      </w:r>
      <w:r w:rsidRPr="00AC5DE7">
        <w:rPr>
          <w:lang w:val="es-ES"/>
        </w:rPr>
        <w:t>de informe</w:t>
      </w:r>
      <w:bookmarkEnd w:id="58"/>
    </w:p>
    <w:p w:rsidR="00AC5DE7" w:rsidRPr="00AC5DE7" w:rsidRDefault="00AC5DE7" w:rsidP="00AC5DE7">
      <w:pPr>
        <w:pStyle w:val="SingleTxtG"/>
        <w:rPr>
          <w:lang w:val="es-ES"/>
        </w:rPr>
      </w:pPr>
      <w:r w:rsidRPr="00AC5DE7">
        <w:rPr>
          <w:lang w:val="es-ES"/>
        </w:rPr>
        <w:t>35.</w:t>
      </w:r>
      <w:r w:rsidRPr="00AC5DE7">
        <w:rPr>
          <w:lang w:val="es-ES"/>
        </w:rPr>
        <w:tab/>
        <w:t>En su 52º período de sesiones, el Comité decidió adoptar medidas respecto de los Estados partes cuyos informes iniciales tuvieran muchos años de atraso. Observando que los informes iniciales de Cabo Verde y Seychelles debían haberse presentado en</w:t>
      </w:r>
      <w:r w:rsidR="001E4713">
        <w:rPr>
          <w:lang w:val="es-ES"/>
        </w:rPr>
        <w:t xml:space="preserve"> </w:t>
      </w:r>
      <w:r w:rsidRPr="00AC5DE7">
        <w:rPr>
          <w:lang w:val="es-ES"/>
        </w:rPr>
        <w:t>1993, el Comité decidió enviar un recordatorio específico a esos Estados partes para que presentaran sus informes iniciales antes del 54º período de sesiones. Al término del 53</w:t>
      </w:r>
      <w:r w:rsidRPr="00AC5DE7">
        <w:rPr>
          <w:vertAlign w:val="superscript"/>
          <w:lang w:val="es-ES"/>
        </w:rPr>
        <w:t>er</w:t>
      </w:r>
      <w:r w:rsidRPr="00AC5DE7">
        <w:rPr>
          <w:lang w:val="es-ES"/>
        </w:rPr>
        <w:t xml:space="preserve"> período de sesiones, el Comité decidió ofrecer a esos Estados partes el procedimiento simplificado de presentación de informes. Si no aceptaran ese procedimiento o los informes no se recibiesen por el procedimiento tradicional de conformidad con el artículo 67 de su reglamento, el Comité procedería a un examen en ausencia de informe de las medidas que hubieran adoptado para aplicar las disposiciones de la Convención en su territorio. Seychelles indicó que estaba preparando un informe, pero Cabo Verde no respondió. En su 56º período de sesiones, el Comité decidió examinar la situación de Cabo Verde en ausencia de informe a más tardar a finales de 2016. En ese mismo período de sesiones, el Comité decidió enviar recordatorios específicos a Antigua y Barbuda y Côte d’Ivoire a fin de que presentasen sus informes iniciales, que llevaban muchos años de atraso, o aceptasen el procedimiento simplificado de presentación de informes. Si no aceptan ese procedimiento o los informes no se reciben de conformidad con el artículo 67 de su reglamento, el Comité procederá a un examen en ausencia de informe de las medidas que hubieran adoptado para aplicar las disposiciones de la Convención en su territorio. En su 57º período de sesiones, el Comité decidió examinar la situación de Cabo Verde en ausencia de informe en su 59º período de sesiones. El 29 de enero de 2016, Côte d’Ivoire aceptó el procedimiento simplificado de presentación de informes y, por consiguiente, recibirá una lista de cuestiones previa a la presentación del informe.</w:t>
      </w:r>
    </w:p>
    <w:p w:rsidR="00AC5DE7" w:rsidRPr="00AC5DE7" w:rsidRDefault="004C5748" w:rsidP="004C5748">
      <w:pPr>
        <w:pStyle w:val="H1G"/>
        <w:rPr>
          <w:lang w:val="es-ES"/>
        </w:rPr>
      </w:pPr>
      <w:r>
        <w:rPr>
          <w:lang w:val="es-ES"/>
        </w:rPr>
        <w:lastRenderedPageBreak/>
        <w:tab/>
      </w:r>
      <w:r w:rsidR="00AC5DE7" w:rsidRPr="00AC5DE7">
        <w:rPr>
          <w:lang w:val="es-ES"/>
        </w:rPr>
        <w:t>E.</w:t>
      </w:r>
      <w:r w:rsidR="00AC5DE7" w:rsidRPr="00AC5DE7">
        <w:rPr>
          <w:lang w:val="es-ES"/>
        </w:rPr>
        <w:tab/>
        <w:t>Solicitud de un informe especial</w:t>
      </w:r>
    </w:p>
    <w:p w:rsidR="00AC5DE7" w:rsidRPr="00AC5DE7" w:rsidRDefault="00AC5DE7" w:rsidP="00AC5DE7">
      <w:pPr>
        <w:pStyle w:val="SingleTxtG"/>
        <w:rPr>
          <w:lang w:val="es-ES"/>
        </w:rPr>
      </w:pPr>
      <w:r w:rsidRPr="00AC5DE7">
        <w:rPr>
          <w:lang w:val="es-ES"/>
        </w:rPr>
        <w:t>36.</w:t>
      </w:r>
      <w:r w:rsidRPr="00AC5DE7">
        <w:rPr>
          <w:lang w:val="es-ES"/>
        </w:rPr>
        <w:tab/>
        <w:t>En su 56º período de sesiones, de conformidad con el artículo 19, párrafo 1, de la Convención y sobre la base de la información faci</w:t>
      </w:r>
      <w:r w:rsidR="00DB069A">
        <w:rPr>
          <w:lang w:val="es-ES"/>
        </w:rPr>
        <w:t>litada por las Naciones Unidas —</w:t>
      </w:r>
      <w:r w:rsidRPr="00AC5DE7">
        <w:rPr>
          <w:lang w:val="es-ES"/>
        </w:rPr>
        <w:t xml:space="preserve">como los informes del Alto Comisionado de las Naciones Unidas para los Derechos Humanos y el </w:t>
      </w:r>
      <w:r w:rsidRPr="00AC5DE7">
        <w:rPr>
          <w:bCs/>
          <w:lang w:val="es-ES"/>
        </w:rPr>
        <w:t>Asesor Especial del Secretario General sobre la Prevención del Genocidio</w:t>
      </w:r>
      <w:r w:rsidR="00DB069A">
        <w:rPr>
          <w:bCs/>
          <w:lang w:val="es-ES"/>
        </w:rPr>
        <w:t>—</w:t>
      </w:r>
      <w:r w:rsidRPr="00AC5DE7">
        <w:rPr>
          <w:bCs/>
          <w:lang w:val="es-ES"/>
        </w:rPr>
        <w:t xml:space="preserve"> y las organizaciones de la sociedad civil, el Comité decidió solicitar que Burundi le presentase un informe especial sobre lo siguiente: a) las medidas adoptadas por el Estado parte para investigar numerosas fuentes de información fidedigna sobre ejecuciones sumarias, incluidos asesinatos políticos, detenciones arbitrarias, malos tratos y torturas en 2015 contra miembros de partidos políticos de la oposición, periodistas, defensores de los derechos humanos y sus familias y otras personas consideradas simpatizantes de la oposición, particularmente información sobre si algunas investigaciones habían dado lugar al procesamiento de miembros de las fuerzas de seguridad u otros funcionarios y particulares, y sobre sus resultados; b) los progresos realizados por las investigaciones sobre el ataque armado perpetrado en agosto de 2015 contra </w:t>
      </w:r>
      <w:r w:rsidRPr="00AC5DE7">
        <w:rPr>
          <w:lang w:val="es-ES"/>
        </w:rPr>
        <w:t>Pierre Claver Mbonimpa y el secuestro y asesinato en noviembre de 2015 de su hijo, Welly Nzitonda; c) las medidas adoptadas por el Estado parte para investigar numerosas fuentes de información fidedignas de tortura por miembros del Servicio Nacional de Inteligencia y sus resultados; d) las medidas adoptadas por el Estado parte para investigar numerosas fuentes de información fidedignas sobre los asesinatos y torturas perpetrados por miembros del grupo de jóvenes imbonerakure contra personas consideradas simpatizantes de la oposición, particularmente durante el incidente del 3 de octubre en Cibitoke, incluida información sobre si las investigaciones habían dado lugar al procesamiento de imbonerakure y sus resultados; y e) las medidas adoptadas por el Estado parte para poner en práctica las recomendaciones del Comité que figuraban en sus observaciones finales de 26 de noviembre de 2014 en el marco del procedimiento de seguimiento.</w:t>
      </w:r>
    </w:p>
    <w:p w:rsidR="00AC5DE7" w:rsidRPr="00AC5DE7" w:rsidRDefault="00AC5DE7" w:rsidP="004C5748">
      <w:pPr>
        <w:pStyle w:val="HChG"/>
        <w:rPr>
          <w:lang w:val="es-ES"/>
        </w:rPr>
      </w:pPr>
      <w:r w:rsidRPr="00AC5DE7">
        <w:rPr>
          <w:lang w:val="es-ES"/>
        </w:rPr>
        <w:tab/>
      </w:r>
      <w:bookmarkStart w:id="59" w:name="_Toc428797506"/>
      <w:r w:rsidRPr="00AC5DE7">
        <w:rPr>
          <w:lang w:val="es-ES"/>
        </w:rPr>
        <w:t>III.</w:t>
      </w:r>
      <w:r w:rsidRPr="00AC5DE7">
        <w:rPr>
          <w:lang w:val="es-ES"/>
        </w:rPr>
        <w:tab/>
        <w:t>Examen de los informes presentados por los Estados</w:t>
      </w:r>
      <w:r w:rsidRPr="00AC5DE7">
        <w:rPr>
          <w:lang w:val="es-ES"/>
        </w:rPr>
        <w:br/>
        <w:t>partes en virtud del artículo 19 de la Convención</w:t>
      </w:r>
      <w:bookmarkEnd w:id="59"/>
    </w:p>
    <w:p w:rsidR="00AC5DE7" w:rsidRPr="00AC5DE7" w:rsidRDefault="00AC5DE7" w:rsidP="00AC5DE7">
      <w:pPr>
        <w:pStyle w:val="SingleTxtG"/>
        <w:rPr>
          <w:lang w:val="es-ES"/>
        </w:rPr>
      </w:pPr>
      <w:r w:rsidRPr="00AC5DE7">
        <w:rPr>
          <w:lang w:val="es-ES"/>
        </w:rPr>
        <w:t>37.</w:t>
      </w:r>
      <w:r w:rsidRPr="00AC5DE7">
        <w:rPr>
          <w:lang w:val="es-ES"/>
        </w:rPr>
        <w:tab/>
        <w:t xml:space="preserve">En sus períodos de sesiones 55º, 56º y 57º, el Comité examinó los informes presentados por 15 Estados partes en virtud del artículo 19, párrafo 1, de la Convención y aprobó 17 series de observaciones finales. </w:t>
      </w:r>
    </w:p>
    <w:p w:rsidR="00AC5DE7" w:rsidRPr="00AC5DE7" w:rsidRDefault="00962428" w:rsidP="00AC5DE7">
      <w:pPr>
        <w:pStyle w:val="SingleTxtG"/>
        <w:rPr>
          <w:lang w:val="es-ES"/>
        </w:rPr>
      </w:pPr>
      <w:r>
        <w:rPr>
          <w:lang w:val="es-ES"/>
        </w:rPr>
        <w:t>38</w:t>
      </w:r>
      <w:r w:rsidR="00AC5DE7" w:rsidRPr="00AC5DE7">
        <w:rPr>
          <w:lang w:val="es-ES"/>
        </w:rPr>
        <w:t>.</w:t>
      </w:r>
      <w:r w:rsidR="00AC5DE7" w:rsidRPr="00AC5DE7">
        <w:rPr>
          <w:lang w:val="es-ES"/>
        </w:rPr>
        <w:tab/>
        <w:t>Los informes examinados por el Comité en su 55º período de sesiones y sus correspondientes observaciones finales figuran en el Sistema de Archivo de Documentos de las Naciones Unidas (</w:t>
      </w:r>
      <w:hyperlink r:id="rId39" w:history="1">
        <w:r w:rsidR="00AC5DE7" w:rsidRPr="00CF312F">
          <w:rPr>
            <w:rStyle w:val="Hipervnculo"/>
            <w:lang w:val="es-ES"/>
          </w:rPr>
          <w:t>http://</w:t>
        </w:r>
        <w:proofErr w:type="spellStart"/>
        <w:r w:rsidR="00AC5DE7" w:rsidRPr="00CF312F">
          <w:rPr>
            <w:rStyle w:val="Hipervnculo"/>
            <w:lang w:val="es-ES"/>
          </w:rPr>
          <w:t>documents.un.org</w:t>
        </w:r>
        <w:proofErr w:type="spellEnd"/>
      </w:hyperlink>
      <w:r w:rsidR="00AC5DE7" w:rsidRPr="00AC5DE7">
        <w:rPr>
          <w:lang w:val="es-ES"/>
        </w:rPr>
        <w:t>) con las signatura</w:t>
      </w:r>
      <w:r w:rsidR="00DB069A">
        <w:rPr>
          <w:lang w:val="es-ES"/>
        </w:rPr>
        <w:t>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134"/>
        <w:gridCol w:w="2268"/>
        <w:gridCol w:w="2268"/>
        <w:gridCol w:w="1700"/>
      </w:tblGrid>
      <w:tr w:rsidR="00AC5DE7" w:rsidRPr="004C5748" w:rsidTr="008E51C3">
        <w:trPr>
          <w:cantSplit/>
          <w:trHeight w:val="240"/>
          <w:tblHeader/>
        </w:trPr>
        <w:tc>
          <w:tcPr>
            <w:tcW w:w="1134"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Parte</w:t>
            </w:r>
          </w:p>
        </w:tc>
        <w:tc>
          <w:tcPr>
            <w:tcW w:w="2268"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Relatores para el país</w:t>
            </w:r>
          </w:p>
        </w:tc>
        <w:tc>
          <w:tcPr>
            <w:tcW w:w="2268"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Informe</w:t>
            </w:r>
          </w:p>
        </w:tc>
        <w:tc>
          <w:tcPr>
            <w:tcW w:w="1700"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Observaciones finales</w:t>
            </w:r>
          </w:p>
        </w:tc>
      </w:tr>
      <w:tr w:rsidR="00AC5DE7" w:rsidRPr="004C5748" w:rsidTr="008E51C3">
        <w:trPr>
          <w:cantSplit/>
          <w:trHeight w:val="240"/>
        </w:trPr>
        <w:tc>
          <w:tcPr>
            <w:tcW w:w="1134"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Eslovaquia</w:t>
            </w:r>
          </w:p>
        </w:tc>
        <w:tc>
          <w:tcPr>
            <w:tcW w:w="226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Jens Modvig</w:t>
            </w:r>
            <w:r w:rsidRPr="004C5748">
              <w:rPr>
                <w:lang w:val="es-ES"/>
              </w:rPr>
              <w:br/>
              <w:t>George Tugushi</w:t>
            </w:r>
          </w:p>
        </w:tc>
        <w:tc>
          <w:tcPr>
            <w:tcW w:w="226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Tercer informe periódico (</w:t>
            </w:r>
            <w:hyperlink r:id="rId40" w:history="1">
              <w:r w:rsidRPr="00F8263F">
                <w:rPr>
                  <w:rStyle w:val="Hipervnculo"/>
                  <w:lang w:val="es-ES"/>
                </w:rPr>
                <w:t>CAT/C/</w:t>
              </w:r>
              <w:proofErr w:type="spellStart"/>
              <w:r w:rsidRPr="00F8263F">
                <w:rPr>
                  <w:rStyle w:val="Hipervnculo"/>
                  <w:lang w:val="es-ES"/>
                </w:rPr>
                <w:t>SVK</w:t>
              </w:r>
              <w:proofErr w:type="spellEnd"/>
              <w:r w:rsidRPr="00F8263F">
                <w:rPr>
                  <w:rStyle w:val="Hipervnculo"/>
                  <w:lang w:val="es-ES"/>
                </w:rPr>
                <w:t>/3</w:t>
              </w:r>
            </w:hyperlink>
            <w:r w:rsidRPr="004C5748">
              <w:rPr>
                <w:lang w:val="es-ES"/>
              </w:rPr>
              <w:t>)</w:t>
            </w:r>
          </w:p>
        </w:tc>
        <w:tc>
          <w:tcPr>
            <w:tcW w:w="1700" w:type="dxa"/>
            <w:shd w:val="clear" w:color="auto" w:fill="auto"/>
          </w:tcPr>
          <w:p w:rsidR="00AC5DE7" w:rsidRPr="004C5748" w:rsidRDefault="003D1455" w:rsidP="004C5748">
            <w:pPr>
              <w:pStyle w:val="SingleTxtG"/>
              <w:suppressAutoHyphens w:val="0"/>
              <w:spacing w:before="40"/>
              <w:ind w:left="0" w:right="0"/>
              <w:jc w:val="left"/>
              <w:rPr>
                <w:lang w:val="es-ES"/>
              </w:rPr>
            </w:pPr>
            <w:hyperlink r:id="rId41" w:history="1">
              <w:r w:rsidR="00AC5DE7" w:rsidRPr="00F8263F">
                <w:rPr>
                  <w:rStyle w:val="Hipervnculo"/>
                  <w:lang w:val="es-ES"/>
                </w:rPr>
                <w:t>CAT/C/</w:t>
              </w:r>
              <w:proofErr w:type="spellStart"/>
              <w:r w:rsidR="00AC5DE7" w:rsidRPr="00F8263F">
                <w:rPr>
                  <w:rStyle w:val="Hipervnculo"/>
                  <w:lang w:val="es-ES"/>
                </w:rPr>
                <w:t>SVK</w:t>
              </w:r>
              <w:proofErr w:type="spellEnd"/>
              <w:r w:rsidR="00AC5DE7" w:rsidRPr="00F8263F">
                <w:rPr>
                  <w:rStyle w:val="Hipervnculo"/>
                  <w:lang w:val="es-ES"/>
                </w:rPr>
                <w:t>/CO/3</w:t>
              </w:r>
            </w:hyperlink>
          </w:p>
        </w:tc>
      </w:tr>
      <w:tr w:rsidR="00DB069A" w:rsidRPr="004C5748" w:rsidTr="00C3233D">
        <w:trPr>
          <w:cantSplit/>
          <w:trHeight w:val="240"/>
        </w:trPr>
        <w:tc>
          <w:tcPr>
            <w:tcW w:w="1134"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Iraq</w:t>
            </w:r>
          </w:p>
        </w:tc>
        <w:tc>
          <w:tcPr>
            <w:tcW w:w="2268"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Alessio Bruni</w:t>
            </w:r>
            <w:r w:rsidRPr="004C5748">
              <w:rPr>
                <w:lang w:val="es-ES"/>
              </w:rPr>
              <w:br/>
              <w:t>Essadia Belmir</w:t>
            </w:r>
          </w:p>
        </w:tc>
        <w:tc>
          <w:tcPr>
            <w:tcW w:w="2268"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Informe inicial (</w:t>
            </w:r>
            <w:hyperlink r:id="rId42" w:history="1">
              <w:r w:rsidRPr="00F8263F">
                <w:rPr>
                  <w:rStyle w:val="Hipervnculo"/>
                  <w:lang w:val="es-ES"/>
                </w:rPr>
                <w:t>CAT/C/IRQ/1</w:t>
              </w:r>
            </w:hyperlink>
            <w:r w:rsidRPr="004C5748">
              <w:rPr>
                <w:lang w:val="es-ES"/>
              </w:rPr>
              <w:t>)</w:t>
            </w:r>
          </w:p>
        </w:tc>
        <w:tc>
          <w:tcPr>
            <w:tcW w:w="1700" w:type="dxa"/>
            <w:shd w:val="clear" w:color="auto" w:fill="auto"/>
          </w:tcPr>
          <w:p w:rsidR="00DB069A" w:rsidRPr="004C5748" w:rsidRDefault="003D1455" w:rsidP="00C3233D">
            <w:pPr>
              <w:pStyle w:val="SingleTxtG"/>
              <w:suppressAutoHyphens w:val="0"/>
              <w:spacing w:before="40"/>
              <w:ind w:left="0" w:right="0"/>
              <w:jc w:val="left"/>
              <w:rPr>
                <w:lang w:val="es-ES"/>
              </w:rPr>
            </w:pPr>
            <w:hyperlink r:id="rId43" w:history="1">
              <w:r w:rsidR="00DB069A" w:rsidRPr="00F8263F">
                <w:rPr>
                  <w:rStyle w:val="Hipervnculo"/>
                  <w:lang w:val="es-ES"/>
                </w:rPr>
                <w:t>CAT/C/IRQ/CO/1</w:t>
              </w:r>
            </w:hyperlink>
          </w:p>
        </w:tc>
      </w:tr>
      <w:tr w:rsidR="004C5748" w:rsidRPr="004C5748" w:rsidTr="008E51C3">
        <w:trPr>
          <w:cantSplit/>
          <w:trHeight w:val="240"/>
        </w:trPr>
        <w:tc>
          <w:tcPr>
            <w:tcW w:w="1134" w:type="dxa"/>
            <w:tcBorders>
              <w:bottom w:val="single" w:sz="12" w:space="0" w:color="auto"/>
            </w:tcBorders>
            <w:shd w:val="clear" w:color="auto" w:fill="auto"/>
          </w:tcPr>
          <w:p w:rsidR="004C5748" w:rsidRPr="004C5748" w:rsidRDefault="004C5748" w:rsidP="004479FD">
            <w:pPr>
              <w:pStyle w:val="SingleTxtG"/>
              <w:suppressAutoHyphens w:val="0"/>
              <w:spacing w:before="40"/>
              <w:ind w:left="0" w:right="0"/>
              <w:jc w:val="left"/>
              <w:rPr>
                <w:lang w:val="es-ES"/>
              </w:rPr>
            </w:pPr>
            <w:r w:rsidRPr="004C5748">
              <w:rPr>
                <w:lang w:val="es-ES"/>
              </w:rPr>
              <w:t>Suiza</w:t>
            </w:r>
          </w:p>
        </w:tc>
        <w:tc>
          <w:tcPr>
            <w:tcW w:w="2268" w:type="dxa"/>
            <w:tcBorders>
              <w:bottom w:val="single" w:sz="12" w:space="0" w:color="auto"/>
            </w:tcBorders>
            <w:shd w:val="clear" w:color="auto" w:fill="auto"/>
          </w:tcPr>
          <w:p w:rsidR="004C5748" w:rsidRPr="004C5748" w:rsidRDefault="004C5748" w:rsidP="004479FD">
            <w:pPr>
              <w:pStyle w:val="SingleTxtG"/>
              <w:suppressAutoHyphens w:val="0"/>
              <w:spacing w:before="40"/>
              <w:ind w:left="0" w:right="0"/>
              <w:jc w:val="left"/>
              <w:rPr>
                <w:lang w:val="es-ES"/>
              </w:rPr>
            </w:pPr>
            <w:r w:rsidRPr="004C5748">
              <w:rPr>
                <w:lang w:val="es-SV"/>
              </w:rPr>
              <w:t>Abdoulaye Gaye</w:t>
            </w:r>
            <w:r w:rsidRPr="004C5748">
              <w:rPr>
                <w:lang w:val="es-SV"/>
              </w:rPr>
              <w:br/>
              <w:t>Sapana Pradhan-Mallah</w:t>
            </w:r>
          </w:p>
        </w:tc>
        <w:tc>
          <w:tcPr>
            <w:tcW w:w="2268" w:type="dxa"/>
            <w:tcBorders>
              <w:bottom w:val="single" w:sz="12" w:space="0" w:color="auto"/>
            </w:tcBorders>
            <w:shd w:val="clear" w:color="auto" w:fill="auto"/>
          </w:tcPr>
          <w:p w:rsidR="004C5748" w:rsidRPr="004C5748" w:rsidRDefault="004C5748" w:rsidP="004479FD">
            <w:pPr>
              <w:pStyle w:val="SingleTxtG"/>
              <w:suppressAutoHyphens w:val="0"/>
              <w:spacing w:before="40"/>
              <w:ind w:left="0" w:right="0"/>
              <w:jc w:val="left"/>
              <w:rPr>
                <w:lang w:val="es-ES"/>
              </w:rPr>
            </w:pPr>
            <w:r w:rsidRPr="004C5748">
              <w:rPr>
                <w:lang w:val="es-ES"/>
              </w:rPr>
              <w:t>Séptimo informe periódico (</w:t>
            </w:r>
            <w:hyperlink r:id="rId44" w:history="1">
              <w:r w:rsidRPr="00F8263F">
                <w:rPr>
                  <w:rStyle w:val="Hipervnculo"/>
                  <w:lang w:val="es-ES"/>
                </w:rPr>
                <w:t>CAT/C/CHE/7</w:t>
              </w:r>
            </w:hyperlink>
            <w:r w:rsidRPr="004C5748">
              <w:rPr>
                <w:lang w:val="es-ES"/>
              </w:rPr>
              <w:t>)</w:t>
            </w:r>
          </w:p>
        </w:tc>
        <w:tc>
          <w:tcPr>
            <w:tcW w:w="1700" w:type="dxa"/>
            <w:tcBorders>
              <w:bottom w:val="single" w:sz="12" w:space="0" w:color="auto"/>
            </w:tcBorders>
            <w:shd w:val="clear" w:color="auto" w:fill="auto"/>
          </w:tcPr>
          <w:p w:rsidR="004C5748" w:rsidRPr="004C5748" w:rsidRDefault="003D1455" w:rsidP="004479FD">
            <w:pPr>
              <w:pStyle w:val="SingleTxtG"/>
              <w:suppressAutoHyphens w:val="0"/>
              <w:spacing w:before="40"/>
              <w:ind w:left="0" w:right="0"/>
              <w:jc w:val="left"/>
              <w:rPr>
                <w:lang w:val="es-ES"/>
              </w:rPr>
            </w:pPr>
            <w:hyperlink r:id="rId45" w:history="1">
              <w:r w:rsidR="004C5748" w:rsidRPr="00F8263F">
                <w:rPr>
                  <w:rStyle w:val="Hipervnculo"/>
                  <w:lang w:val="es-ES"/>
                </w:rPr>
                <w:t>CAT/C/CHE/CO/7</w:t>
              </w:r>
            </w:hyperlink>
          </w:p>
        </w:tc>
      </w:tr>
    </w:tbl>
    <w:p w:rsidR="00AC5DE7" w:rsidRPr="00AC5DE7" w:rsidRDefault="00AC5DE7" w:rsidP="003A0AB5">
      <w:pPr>
        <w:pStyle w:val="SingleTxtG"/>
        <w:spacing w:before="240"/>
        <w:rPr>
          <w:lang w:val="es-ES"/>
        </w:rPr>
      </w:pPr>
      <w:r w:rsidRPr="00AC5DE7">
        <w:rPr>
          <w:lang w:val="es-ES"/>
        </w:rPr>
        <w:t>39.</w:t>
      </w:r>
      <w:r w:rsidRPr="00AC5DE7">
        <w:rPr>
          <w:lang w:val="es-ES"/>
        </w:rPr>
        <w:tab/>
        <w:t>Los informes examinados por el Comité en su 56</w:t>
      </w:r>
      <w:r w:rsidR="003974DA">
        <w:rPr>
          <w:lang w:val="es-ES"/>
        </w:rPr>
        <w:t>º</w:t>
      </w:r>
      <w:r w:rsidRPr="00AC5DE7">
        <w:rPr>
          <w:lang w:val="es-ES"/>
        </w:rPr>
        <w:t xml:space="preserve"> período de sesiones y sus correspondientes observaciones finales figuran en el Sistema de Archivo de Documentos de </w:t>
      </w:r>
      <w:r w:rsidRPr="00AC5DE7">
        <w:rPr>
          <w:lang w:val="es-ES"/>
        </w:rPr>
        <w:lastRenderedPageBreak/>
        <w:t>las Naciones Unidas (</w:t>
      </w:r>
      <w:hyperlink r:id="rId46" w:history="1">
        <w:r w:rsidRPr="00F8263F">
          <w:rPr>
            <w:rStyle w:val="Hipervnculo"/>
            <w:lang w:val="es-ES"/>
          </w:rPr>
          <w:t>http://</w:t>
        </w:r>
        <w:proofErr w:type="spellStart"/>
        <w:r w:rsidRPr="00F8263F">
          <w:rPr>
            <w:rStyle w:val="Hipervnculo"/>
            <w:lang w:val="es-ES"/>
          </w:rPr>
          <w:t>documents.un.org</w:t>
        </w:r>
        <w:proofErr w:type="spellEnd"/>
      </w:hyperlink>
      <w:r w:rsidRPr="00AC5DE7">
        <w:rPr>
          <w:lang w:val="es-ES"/>
        </w:rPr>
        <w:t>) con las signatura</w:t>
      </w:r>
      <w:r w:rsidR="003974DA">
        <w:rPr>
          <w:lang w:val="es-ES"/>
        </w:rPr>
        <w:t>s que se indican a continuación.</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1218"/>
        <w:gridCol w:w="1617"/>
        <w:gridCol w:w="2330"/>
        <w:gridCol w:w="2205"/>
      </w:tblGrid>
      <w:tr w:rsidR="00AC5DE7" w:rsidRPr="004C5748" w:rsidTr="008E51C3">
        <w:trPr>
          <w:cantSplit/>
          <w:trHeight w:val="240"/>
          <w:tblHeader/>
        </w:trPr>
        <w:tc>
          <w:tcPr>
            <w:tcW w:w="1218"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Parte</w:t>
            </w:r>
          </w:p>
        </w:tc>
        <w:tc>
          <w:tcPr>
            <w:tcW w:w="1617"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Relatores para el país</w:t>
            </w:r>
          </w:p>
        </w:tc>
        <w:tc>
          <w:tcPr>
            <w:tcW w:w="2330"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Informe</w:t>
            </w:r>
          </w:p>
        </w:tc>
        <w:tc>
          <w:tcPr>
            <w:tcW w:w="2205"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Observaciones finales</w:t>
            </w:r>
          </w:p>
        </w:tc>
      </w:tr>
      <w:tr w:rsidR="00AC5DE7" w:rsidRPr="004C5748" w:rsidTr="008E51C3">
        <w:trPr>
          <w:cantSplit/>
          <w:trHeight w:val="240"/>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Austria</w:t>
            </w:r>
          </w:p>
        </w:tc>
        <w:tc>
          <w:tcPr>
            <w:tcW w:w="1617"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Claudio Grossman</w:t>
            </w:r>
            <w:r w:rsidRPr="004C5748">
              <w:rPr>
                <w:lang w:val="es-ES"/>
              </w:rPr>
              <w:br/>
              <w:t>Abdoulaye Gaye</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Sexto informe periódico (</w:t>
            </w:r>
            <w:hyperlink r:id="rId47" w:history="1">
              <w:r w:rsidRPr="00CF312F">
                <w:rPr>
                  <w:rStyle w:val="Hipervnculo"/>
                  <w:lang w:val="es-ES"/>
                </w:rPr>
                <w:t>CAT/C/</w:t>
              </w:r>
              <w:proofErr w:type="spellStart"/>
              <w:r w:rsidRPr="00CF312F">
                <w:rPr>
                  <w:rStyle w:val="Hipervnculo"/>
                  <w:lang w:val="es-ES"/>
                </w:rPr>
                <w:t>AUT</w:t>
              </w:r>
              <w:proofErr w:type="spellEnd"/>
              <w:r w:rsidRPr="00CF312F">
                <w:rPr>
                  <w:rStyle w:val="Hipervnculo"/>
                  <w:lang w:val="es-ES"/>
                </w:rPr>
                <w:t>/6</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s-ES"/>
              </w:rPr>
            </w:pPr>
            <w:hyperlink r:id="rId48" w:history="1">
              <w:r w:rsidR="00AC5DE7" w:rsidRPr="00CF312F">
                <w:rPr>
                  <w:rStyle w:val="Hipervnculo"/>
                  <w:lang w:val="es-ES"/>
                </w:rPr>
                <w:t>CAT/C/</w:t>
              </w:r>
              <w:proofErr w:type="spellStart"/>
              <w:r w:rsidR="00AC5DE7" w:rsidRPr="00CF312F">
                <w:rPr>
                  <w:rStyle w:val="Hipervnculo"/>
                  <w:lang w:val="es-ES"/>
                </w:rPr>
                <w:t>AUT</w:t>
              </w:r>
              <w:proofErr w:type="spellEnd"/>
              <w:r w:rsidR="00AC5DE7" w:rsidRPr="00CF312F">
                <w:rPr>
                  <w:rStyle w:val="Hipervnculo"/>
                  <w:lang w:val="es-ES"/>
                </w:rPr>
                <w:t>/CO/6</w:t>
              </w:r>
            </w:hyperlink>
          </w:p>
        </w:tc>
      </w:tr>
      <w:tr w:rsidR="00AC5DE7" w:rsidRPr="004C5748" w:rsidTr="008E51C3">
        <w:trPr>
          <w:cantSplit/>
          <w:trHeight w:val="240"/>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Azerbaiyán</w:t>
            </w:r>
          </w:p>
        </w:tc>
        <w:tc>
          <w:tcPr>
            <w:tcW w:w="1617"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George Tugushi</w:t>
            </w:r>
            <w:r w:rsidRPr="004C5748">
              <w:rPr>
                <w:lang w:val="es-ES"/>
              </w:rPr>
              <w:br/>
              <w:t>Kening Zhang</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Cuarto informe periódico (</w:t>
            </w:r>
            <w:hyperlink r:id="rId49" w:history="1">
              <w:r w:rsidRPr="00CF312F">
                <w:rPr>
                  <w:rStyle w:val="Hipervnculo"/>
                  <w:lang w:val="es-ES"/>
                </w:rPr>
                <w:t>CAT/C/</w:t>
              </w:r>
              <w:proofErr w:type="spellStart"/>
              <w:r w:rsidRPr="00CF312F">
                <w:rPr>
                  <w:rStyle w:val="Hipervnculo"/>
                  <w:lang w:val="es-ES"/>
                </w:rPr>
                <w:t>AZE</w:t>
              </w:r>
              <w:proofErr w:type="spellEnd"/>
              <w:r w:rsidRPr="00CF312F">
                <w:rPr>
                  <w:rStyle w:val="Hipervnculo"/>
                  <w:lang w:val="es-ES"/>
                </w:rPr>
                <w:t>/4</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s-ES"/>
              </w:rPr>
            </w:pPr>
            <w:hyperlink r:id="rId50" w:history="1">
              <w:r w:rsidR="00AC5DE7" w:rsidRPr="00CF312F">
                <w:rPr>
                  <w:rStyle w:val="Hipervnculo"/>
                  <w:lang w:val="es-ES"/>
                </w:rPr>
                <w:t>CAT/C/</w:t>
              </w:r>
              <w:proofErr w:type="spellStart"/>
              <w:r w:rsidR="00AC5DE7" w:rsidRPr="00CF312F">
                <w:rPr>
                  <w:rStyle w:val="Hipervnculo"/>
                  <w:lang w:val="es-ES"/>
                </w:rPr>
                <w:t>AZE</w:t>
              </w:r>
              <w:proofErr w:type="spellEnd"/>
              <w:r w:rsidR="00AC5DE7" w:rsidRPr="00CF312F">
                <w:rPr>
                  <w:rStyle w:val="Hipervnculo"/>
                  <w:lang w:val="es-ES"/>
                </w:rPr>
                <w:t>/CO/4</w:t>
              </w:r>
            </w:hyperlink>
          </w:p>
        </w:tc>
      </w:tr>
      <w:tr w:rsidR="00AC5DE7" w:rsidRPr="004C5748" w:rsidTr="008E51C3">
        <w:trPr>
          <w:cantSplit/>
          <w:trHeight w:val="240"/>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China</w:t>
            </w:r>
          </w:p>
        </w:tc>
        <w:tc>
          <w:tcPr>
            <w:tcW w:w="1617"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George Tugushi</w:t>
            </w:r>
            <w:r w:rsidRPr="004C5748">
              <w:rPr>
                <w:lang w:val="es-ES"/>
              </w:rPr>
              <w:br/>
              <w:t>Jens Modvig</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Quinto informe periódico (</w:t>
            </w:r>
            <w:hyperlink r:id="rId51" w:history="1">
              <w:r w:rsidRPr="00CF312F">
                <w:rPr>
                  <w:rStyle w:val="Hipervnculo"/>
                  <w:lang w:val="es-ES"/>
                </w:rPr>
                <w:t>CAT/C/</w:t>
              </w:r>
              <w:proofErr w:type="spellStart"/>
              <w:r w:rsidRPr="00CF312F">
                <w:rPr>
                  <w:rStyle w:val="Hipervnculo"/>
                  <w:lang w:val="es-ES"/>
                </w:rPr>
                <w:t>CHN</w:t>
              </w:r>
              <w:proofErr w:type="spellEnd"/>
              <w:r w:rsidRPr="00CF312F">
                <w:rPr>
                  <w:rStyle w:val="Hipervnculo"/>
                  <w:lang w:val="es-ES"/>
                </w:rPr>
                <w:t>/5</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s-ES"/>
              </w:rPr>
            </w:pPr>
            <w:hyperlink r:id="rId52" w:history="1">
              <w:r w:rsidR="00AC5DE7" w:rsidRPr="00CF312F">
                <w:rPr>
                  <w:rStyle w:val="Hipervnculo"/>
                  <w:lang w:val="es-ES"/>
                </w:rPr>
                <w:t>CAT/C/</w:t>
              </w:r>
              <w:proofErr w:type="spellStart"/>
              <w:r w:rsidR="00AC5DE7" w:rsidRPr="00CF312F">
                <w:rPr>
                  <w:rStyle w:val="Hipervnculo"/>
                  <w:lang w:val="es-ES"/>
                </w:rPr>
                <w:t>CHN</w:t>
              </w:r>
              <w:proofErr w:type="spellEnd"/>
              <w:r w:rsidR="00AC5DE7" w:rsidRPr="00CF312F">
                <w:rPr>
                  <w:rStyle w:val="Hipervnculo"/>
                  <w:lang w:val="es-ES"/>
                </w:rPr>
                <w:t>/CO/5</w:t>
              </w:r>
            </w:hyperlink>
          </w:p>
        </w:tc>
      </w:tr>
      <w:tr w:rsidR="00AC5DE7" w:rsidRPr="004C5748" w:rsidTr="008E51C3">
        <w:trPr>
          <w:cantSplit/>
          <w:trHeight w:val="240"/>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 xml:space="preserve">Hong Kong (China) </w:t>
            </w:r>
          </w:p>
        </w:tc>
        <w:tc>
          <w:tcPr>
            <w:tcW w:w="1617" w:type="dxa"/>
            <w:shd w:val="clear" w:color="auto" w:fill="auto"/>
          </w:tcPr>
          <w:p w:rsidR="00AC5DE7" w:rsidRPr="004C5748" w:rsidRDefault="00AC5DE7" w:rsidP="004C5748">
            <w:pPr>
              <w:pStyle w:val="SingleTxtG"/>
              <w:suppressAutoHyphens w:val="0"/>
              <w:spacing w:before="40"/>
              <w:ind w:left="0" w:right="0"/>
              <w:jc w:val="left"/>
              <w:rPr>
                <w:lang w:val="en-US"/>
              </w:rPr>
            </w:pPr>
            <w:r w:rsidRPr="004C5748">
              <w:rPr>
                <w:lang w:val="es-ES"/>
              </w:rPr>
              <w:t>George Tugushi</w:t>
            </w:r>
            <w:r w:rsidRPr="004C5748">
              <w:rPr>
                <w:lang w:val="es-ES"/>
              </w:rPr>
              <w:br/>
              <w:t>Jens Modvig</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Quinto informe periódico (</w:t>
            </w:r>
            <w:hyperlink r:id="rId53" w:history="1">
              <w:r w:rsidRPr="00CF312F">
                <w:rPr>
                  <w:rStyle w:val="Hipervnculo"/>
                  <w:lang w:val="es-ES"/>
                </w:rPr>
                <w:t>CAT/C/</w:t>
              </w:r>
              <w:proofErr w:type="spellStart"/>
              <w:r w:rsidRPr="00CF312F">
                <w:rPr>
                  <w:rStyle w:val="Hipervnculo"/>
                  <w:lang w:val="es-ES"/>
                </w:rPr>
                <w:t>CHN-HKG</w:t>
              </w:r>
              <w:proofErr w:type="spellEnd"/>
              <w:r w:rsidRPr="00CF312F">
                <w:rPr>
                  <w:rStyle w:val="Hipervnculo"/>
                  <w:lang w:val="es-ES"/>
                </w:rPr>
                <w:t>/5</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n-US"/>
              </w:rPr>
            </w:pPr>
            <w:hyperlink r:id="rId54" w:history="1">
              <w:r w:rsidR="00AC5DE7" w:rsidRPr="00CF312F">
                <w:rPr>
                  <w:rStyle w:val="Hipervnculo"/>
                  <w:lang w:val="en-US"/>
                </w:rPr>
                <w:t>CAT/C/</w:t>
              </w:r>
              <w:proofErr w:type="spellStart"/>
              <w:r w:rsidR="00AC5DE7" w:rsidRPr="00CF312F">
                <w:rPr>
                  <w:rStyle w:val="Hipervnculo"/>
                  <w:lang w:val="en-US"/>
                </w:rPr>
                <w:t>CHN-HKG</w:t>
              </w:r>
              <w:proofErr w:type="spellEnd"/>
              <w:r w:rsidR="00AC5DE7" w:rsidRPr="00CF312F">
                <w:rPr>
                  <w:rStyle w:val="Hipervnculo"/>
                  <w:lang w:val="en-US"/>
                </w:rPr>
                <w:t>/CO/5</w:t>
              </w:r>
            </w:hyperlink>
          </w:p>
        </w:tc>
      </w:tr>
      <w:tr w:rsidR="00AC5DE7" w:rsidRPr="004C5748" w:rsidTr="008E51C3">
        <w:trPr>
          <w:cantSplit/>
          <w:trHeight w:val="240"/>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Macao (China)</w:t>
            </w:r>
          </w:p>
        </w:tc>
        <w:tc>
          <w:tcPr>
            <w:tcW w:w="1617" w:type="dxa"/>
            <w:shd w:val="clear" w:color="auto" w:fill="auto"/>
          </w:tcPr>
          <w:p w:rsidR="00AC5DE7" w:rsidRPr="004C5748" w:rsidRDefault="00AC5DE7" w:rsidP="004C5748">
            <w:pPr>
              <w:pStyle w:val="SingleTxtG"/>
              <w:suppressAutoHyphens w:val="0"/>
              <w:spacing w:before="40"/>
              <w:ind w:left="0" w:right="0"/>
              <w:jc w:val="left"/>
              <w:rPr>
                <w:lang w:val="en-US"/>
              </w:rPr>
            </w:pPr>
            <w:r w:rsidRPr="004C5748">
              <w:rPr>
                <w:lang w:val="es-ES"/>
              </w:rPr>
              <w:t>George Tugushi</w:t>
            </w:r>
            <w:r w:rsidRPr="004C5748">
              <w:rPr>
                <w:lang w:val="es-ES"/>
              </w:rPr>
              <w:br/>
              <w:t>Jens Modvig</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Quinto informe periódico (</w:t>
            </w:r>
            <w:hyperlink r:id="rId55" w:history="1">
              <w:r w:rsidRPr="00CF312F">
                <w:rPr>
                  <w:rStyle w:val="Hipervnculo"/>
                  <w:lang w:val="es-ES"/>
                </w:rPr>
                <w:t>CAT/C/</w:t>
              </w:r>
              <w:proofErr w:type="spellStart"/>
              <w:r w:rsidRPr="00CF312F">
                <w:rPr>
                  <w:rStyle w:val="Hipervnculo"/>
                  <w:lang w:val="es-ES"/>
                </w:rPr>
                <w:t>CHN</w:t>
              </w:r>
              <w:proofErr w:type="spellEnd"/>
              <w:r w:rsidRPr="00CF312F">
                <w:rPr>
                  <w:rStyle w:val="Hipervnculo"/>
                  <w:lang w:val="es-ES"/>
                </w:rPr>
                <w:t>-MAC/5</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n-US"/>
              </w:rPr>
            </w:pPr>
            <w:hyperlink r:id="rId56" w:history="1">
              <w:r w:rsidR="00AC5DE7" w:rsidRPr="00CF312F">
                <w:rPr>
                  <w:rStyle w:val="Hipervnculo"/>
                  <w:lang w:val="en-US"/>
                </w:rPr>
                <w:t>CAT/C/</w:t>
              </w:r>
              <w:proofErr w:type="spellStart"/>
              <w:r w:rsidR="00AC5DE7" w:rsidRPr="00CF312F">
                <w:rPr>
                  <w:rStyle w:val="Hipervnculo"/>
                  <w:lang w:val="en-US"/>
                </w:rPr>
                <w:t>CHN</w:t>
              </w:r>
              <w:proofErr w:type="spellEnd"/>
              <w:r w:rsidR="00AC5DE7" w:rsidRPr="00CF312F">
                <w:rPr>
                  <w:rStyle w:val="Hipervnculo"/>
                  <w:lang w:val="en-US"/>
                </w:rPr>
                <w:t>-MAC/CO/5</w:t>
              </w:r>
            </w:hyperlink>
          </w:p>
        </w:tc>
      </w:tr>
      <w:tr w:rsidR="00AC5DE7" w:rsidRPr="004C5748" w:rsidTr="008E51C3">
        <w:trPr>
          <w:cantSplit/>
          <w:trHeight w:val="240"/>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Dinamarca</w:t>
            </w:r>
          </w:p>
        </w:tc>
        <w:tc>
          <w:tcPr>
            <w:tcW w:w="1617"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Alessio Bruni</w:t>
            </w:r>
            <w:r w:rsidRPr="004C5748">
              <w:rPr>
                <w:lang w:val="es-ES"/>
              </w:rPr>
              <w:br/>
              <w:t>Sapana Pradha</w:t>
            </w:r>
            <w:r w:rsidR="008E51C3">
              <w:rPr>
                <w:lang w:val="es-ES"/>
              </w:rPr>
              <w:t>n</w:t>
            </w:r>
            <w:r w:rsidR="008E51C3">
              <w:rPr>
                <w:lang w:val="es-ES"/>
              </w:rPr>
              <w:noBreakHyphen/>
            </w:r>
            <w:r w:rsidRPr="004C5748">
              <w:rPr>
                <w:lang w:val="es-ES"/>
              </w:rPr>
              <w:t>Mallah</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Informes periódicos sexto y séptimo combinados (</w:t>
            </w:r>
            <w:hyperlink r:id="rId57" w:history="1">
              <w:r w:rsidRPr="00CF312F">
                <w:rPr>
                  <w:rStyle w:val="Hipervnculo"/>
                  <w:lang w:val="es-ES"/>
                </w:rPr>
                <w:t>CAT/C/</w:t>
              </w:r>
              <w:proofErr w:type="spellStart"/>
              <w:r w:rsidRPr="00CF312F">
                <w:rPr>
                  <w:rStyle w:val="Hipervnculo"/>
                  <w:lang w:val="es-ES"/>
                </w:rPr>
                <w:t>DNK</w:t>
              </w:r>
              <w:proofErr w:type="spellEnd"/>
              <w:r w:rsidRPr="00CF312F">
                <w:rPr>
                  <w:rStyle w:val="Hipervnculo"/>
                  <w:lang w:val="es-ES"/>
                </w:rPr>
                <w:t>/6-7</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s-ES"/>
              </w:rPr>
            </w:pPr>
            <w:hyperlink r:id="rId58" w:history="1">
              <w:r w:rsidR="00AC5DE7" w:rsidRPr="00CF312F">
                <w:rPr>
                  <w:rStyle w:val="Hipervnculo"/>
                  <w:lang w:val="es-ES"/>
                </w:rPr>
                <w:t>CAT/C/</w:t>
              </w:r>
              <w:proofErr w:type="spellStart"/>
              <w:r w:rsidR="00AC5DE7" w:rsidRPr="00CF312F">
                <w:rPr>
                  <w:rStyle w:val="Hipervnculo"/>
                  <w:lang w:val="es-ES"/>
                </w:rPr>
                <w:t>DNK</w:t>
              </w:r>
              <w:proofErr w:type="spellEnd"/>
              <w:r w:rsidR="00AC5DE7" w:rsidRPr="00CF312F">
                <w:rPr>
                  <w:rStyle w:val="Hipervnculo"/>
                  <w:lang w:val="es-ES"/>
                </w:rPr>
                <w:t>/CO/6-7</w:t>
              </w:r>
            </w:hyperlink>
          </w:p>
        </w:tc>
      </w:tr>
      <w:tr w:rsidR="00AC5DE7" w:rsidRPr="004C5748" w:rsidTr="008E51C3">
        <w:trPr>
          <w:cantSplit/>
          <w:trHeight w:val="240"/>
          <w:tblHeader/>
        </w:trPr>
        <w:tc>
          <w:tcPr>
            <w:tcW w:w="1218"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Jordania</w:t>
            </w:r>
          </w:p>
        </w:tc>
        <w:tc>
          <w:tcPr>
            <w:tcW w:w="1617" w:type="dxa"/>
            <w:shd w:val="clear" w:color="auto" w:fill="auto"/>
          </w:tcPr>
          <w:p w:rsidR="00AC5DE7" w:rsidRPr="004C5748" w:rsidRDefault="00AC5DE7" w:rsidP="00DB069A">
            <w:pPr>
              <w:pStyle w:val="SingleTxtG"/>
              <w:suppressAutoHyphens w:val="0"/>
              <w:spacing w:before="40"/>
              <w:ind w:left="0" w:right="0"/>
              <w:jc w:val="left"/>
              <w:rPr>
                <w:lang w:val="es-ES"/>
              </w:rPr>
            </w:pPr>
            <w:r w:rsidRPr="004C5748">
              <w:rPr>
                <w:lang w:val="es-ES"/>
              </w:rPr>
              <w:t>Essadia Belmir</w:t>
            </w:r>
            <w:r w:rsidR="00DB069A">
              <w:rPr>
                <w:lang w:val="es-ES"/>
              </w:rPr>
              <w:br/>
            </w:r>
            <w:r w:rsidRPr="004C5748">
              <w:rPr>
                <w:lang w:val="es-ES"/>
              </w:rPr>
              <w:t>Kening Zhang</w:t>
            </w:r>
          </w:p>
        </w:tc>
        <w:tc>
          <w:tcPr>
            <w:tcW w:w="2330"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Tercer informe periódico (</w:t>
            </w:r>
            <w:hyperlink r:id="rId59" w:history="1">
              <w:r w:rsidRPr="00CF312F">
                <w:rPr>
                  <w:rStyle w:val="Hipervnculo"/>
                  <w:lang w:val="es-ES"/>
                </w:rPr>
                <w:t>CAT/C/</w:t>
              </w:r>
              <w:proofErr w:type="spellStart"/>
              <w:r w:rsidRPr="00CF312F">
                <w:rPr>
                  <w:rStyle w:val="Hipervnculo"/>
                  <w:lang w:val="es-ES"/>
                </w:rPr>
                <w:t>JOR</w:t>
              </w:r>
              <w:proofErr w:type="spellEnd"/>
              <w:r w:rsidRPr="00CF312F">
                <w:rPr>
                  <w:rStyle w:val="Hipervnculo"/>
                  <w:lang w:val="es-ES"/>
                </w:rPr>
                <w:t>/3</w:t>
              </w:r>
            </w:hyperlink>
            <w:r w:rsidRPr="004C5748">
              <w:rPr>
                <w:lang w:val="es-ES"/>
              </w:rPr>
              <w:t>)</w:t>
            </w:r>
          </w:p>
        </w:tc>
        <w:tc>
          <w:tcPr>
            <w:tcW w:w="2205" w:type="dxa"/>
            <w:shd w:val="clear" w:color="auto" w:fill="auto"/>
          </w:tcPr>
          <w:p w:rsidR="00AC5DE7" w:rsidRPr="004C5748" w:rsidRDefault="003D1455" w:rsidP="004C5748">
            <w:pPr>
              <w:pStyle w:val="SingleTxtG"/>
              <w:suppressAutoHyphens w:val="0"/>
              <w:spacing w:before="40"/>
              <w:ind w:left="0" w:right="0"/>
              <w:jc w:val="left"/>
              <w:rPr>
                <w:lang w:val="es-ES"/>
              </w:rPr>
            </w:pPr>
            <w:hyperlink r:id="rId60" w:history="1">
              <w:r w:rsidR="00AC5DE7" w:rsidRPr="00CF312F">
                <w:rPr>
                  <w:rStyle w:val="Hipervnculo"/>
                  <w:lang w:val="es-ES"/>
                </w:rPr>
                <w:t>CAT/C/</w:t>
              </w:r>
              <w:proofErr w:type="spellStart"/>
              <w:r w:rsidR="00AC5DE7" w:rsidRPr="00CF312F">
                <w:rPr>
                  <w:rStyle w:val="Hipervnculo"/>
                  <w:lang w:val="es-ES"/>
                </w:rPr>
                <w:t>JOR</w:t>
              </w:r>
              <w:proofErr w:type="spellEnd"/>
              <w:r w:rsidR="00AC5DE7" w:rsidRPr="00CF312F">
                <w:rPr>
                  <w:rStyle w:val="Hipervnculo"/>
                  <w:lang w:val="es-ES"/>
                </w:rPr>
                <w:t>/CO/3</w:t>
              </w:r>
            </w:hyperlink>
          </w:p>
        </w:tc>
      </w:tr>
      <w:tr w:rsidR="00AC5DE7" w:rsidRPr="004C5748" w:rsidTr="008E51C3">
        <w:trPr>
          <w:cantSplit/>
          <w:trHeight w:val="240"/>
        </w:trPr>
        <w:tc>
          <w:tcPr>
            <w:tcW w:w="1218" w:type="dxa"/>
            <w:tcBorders>
              <w:bottom w:val="single" w:sz="12" w:space="0" w:color="auto"/>
            </w:tcBorders>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Liechtenstein</w:t>
            </w:r>
          </w:p>
        </w:tc>
        <w:tc>
          <w:tcPr>
            <w:tcW w:w="1617" w:type="dxa"/>
            <w:tcBorders>
              <w:bottom w:val="single" w:sz="12" w:space="0" w:color="auto"/>
            </w:tcBorders>
            <w:shd w:val="clear" w:color="auto" w:fill="auto"/>
          </w:tcPr>
          <w:p w:rsidR="00AC5DE7" w:rsidRPr="008E51C3" w:rsidRDefault="00AC5DE7" w:rsidP="004C5748">
            <w:pPr>
              <w:pStyle w:val="SingleTxtG"/>
              <w:suppressAutoHyphens w:val="0"/>
              <w:spacing w:before="40"/>
              <w:ind w:left="0" w:right="0"/>
              <w:jc w:val="left"/>
              <w:rPr>
                <w:lang w:val="es-ES"/>
              </w:rPr>
            </w:pPr>
            <w:r w:rsidRPr="008E51C3">
              <w:rPr>
                <w:lang w:val="es-ES"/>
              </w:rPr>
              <w:t>Alessio Bruni</w:t>
            </w:r>
            <w:r w:rsidR="008E51C3">
              <w:rPr>
                <w:lang w:val="es-ES"/>
              </w:rPr>
              <w:t xml:space="preserve"> </w:t>
            </w:r>
            <w:r w:rsidRPr="008E51C3">
              <w:rPr>
                <w:lang w:val="es-ES"/>
              </w:rPr>
              <w:br/>
              <w:t xml:space="preserve">Satyabhoosun </w:t>
            </w:r>
            <w:r w:rsidR="008E51C3" w:rsidRPr="008E51C3">
              <w:rPr>
                <w:lang w:val="es-ES"/>
              </w:rPr>
              <w:br/>
            </w:r>
            <w:r w:rsidRPr="008E51C3">
              <w:rPr>
                <w:lang w:val="es-ES"/>
              </w:rPr>
              <w:t>Gupt Domah</w:t>
            </w:r>
          </w:p>
        </w:tc>
        <w:tc>
          <w:tcPr>
            <w:tcW w:w="2330" w:type="dxa"/>
            <w:tcBorders>
              <w:bottom w:val="single" w:sz="12" w:space="0" w:color="auto"/>
            </w:tcBorders>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Cuarto informe periódico (</w:t>
            </w:r>
            <w:hyperlink r:id="rId61" w:history="1">
              <w:r w:rsidRPr="00CF312F">
                <w:rPr>
                  <w:rStyle w:val="Hipervnculo"/>
                  <w:lang w:val="es-ES"/>
                </w:rPr>
                <w:t>CAT/C/LIE/4</w:t>
              </w:r>
            </w:hyperlink>
            <w:r w:rsidRPr="004C5748">
              <w:rPr>
                <w:lang w:val="es-ES"/>
              </w:rPr>
              <w:t>)</w:t>
            </w:r>
          </w:p>
        </w:tc>
        <w:tc>
          <w:tcPr>
            <w:tcW w:w="2205" w:type="dxa"/>
            <w:tcBorders>
              <w:bottom w:val="single" w:sz="12" w:space="0" w:color="auto"/>
            </w:tcBorders>
            <w:shd w:val="clear" w:color="auto" w:fill="auto"/>
          </w:tcPr>
          <w:p w:rsidR="00AC5DE7" w:rsidRPr="004C5748" w:rsidRDefault="003D1455" w:rsidP="004C5748">
            <w:pPr>
              <w:pStyle w:val="SingleTxtG"/>
              <w:suppressAutoHyphens w:val="0"/>
              <w:spacing w:before="40"/>
              <w:ind w:left="0" w:right="0"/>
              <w:jc w:val="left"/>
              <w:rPr>
                <w:lang w:val="es-ES"/>
              </w:rPr>
            </w:pPr>
            <w:hyperlink r:id="rId62" w:history="1">
              <w:r w:rsidR="00AC5DE7" w:rsidRPr="00CF312F">
                <w:rPr>
                  <w:rStyle w:val="Hipervnculo"/>
                  <w:lang w:val="es-ES"/>
                </w:rPr>
                <w:t>CAT/C/LIE/CO/4</w:t>
              </w:r>
            </w:hyperlink>
          </w:p>
        </w:tc>
      </w:tr>
    </w:tbl>
    <w:p w:rsidR="00AC5DE7" w:rsidRPr="00AC5DE7" w:rsidRDefault="00AC5DE7" w:rsidP="004C5748">
      <w:pPr>
        <w:pStyle w:val="SingleTxtG"/>
        <w:spacing w:before="240"/>
        <w:rPr>
          <w:lang w:val="es-ES"/>
        </w:rPr>
      </w:pPr>
      <w:r w:rsidRPr="00AC5DE7">
        <w:rPr>
          <w:lang w:val="es-ES"/>
        </w:rPr>
        <w:t>40.</w:t>
      </w:r>
      <w:r w:rsidRPr="00AC5DE7">
        <w:rPr>
          <w:lang w:val="es-ES"/>
        </w:rPr>
        <w:tab/>
        <w:t>Los informes examinados por el Comité en su 56º período de sesiones y sus correspondientes observaciones finales figuran en el Sistema de Archivo de Documentos de las Naciones Unidas (</w:t>
      </w:r>
      <w:hyperlink r:id="rId63" w:history="1">
        <w:r w:rsidRPr="00F8263F">
          <w:rPr>
            <w:rStyle w:val="Hipervnculo"/>
            <w:lang w:val="es-ES"/>
          </w:rPr>
          <w:t>http://</w:t>
        </w:r>
        <w:proofErr w:type="spellStart"/>
        <w:r w:rsidRPr="00F8263F">
          <w:rPr>
            <w:rStyle w:val="Hipervnculo"/>
            <w:lang w:val="es-ES"/>
          </w:rPr>
          <w:t>documents.un.org</w:t>
        </w:r>
        <w:proofErr w:type="spellEnd"/>
      </w:hyperlink>
      <w:r w:rsidRPr="00AC5DE7">
        <w:rPr>
          <w:lang w:val="es-ES"/>
        </w:rPr>
        <w:t>) con las signatura</w:t>
      </w:r>
      <w:r w:rsidR="00DB069A">
        <w:rPr>
          <w:lang w:val="es-ES"/>
        </w:rPr>
        <w:t>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204"/>
        <w:gridCol w:w="1915"/>
        <w:gridCol w:w="2271"/>
        <w:gridCol w:w="1980"/>
      </w:tblGrid>
      <w:tr w:rsidR="00AC5DE7" w:rsidRPr="004C5748" w:rsidTr="008E51C3">
        <w:trPr>
          <w:cantSplit/>
          <w:trHeight w:val="240"/>
          <w:tblHeader/>
        </w:trPr>
        <w:tc>
          <w:tcPr>
            <w:tcW w:w="1204"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Parte</w:t>
            </w:r>
          </w:p>
        </w:tc>
        <w:tc>
          <w:tcPr>
            <w:tcW w:w="1915"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Relatores para el país</w:t>
            </w:r>
          </w:p>
        </w:tc>
        <w:tc>
          <w:tcPr>
            <w:tcW w:w="2271"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Informe</w:t>
            </w:r>
          </w:p>
        </w:tc>
        <w:tc>
          <w:tcPr>
            <w:tcW w:w="1980" w:type="dxa"/>
            <w:tcBorders>
              <w:top w:val="single" w:sz="4" w:space="0" w:color="auto"/>
              <w:bottom w:val="single" w:sz="12" w:space="0" w:color="auto"/>
            </w:tcBorders>
            <w:shd w:val="clear" w:color="auto" w:fill="auto"/>
            <w:vAlign w:val="bottom"/>
          </w:tcPr>
          <w:p w:rsidR="00AC5DE7" w:rsidRPr="004C5748" w:rsidRDefault="00AC5DE7" w:rsidP="004C5748">
            <w:pPr>
              <w:pStyle w:val="SingleTxtG"/>
              <w:suppressAutoHyphens w:val="0"/>
              <w:spacing w:before="80" w:after="80" w:line="200" w:lineRule="exact"/>
              <w:ind w:left="0" w:right="0"/>
              <w:jc w:val="left"/>
              <w:rPr>
                <w:i/>
                <w:sz w:val="16"/>
                <w:lang w:val="es-ES"/>
              </w:rPr>
            </w:pPr>
            <w:r w:rsidRPr="004C5748">
              <w:rPr>
                <w:i/>
                <w:sz w:val="16"/>
                <w:lang w:val="es-ES"/>
              </w:rPr>
              <w:t>Observaciones finales</w:t>
            </w:r>
          </w:p>
        </w:tc>
      </w:tr>
      <w:tr w:rsidR="00DB069A" w:rsidRPr="004C5748" w:rsidTr="00C3233D">
        <w:trPr>
          <w:cantSplit/>
          <w:trHeight w:val="240"/>
        </w:trPr>
        <w:tc>
          <w:tcPr>
            <w:tcW w:w="1204"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Arabia Saudita</w:t>
            </w:r>
          </w:p>
        </w:tc>
        <w:tc>
          <w:tcPr>
            <w:tcW w:w="1915"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Felice Gaer</w:t>
            </w:r>
            <w:r w:rsidRPr="004C5748">
              <w:rPr>
                <w:lang w:val="es-ES"/>
              </w:rPr>
              <w:br/>
              <w:t>Kening Zhang</w:t>
            </w:r>
          </w:p>
        </w:tc>
        <w:tc>
          <w:tcPr>
            <w:tcW w:w="2271"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Según informe periódico (</w:t>
            </w:r>
            <w:hyperlink r:id="rId64" w:history="1">
              <w:r w:rsidRPr="00F8263F">
                <w:rPr>
                  <w:rStyle w:val="Hipervnculo"/>
                  <w:lang w:val="es-ES"/>
                </w:rPr>
                <w:t>CAT/C/</w:t>
              </w:r>
              <w:proofErr w:type="spellStart"/>
              <w:r w:rsidRPr="00F8263F">
                <w:rPr>
                  <w:rStyle w:val="Hipervnculo"/>
                  <w:lang w:val="es-ES"/>
                </w:rPr>
                <w:t>SAU</w:t>
              </w:r>
              <w:proofErr w:type="spellEnd"/>
              <w:r w:rsidRPr="00F8263F">
                <w:rPr>
                  <w:rStyle w:val="Hipervnculo"/>
                  <w:lang w:val="es-ES"/>
                </w:rPr>
                <w:t>/2</w:t>
              </w:r>
            </w:hyperlink>
            <w:r w:rsidRPr="004C5748">
              <w:rPr>
                <w:lang w:val="es-ES"/>
              </w:rPr>
              <w:t>)</w:t>
            </w:r>
          </w:p>
        </w:tc>
        <w:tc>
          <w:tcPr>
            <w:tcW w:w="1980" w:type="dxa"/>
            <w:shd w:val="clear" w:color="auto" w:fill="auto"/>
          </w:tcPr>
          <w:p w:rsidR="00DB069A" w:rsidRPr="004C5748" w:rsidRDefault="003D1455" w:rsidP="00C3233D">
            <w:pPr>
              <w:pStyle w:val="SingleTxtG"/>
              <w:suppressAutoHyphens w:val="0"/>
              <w:spacing w:before="40"/>
              <w:ind w:left="0" w:right="0"/>
              <w:jc w:val="left"/>
              <w:rPr>
                <w:lang w:val="es-ES"/>
              </w:rPr>
            </w:pPr>
            <w:hyperlink r:id="rId65" w:history="1">
              <w:r w:rsidR="00DB069A" w:rsidRPr="00F8263F">
                <w:rPr>
                  <w:rStyle w:val="Hipervnculo"/>
                  <w:lang w:val="es-ES"/>
                </w:rPr>
                <w:t>CAT/C/</w:t>
              </w:r>
              <w:proofErr w:type="spellStart"/>
              <w:r w:rsidR="00DB069A" w:rsidRPr="00F8263F">
                <w:rPr>
                  <w:rStyle w:val="Hipervnculo"/>
                  <w:lang w:val="es-ES"/>
                </w:rPr>
                <w:t>SAU</w:t>
              </w:r>
              <w:proofErr w:type="spellEnd"/>
              <w:r w:rsidR="00DB069A" w:rsidRPr="00F8263F">
                <w:rPr>
                  <w:rStyle w:val="Hipervnculo"/>
                  <w:lang w:val="es-ES"/>
                </w:rPr>
                <w:t>/CO/2</w:t>
              </w:r>
            </w:hyperlink>
          </w:p>
        </w:tc>
      </w:tr>
      <w:tr w:rsidR="00AC5DE7" w:rsidRPr="004C5748" w:rsidTr="008E51C3">
        <w:trPr>
          <w:cantSplit/>
          <w:trHeight w:val="240"/>
        </w:trPr>
        <w:tc>
          <w:tcPr>
            <w:tcW w:w="1204"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Israel</w:t>
            </w:r>
          </w:p>
        </w:tc>
        <w:tc>
          <w:tcPr>
            <w:tcW w:w="1915" w:type="dxa"/>
            <w:shd w:val="clear" w:color="auto" w:fill="auto"/>
          </w:tcPr>
          <w:p w:rsidR="00AC5DE7" w:rsidRPr="004C5748" w:rsidRDefault="008E51C3" w:rsidP="004C5748">
            <w:pPr>
              <w:pStyle w:val="SingleTxtG"/>
              <w:suppressAutoHyphens w:val="0"/>
              <w:spacing w:before="40"/>
              <w:ind w:left="0" w:right="0"/>
              <w:jc w:val="left"/>
              <w:rPr>
                <w:lang w:val="es-ES"/>
              </w:rPr>
            </w:pPr>
            <w:r>
              <w:rPr>
                <w:lang w:val="es-ES"/>
              </w:rPr>
              <w:t>Jens Modvig</w:t>
            </w:r>
            <w:r>
              <w:rPr>
                <w:lang w:val="es-ES"/>
              </w:rPr>
              <w:br/>
              <w:t>Sapana Pradhan</w:t>
            </w:r>
            <w:r>
              <w:rPr>
                <w:lang w:val="es-ES"/>
              </w:rPr>
              <w:noBreakHyphen/>
            </w:r>
            <w:r w:rsidR="00AC5DE7" w:rsidRPr="004C5748">
              <w:rPr>
                <w:lang w:val="es-ES"/>
              </w:rPr>
              <w:t>Mallah</w:t>
            </w:r>
          </w:p>
        </w:tc>
        <w:tc>
          <w:tcPr>
            <w:tcW w:w="2271"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Quinto informe periódico (</w:t>
            </w:r>
            <w:hyperlink r:id="rId66" w:history="1">
              <w:r w:rsidRPr="00F8263F">
                <w:rPr>
                  <w:rStyle w:val="Hipervnculo"/>
                  <w:lang w:val="es-ES"/>
                </w:rPr>
                <w:t>CAT/C/</w:t>
              </w:r>
              <w:proofErr w:type="spellStart"/>
              <w:r w:rsidRPr="00F8263F">
                <w:rPr>
                  <w:rStyle w:val="Hipervnculo"/>
                  <w:lang w:val="es-ES"/>
                </w:rPr>
                <w:t>ISR</w:t>
              </w:r>
              <w:proofErr w:type="spellEnd"/>
              <w:r w:rsidRPr="00F8263F">
                <w:rPr>
                  <w:rStyle w:val="Hipervnculo"/>
                  <w:lang w:val="es-ES"/>
                </w:rPr>
                <w:t>/5</w:t>
              </w:r>
            </w:hyperlink>
            <w:r w:rsidRPr="004C5748">
              <w:rPr>
                <w:lang w:val="es-ES"/>
              </w:rPr>
              <w:t>)</w:t>
            </w:r>
          </w:p>
        </w:tc>
        <w:tc>
          <w:tcPr>
            <w:tcW w:w="1980" w:type="dxa"/>
            <w:shd w:val="clear" w:color="auto" w:fill="auto"/>
          </w:tcPr>
          <w:p w:rsidR="00AC5DE7" w:rsidRPr="004C5748" w:rsidRDefault="003D1455" w:rsidP="004C5748">
            <w:pPr>
              <w:pStyle w:val="SingleTxtG"/>
              <w:suppressAutoHyphens w:val="0"/>
              <w:spacing w:before="40"/>
              <w:ind w:left="0" w:right="0"/>
              <w:jc w:val="left"/>
              <w:rPr>
                <w:lang w:val="es-ES"/>
              </w:rPr>
            </w:pPr>
            <w:hyperlink r:id="rId67" w:history="1">
              <w:r w:rsidR="00AC5DE7" w:rsidRPr="00F8263F">
                <w:rPr>
                  <w:rStyle w:val="Hipervnculo"/>
                  <w:lang w:val="es-ES"/>
                </w:rPr>
                <w:t>CAT/C/</w:t>
              </w:r>
              <w:proofErr w:type="spellStart"/>
              <w:r w:rsidR="00AC5DE7" w:rsidRPr="00F8263F">
                <w:rPr>
                  <w:rStyle w:val="Hipervnculo"/>
                  <w:lang w:val="es-ES"/>
                </w:rPr>
                <w:t>ISR</w:t>
              </w:r>
              <w:proofErr w:type="spellEnd"/>
              <w:r w:rsidR="00AC5DE7" w:rsidRPr="00F8263F">
                <w:rPr>
                  <w:rStyle w:val="Hipervnculo"/>
                  <w:lang w:val="es-ES"/>
                </w:rPr>
                <w:t>/CO/5</w:t>
              </w:r>
            </w:hyperlink>
          </w:p>
        </w:tc>
      </w:tr>
      <w:tr w:rsidR="00DB069A" w:rsidRPr="004C5748" w:rsidTr="00C3233D">
        <w:trPr>
          <w:cantSplit/>
          <w:trHeight w:val="240"/>
        </w:trPr>
        <w:tc>
          <w:tcPr>
            <w:tcW w:w="1204"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Filipinas</w:t>
            </w:r>
          </w:p>
        </w:tc>
        <w:tc>
          <w:tcPr>
            <w:tcW w:w="1915" w:type="dxa"/>
            <w:shd w:val="clear" w:color="auto" w:fill="auto"/>
          </w:tcPr>
          <w:p w:rsidR="00DB069A" w:rsidRPr="00113637" w:rsidRDefault="00DB069A" w:rsidP="00C3233D">
            <w:pPr>
              <w:pStyle w:val="SingleTxtG"/>
              <w:suppressAutoHyphens w:val="0"/>
              <w:spacing w:before="40"/>
              <w:ind w:left="0" w:right="0"/>
              <w:jc w:val="left"/>
              <w:rPr>
                <w:lang w:val="es-ES"/>
              </w:rPr>
            </w:pPr>
            <w:r>
              <w:rPr>
                <w:lang w:val="es-ES"/>
              </w:rPr>
              <w:t>Sapana Pradhan</w:t>
            </w:r>
            <w:r>
              <w:rPr>
                <w:lang w:val="es-ES"/>
              </w:rPr>
              <w:noBreakHyphen/>
            </w:r>
            <w:r w:rsidRPr="00113637">
              <w:rPr>
                <w:lang w:val="es-ES"/>
              </w:rPr>
              <w:t xml:space="preserve">Mallah </w:t>
            </w:r>
            <w:r>
              <w:rPr>
                <w:lang w:val="es-ES"/>
              </w:rPr>
              <w:br/>
            </w:r>
            <w:r w:rsidRPr="004C5748">
              <w:rPr>
                <w:lang w:val="es-ES"/>
              </w:rPr>
              <w:t>Essadia Belmir</w:t>
            </w:r>
          </w:p>
        </w:tc>
        <w:tc>
          <w:tcPr>
            <w:tcW w:w="2271" w:type="dxa"/>
            <w:shd w:val="clear" w:color="auto" w:fill="auto"/>
          </w:tcPr>
          <w:p w:rsidR="00DB069A" w:rsidRPr="004C5748" w:rsidRDefault="00DB069A" w:rsidP="00C3233D">
            <w:pPr>
              <w:pStyle w:val="SingleTxtG"/>
              <w:suppressAutoHyphens w:val="0"/>
              <w:spacing w:before="40"/>
              <w:ind w:left="0" w:right="0"/>
              <w:jc w:val="left"/>
              <w:rPr>
                <w:lang w:val="es-ES"/>
              </w:rPr>
            </w:pPr>
            <w:r w:rsidRPr="004C5748">
              <w:rPr>
                <w:lang w:val="es-ES"/>
              </w:rPr>
              <w:t>Tercer informe periódico (</w:t>
            </w:r>
            <w:hyperlink r:id="rId68" w:history="1">
              <w:r w:rsidRPr="00F8263F">
                <w:rPr>
                  <w:rStyle w:val="Hipervnculo"/>
                  <w:lang w:val="es-ES"/>
                </w:rPr>
                <w:t>CAT/C/</w:t>
              </w:r>
              <w:proofErr w:type="spellStart"/>
              <w:r w:rsidRPr="00F8263F">
                <w:rPr>
                  <w:rStyle w:val="Hipervnculo"/>
                  <w:lang w:val="es-ES"/>
                </w:rPr>
                <w:t>PHL</w:t>
              </w:r>
              <w:proofErr w:type="spellEnd"/>
              <w:r w:rsidRPr="00F8263F">
                <w:rPr>
                  <w:rStyle w:val="Hipervnculo"/>
                  <w:lang w:val="es-ES"/>
                </w:rPr>
                <w:t>/3</w:t>
              </w:r>
            </w:hyperlink>
            <w:r w:rsidRPr="004C5748">
              <w:rPr>
                <w:lang w:val="es-ES"/>
              </w:rPr>
              <w:t>)</w:t>
            </w:r>
          </w:p>
        </w:tc>
        <w:tc>
          <w:tcPr>
            <w:tcW w:w="1980" w:type="dxa"/>
            <w:shd w:val="clear" w:color="auto" w:fill="auto"/>
          </w:tcPr>
          <w:p w:rsidR="00DB069A" w:rsidRPr="004C5748" w:rsidRDefault="003D1455" w:rsidP="00C3233D">
            <w:pPr>
              <w:pStyle w:val="SingleTxtG"/>
              <w:suppressAutoHyphens w:val="0"/>
              <w:spacing w:before="40"/>
              <w:ind w:left="0" w:right="0"/>
              <w:jc w:val="left"/>
              <w:rPr>
                <w:lang w:val="es-ES"/>
              </w:rPr>
            </w:pPr>
            <w:hyperlink r:id="rId69" w:history="1">
              <w:r w:rsidR="00DB069A" w:rsidRPr="00F8263F">
                <w:rPr>
                  <w:rStyle w:val="Hipervnculo"/>
                  <w:lang w:val="es-ES"/>
                </w:rPr>
                <w:t>CAT/C/</w:t>
              </w:r>
              <w:proofErr w:type="spellStart"/>
              <w:r w:rsidR="00DB069A" w:rsidRPr="00F8263F">
                <w:rPr>
                  <w:rStyle w:val="Hipervnculo"/>
                  <w:lang w:val="es-ES"/>
                </w:rPr>
                <w:t>PHL</w:t>
              </w:r>
              <w:proofErr w:type="spellEnd"/>
              <w:r w:rsidR="00DB069A" w:rsidRPr="00F8263F">
                <w:rPr>
                  <w:rStyle w:val="Hipervnculo"/>
                  <w:lang w:val="es-ES"/>
                </w:rPr>
                <w:t>/CO/3</w:t>
              </w:r>
            </w:hyperlink>
          </w:p>
        </w:tc>
      </w:tr>
      <w:tr w:rsidR="00AC5DE7" w:rsidRPr="004C5748" w:rsidTr="008E51C3">
        <w:trPr>
          <w:cantSplit/>
          <w:trHeight w:val="240"/>
        </w:trPr>
        <w:tc>
          <w:tcPr>
            <w:tcW w:w="1204"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Francia</w:t>
            </w:r>
          </w:p>
        </w:tc>
        <w:tc>
          <w:tcPr>
            <w:tcW w:w="1915" w:type="dxa"/>
            <w:shd w:val="clear" w:color="auto" w:fill="auto"/>
          </w:tcPr>
          <w:p w:rsidR="00AC5DE7" w:rsidRPr="004C5748" w:rsidRDefault="00AC5DE7" w:rsidP="008E51C3">
            <w:pPr>
              <w:pStyle w:val="SingleTxtG"/>
              <w:suppressAutoHyphens w:val="0"/>
              <w:spacing w:before="40"/>
              <w:ind w:left="0" w:right="0"/>
              <w:jc w:val="left"/>
              <w:rPr>
                <w:lang w:val="es-ES"/>
              </w:rPr>
            </w:pPr>
            <w:r w:rsidRPr="004C5748">
              <w:rPr>
                <w:lang w:val="es-ES"/>
              </w:rPr>
              <w:t>Alessio Bruni</w:t>
            </w:r>
            <w:r w:rsidRPr="004C5748">
              <w:rPr>
                <w:lang w:val="es-ES"/>
              </w:rPr>
              <w:br/>
              <w:t>Jens Modvig</w:t>
            </w:r>
          </w:p>
        </w:tc>
        <w:tc>
          <w:tcPr>
            <w:tcW w:w="2271"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Séptimo informe periódico (</w:t>
            </w:r>
            <w:hyperlink r:id="rId70" w:history="1">
              <w:r w:rsidRPr="00F8263F">
                <w:rPr>
                  <w:rStyle w:val="Hipervnculo"/>
                  <w:lang w:val="es-ES"/>
                </w:rPr>
                <w:t>CAT/C/</w:t>
              </w:r>
              <w:proofErr w:type="spellStart"/>
              <w:r w:rsidRPr="00F8263F">
                <w:rPr>
                  <w:rStyle w:val="Hipervnculo"/>
                  <w:lang w:val="es-ES"/>
                </w:rPr>
                <w:t>FRA</w:t>
              </w:r>
              <w:proofErr w:type="spellEnd"/>
              <w:r w:rsidRPr="00F8263F">
                <w:rPr>
                  <w:rStyle w:val="Hipervnculo"/>
                  <w:lang w:val="es-ES"/>
                </w:rPr>
                <w:t>/7</w:t>
              </w:r>
            </w:hyperlink>
            <w:r w:rsidRPr="004C5748">
              <w:rPr>
                <w:lang w:val="es-ES"/>
              </w:rPr>
              <w:t>)</w:t>
            </w:r>
          </w:p>
        </w:tc>
        <w:tc>
          <w:tcPr>
            <w:tcW w:w="1980" w:type="dxa"/>
            <w:shd w:val="clear" w:color="auto" w:fill="auto"/>
          </w:tcPr>
          <w:p w:rsidR="00AC5DE7" w:rsidRPr="004C5748" w:rsidRDefault="003D1455" w:rsidP="004C5748">
            <w:pPr>
              <w:pStyle w:val="SingleTxtG"/>
              <w:suppressAutoHyphens w:val="0"/>
              <w:spacing w:before="40"/>
              <w:ind w:left="0" w:right="0"/>
              <w:jc w:val="left"/>
              <w:rPr>
                <w:lang w:val="es-ES"/>
              </w:rPr>
            </w:pPr>
            <w:hyperlink r:id="rId71" w:history="1">
              <w:r w:rsidR="00AC5DE7" w:rsidRPr="00F8263F">
                <w:rPr>
                  <w:rStyle w:val="Hipervnculo"/>
                  <w:lang w:val="es-ES"/>
                </w:rPr>
                <w:t>CAT/C/</w:t>
              </w:r>
              <w:proofErr w:type="spellStart"/>
              <w:r w:rsidR="00AC5DE7" w:rsidRPr="00F8263F">
                <w:rPr>
                  <w:rStyle w:val="Hipervnculo"/>
                  <w:lang w:val="es-ES"/>
                </w:rPr>
                <w:t>FRA</w:t>
              </w:r>
              <w:proofErr w:type="spellEnd"/>
              <w:r w:rsidR="00AC5DE7" w:rsidRPr="00F8263F">
                <w:rPr>
                  <w:rStyle w:val="Hipervnculo"/>
                  <w:lang w:val="es-ES"/>
                </w:rPr>
                <w:t>/CO/7</w:t>
              </w:r>
            </w:hyperlink>
          </w:p>
        </w:tc>
      </w:tr>
      <w:tr w:rsidR="00AC5DE7" w:rsidRPr="004C5748" w:rsidTr="008E51C3">
        <w:trPr>
          <w:cantSplit/>
          <w:trHeight w:val="240"/>
          <w:tblHeader/>
        </w:trPr>
        <w:tc>
          <w:tcPr>
            <w:tcW w:w="1204" w:type="dxa"/>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Túnez</w:t>
            </w:r>
          </w:p>
        </w:tc>
        <w:tc>
          <w:tcPr>
            <w:tcW w:w="1915" w:type="dxa"/>
            <w:shd w:val="clear" w:color="auto" w:fill="auto"/>
          </w:tcPr>
          <w:p w:rsidR="00AC5DE7" w:rsidRPr="004C5748" w:rsidRDefault="00AC5DE7" w:rsidP="008E51C3">
            <w:pPr>
              <w:pStyle w:val="SingleTxtG"/>
              <w:suppressAutoHyphens w:val="0"/>
              <w:spacing w:before="40"/>
              <w:ind w:left="0" w:right="0"/>
              <w:jc w:val="left"/>
              <w:rPr>
                <w:lang w:val="es-ES"/>
              </w:rPr>
            </w:pPr>
            <w:r w:rsidRPr="004C5748">
              <w:rPr>
                <w:lang w:val="es-ES"/>
              </w:rPr>
              <w:t xml:space="preserve">Essadia Belmir </w:t>
            </w:r>
            <w:r w:rsidR="008E51C3">
              <w:rPr>
                <w:lang w:val="es-ES"/>
              </w:rPr>
              <w:br/>
            </w:r>
            <w:r w:rsidRPr="004C5748">
              <w:rPr>
                <w:lang w:val="es-ES"/>
              </w:rPr>
              <w:t>Kening Zhang</w:t>
            </w:r>
          </w:p>
        </w:tc>
        <w:tc>
          <w:tcPr>
            <w:tcW w:w="2271" w:type="dxa"/>
            <w:shd w:val="clear" w:color="auto" w:fill="auto"/>
          </w:tcPr>
          <w:p w:rsidR="00AC5DE7" w:rsidRPr="004C5748" w:rsidRDefault="00AC5DE7" w:rsidP="00DB069A">
            <w:pPr>
              <w:pStyle w:val="SingleTxtG"/>
              <w:suppressAutoHyphens w:val="0"/>
              <w:spacing w:before="40"/>
              <w:ind w:left="0" w:right="0"/>
              <w:jc w:val="left"/>
              <w:rPr>
                <w:lang w:val="es-ES"/>
              </w:rPr>
            </w:pPr>
            <w:r w:rsidRPr="004C5748">
              <w:rPr>
                <w:lang w:val="es-ES"/>
              </w:rPr>
              <w:t>Tercer informe periódico (</w:t>
            </w:r>
            <w:hyperlink r:id="rId72" w:history="1">
              <w:r w:rsidRPr="00491FB8">
                <w:rPr>
                  <w:rStyle w:val="Hipervnculo"/>
                  <w:lang w:val="es-ES"/>
                </w:rPr>
                <w:t xml:space="preserve">CAT/C/TUN/3 y </w:t>
              </w:r>
              <w:proofErr w:type="spellStart"/>
              <w:r w:rsidRPr="00491FB8">
                <w:rPr>
                  <w:rStyle w:val="Hipervnculo"/>
                  <w:lang w:val="es-ES"/>
                </w:rPr>
                <w:t>Add.1</w:t>
              </w:r>
              <w:proofErr w:type="spellEnd"/>
            </w:hyperlink>
            <w:r w:rsidRPr="004C5748">
              <w:rPr>
                <w:lang w:val="es-ES"/>
              </w:rPr>
              <w:t>)</w:t>
            </w:r>
            <w:r w:rsidR="00DB069A">
              <w:rPr>
                <w:lang w:val="es-ES"/>
              </w:rPr>
              <w:t xml:space="preserve"> </w:t>
            </w:r>
          </w:p>
        </w:tc>
        <w:tc>
          <w:tcPr>
            <w:tcW w:w="1980" w:type="dxa"/>
            <w:shd w:val="clear" w:color="auto" w:fill="auto"/>
          </w:tcPr>
          <w:p w:rsidR="00AC5DE7" w:rsidRPr="004C5748" w:rsidRDefault="003D1455" w:rsidP="004C5748">
            <w:pPr>
              <w:pStyle w:val="SingleTxtG"/>
              <w:suppressAutoHyphens w:val="0"/>
              <w:spacing w:before="40"/>
              <w:ind w:left="0" w:right="0"/>
              <w:jc w:val="left"/>
              <w:rPr>
                <w:lang w:val="es-ES"/>
              </w:rPr>
            </w:pPr>
            <w:hyperlink r:id="rId73" w:history="1">
              <w:r w:rsidR="00AC5DE7" w:rsidRPr="00F8263F">
                <w:rPr>
                  <w:rStyle w:val="Hipervnculo"/>
                  <w:lang w:val="es-ES"/>
                </w:rPr>
                <w:t>CAT/C/TUN/CO/3</w:t>
              </w:r>
            </w:hyperlink>
          </w:p>
        </w:tc>
      </w:tr>
      <w:tr w:rsidR="00AC5DE7" w:rsidRPr="004C5748" w:rsidTr="008E51C3">
        <w:trPr>
          <w:cantSplit/>
          <w:trHeight w:val="240"/>
        </w:trPr>
        <w:tc>
          <w:tcPr>
            <w:tcW w:w="1204" w:type="dxa"/>
            <w:tcBorders>
              <w:bottom w:val="single" w:sz="12" w:space="0" w:color="auto"/>
            </w:tcBorders>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Turquía</w:t>
            </w:r>
          </w:p>
        </w:tc>
        <w:tc>
          <w:tcPr>
            <w:tcW w:w="1915" w:type="dxa"/>
            <w:tcBorders>
              <w:bottom w:val="single" w:sz="12" w:space="0" w:color="auto"/>
            </w:tcBorders>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Alessio Bruni</w:t>
            </w:r>
            <w:r w:rsidRPr="004C5748">
              <w:rPr>
                <w:lang w:val="es-ES"/>
              </w:rPr>
              <w:br/>
              <w:t>Felice Gaer</w:t>
            </w:r>
          </w:p>
        </w:tc>
        <w:tc>
          <w:tcPr>
            <w:tcW w:w="2271" w:type="dxa"/>
            <w:tcBorders>
              <w:bottom w:val="single" w:sz="12" w:space="0" w:color="auto"/>
            </w:tcBorders>
            <w:shd w:val="clear" w:color="auto" w:fill="auto"/>
          </w:tcPr>
          <w:p w:rsidR="00AC5DE7" w:rsidRPr="004C5748" w:rsidRDefault="00AC5DE7" w:rsidP="004C5748">
            <w:pPr>
              <w:pStyle w:val="SingleTxtG"/>
              <w:suppressAutoHyphens w:val="0"/>
              <w:spacing w:before="40"/>
              <w:ind w:left="0" w:right="0"/>
              <w:jc w:val="left"/>
              <w:rPr>
                <w:lang w:val="es-ES"/>
              </w:rPr>
            </w:pPr>
            <w:r w:rsidRPr="004C5748">
              <w:rPr>
                <w:lang w:val="es-ES"/>
              </w:rPr>
              <w:t>Cuarto informe periódico (</w:t>
            </w:r>
            <w:hyperlink r:id="rId74" w:history="1">
              <w:r w:rsidRPr="00491FB8">
                <w:rPr>
                  <w:rStyle w:val="Hipervnculo"/>
                  <w:lang w:val="es-ES"/>
                </w:rPr>
                <w:t>CAT/C/TUR/4</w:t>
              </w:r>
            </w:hyperlink>
            <w:r w:rsidRPr="004C5748">
              <w:rPr>
                <w:lang w:val="es-ES"/>
              </w:rPr>
              <w:t>)</w:t>
            </w:r>
          </w:p>
        </w:tc>
        <w:tc>
          <w:tcPr>
            <w:tcW w:w="1980" w:type="dxa"/>
            <w:tcBorders>
              <w:bottom w:val="single" w:sz="12" w:space="0" w:color="auto"/>
            </w:tcBorders>
            <w:shd w:val="clear" w:color="auto" w:fill="auto"/>
          </w:tcPr>
          <w:p w:rsidR="00AC5DE7" w:rsidRPr="004C5748" w:rsidRDefault="003D1455" w:rsidP="004C5748">
            <w:pPr>
              <w:pStyle w:val="SingleTxtG"/>
              <w:suppressAutoHyphens w:val="0"/>
              <w:spacing w:before="40"/>
              <w:ind w:left="0" w:right="0"/>
              <w:jc w:val="left"/>
              <w:rPr>
                <w:lang w:val="es-ES"/>
              </w:rPr>
            </w:pPr>
            <w:hyperlink r:id="rId75" w:history="1">
              <w:r w:rsidR="00AC5DE7" w:rsidRPr="00F8263F">
                <w:rPr>
                  <w:rStyle w:val="Hipervnculo"/>
                  <w:lang w:val="es-ES"/>
                </w:rPr>
                <w:t>CAT/C/TUR/CO/4</w:t>
              </w:r>
            </w:hyperlink>
          </w:p>
        </w:tc>
      </w:tr>
    </w:tbl>
    <w:p w:rsidR="00AC5DE7" w:rsidRPr="00AC5DE7" w:rsidRDefault="00AC5DE7" w:rsidP="004C5748">
      <w:pPr>
        <w:pStyle w:val="SingleTxtG"/>
        <w:spacing w:before="240"/>
        <w:rPr>
          <w:lang w:val="es-ES"/>
        </w:rPr>
      </w:pPr>
      <w:r w:rsidRPr="00AC5DE7">
        <w:rPr>
          <w:lang w:val="es-ES"/>
        </w:rPr>
        <w:lastRenderedPageBreak/>
        <w:t>41.</w:t>
      </w:r>
      <w:r w:rsidRPr="00AC5DE7">
        <w:rPr>
          <w:lang w:val="es-ES"/>
        </w:rPr>
        <w:tab/>
        <w:t>De conformidad con el artículo 68 de su reglamento, el Comité invitó a los representantes de todos los Estados partes que habían presentado informes a que asistieran a las sesiones del Comité en que se iba a examinar el suyo. Todos los Estados partes cuyos informes fueron examinados por el Comité enviaron representantes para que participaran en el examen. El Comité expresó su agradecimiento por ello en sus observaciones finales.</w:t>
      </w:r>
    </w:p>
    <w:p w:rsidR="00AC5DE7" w:rsidRPr="00AC5DE7" w:rsidRDefault="00AC5DE7" w:rsidP="00AC5DE7">
      <w:pPr>
        <w:pStyle w:val="SingleTxtG"/>
        <w:rPr>
          <w:lang w:val="es-ES"/>
        </w:rPr>
      </w:pPr>
      <w:r w:rsidRPr="00AC5DE7">
        <w:rPr>
          <w:lang w:val="es-ES"/>
        </w:rPr>
        <w:t>42.</w:t>
      </w:r>
      <w:r w:rsidRPr="00AC5DE7">
        <w:rPr>
          <w:lang w:val="es-ES"/>
        </w:rPr>
        <w:tab/>
        <w:t>El Comité designó a dos relatores para el país por cada informe examinado, como se observa en los cuadros precedentes.</w:t>
      </w:r>
    </w:p>
    <w:p w:rsidR="00AC5DE7" w:rsidRPr="00AC5DE7" w:rsidRDefault="00AC5DE7" w:rsidP="004C5748">
      <w:pPr>
        <w:pStyle w:val="HChG"/>
        <w:rPr>
          <w:lang w:val="es-ES"/>
        </w:rPr>
      </w:pPr>
      <w:r w:rsidRPr="00AC5DE7">
        <w:rPr>
          <w:lang w:val="es-ES"/>
        </w:rPr>
        <w:tab/>
      </w:r>
      <w:bookmarkStart w:id="60" w:name="_Toc428797507"/>
      <w:r w:rsidRPr="00AC5DE7">
        <w:rPr>
          <w:lang w:val="es-ES"/>
        </w:rPr>
        <w:t>IV.</w:t>
      </w:r>
      <w:r w:rsidRPr="00AC5DE7">
        <w:rPr>
          <w:lang w:val="es-ES"/>
        </w:rPr>
        <w:tab/>
        <w:t xml:space="preserve">Seguimiento de las </w:t>
      </w:r>
      <w:r w:rsidR="004C5748">
        <w:rPr>
          <w:lang w:val="es-ES"/>
        </w:rPr>
        <w:t xml:space="preserve">observaciones finales sobre los </w:t>
      </w:r>
      <w:r w:rsidR="004C5748">
        <w:rPr>
          <w:lang w:val="es-ES"/>
        </w:rPr>
        <w:br/>
        <w:t xml:space="preserve">informes </w:t>
      </w:r>
      <w:r w:rsidRPr="00AC5DE7">
        <w:rPr>
          <w:lang w:val="es-ES"/>
        </w:rPr>
        <w:t>de</w:t>
      </w:r>
      <w:r w:rsidR="001E4713">
        <w:rPr>
          <w:lang w:val="es-ES"/>
        </w:rPr>
        <w:t xml:space="preserve"> </w:t>
      </w:r>
      <w:r w:rsidRPr="00AC5DE7">
        <w:rPr>
          <w:lang w:val="es-ES"/>
        </w:rPr>
        <w:t>los Estados partes</w:t>
      </w:r>
      <w:bookmarkEnd w:id="60"/>
    </w:p>
    <w:p w:rsidR="00AC5DE7" w:rsidRPr="00AC5DE7" w:rsidRDefault="00AC5DE7" w:rsidP="00AC5DE7">
      <w:pPr>
        <w:pStyle w:val="SingleTxtG"/>
        <w:rPr>
          <w:lang w:val="es-ES"/>
        </w:rPr>
      </w:pPr>
      <w:r w:rsidRPr="00AC5DE7">
        <w:rPr>
          <w:lang w:val="es-ES"/>
        </w:rPr>
        <w:t>43.</w:t>
      </w:r>
      <w:r w:rsidRPr="00AC5DE7">
        <w:rPr>
          <w:lang w:val="es-ES"/>
        </w:rPr>
        <w:tab/>
        <w:t>En su 30º período de sesiones, celebrado en mayo de 2003, el Comité estableció un procedimiento de seguimiento tras la aprobación de las observaciones finales sobre los informes de los Estados partes en virtud del artículo 19 de la Convención</w:t>
      </w:r>
      <w:r w:rsidRPr="00FE3A40">
        <w:rPr>
          <w:sz w:val="18"/>
          <w:szCs w:val="18"/>
          <w:vertAlign w:val="superscript"/>
          <w:lang w:val="es-ES"/>
        </w:rPr>
        <w:footnoteReference w:id="4"/>
      </w:r>
      <w:r w:rsidRPr="00AC5DE7">
        <w:rPr>
          <w:lang w:val="es-ES"/>
        </w:rPr>
        <w:t>. Desde entonces, el Comité se ha referido, en todos sus informes anuales, a su experiencia en la recepción de información sobre las medidas de seguimiento adoptadas por los Estados partes, así como a las tendencias sustantivas y las nuevas modificaciones del procedimiento. Se puede consultar una descripción más detallada del procedimiento en las directrices para el seguimiento de las observaciones finales, aprobadas por el Comité en su 55º período de sesiones</w:t>
      </w:r>
      <w:r w:rsidRPr="00FE3A40">
        <w:rPr>
          <w:sz w:val="18"/>
          <w:szCs w:val="18"/>
          <w:vertAlign w:val="superscript"/>
          <w:lang w:val="es-ES"/>
        </w:rPr>
        <w:footnoteReference w:id="5"/>
      </w:r>
      <w:r w:rsidRPr="00AC5DE7">
        <w:rPr>
          <w:lang w:val="es-ES"/>
        </w:rPr>
        <w:t>.</w:t>
      </w:r>
    </w:p>
    <w:p w:rsidR="00AC5DE7" w:rsidRPr="00AC5DE7" w:rsidRDefault="00AC5DE7" w:rsidP="00AC5DE7">
      <w:pPr>
        <w:pStyle w:val="SingleTxtG"/>
        <w:rPr>
          <w:lang w:val="es-ES"/>
        </w:rPr>
      </w:pPr>
      <w:r w:rsidRPr="00AC5DE7">
        <w:rPr>
          <w:lang w:val="es-ES"/>
        </w:rPr>
        <w:t>44.</w:t>
      </w:r>
      <w:r w:rsidRPr="00AC5DE7">
        <w:rPr>
          <w:lang w:val="es-ES"/>
        </w:rPr>
        <w:tab/>
        <w:t>De conformidad con su reglamento, el Comité estableció el cargo de Relator para el seguimiento de las observaciones finales de conformidad con el artículo 19 de la Convención. Durante el período abarcado por el presente informe anual, el Sr. Modvig siguió desempeñando ese cargo</w:t>
      </w:r>
      <w:r w:rsidRPr="00FE3A40">
        <w:rPr>
          <w:sz w:val="18"/>
          <w:szCs w:val="18"/>
          <w:vertAlign w:val="superscript"/>
          <w:lang w:val="es-ES"/>
        </w:rPr>
        <w:footnoteReference w:id="6"/>
      </w:r>
      <w:r w:rsidRPr="00AC5DE7">
        <w:rPr>
          <w:lang w:val="es-ES"/>
        </w:rPr>
        <w:t>. No obstante, habida cuenta de la elección del Sr. Modvig como Presidente del Comité, el Sr. Haniwas fue nombrado nuevo Relator para el seguimiento de las observaciones finales al final del 57º período de sesiones del Comité.</w:t>
      </w:r>
    </w:p>
    <w:p w:rsidR="00AC5DE7" w:rsidRPr="00AC5DE7" w:rsidRDefault="00AC5DE7" w:rsidP="00AC5DE7">
      <w:pPr>
        <w:pStyle w:val="SingleTxtG"/>
        <w:rPr>
          <w:lang w:val="es-ES"/>
        </w:rPr>
      </w:pPr>
      <w:r w:rsidRPr="00AC5DE7">
        <w:rPr>
          <w:lang w:val="es-ES"/>
        </w:rPr>
        <w:t>45.</w:t>
      </w:r>
      <w:r w:rsidRPr="00AC5DE7">
        <w:rPr>
          <w:lang w:val="es-ES"/>
        </w:rPr>
        <w:tab/>
        <w:t>Desde mayo de 2003, hasta el final del 57º período de sesiones, en mayo de</w:t>
      </w:r>
      <w:r w:rsidR="001E4713">
        <w:rPr>
          <w:lang w:val="es-ES"/>
        </w:rPr>
        <w:t xml:space="preserve"> </w:t>
      </w:r>
      <w:r w:rsidRPr="00AC5DE7">
        <w:rPr>
          <w:lang w:val="es-ES"/>
        </w:rPr>
        <w:t>2016, el Comité examinó 190 informes de Estados partes y formuló recomendaciones de seguimiento al respecto. De los 167 informes de seguimiento que se debían haber presentado antes del 13 de mayo de 2016, fecha en que se aprobó el presente informe, el Comité había recibido 119, lo que representa una tasa general de respuesta del 71%. El estado del seguimiento se muestra en un gráfico que se puede consultar en la página web del Comité</w:t>
      </w:r>
      <w:r w:rsidRPr="00FE3A40">
        <w:rPr>
          <w:sz w:val="18"/>
          <w:szCs w:val="18"/>
          <w:vertAlign w:val="superscript"/>
          <w:lang w:val="es-ES"/>
        </w:rPr>
        <w:footnoteReference w:id="7"/>
      </w:r>
      <w:r w:rsidRPr="00AC5DE7">
        <w:rPr>
          <w:lang w:val="es-ES"/>
        </w:rPr>
        <w:t>. En esa página también se puede consultar información adicional, como comunicaciones de Estados partes, comunicaciones del Relator para el seguimiento, respuestas de Estados partes e informes de instituciones nacionales de derechos humanos, ONG y otras entidades de la sociedad civil.</w:t>
      </w:r>
    </w:p>
    <w:p w:rsidR="00AC5DE7" w:rsidRPr="00AC5DE7" w:rsidRDefault="00AC5DE7" w:rsidP="00AC5DE7">
      <w:pPr>
        <w:pStyle w:val="SingleTxtG"/>
        <w:rPr>
          <w:lang w:val="es-ES"/>
        </w:rPr>
      </w:pPr>
      <w:r w:rsidRPr="00AC5DE7">
        <w:rPr>
          <w:lang w:val="es-ES"/>
        </w:rPr>
        <w:t>46.</w:t>
      </w:r>
      <w:r w:rsidRPr="00AC5DE7">
        <w:rPr>
          <w:lang w:val="es-ES"/>
        </w:rPr>
        <w:tab/>
        <w:t>Al 13 de mayo de 2016, los siguientes Estados aún no habían presentado la información de seguimiento correspondiente</w:t>
      </w:r>
      <w:r w:rsidRPr="00FE3A40">
        <w:rPr>
          <w:sz w:val="18"/>
          <w:szCs w:val="18"/>
          <w:vertAlign w:val="superscript"/>
          <w:lang w:val="es-ES"/>
        </w:rPr>
        <w:footnoteReference w:id="8"/>
      </w:r>
      <w:r w:rsidRPr="00AC5DE7">
        <w:rPr>
          <w:lang w:val="es-ES"/>
        </w:rPr>
        <w:t>: Albania (48º período de sesiones), Benin (39º), Bolivia (Estado Plurinacional de) (50º), Burkina Faso (51º), Camboya (45º), Camerún (44º), Chad (42º), Costa Rica (40º), Cuba (48º), Dj</w:t>
      </w:r>
      <w:r w:rsidR="00DB069A">
        <w:rPr>
          <w:lang w:val="es-ES"/>
        </w:rPr>
        <w:t>ibouti (47º), Ecuador (45º), El </w:t>
      </w:r>
      <w:r w:rsidRPr="00AC5DE7">
        <w:rPr>
          <w:lang w:val="es-ES"/>
        </w:rPr>
        <w:t xml:space="preserve">Salvador (43º), Etiopía (45º), Gabón (49º), Ghana (46º), Guinea (52º), Indonesia (40º), </w:t>
      </w:r>
      <w:r w:rsidRPr="00AC5DE7">
        <w:rPr>
          <w:lang w:val="es-ES"/>
        </w:rPr>
        <w:lastRenderedPageBreak/>
        <w:t>Kirguistán (51º), Madagascar (47º), Mauricio (46º), Mauritania (50º), Mozambique (51º), Nicaragua (42º), República Árabe Siria (48º), República Democrática del Congo (35º), Rwanda (48º), Sierra Leona (52º), Sudáfrica (37º), Uganda (34º), Venezuela (República Bolivariana de) (53º), Yemen (44º), Zambia (40º) y Santa Sede (52º).</w:t>
      </w:r>
    </w:p>
    <w:p w:rsidR="00AC5DE7" w:rsidRPr="00AC5DE7" w:rsidRDefault="00AC5DE7" w:rsidP="00AC5DE7">
      <w:pPr>
        <w:pStyle w:val="SingleTxtG"/>
        <w:rPr>
          <w:lang w:val="es-ES"/>
        </w:rPr>
      </w:pPr>
      <w:r w:rsidRPr="00AC5DE7">
        <w:rPr>
          <w:lang w:val="es-ES"/>
        </w:rPr>
        <w:t>47.</w:t>
      </w:r>
      <w:r w:rsidRPr="00AC5DE7">
        <w:rPr>
          <w:lang w:val="es-ES"/>
        </w:rPr>
        <w:tab/>
        <w:t>El Relator envía recordatorios en los que pide la información de seguimiento pendiente a cada uno de los Estados partes cuyo plazo para presentarla ha vencido, sin que lo hayan hecho. En el período a que se refiere el informe, el Relator envió recordatorios a Burundi, Croacia, Guinea, Montenegro, Sierra Leona, el Uruguay, Venezuela (República Bolivariana de) y la Santa Sede</w:t>
      </w:r>
      <w:r w:rsidRPr="00FE3A40">
        <w:rPr>
          <w:sz w:val="18"/>
          <w:szCs w:val="18"/>
          <w:vertAlign w:val="superscript"/>
          <w:lang w:val="es-ES"/>
        </w:rPr>
        <w:footnoteReference w:id="9"/>
      </w:r>
      <w:r w:rsidRPr="00AC5DE7">
        <w:rPr>
          <w:lang w:val="es-ES"/>
        </w:rPr>
        <w:t>.</w:t>
      </w:r>
    </w:p>
    <w:p w:rsidR="00AC5DE7" w:rsidRPr="00AC5DE7" w:rsidRDefault="00AC5DE7" w:rsidP="00AC5DE7">
      <w:pPr>
        <w:pStyle w:val="SingleTxtG"/>
        <w:rPr>
          <w:lang w:val="es-ES"/>
        </w:rPr>
      </w:pPr>
      <w:r w:rsidRPr="00AC5DE7">
        <w:rPr>
          <w:lang w:val="es-ES"/>
        </w:rPr>
        <w:t>48.</w:t>
      </w:r>
      <w:r w:rsidRPr="00AC5DE7">
        <w:rPr>
          <w:lang w:val="es-ES"/>
        </w:rPr>
        <w:tab/>
        <w:t>Entre el 16 de mayo de 2014 y el 13 de mayo de 2015, se recibieron informes</w:t>
      </w:r>
      <w:r w:rsidR="00DB069A">
        <w:rPr>
          <w:lang w:val="es-ES"/>
        </w:rPr>
        <w:t> </w:t>
      </w:r>
      <w:r w:rsidRPr="00AC5DE7">
        <w:rPr>
          <w:lang w:val="es-ES"/>
        </w:rPr>
        <w:t>de</w:t>
      </w:r>
      <w:r w:rsidR="00DB069A">
        <w:rPr>
          <w:lang w:val="es-ES"/>
        </w:rPr>
        <w:t> </w:t>
      </w:r>
      <w:r w:rsidRPr="00AC5DE7">
        <w:rPr>
          <w:lang w:val="es-ES"/>
        </w:rPr>
        <w:t>seguimiento de los 11 Estados partes siguientes, indicados en el orden en que se recibieron: Chipre (</w:t>
      </w:r>
      <w:hyperlink r:id="rId76" w:history="1">
        <w:r w:rsidRPr="00491FB8">
          <w:rPr>
            <w:rStyle w:val="Hipervnculo"/>
            <w:lang w:val="es-ES"/>
          </w:rPr>
          <w:t>CAT/C/</w:t>
        </w:r>
        <w:proofErr w:type="spellStart"/>
        <w:r w:rsidRPr="00491FB8">
          <w:rPr>
            <w:rStyle w:val="Hipervnculo"/>
            <w:lang w:val="es-ES"/>
          </w:rPr>
          <w:t>CYP</w:t>
        </w:r>
        <w:proofErr w:type="spellEnd"/>
        <w:r w:rsidRPr="00491FB8">
          <w:rPr>
            <w:rStyle w:val="Hipervnculo"/>
            <w:lang w:val="es-ES"/>
          </w:rPr>
          <w:t>/CO/4/</w:t>
        </w:r>
        <w:proofErr w:type="spellStart"/>
        <w:r w:rsidRPr="00491FB8">
          <w:rPr>
            <w:rStyle w:val="Hipervnculo"/>
            <w:lang w:val="es-ES"/>
          </w:rPr>
          <w:t>Add.1</w:t>
        </w:r>
        <w:proofErr w:type="spellEnd"/>
      </w:hyperlink>
      <w:r w:rsidRPr="00AC5DE7">
        <w:rPr>
          <w:lang w:val="es-ES"/>
        </w:rPr>
        <w:t>), Croacia (</w:t>
      </w:r>
      <w:hyperlink r:id="rId77" w:history="1">
        <w:r w:rsidRPr="00491FB8">
          <w:rPr>
            <w:rStyle w:val="Hipervnculo"/>
            <w:lang w:val="es-ES"/>
          </w:rPr>
          <w:t>CAT/C/</w:t>
        </w:r>
        <w:proofErr w:type="spellStart"/>
        <w:r w:rsidRPr="00491FB8">
          <w:rPr>
            <w:rStyle w:val="Hipervnculo"/>
            <w:lang w:val="es-ES"/>
          </w:rPr>
          <w:t>HRV</w:t>
        </w:r>
        <w:proofErr w:type="spellEnd"/>
        <w:r w:rsidRPr="00491FB8">
          <w:rPr>
            <w:rStyle w:val="Hipervnculo"/>
            <w:lang w:val="es-ES"/>
          </w:rPr>
          <w:t>/CO/4-5/</w:t>
        </w:r>
        <w:proofErr w:type="spellStart"/>
        <w:r w:rsidRPr="00491FB8">
          <w:rPr>
            <w:rStyle w:val="Hipervnculo"/>
            <w:lang w:val="es-ES"/>
          </w:rPr>
          <w:t>Add.2</w:t>
        </w:r>
        <w:proofErr w:type="spellEnd"/>
      </w:hyperlink>
      <w:r w:rsidRPr="00AC5DE7">
        <w:rPr>
          <w:lang w:val="es-ES"/>
        </w:rPr>
        <w:t>), Tailandia (</w:t>
      </w:r>
      <w:hyperlink r:id="rId78" w:history="1">
        <w:r w:rsidRPr="00491FB8">
          <w:rPr>
            <w:rStyle w:val="Hipervnculo"/>
            <w:lang w:val="es-ES"/>
          </w:rPr>
          <w:t>CAT/C/</w:t>
        </w:r>
        <w:proofErr w:type="spellStart"/>
        <w:r w:rsidRPr="00491FB8">
          <w:rPr>
            <w:rStyle w:val="Hipervnculo"/>
            <w:lang w:val="es-ES"/>
          </w:rPr>
          <w:t>THA</w:t>
        </w:r>
        <w:proofErr w:type="spellEnd"/>
        <w:r w:rsidRPr="00491FB8">
          <w:rPr>
            <w:rStyle w:val="Hipervnculo"/>
            <w:lang w:val="es-ES"/>
          </w:rPr>
          <w:t>/CO/1/</w:t>
        </w:r>
        <w:proofErr w:type="spellStart"/>
        <w:r w:rsidRPr="00491FB8">
          <w:rPr>
            <w:rStyle w:val="Hipervnculo"/>
            <w:lang w:val="es-ES"/>
          </w:rPr>
          <w:t>Add.1</w:t>
        </w:r>
        <w:proofErr w:type="spellEnd"/>
      </w:hyperlink>
      <w:r w:rsidRPr="00AC5DE7">
        <w:rPr>
          <w:lang w:val="es-ES"/>
        </w:rPr>
        <w:t xml:space="preserve">), Lituania </w:t>
      </w:r>
      <w:r w:rsidR="00DB069A">
        <w:rPr>
          <w:lang w:val="es-ES"/>
        </w:rPr>
        <w:t>(</w:t>
      </w:r>
      <w:hyperlink r:id="rId79" w:history="1">
        <w:r w:rsidR="00DB069A" w:rsidRPr="00491FB8">
          <w:rPr>
            <w:rStyle w:val="Hipervnculo"/>
            <w:lang w:val="es-ES"/>
          </w:rPr>
          <w:t>CAT/C/</w:t>
        </w:r>
        <w:proofErr w:type="spellStart"/>
        <w:r w:rsidR="00DB069A" w:rsidRPr="00491FB8">
          <w:rPr>
            <w:rStyle w:val="Hipervnculo"/>
            <w:lang w:val="es-ES"/>
          </w:rPr>
          <w:t>LTU</w:t>
        </w:r>
        <w:proofErr w:type="spellEnd"/>
        <w:r w:rsidR="00DB069A" w:rsidRPr="00491FB8">
          <w:rPr>
            <w:rStyle w:val="Hipervnculo"/>
            <w:lang w:val="es-ES"/>
          </w:rPr>
          <w:t>/CO/3/</w:t>
        </w:r>
        <w:proofErr w:type="spellStart"/>
        <w:r w:rsidR="00DB069A" w:rsidRPr="00491FB8">
          <w:rPr>
            <w:rStyle w:val="Hipervnculo"/>
            <w:lang w:val="es-ES"/>
          </w:rPr>
          <w:t>Add.1</w:t>
        </w:r>
        <w:proofErr w:type="spellEnd"/>
      </w:hyperlink>
      <w:r w:rsidR="00DB069A">
        <w:rPr>
          <w:lang w:val="es-ES"/>
        </w:rPr>
        <w:t xml:space="preserve">), Uruguay </w:t>
      </w:r>
      <w:r w:rsidRPr="00AC5DE7">
        <w:rPr>
          <w:lang w:val="es-ES"/>
        </w:rPr>
        <w:t>(</w:t>
      </w:r>
      <w:hyperlink r:id="rId80" w:history="1">
        <w:r w:rsidRPr="00491FB8">
          <w:rPr>
            <w:rStyle w:val="Hipervnculo"/>
            <w:lang w:val="es-ES"/>
          </w:rPr>
          <w:t>CAT/C/</w:t>
        </w:r>
        <w:proofErr w:type="spellStart"/>
        <w:r w:rsidRPr="00491FB8">
          <w:rPr>
            <w:rStyle w:val="Hipervnculo"/>
            <w:lang w:val="es-ES"/>
          </w:rPr>
          <w:t>URY</w:t>
        </w:r>
        <w:proofErr w:type="spellEnd"/>
        <w:r w:rsidRPr="00491FB8">
          <w:rPr>
            <w:rStyle w:val="Hipervnculo"/>
            <w:lang w:val="es-ES"/>
          </w:rPr>
          <w:t>/CO/3/</w:t>
        </w:r>
        <w:proofErr w:type="spellStart"/>
        <w:r w:rsidRPr="00491FB8">
          <w:rPr>
            <w:rStyle w:val="Hipervnculo"/>
            <w:lang w:val="es-ES"/>
          </w:rPr>
          <w:t>Add.1</w:t>
        </w:r>
        <w:proofErr w:type="spellEnd"/>
      </w:hyperlink>
      <w:r w:rsidRPr="00AC5DE7">
        <w:rPr>
          <w:lang w:val="es-ES"/>
        </w:rPr>
        <w:t>), Montenegro (</w:t>
      </w:r>
      <w:hyperlink r:id="rId81" w:history="1">
        <w:r w:rsidRPr="00491FB8">
          <w:rPr>
            <w:rStyle w:val="Hipervnculo"/>
            <w:lang w:val="es-ES"/>
          </w:rPr>
          <w:t>CAT/C/</w:t>
        </w:r>
        <w:proofErr w:type="spellStart"/>
        <w:r w:rsidRPr="00491FB8">
          <w:rPr>
            <w:rStyle w:val="Hipervnculo"/>
            <w:lang w:val="es-ES"/>
          </w:rPr>
          <w:t>MNE</w:t>
        </w:r>
        <w:proofErr w:type="spellEnd"/>
        <w:r w:rsidRPr="00491FB8">
          <w:rPr>
            <w:rStyle w:val="Hipervnculo"/>
            <w:lang w:val="es-ES"/>
          </w:rPr>
          <w:t>/CO/2/</w:t>
        </w:r>
        <w:proofErr w:type="spellStart"/>
        <w:r w:rsidRPr="00491FB8">
          <w:rPr>
            <w:rStyle w:val="Hipervnculo"/>
            <w:lang w:val="es-ES"/>
          </w:rPr>
          <w:t>Add.1</w:t>
        </w:r>
        <w:proofErr w:type="spellEnd"/>
      </w:hyperlink>
      <w:r w:rsidRPr="00AC5DE7">
        <w:rPr>
          <w:lang w:val="es-ES"/>
        </w:rPr>
        <w:t>), Kazajstán (</w:t>
      </w:r>
      <w:hyperlink r:id="rId82" w:history="1">
        <w:r w:rsidRPr="008A7FF6">
          <w:rPr>
            <w:rStyle w:val="Hipervnculo"/>
            <w:lang w:val="es-ES"/>
          </w:rPr>
          <w:t>CAT/C/</w:t>
        </w:r>
        <w:proofErr w:type="spellStart"/>
        <w:r w:rsidRPr="008A7FF6">
          <w:rPr>
            <w:rStyle w:val="Hipervnculo"/>
            <w:lang w:val="es-ES"/>
          </w:rPr>
          <w:t>KAZ</w:t>
        </w:r>
        <w:proofErr w:type="spellEnd"/>
        <w:r w:rsidRPr="008A7FF6">
          <w:rPr>
            <w:rStyle w:val="Hipervnculo"/>
            <w:lang w:val="es-ES"/>
          </w:rPr>
          <w:t>/CO/3/</w:t>
        </w:r>
        <w:proofErr w:type="spellStart"/>
        <w:r w:rsidRPr="008A7FF6">
          <w:rPr>
            <w:rStyle w:val="Hipervnculo"/>
            <w:lang w:val="es-ES"/>
          </w:rPr>
          <w:t>Add.1</w:t>
        </w:r>
        <w:proofErr w:type="spellEnd"/>
      </w:hyperlink>
      <w:r w:rsidRPr="00AC5DE7">
        <w:rPr>
          <w:lang w:val="es-ES"/>
        </w:rPr>
        <w:t>), Australia (</w:t>
      </w:r>
      <w:hyperlink r:id="rId83" w:history="1">
        <w:r w:rsidRPr="008A7FF6">
          <w:rPr>
            <w:rStyle w:val="Hipervnculo"/>
            <w:lang w:val="es-ES"/>
          </w:rPr>
          <w:t>CAT/C/</w:t>
        </w:r>
        <w:proofErr w:type="spellStart"/>
        <w:r w:rsidRPr="008A7FF6">
          <w:rPr>
            <w:rStyle w:val="Hipervnculo"/>
            <w:lang w:val="es-ES"/>
          </w:rPr>
          <w:t>AUS</w:t>
        </w:r>
        <w:proofErr w:type="spellEnd"/>
        <w:r w:rsidRPr="008A7FF6">
          <w:rPr>
            <w:rStyle w:val="Hipervnculo"/>
            <w:lang w:val="es-ES"/>
          </w:rPr>
          <w:t>/CO/4-5/</w:t>
        </w:r>
        <w:proofErr w:type="spellStart"/>
        <w:r w:rsidRPr="008A7FF6">
          <w:rPr>
            <w:rStyle w:val="Hipervnculo"/>
            <w:lang w:val="es-ES"/>
          </w:rPr>
          <w:t>Add.1</w:t>
        </w:r>
        <w:proofErr w:type="spellEnd"/>
      </w:hyperlink>
      <w:r w:rsidRPr="00AC5DE7">
        <w:rPr>
          <w:lang w:val="es-ES"/>
        </w:rPr>
        <w:t>), Suecia (</w:t>
      </w:r>
      <w:hyperlink r:id="rId84" w:history="1">
        <w:r w:rsidRPr="008A7FF6">
          <w:rPr>
            <w:rStyle w:val="Hipervnculo"/>
            <w:lang w:val="es-ES"/>
          </w:rPr>
          <w:t>CAT/C/</w:t>
        </w:r>
        <w:proofErr w:type="spellStart"/>
        <w:r w:rsidRPr="008A7FF6">
          <w:rPr>
            <w:rStyle w:val="Hipervnculo"/>
            <w:lang w:val="es-ES"/>
          </w:rPr>
          <w:t>SWE</w:t>
        </w:r>
        <w:proofErr w:type="spellEnd"/>
        <w:r w:rsidRPr="008A7FF6">
          <w:rPr>
            <w:rStyle w:val="Hipervnculo"/>
            <w:lang w:val="es-ES"/>
          </w:rPr>
          <w:t>/CO/6-7/</w:t>
        </w:r>
        <w:proofErr w:type="spellStart"/>
        <w:r w:rsidRPr="008A7FF6">
          <w:rPr>
            <w:rStyle w:val="Hipervnculo"/>
            <w:lang w:val="es-ES"/>
          </w:rPr>
          <w:t>Add.1</w:t>
        </w:r>
        <w:proofErr w:type="spellEnd"/>
      </w:hyperlink>
      <w:r w:rsidRPr="00AC5DE7">
        <w:rPr>
          <w:lang w:val="es-ES"/>
        </w:rPr>
        <w:t>), Ucrania (</w:t>
      </w:r>
      <w:hyperlink r:id="rId85" w:history="1">
        <w:r w:rsidRPr="008A7FF6">
          <w:rPr>
            <w:rStyle w:val="Hipervnculo"/>
            <w:lang w:val="es-ES"/>
          </w:rPr>
          <w:t>CAT/C/</w:t>
        </w:r>
        <w:proofErr w:type="spellStart"/>
        <w:r w:rsidRPr="008A7FF6">
          <w:rPr>
            <w:rStyle w:val="Hipervnculo"/>
            <w:lang w:val="es-ES"/>
          </w:rPr>
          <w:t>UKR</w:t>
        </w:r>
        <w:proofErr w:type="spellEnd"/>
        <w:r w:rsidRPr="008A7FF6">
          <w:rPr>
            <w:rStyle w:val="Hipervnculo"/>
            <w:lang w:val="es-ES"/>
          </w:rPr>
          <w:t>/CO/6/</w:t>
        </w:r>
        <w:proofErr w:type="spellStart"/>
        <w:r w:rsidRPr="008A7FF6">
          <w:rPr>
            <w:rStyle w:val="Hipervnculo"/>
            <w:lang w:val="es-ES"/>
          </w:rPr>
          <w:t>Add.1</w:t>
        </w:r>
        <w:proofErr w:type="spellEnd"/>
      </w:hyperlink>
      <w:r w:rsidRPr="00AC5DE7">
        <w:rPr>
          <w:lang w:val="es-ES"/>
        </w:rPr>
        <w:t>) y Estados Unidos de América (</w:t>
      </w:r>
      <w:hyperlink r:id="rId86" w:history="1">
        <w:r w:rsidRPr="008A7FF6">
          <w:rPr>
            <w:rStyle w:val="Hipervnculo"/>
            <w:lang w:val="es-ES"/>
          </w:rPr>
          <w:t>CAT/C/USA/CO/3-5/</w:t>
        </w:r>
        <w:proofErr w:type="spellStart"/>
        <w:r w:rsidRPr="008A7FF6">
          <w:rPr>
            <w:rStyle w:val="Hipervnculo"/>
            <w:lang w:val="es-ES"/>
          </w:rPr>
          <w:t>Add.</w:t>
        </w:r>
        <w:r w:rsidR="00962428" w:rsidRPr="008A7FF6">
          <w:rPr>
            <w:rStyle w:val="Hipervnculo"/>
            <w:lang w:val="es-ES"/>
          </w:rPr>
          <w:t>1</w:t>
        </w:r>
        <w:proofErr w:type="spellEnd"/>
      </w:hyperlink>
      <w:r w:rsidR="00962428">
        <w:rPr>
          <w:lang w:val="es-ES"/>
        </w:rPr>
        <w:t>)</w:t>
      </w:r>
      <w:r w:rsidRPr="00FE3A40">
        <w:rPr>
          <w:sz w:val="18"/>
          <w:szCs w:val="18"/>
          <w:vertAlign w:val="superscript"/>
          <w:lang w:val="es-ES"/>
        </w:rPr>
        <w:footnoteReference w:id="10"/>
      </w:r>
      <w:r w:rsidRPr="00AC5DE7">
        <w:rPr>
          <w:lang w:val="es-ES"/>
        </w:rPr>
        <w:t>.</w:t>
      </w:r>
    </w:p>
    <w:p w:rsidR="00AC5DE7" w:rsidRPr="00AC5DE7" w:rsidRDefault="00AC5DE7" w:rsidP="00AC5DE7">
      <w:pPr>
        <w:pStyle w:val="SingleTxtG"/>
        <w:rPr>
          <w:lang w:val="es-ES"/>
        </w:rPr>
      </w:pPr>
      <w:r w:rsidRPr="00AC5DE7">
        <w:rPr>
          <w:lang w:val="es-ES"/>
        </w:rPr>
        <w:t>49.</w:t>
      </w:r>
      <w:r w:rsidRPr="00AC5DE7">
        <w:rPr>
          <w:lang w:val="es-ES"/>
        </w:rPr>
        <w:tab/>
        <w:t>El Relator expresa su agradecimiento a estos Estados partes por la información proporcionada sobre las medidas adoptadas para cumplir las obligaciones que les impone la Convención. Evalúa las respuestas recibidas para determinar si se han abordado todos los temas que especificó para el seguimiento y si la información proporcionada atiende a sus preocupaciones y recomendaciones. El Relator se comunica con los Estados partes con arreglo al procedimiento de seguimiento una vez que sus informes han sido recibidos y evaluados. En esas comunicaciones se recoge el análisis efectuado por el Relator, se especifican las cuestiones pendientes y se indica un plazo para responder.</w:t>
      </w:r>
    </w:p>
    <w:p w:rsidR="00AC5DE7" w:rsidRPr="00AC5DE7" w:rsidRDefault="00AC5DE7" w:rsidP="00AC5DE7">
      <w:pPr>
        <w:pStyle w:val="SingleTxtG"/>
        <w:rPr>
          <w:lang w:val="es-ES"/>
        </w:rPr>
      </w:pPr>
      <w:r w:rsidRPr="00AC5DE7">
        <w:rPr>
          <w:lang w:val="es-ES"/>
        </w:rPr>
        <w:t>50.</w:t>
      </w:r>
      <w:r w:rsidRPr="00AC5DE7">
        <w:rPr>
          <w:lang w:val="es-ES"/>
        </w:rPr>
        <w:tab/>
        <w:t>El Relator también agradece la información presentada por instituciones nacionales de derechos humanos, ONG de derechos humanos y otros grupos de la sociedad civil en el marco del procedimiento de seguimiento. Al 13 de mayo de 2016, el Comité había recibido de esas fuentes informes de seguimiento de los siguientes Estados partes, indicados en el orden en que se recibieron: Tayikistán, Estados Unidos de América, Burundi, Japón, Ucrania, Suiza, Uruguay, Kazajstán, Venezuela (República Bolivariana de) y Perú</w:t>
      </w:r>
      <w:r w:rsidRPr="00FE3A40">
        <w:rPr>
          <w:sz w:val="18"/>
          <w:szCs w:val="18"/>
          <w:vertAlign w:val="superscript"/>
          <w:lang w:val="es-ES"/>
        </w:rPr>
        <w:footnoteReference w:id="11"/>
      </w:r>
      <w:r w:rsidRPr="00AC5DE7">
        <w:rPr>
          <w:lang w:val="es-ES"/>
        </w:rPr>
        <w:t>.</w:t>
      </w:r>
    </w:p>
    <w:p w:rsidR="00AC5DE7" w:rsidRPr="00AC5DE7" w:rsidRDefault="00AC5DE7" w:rsidP="00AC5DE7">
      <w:pPr>
        <w:pStyle w:val="SingleTxtG"/>
        <w:rPr>
          <w:lang w:val="es-ES"/>
        </w:rPr>
      </w:pPr>
      <w:r w:rsidRPr="00AC5DE7">
        <w:rPr>
          <w:lang w:val="es-ES"/>
        </w:rPr>
        <w:t>5</w:t>
      </w:r>
      <w:r w:rsidR="0033490D">
        <w:rPr>
          <w:lang w:val="es-ES"/>
        </w:rPr>
        <w:t>1</w:t>
      </w:r>
      <w:r w:rsidRPr="00AC5DE7">
        <w:rPr>
          <w:lang w:val="es-ES"/>
        </w:rPr>
        <w:t>.</w:t>
      </w:r>
      <w:r w:rsidRPr="00AC5DE7">
        <w:rPr>
          <w:lang w:val="es-ES"/>
        </w:rPr>
        <w:tab/>
        <w:t xml:space="preserve">En los períodos de sesiones 55º, 56º y 57º, el Relator para el seguimiento de las observaciones finales presentó al Comité informes sobre la marcha del procedimiento, tal como se había hecho en períodos de sesiones anteriores. En sus informes orales al Comité, el Relator señaló que, en su 55º período de sesiones, el Comité había aprobado directrices para el procedimiento de seguimiento con el fin de reforzar el procedimiento y acomodarlo a los procedimientos de seguimiento de otros órganos de tratados. Las nuevas directrices incluían: la utilización del sistema de evaluación para el análisis por el Comité de los informes de seguimiento; una invitación a los Estados partes para que presentasen un plan de aplicación de todas o algunas de las recomendaciones incluidas en las observaciones finales; información sobre cómo conseguir que la recomendaciones fuesen más claras y fáciles de aplicar; e información sobre la consolidación del papel de las organizaciones de la sociedad civil y las instituciones nacionales de derechos humanos en relación con la supervisión de la aplicación y el apoyo a esta. Las directrices también reforzaban el </w:t>
      </w:r>
      <w:r w:rsidRPr="00AC5DE7">
        <w:rPr>
          <w:lang w:val="es-ES"/>
        </w:rPr>
        <w:lastRenderedPageBreak/>
        <w:t>procedimiento de recordatorio en casos de incumplimiento en lo concerniente a seguimiento y establecían la posibilidad de que se celebrasen reuniones entre los miembros del Comité y los Estados partes sobre cuestiones de seguimiento.</w:t>
      </w:r>
    </w:p>
    <w:p w:rsidR="00AC5DE7" w:rsidRPr="00AC5DE7" w:rsidRDefault="00AC5DE7" w:rsidP="00AC5DE7">
      <w:pPr>
        <w:pStyle w:val="SingleTxtG"/>
        <w:rPr>
          <w:lang w:val="es-ES"/>
        </w:rPr>
      </w:pPr>
      <w:r w:rsidRPr="00AC5DE7">
        <w:rPr>
          <w:lang w:val="es-ES"/>
        </w:rPr>
        <w:t>52.</w:t>
      </w:r>
      <w:r w:rsidRPr="00AC5DE7">
        <w:rPr>
          <w:lang w:val="es-ES"/>
        </w:rPr>
        <w:tab/>
        <w:t>El Relator explicó que las nuevas directrices se habían aplicado para el seguimiento de sus períodos de sesiones 50º a 53</w:t>
      </w:r>
      <w:r w:rsidRPr="00AC5DE7">
        <w:rPr>
          <w:vertAlign w:val="superscript"/>
          <w:lang w:val="es-ES"/>
        </w:rPr>
        <w:t>º</w:t>
      </w:r>
      <w:r w:rsidRPr="00AC5DE7">
        <w:rPr>
          <w:lang w:val="es-ES"/>
        </w:rPr>
        <w:t>, durante los que el Comité había examinado los informes de 33 Estados partes y había recibido informes de seguimiento de 23 de ellos, con una tasa de presentación de informes del 69%. El Sr Modvig destacó que, merced a las nuevas directrices, la falta de presentación de informes se hacía visible en las observaciones finales, lo que era de esperar que contribuiría a incrementar su cumplimiento.</w:t>
      </w:r>
    </w:p>
    <w:p w:rsidR="00AC5DE7" w:rsidRPr="00AC5DE7" w:rsidRDefault="00AC5DE7" w:rsidP="00AC5DE7">
      <w:pPr>
        <w:pStyle w:val="SingleTxtG"/>
        <w:rPr>
          <w:lang w:val="es-ES"/>
        </w:rPr>
      </w:pPr>
      <w:r w:rsidRPr="00AC5DE7">
        <w:rPr>
          <w:lang w:val="es-ES"/>
        </w:rPr>
        <w:t>53.</w:t>
      </w:r>
      <w:r w:rsidRPr="00AC5DE7">
        <w:rPr>
          <w:lang w:val="es-ES"/>
        </w:rPr>
        <w:tab/>
        <w:t>El Sr Modvig indicó que había evaluado</w:t>
      </w:r>
      <w:r w:rsidR="0033490D">
        <w:rPr>
          <w:lang w:val="es-ES"/>
        </w:rPr>
        <w:t xml:space="preserve"> información relacionada con 87 </w:t>
      </w:r>
      <w:r w:rsidRPr="00AC5DE7">
        <w:rPr>
          <w:lang w:val="es-ES"/>
        </w:rPr>
        <w:t>recomendaciones en los 23 informes de seguimiento. Señaló que en el 52% de los casos se había facilitado información completa y amplia sobre las recomendaciones; en el 38% de los casos la información facilitada se había referido a las recomendaciones en cierta medida; y la información facilitada en el 10% de los casos no se había referido a las recomendaciones. Por vez primera se habían evaluado los informes de seguimiento teniendo en cuenta hasta qué punto se habían aplicado las recomendaciones específicas de seguimiento: se habían aplicado íntegramente en el 6% de los casos; se habían adoptado medidas sustantivas en el 24% de los casos; se habían tomado medidas iniciales de aplicación en el 33% de los casos; y no se había procedido a la aplicación en el 29% de los casos. En el 8% de las recomendaciones, la información no había permitido una evaluación.</w:t>
      </w:r>
    </w:p>
    <w:p w:rsidR="00AC5DE7" w:rsidRPr="00AC5DE7" w:rsidRDefault="00AC5DE7" w:rsidP="004479FD">
      <w:pPr>
        <w:pStyle w:val="HChG"/>
        <w:rPr>
          <w:lang w:val="es-ES"/>
        </w:rPr>
      </w:pPr>
      <w:r w:rsidRPr="00AC5DE7">
        <w:rPr>
          <w:lang w:val="es-ES"/>
        </w:rPr>
        <w:tab/>
      </w:r>
      <w:bookmarkStart w:id="61" w:name="_Toc428797508"/>
      <w:r w:rsidRPr="00AC5DE7">
        <w:rPr>
          <w:lang w:val="es-ES"/>
        </w:rPr>
        <w:t>V.</w:t>
      </w:r>
      <w:r w:rsidRPr="00AC5DE7">
        <w:rPr>
          <w:lang w:val="es-ES"/>
        </w:rPr>
        <w:tab/>
        <w:t xml:space="preserve">Actividades realizadas por el Comité en el marco </w:t>
      </w:r>
      <w:r w:rsidR="001F0C08">
        <w:rPr>
          <w:lang w:val="es-ES"/>
        </w:rPr>
        <w:br/>
      </w:r>
      <w:r w:rsidRPr="00AC5DE7">
        <w:rPr>
          <w:lang w:val="es-ES"/>
        </w:rPr>
        <w:t>del</w:t>
      </w:r>
      <w:r w:rsidR="001E4713">
        <w:rPr>
          <w:lang w:val="es-ES"/>
        </w:rPr>
        <w:t xml:space="preserve"> </w:t>
      </w:r>
      <w:r w:rsidRPr="00AC5DE7">
        <w:rPr>
          <w:lang w:val="es-ES"/>
        </w:rPr>
        <w:t>artículo</w:t>
      </w:r>
      <w:r w:rsidR="001E4713">
        <w:rPr>
          <w:lang w:val="es-ES"/>
        </w:rPr>
        <w:t xml:space="preserve"> </w:t>
      </w:r>
      <w:r w:rsidRPr="00AC5DE7">
        <w:rPr>
          <w:lang w:val="es-ES"/>
        </w:rPr>
        <w:t>20 de la Convención</w:t>
      </w:r>
      <w:bookmarkEnd w:id="61"/>
    </w:p>
    <w:p w:rsidR="00AC5DE7" w:rsidRPr="00AC5DE7" w:rsidRDefault="00AC5DE7" w:rsidP="00AC5DE7">
      <w:pPr>
        <w:pStyle w:val="SingleTxtG"/>
        <w:rPr>
          <w:lang w:val="es-ES"/>
        </w:rPr>
      </w:pPr>
      <w:r w:rsidRPr="00AC5DE7">
        <w:rPr>
          <w:lang w:val="es-ES"/>
        </w:rPr>
        <w:t>54.</w:t>
      </w:r>
      <w:r w:rsidRPr="00AC5DE7">
        <w:rPr>
          <w:lang w:val="es-ES"/>
        </w:rPr>
        <w:tab/>
        <w:t>De conformidad con el artículo 20, párrafo 1, de la Convención, el Comité, si recibe información fiable que a su juicio parezca indicar de forma fundada que se practica sistemáticamente la tortura en el territorio de un Estado parte, invitará a este a que coopere en el examen de la información y, a tal fin, presente observaciones con respecto a la información de que se trate.</w:t>
      </w:r>
    </w:p>
    <w:p w:rsidR="00AC5DE7" w:rsidRPr="00AC5DE7" w:rsidRDefault="00AC5DE7" w:rsidP="00AC5DE7">
      <w:pPr>
        <w:pStyle w:val="SingleTxtG"/>
        <w:rPr>
          <w:lang w:val="es-ES"/>
        </w:rPr>
      </w:pPr>
      <w:r w:rsidRPr="00AC5DE7">
        <w:rPr>
          <w:lang w:val="es-ES"/>
        </w:rPr>
        <w:t>55.</w:t>
      </w:r>
      <w:r w:rsidRPr="00AC5DE7">
        <w:rPr>
          <w:lang w:val="es-ES"/>
        </w:rPr>
        <w:tab/>
        <w:t>De conformidad con el artículo 75 del reglamento del Comité, el Secretario General señalará a la atención del Comité la información que se haya presentado, o parezca haberse presentado, para someterla a su examen de conformidad con el artículo 20, párrafo 1, de la Convención.</w:t>
      </w:r>
    </w:p>
    <w:p w:rsidR="00AC5DE7" w:rsidRPr="00AC5DE7" w:rsidRDefault="00AC5DE7" w:rsidP="00AC5DE7">
      <w:pPr>
        <w:pStyle w:val="SingleTxtG"/>
        <w:rPr>
          <w:lang w:val="es-ES"/>
        </w:rPr>
      </w:pPr>
      <w:r w:rsidRPr="00AC5DE7">
        <w:rPr>
          <w:lang w:val="es-ES"/>
        </w:rPr>
        <w:t>56.</w:t>
      </w:r>
      <w:r w:rsidRPr="00AC5DE7">
        <w:rPr>
          <w:lang w:val="es-ES"/>
        </w:rPr>
        <w:tab/>
        <w:t>El Comité no recibirá información alguna que se refiera a un Estado parte que, de conformidad con el artículo 28, párrafo 1, de la Convención, hubiera declarado, en el momento de ratificar la Convención o de adherirse a ella, que no reconocía la competencia del Comité prevista en el artículo 20, a menos que ese Estado parte haya retirado posteriormente su reserva de conformidad con el artículo 28, párrafo 2, de la Convención.</w:t>
      </w:r>
    </w:p>
    <w:p w:rsidR="00AC5DE7" w:rsidRPr="00AC5DE7" w:rsidRDefault="00AC5DE7" w:rsidP="00AC5DE7">
      <w:pPr>
        <w:pStyle w:val="SingleTxtG"/>
        <w:rPr>
          <w:lang w:val="es-ES"/>
        </w:rPr>
      </w:pPr>
      <w:r w:rsidRPr="00AC5DE7">
        <w:rPr>
          <w:lang w:val="es-ES"/>
        </w:rPr>
        <w:t>57.</w:t>
      </w:r>
      <w:r w:rsidRPr="00AC5DE7">
        <w:rPr>
          <w:lang w:val="es-ES"/>
        </w:rPr>
        <w:tab/>
        <w:t>Durante el período a que se refiere el presente informe, continuó la labor del Comité con arreglo al artículo 20 de la Convención. Conforme a lo dispuesto en ese artículo y en los artículos 78 y 79 del reglamento, todos los documentos y procedimientos del Comité relativos a sus funciones en virtud del artículo 20 tienen carácter confidencial y todas las sesiones dedicadas a esos procedimientos son privadas. Sin embargo, y de conformidad con el artículo 20, párrafo 5, de la Convención, el Comité, tras celebrar consultas con el Estado parte de que se trate, podrá tomar la decisión de incluir un resumen de los resultados de la investigación en el informe anual que presente a los Estados partes y a la Asamblea General.</w:t>
      </w:r>
    </w:p>
    <w:p w:rsidR="00AC5DE7" w:rsidRPr="00AC5DE7" w:rsidRDefault="00AC5DE7" w:rsidP="00AC5DE7">
      <w:pPr>
        <w:pStyle w:val="SingleTxtG"/>
        <w:rPr>
          <w:lang w:val="es-ES"/>
        </w:rPr>
      </w:pPr>
      <w:r w:rsidRPr="00AC5DE7">
        <w:rPr>
          <w:lang w:val="es-ES"/>
        </w:rPr>
        <w:t>58.</w:t>
      </w:r>
      <w:r w:rsidRPr="00AC5DE7">
        <w:rPr>
          <w:lang w:val="es-ES"/>
        </w:rPr>
        <w:tab/>
        <w:t xml:space="preserve">En el marco de las actividades de seguimiento del Comité, los relatores en relación con el artículo 20 siguieron realizando actividades destinadas a alentar a los Estados partes </w:t>
      </w:r>
      <w:r w:rsidRPr="00AC5DE7">
        <w:rPr>
          <w:lang w:val="es-ES"/>
        </w:rPr>
        <w:lastRenderedPageBreak/>
        <w:t>que hubieran sido objeto de investigaciones cuyos resultados se hubieran publicado a que adoptaran medidas para aplicar las recomendaciones del Comité. En su 60º período de sesiones, el Comité aprobó directrices internas sobre modalidades prácticas y criterios para adoptar decisiones sobre las visitas de seguimiento a misiones de investigación realizadas con arreglo al artículo 20 de la Convención.</w:t>
      </w:r>
    </w:p>
    <w:p w:rsidR="00AC5DE7" w:rsidRPr="00AC5DE7" w:rsidRDefault="00AC5DE7" w:rsidP="00AC5DE7">
      <w:pPr>
        <w:pStyle w:val="SingleTxtG"/>
        <w:rPr>
          <w:lang w:val="es-ES"/>
        </w:rPr>
      </w:pPr>
      <w:r w:rsidRPr="00AC5DE7">
        <w:rPr>
          <w:lang w:val="es-ES"/>
        </w:rPr>
        <w:t>59.</w:t>
      </w:r>
      <w:r w:rsidRPr="00AC5DE7">
        <w:rPr>
          <w:lang w:val="es-ES"/>
        </w:rPr>
        <w:tab/>
        <w:t>Puede obtenerse más información sobre el procedimiento de investigación en la página web del Comité contra la Tortura.</w:t>
      </w:r>
    </w:p>
    <w:p w:rsidR="00AC5DE7" w:rsidRPr="00AC5DE7" w:rsidRDefault="00AC5DE7" w:rsidP="004479FD">
      <w:pPr>
        <w:pStyle w:val="HChG"/>
        <w:rPr>
          <w:lang w:val="es-ES"/>
        </w:rPr>
      </w:pPr>
      <w:r w:rsidRPr="00AC5DE7">
        <w:rPr>
          <w:lang w:val="es-ES"/>
        </w:rPr>
        <w:tab/>
      </w:r>
      <w:bookmarkStart w:id="62" w:name="_Toc428797511"/>
      <w:r w:rsidRPr="00AC5DE7">
        <w:rPr>
          <w:lang w:val="es-ES"/>
        </w:rPr>
        <w:t>VI.</w:t>
      </w:r>
      <w:r w:rsidRPr="00AC5DE7">
        <w:rPr>
          <w:lang w:val="es-ES"/>
        </w:rPr>
        <w:tab/>
      </w:r>
      <w:bookmarkStart w:id="63" w:name="_Toc272490322"/>
      <w:bookmarkStart w:id="64" w:name="_Toc272491402"/>
      <w:r w:rsidRPr="00AC5DE7">
        <w:rPr>
          <w:lang w:val="es-ES"/>
        </w:rPr>
        <w:t xml:space="preserve">Examen de las quejas de conformidad con el artículo 22 </w:t>
      </w:r>
      <w:r w:rsidR="001F0C08">
        <w:rPr>
          <w:lang w:val="es-ES"/>
        </w:rPr>
        <w:br/>
      </w:r>
      <w:r w:rsidRPr="00AC5DE7">
        <w:rPr>
          <w:lang w:val="es-ES"/>
        </w:rPr>
        <w:t>de</w:t>
      </w:r>
      <w:r w:rsidR="001E4713">
        <w:rPr>
          <w:lang w:val="es-ES"/>
        </w:rPr>
        <w:t xml:space="preserve"> </w:t>
      </w:r>
      <w:r w:rsidRPr="00AC5DE7">
        <w:rPr>
          <w:lang w:val="es-ES"/>
        </w:rPr>
        <w:t>la</w:t>
      </w:r>
      <w:r w:rsidR="001E4713">
        <w:rPr>
          <w:lang w:val="es-ES"/>
        </w:rPr>
        <w:t xml:space="preserve"> </w:t>
      </w:r>
      <w:r w:rsidRPr="00AC5DE7">
        <w:rPr>
          <w:lang w:val="es-ES"/>
        </w:rPr>
        <w:t>Convención</w:t>
      </w:r>
      <w:bookmarkEnd w:id="62"/>
    </w:p>
    <w:p w:rsidR="00AC5DE7" w:rsidRPr="00AC5DE7" w:rsidRDefault="00AC5DE7" w:rsidP="004479FD">
      <w:pPr>
        <w:pStyle w:val="H1G"/>
        <w:rPr>
          <w:lang w:val="es-ES"/>
        </w:rPr>
      </w:pPr>
      <w:r w:rsidRPr="00AC5DE7">
        <w:rPr>
          <w:lang w:val="es-ES"/>
        </w:rPr>
        <w:tab/>
      </w:r>
      <w:bookmarkStart w:id="65" w:name="_Toc428797512"/>
      <w:r w:rsidRPr="00AC5DE7">
        <w:rPr>
          <w:lang w:val="es-ES"/>
        </w:rPr>
        <w:t>A.</w:t>
      </w:r>
      <w:r w:rsidRPr="00AC5DE7">
        <w:rPr>
          <w:lang w:val="es-ES"/>
        </w:rPr>
        <w:tab/>
        <w:t>Introducción</w:t>
      </w:r>
      <w:bookmarkEnd w:id="65"/>
    </w:p>
    <w:p w:rsidR="00AC5DE7" w:rsidRPr="00AC5DE7" w:rsidRDefault="00AC5DE7" w:rsidP="00AC5DE7">
      <w:pPr>
        <w:pStyle w:val="SingleTxtG"/>
        <w:rPr>
          <w:lang w:val="es-ES"/>
        </w:rPr>
      </w:pPr>
      <w:r w:rsidRPr="00AC5DE7">
        <w:rPr>
          <w:lang w:val="es-ES"/>
        </w:rPr>
        <w:t>60.</w:t>
      </w:r>
      <w:r w:rsidRPr="00AC5DE7">
        <w:rPr>
          <w:lang w:val="es-ES"/>
        </w:rPr>
        <w:tab/>
        <w:t>De conformidad con el artículo 22 de la Convención, quienes denuncien ser víctimas de una infracción por un Estado parte de las disposiciones de la Convención pueden presentar una queja al Comité contra la Tortura para que la examine con arreglo a las condiciones establecidas en dicho artículo. Sesenta y seis Estados partes en la Convención han declarado que reconocen la competencia del Comité para recibir y examinar quejas de conformidad con el artículo 22 de la Convención. El Comité no puede examinar queja alguna que se refiera a un Estado parte en la Convención que no haya reconocido su competencia en virtud del artículo 22.</w:t>
      </w:r>
    </w:p>
    <w:p w:rsidR="00AC5DE7" w:rsidRPr="00AC5DE7" w:rsidRDefault="00AC5DE7" w:rsidP="00AC5DE7">
      <w:pPr>
        <w:pStyle w:val="SingleTxtG"/>
        <w:rPr>
          <w:lang w:val="es-ES"/>
        </w:rPr>
      </w:pPr>
      <w:r w:rsidRPr="00AC5DE7">
        <w:rPr>
          <w:lang w:val="es-ES"/>
        </w:rPr>
        <w:t>61.</w:t>
      </w:r>
      <w:r w:rsidRPr="00AC5DE7">
        <w:rPr>
          <w:lang w:val="es-ES"/>
        </w:rPr>
        <w:tab/>
        <w:t>Con arreglo al artículo 104, párrafo 1, de su reglamento, el Comité estableció el cargo de Relator para las quejas nuevas y las medidas provisionales, que ejerció Satyabhoosun Gupt Domah hasta el 31 de diciembre de 2015 y que actualmente ejerce Kening Zhang.</w:t>
      </w:r>
    </w:p>
    <w:p w:rsidR="00AC5DE7" w:rsidRPr="00AC5DE7" w:rsidRDefault="00AC5DE7" w:rsidP="00AC5DE7">
      <w:pPr>
        <w:pStyle w:val="SingleTxtG"/>
        <w:rPr>
          <w:lang w:val="es-ES"/>
        </w:rPr>
      </w:pPr>
      <w:r w:rsidRPr="00AC5DE7">
        <w:rPr>
          <w:lang w:val="es-ES"/>
        </w:rPr>
        <w:t>62.</w:t>
      </w:r>
      <w:r w:rsidRPr="00AC5DE7">
        <w:rPr>
          <w:lang w:val="es-ES"/>
        </w:rPr>
        <w:tab/>
        <w:t>El examen de las quejas presentadas de conformidad con el artículo 22 de la Convención se realiza en sesiones privadas. Todos los documentos relativos a la labor realizada por el Comité en virtud del artículo 22, es decir, las comunicaciones de las partes y los demás documentos de trabajo del Comité, son confidenciales.</w:t>
      </w:r>
    </w:p>
    <w:p w:rsidR="00AC5DE7" w:rsidRPr="00AC5DE7" w:rsidRDefault="00AC5DE7" w:rsidP="00AC5DE7">
      <w:pPr>
        <w:pStyle w:val="SingleTxtG"/>
        <w:rPr>
          <w:lang w:val="es-ES"/>
        </w:rPr>
      </w:pPr>
      <w:r w:rsidRPr="00AC5DE7">
        <w:rPr>
          <w:lang w:val="es-ES"/>
        </w:rPr>
        <w:t>63.</w:t>
      </w:r>
      <w:r w:rsidRPr="00AC5DE7">
        <w:rPr>
          <w:lang w:val="es-ES"/>
        </w:rPr>
        <w:tab/>
        <w:t>El Comité se pronuncia sobre cada queja a la luz de toda la información que le hayan facilitado las partes. Las conclusiones del Comité se comunican a las partes y se dan a conocer a la opinión pública. También se publica el texto de las decisiones del Comité por las que se declaran inadmisibles las comunicaciones, sin revelar la identidad del autor de la queja pero sí el Estado parte de que se trate.</w:t>
      </w:r>
    </w:p>
    <w:p w:rsidR="00AC5DE7" w:rsidRPr="00AC5DE7" w:rsidRDefault="00AC5DE7" w:rsidP="004C5748">
      <w:pPr>
        <w:pStyle w:val="H1G"/>
        <w:rPr>
          <w:lang w:val="es-ES"/>
        </w:rPr>
      </w:pPr>
      <w:r w:rsidRPr="00AC5DE7">
        <w:rPr>
          <w:lang w:val="es-ES"/>
        </w:rPr>
        <w:tab/>
      </w:r>
      <w:bookmarkStart w:id="66" w:name="_Toc272490324"/>
      <w:bookmarkStart w:id="67" w:name="_Toc272491404"/>
      <w:bookmarkStart w:id="68" w:name="_Toc305402598"/>
      <w:bookmarkStart w:id="69" w:name="_Toc428797513"/>
      <w:r w:rsidRPr="00AC5DE7">
        <w:rPr>
          <w:lang w:val="es-ES"/>
        </w:rPr>
        <w:t>B.</w:t>
      </w:r>
      <w:r w:rsidRPr="00AC5DE7">
        <w:rPr>
          <w:lang w:val="es-ES"/>
        </w:rPr>
        <w:tab/>
      </w:r>
      <w:bookmarkEnd w:id="66"/>
      <w:bookmarkEnd w:id="67"/>
      <w:bookmarkEnd w:id="68"/>
      <w:r w:rsidRPr="00AC5DE7">
        <w:rPr>
          <w:lang w:val="es-ES"/>
        </w:rPr>
        <w:t>Medidas provisionales de protección</w:t>
      </w:r>
      <w:bookmarkEnd w:id="69"/>
    </w:p>
    <w:p w:rsidR="00AC5DE7" w:rsidRPr="00AC5DE7" w:rsidRDefault="00AC5DE7" w:rsidP="00AC5DE7">
      <w:pPr>
        <w:pStyle w:val="SingleTxtG"/>
        <w:rPr>
          <w:lang w:val="es-ES"/>
        </w:rPr>
      </w:pPr>
      <w:r w:rsidRPr="00AC5DE7">
        <w:rPr>
          <w:lang w:val="es-ES"/>
        </w:rPr>
        <w:t>64.</w:t>
      </w:r>
      <w:r w:rsidRPr="00AC5DE7">
        <w:rPr>
          <w:lang w:val="es-ES"/>
        </w:rPr>
        <w:tab/>
        <w:t>Los autores de las quejas solicitan a menudo protección preventiva, en particular en los casos relacionados con una expulsión o extradición inminentes, en que afirmen que se ha infringido el artículo 3 de la Convención. De conformidad con el artículo</w:t>
      </w:r>
      <w:r w:rsidR="001E4713">
        <w:rPr>
          <w:lang w:val="es-ES"/>
        </w:rPr>
        <w:t xml:space="preserve"> </w:t>
      </w:r>
      <w:r w:rsidRPr="00AC5DE7">
        <w:rPr>
          <w:lang w:val="es-ES"/>
        </w:rPr>
        <w:t>114, párrafo 1, de su reglamento, en cualquier momento después de la recepción de una queja, el Comité, por conducto de su Relator para las quejas nuevas y las medidas provisionales, puede solicitar al Estado parte de que se trate que adopte las medidas provisionales que el Comité considere necesarias para evitar daños irreparables a la víctima o las víctimas de las presuntas infracciones. Se debe indicar al Estado parte que la solicitud no implica juicio alguno sobre la admisibilidad o el fondo de la queja. Durante el período a que se refiere el presente informe, se solicitaron medidas provisionales d</w:t>
      </w:r>
      <w:r w:rsidR="0033490D">
        <w:rPr>
          <w:lang w:val="es-ES"/>
        </w:rPr>
        <w:t>e protección en relación con 68 </w:t>
      </w:r>
      <w:r w:rsidRPr="00AC5DE7">
        <w:rPr>
          <w:lang w:val="es-ES"/>
        </w:rPr>
        <w:t xml:space="preserve">quejas y, en el caso de 50 de ellas, el Relator las concedió. El Relator verifica </w:t>
      </w:r>
      <w:r w:rsidRPr="00AC5DE7">
        <w:rPr>
          <w:lang w:val="es-ES"/>
        </w:rPr>
        <w:lastRenderedPageBreak/>
        <w:t>periódicamente que se cumplan las solicitudes del Comité de adopción de medidas provisionales.</w:t>
      </w:r>
    </w:p>
    <w:p w:rsidR="00AC5DE7" w:rsidRPr="00AC5DE7" w:rsidRDefault="00AC5DE7" w:rsidP="004C5748">
      <w:pPr>
        <w:pStyle w:val="H1G"/>
        <w:rPr>
          <w:lang w:val="es-ES"/>
        </w:rPr>
      </w:pPr>
      <w:bookmarkStart w:id="70" w:name="_Toc272490325"/>
      <w:bookmarkStart w:id="71" w:name="_Toc272491405"/>
      <w:bookmarkStart w:id="72" w:name="_Toc305402599"/>
      <w:r w:rsidRPr="00AC5DE7">
        <w:rPr>
          <w:lang w:val="es-ES"/>
        </w:rPr>
        <w:tab/>
      </w:r>
      <w:bookmarkStart w:id="73" w:name="_Toc428797514"/>
      <w:r w:rsidRPr="00AC5DE7">
        <w:rPr>
          <w:lang w:val="es-ES"/>
        </w:rPr>
        <w:t>C.</w:t>
      </w:r>
      <w:r w:rsidRPr="00AC5DE7">
        <w:rPr>
          <w:lang w:val="es-ES"/>
        </w:rPr>
        <w:tab/>
      </w:r>
      <w:bookmarkEnd w:id="70"/>
      <w:bookmarkEnd w:id="71"/>
      <w:bookmarkEnd w:id="72"/>
      <w:r w:rsidRPr="00AC5DE7">
        <w:rPr>
          <w:lang w:val="es-ES"/>
        </w:rPr>
        <w:t>Marcha de los trabajos</w:t>
      </w:r>
      <w:bookmarkEnd w:id="73"/>
    </w:p>
    <w:p w:rsidR="00AC5DE7" w:rsidRPr="00AC5DE7" w:rsidRDefault="00AC5DE7" w:rsidP="00AC5DE7">
      <w:pPr>
        <w:pStyle w:val="SingleTxtG"/>
        <w:rPr>
          <w:lang w:val="es-ES"/>
        </w:rPr>
      </w:pPr>
      <w:r w:rsidRPr="00AC5DE7">
        <w:rPr>
          <w:lang w:val="es-ES"/>
        </w:rPr>
        <w:t>65.</w:t>
      </w:r>
      <w:r w:rsidRPr="00AC5DE7">
        <w:rPr>
          <w:lang w:val="es-ES"/>
        </w:rPr>
        <w:tab/>
        <w:t>A la fecha de aprobación del presente informe, el Comité había registrado, desde</w:t>
      </w:r>
      <w:r w:rsidR="001E4713">
        <w:rPr>
          <w:lang w:val="es-ES"/>
        </w:rPr>
        <w:t xml:space="preserve"> </w:t>
      </w:r>
      <w:r w:rsidRPr="00AC5DE7">
        <w:rPr>
          <w:lang w:val="es-ES"/>
        </w:rPr>
        <w:t>1989, 749 quejas relativas a 36 Estados partes</w:t>
      </w:r>
      <w:r w:rsidRPr="00FE3A40">
        <w:rPr>
          <w:sz w:val="18"/>
          <w:szCs w:val="18"/>
          <w:vertAlign w:val="superscript"/>
          <w:lang w:val="es-ES"/>
        </w:rPr>
        <w:footnoteReference w:id="12"/>
      </w:r>
      <w:r w:rsidRPr="00AC5DE7">
        <w:rPr>
          <w:lang w:val="es-ES"/>
        </w:rPr>
        <w:t xml:space="preserve">. De ese total, se habían desestimado 216 y se habían declarado inadmisibles 80. El Comité había adoptado decisiones finales sobre el fondo respecto de 294 quejas y dictaminado que se había </w:t>
      </w:r>
      <w:r w:rsidR="0078513C">
        <w:rPr>
          <w:lang w:val="es-ES"/>
        </w:rPr>
        <w:t>infringido la Convención en 119 </w:t>
      </w:r>
      <w:r w:rsidRPr="00AC5DE7">
        <w:rPr>
          <w:lang w:val="es-ES"/>
        </w:rPr>
        <w:t>de ellas. Un total de 159 quejas seguían pendientes de examen. Todas las decisiones sobre el fondo del Comité, así como las decisiones de</w:t>
      </w:r>
      <w:r w:rsidR="001E4713">
        <w:rPr>
          <w:lang w:val="es-ES"/>
        </w:rPr>
        <w:t xml:space="preserve"> </w:t>
      </w:r>
      <w:r w:rsidRPr="00AC5DE7">
        <w:rPr>
          <w:lang w:val="es-ES"/>
        </w:rPr>
        <w:t>inadmisibilidad, pueden consultarse en la base de datos de jurisprudencia de los</w:t>
      </w:r>
      <w:r w:rsidR="001E4713">
        <w:rPr>
          <w:lang w:val="es-ES"/>
        </w:rPr>
        <w:t xml:space="preserve"> </w:t>
      </w:r>
      <w:r w:rsidRPr="00AC5DE7">
        <w:rPr>
          <w:lang w:val="es-ES"/>
        </w:rPr>
        <w:t>órganos de tratados (</w:t>
      </w:r>
      <w:hyperlink r:id="rId87" w:history="1">
        <w:r w:rsidRPr="00AC5DE7">
          <w:rPr>
            <w:rStyle w:val="Hipervnculo"/>
            <w:lang w:val="es-ES"/>
          </w:rPr>
          <w:t>http://</w:t>
        </w:r>
        <w:proofErr w:type="spellStart"/>
        <w:r w:rsidRPr="00AC5DE7">
          <w:rPr>
            <w:rStyle w:val="Hipervnculo"/>
            <w:lang w:val="es-ES"/>
          </w:rPr>
          <w:t>juris.ohchr.org</w:t>
        </w:r>
        <w:proofErr w:type="spellEnd"/>
        <w:r w:rsidRPr="00AC5DE7">
          <w:rPr>
            <w:rStyle w:val="Hipervnculo"/>
            <w:lang w:val="es-ES"/>
          </w:rPr>
          <w:t>/es/</w:t>
        </w:r>
      </w:hyperlink>
      <w:r w:rsidRPr="00AC5DE7">
        <w:rPr>
          <w:lang w:val="es-ES"/>
        </w:rPr>
        <w:t xml:space="preserve">), en la página web del </w:t>
      </w:r>
      <w:proofErr w:type="spellStart"/>
      <w:r w:rsidRPr="00AC5DE7">
        <w:rPr>
          <w:lang w:val="es-ES"/>
        </w:rPr>
        <w:t>ACNUDH</w:t>
      </w:r>
      <w:proofErr w:type="spellEnd"/>
      <w:r w:rsidRPr="00AC5DE7">
        <w:rPr>
          <w:lang w:val="es-ES"/>
        </w:rPr>
        <w:t xml:space="preserve"> (</w:t>
      </w:r>
      <w:proofErr w:type="spellStart"/>
      <w:r w:rsidR="00C3233D">
        <w:fldChar w:fldCharType="begin"/>
      </w:r>
      <w:r w:rsidR="00C3233D" w:rsidRPr="003A082F">
        <w:rPr>
          <w:lang w:val="es-ES"/>
        </w:rPr>
        <w:instrText xml:space="preserve"> HYPERLINK "file:///C:\\Users\\orru\\AppData\\Local\\fox\\AppData\\AppData\\E14F0\\www2.ohchr.org" </w:instrText>
      </w:r>
      <w:r w:rsidR="00C3233D">
        <w:fldChar w:fldCharType="separate"/>
      </w:r>
      <w:r w:rsidRPr="00AC5DE7">
        <w:rPr>
          <w:rStyle w:val="Hipervnculo"/>
          <w:lang w:val="es-ES"/>
        </w:rPr>
        <w:t>www2.ohchr.org</w:t>
      </w:r>
      <w:proofErr w:type="spellEnd"/>
      <w:r w:rsidR="00C3233D">
        <w:rPr>
          <w:rStyle w:val="Hipervnculo"/>
          <w:lang w:val="es-ES"/>
        </w:rPr>
        <w:fldChar w:fldCharType="end"/>
      </w:r>
      <w:r w:rsidRPr="00AC5DE7">
        <w:rPr>
          <w:lang w:val="es-ES"/>
        </w:rPr>
        <w:t>) y en el Sistema de Archivo de Documentos de las Naciones Unidas (</w:t>
      </w:r>
      <w:hyperlink r:id="rId88" w:history="1">
        <w:r w:rsidRPr="008A7FF6">
          <w:rPr>
            <w:rStyle w:val="Hipervnculo"/>
            <w:lang w:val="es-ES"/>
          </w:rPr>
          <w:t>http://</w:t>
        </w:r>
        <w:proofErr w:type="spellStart"/>
        <w:r w:rsidRPr="008A7FF6">
          <w:rPr>
            <w:rStyle w:val="Hipervnculo"/>
            <w:lang w:val="es-ES"/>
          </w:rPr>
          <w:t>documents.un.org</w:t>
        </w:r>
        <w:proofErr w:type="spellEnd"/>
      </w:hyperlink>
      <w:r w:rsidRPr="00AC5DE7">
        <w:rPr>
          <w:lang w:val="es-ES"/>
        </w:rPr>
        <w:t>).</w:t>
      </w:r>
    </w:p>
    <w:p w:rsidR="00AC5DE7" w:rsidRPr="00AC5DE7" w:rsidRDefault="00AC5DE7" w:rsidP="00AC5DE7">
      <w:pPr>
        <w:pStyle w:val="SingleTxtG"/>
        <w:rPr>
          <w:lang w:val="es-ES"/>
        </w:rPr>
      </w:pPr>
      <w:r w:rsidRPr="00AC5DE7">
        <w:rPr>
          <w:lang w:val="es-ES"/>
        </w:rPr>
        <w:t>66.</w:t>
      </w:r>
      <w:r w:rsidRPr="00AC5DE7">
        <w:rPr>
          <w:lang w:val="es-ES"/>
        </w:rPr>
        <w:tab/>
        <w:t xml:space="preserve">En su 55º período de sesiones, el Comité adoptó decisiones sobre el fondo respecto de las comunicaciones núm. 575/2013, </w:t>
      </w:r>
      <w:r w:rsidRPr="00AC5DE7">
        <w:rPr>
          <w:i/>
          <w:lang w:val="es-ES"/>
        </w:rPr>
        <w:t>Ntahiraja c. Burundi</w:t>
      </w:r>
      <w:r w:rsidRPr="00AC5DE7">
        <w:rPr>
          <w:lang w:val="es-ES"/>
        </w:rPr>
        <w:t>, núm.</w:t>
      </w:r>
      <w:r w:rsidR="001E4713">
        <w:rPr>
          <w:lang w:val="es-ES"/>
        </w:rPr>
        <w:t xml:space="preserve"> </w:t>
      </w:r>
      <w:r w:rsidRPr="00AC5DE7">
        <w:rPr>
          <w:lang w:val="es-ES"/>
        </w:rPr>
        <w:t xml:space="preserve">554/2013, </w:t>
      </w:r>
      <w:r w:rsidR="0078513C">
        <w:rPr>
          <w:i/>
          <w:lang w:val="es-ES"/>
        </w:rPr>
        <w:t>X. c. </w:t>
      </w:r>
      <w:r w:rsidRPr="00AC5DE7">
        <w:rPr>
          <w:i/>
          <w:lang w:val="es-ES"/>
        </w:rPr>
        <w:t>Kazajstán</w:t>
      </w:r>
      <w:r w:rsidRPr="00AC5DE7">
        <w:rPr>
          <w:lang w:val="es-ES"/>
        </w:rPr>
        <w:t>, núm.</w:t>
      </w:r>
      <w:r w:rsidR="001E4713">
        <w:rPr>
          <w:lang w:val="es-ES"/>
        </w:rPr>
        <w:t xml:space="preserve"> </w:t>
      </w:r>
      <w:r w:rsidRPr="00AC5DE7">
        <w:rPr>
          <w:lang w:val="es-ES"/>
        </w:rPr>
        <w:t xml:space="preserve">500/2012, </w:t>
      </w:r>
      <w:r w:rsidRPr="00AC5DE7">
        <w:rPr>
          <w:i/>
          <w:lang w:val="es-ES"/>
        </w:rPr>
        <w:t>Martínez c. México</w:t>
      </w:r>
      <w:r w:rsidRPr="00AC5DE7">
        <w:rPr>
          <w:lang w:val="es-ES"/>
        </w:rPr>
        <w:t>, núm.</w:t>
      </w:r>
      <w:r w:rsidR="001E4713">
        <w:rPr>
          <w:lang w:val="es-ES"/>
        </w:rPr>
        <w:t xml:space="preserve"> </w:t>
      </w:r>
      <w:r w:rsidRPr="00AC5DE7">
        <w:rPr>
          <w:lang w:val="es-ES"/>
        </w:rPr>
        <w:t xml:space="preserve">494/2012, </w:t>
      </w:r>
      <w:r w:rsidRPr="00AC5DE7">
        <w:rPr>
          <w:i/>
          <w:lang w:val="es-ES"/>
        </w:rPr>
        <w:t>H.</w:t>
      </w:r>
      <w:r w:rsidR="00962428">
        <w:rPr>
          <w:i/>
          <w:lang w:val="es-ES"/>
        </w:rPr>
        <w:t xml:space="preserve"> </w:t>
      </w:r>
      <w:r w:rsidRPr="00AC5DE7">
        <w:rPr>
          <w:i/>
          <w:lang w:val="es-ES"/>
        </w:rPr>
        <w:t>B. c. Argelia</w:t>
      </w:r>
      <w:r w:rsidRPr="00AC5DE7">
        <w:rPr>
          <w:lang w:val="es-ES"/>
        </w:rPr>
        <w:t>, núm.</w:t>
      </w:r>
      <w:r w:rsidR="0078513C">
        <w:rPr>
          <w:lang w:val="es-ES"/>
        </w:rPr>
        <w:t> </w:t>
      </w:r>
      <w:r w:rsidRPr="00AC5DE7">
        <w:rPr>
          <w:lang w:val="es-ES"/>
        </w:rPr>
        <w:t xml:space="preserve">522/2012, </w:t>
      </w:r>
      <w:r w:rsidRPr="00AC5DE7">
        <w:rPr>
          <w:i/>
          <w:lang w:val="es-ES"/>
        </w:rPr>
        <w:t>Gahungu c. Burundi</w:t>
      </w:r>
      <w:r w:rsidRPr="00AC5DE7">
        <w:rPr>
          <w:lang w:val="es-ES"/>
        </w:rPr>
        <w:t>, núm.</w:t>
      </w:r>
      <w:r w:rsidR="001E4713">
        <w:rPr>
          <w:lang w:val="es-ES"/>
        </w:rPr>
        <w:t xml:space="preserve"> </w:t>
      </w:r>
      <w:r w:rsidRPr="00AC5DE7">
        <w:rPr>
          <w:lang w:val="es-ES"/>
        </w:rPr>
        <w:t xml:space="preserve">553/2013, </w:t>
      </w:r>
      <w:r w:rsidRPr="00AC5DE7">
        <w:rPr>
          <w:i/>
          <w:lang w:val="es-ES"/>
        </w:rPr>
        <w:t>X. c. Burundi</w:t>
      </w:r>
      <w:r w:rsidRPr="00AC5DE7">
        <w:rPr>
          <w:lang w:val="es-ES"/>
        </w:rPr>
        <w:t>, núm.</w:t>
      </w:r>
      <w:r w:rsidR="001E4713">
        <w:rPr>
          <w:lang w:val="es-ES"/>
        </w:rPr>
        <w:t xml:space="preserve"> </w:t>
      </w:r>
      <w:r w:rsidRPr="00AC5DE7">
        <w:rPr>
          <w:lang w:val="es-ES"/>
        </w:rPr>
        <w:t xml:space="preserve">505/2012, </w:t>
      </w:r>
      <w:r w:rsidRPr="00AC5DE7">
        <w:rPr>
          <w:i/>
          <w:lang w:val="es-ES"/>
        </w:rPr>
        <w:t>P.</w:t>
      </w:r>
      <w:r w:rsidR="0078513C">
        <w:rPr>
          <w:i/>
          <w:lang w:val="es-ES"/>
        </w:rPr>
        <w:t> </w:t>
      </w:r>
      <w:r w:rsidRPr="00AC5DE7">
        <w:rPr>
          <w:i/>
          <w:lang w:val="es-ES"/>
        </w:rPr>
        <w:t>S.</w:t>
      </w:r>
      <w:r w:rsidR="0078513C">
        <w:rPr>
          <w:i/>
          <w:lang w:val="es-ES"/>
        </w:rPr>
        <w:t> </w:t>
      </w:r>
      <w:r w:rsidRPr="00AC5DE7">
        <w:rPr>
          <w:i/>
          <w:lang w:val="es-ES"/>
        </w:rPr>
        <w:t>B. y T.</w:t>
      </w:r>
      <w:r w:rsidR="00962428">
        <w:rPr>
          <w:i/>
          <w:lang w:val="es-ES"/>
        </w:rPr>
        <w:t> </w:t>
      </w:r>
      <w:r w:rsidRPr="00AC5DE7">
        <w:rPr>
          <w:i/>
          <w:lang w:val="es-ES"/>
        </w:rPr>
        <w:t>K. c. el Canadá</w:t>
      </w:r>
      <w:r w:rsidRPr="00AC5DE7">
        <w:rPr>
          <w:lang w:val="es-ES"/>
        </w:rPr>
        <w:t>, núm.</w:t>
      </w:r>
      <w:r w:rsidR="001E4713">
        <w:rPr>
          <w:lang w:val="es-ES"/>
        </w:rPr>
        <w:t xml:space="preserve"> </w:t>
      </w:r>
      <w:r w:rsidRPr="00AC5DE7">
        <w:rPr>
          <w:lang w:val="es-ES"/>
        </w:rPr>
        <w:t xml:space="preserve">530/2012, </w:t>
      </w:r>
      <w:r w:rsidRPr="00AC5DE7">
        <w:rPr>
          <w:i/>
          <w:iCs/>
          <w:lang w:val="es-ES"/>
        </w:rPr>
        <w:t>X</w:t>
      </w:r>
      <w:r w:rsidRPr="00AC5DE7">
        <w:rPr>
          <w:i/>
          <w:lang w:val="es-ES"/>
        </w:rPr>
        <w:t>., Y. y Z. c. Suecia</w:t>
      </w:r>
      <w:r w:rsidRPr="00AC5DE7">
        <w:rPr>
          <w:lang w:val="es-ES"/>
        </w:rPr>
        <w:t>, núm.</w:t>
      </w:r>
      <w:r w:rsidR="001E4713">
        <w:rPr>
          <w:lang w:val="es-ES"/>
        </w:rPr>
        <w:t xml:space="preserve"> </w:t>
      </w:r>
      <w:r w:rsidRPr="00AC5DE7">
        <w:rPr>
          <w:lang w:val="es-ES"/>
        </w:rPr>
        <w:t xml:space="preserve">571/2013, </w:t>
      </w:r>
      <w:r w:rsidRPr="00AC5DE7">
        <w:rPr>
          <w:i/>
          <w:lang w:val="es-ES"/>
        </w:rPr>
        <w:t>M.</w:t>
      </w:r>
      <w:r w:rsidR="00962428">
        <w:rPr>
          <w:i/>
          <w:lang w:val="es-ES"/>
        </w:rPr>
        <w:t xml:space="preserve"> </w:t>
      </w:r>
      <w:r w:rsidRPr="00AC5DE7">
        <w:rPr>
          <w:i/>
          <w:lang w:val="es-ES"/>
        </w:rPr>
        <w:t>S. c. Dinamarca</w:t>
      </w:r>
      <w:r w:rsidRPr="00AC5DE7">
        <w:rPr>
          <w:lang w:val="es-ES"/>
        </w:rPr>
        <w:t>, núm.</w:t>
      </w:r>
      <w:r w:rsidR="001E4713">
        <w:rPr>
          <w:lang w:val="es-ES"/>
        </w:rPr>
        <w:t xml:space="preserve"> </w:t>
      </w:r>
      <w:r w:rsidRPr="00AC5DE7">
        <w:rPr>
          <w:lang w:val="es-ES"/>
        </w:rPr>
        <w:t xml:space="preserve">555/2013, </w:t>
      </w:r>
      <w:r w:rsidRPr="00AC5DE7">
        <w:rPr>
          <w:i/>
          <w:lang w:val="es-ES"/>
        </w:rPr>
        <w:t>Z. c. Dinamarca</w:t>
      </w:r>
      <w:r w:rsidRPr="00AC5DE7">
        <w:rPr>
          <w:lang w:val="es-ES"/>
        </w:rPr>
        <w:t>, y núm.</w:t>
      </w:r>
      <w:r w:rsidR="001E4713">
        <w:rPr>
          <w:lang w:val="es-ES"/>
        </w:rPr>
        <w:t xml:space="preserve"> </w:t>
      </w:r>
      <w:r w:rsidRPr="00AC5DE7">
        <w:rPr>
          <w:lang w:val="es-ES"/>
        </w:rPr>
        <w:t xml:space="preserve">566/2013, </w:t>
      </w:r>
      <w:r w:rsidRPr="00AC5DE7">
        <w:rPr>
          <w:i/>
          <w:lang w:val="es-ES"/>
        </w:rPr>
        <w:t>M.</w:t>
      </w:r>
      <w:r w:rsidR="00962428">
        <w:rPr>
          <w:i/>
          <w:lang w:val="es-ES"/>
        </w:rPr>
        <w:t xml:space="preserve"> </w:t>
      </w:r>
      <w:r w:rsidRPr="00AC5DE7">
        <w:rPr>
          <w:i/>
          <w:lang w:val="es-ES"/>
        </w:rPr>
        <w:t>A. y M.</w:t>
      </w:r>
      <w:r w:rsidR="00962428">
        <w:rPr>
          <w:i/>
          <w:lang w:val="es-ES"/>
        </w:rPr>
        <w:t xml:space="preserve"> </w:t>
      </w:r>
      <w:r w:rsidRPr="00AC5DE7">
        <w:rPr>
          <w:i/>
          <w:lang w:val="es-ES"/>
        </w:rPr>
        <w:t xml:space="preserve">N. c. Suecia </w:t>
      </w:r>
      <w:r w:rsidRPr="00AC5DE7">
        <w:rPr>
          <w:lang w:val="es-ES"/>
        </w:rPr>
        <w:t>.</w:t>
      </w:r>
    </w:p>
    <w:p w:rsidR="00AC5DE7" w:rsidRPr="00AC5DE7" w:rsidRDefault="00AC5DE7" w:rsidP="00AC5DE7">
      <w:pPr>
        <w:pStyle w:val="SingleTxtG"/>
        <w:rPr>
          <w:lang w:val="es-ES"/>
        </w:rPr>
      </w:pPr>
      <w:r w:rsidRPr="00AC5DE7">
        <w:rPr>
          <w:lang w:val="es-ES"/>
        </w:rPr>
        <w:t>67.</w:t>
      </w:r>
      <w:r w:rsidRPr="00AC5DE7">
        <w:rPr>
          <w:lang w:val="es-ES"/>
        </w:rPr>
        <w:tab/>
        <w:t xml:space="preserve">El Comité dictaminó que el retorno forzoso de los autores de la queja constituiría una infracción por los Estados partes del artículo 3 de la Convención en sus decisiones relativas a las comunicaciones núm. 505/2012, </w:t>
      </w:r>
      <w:r w:rsidRPr="00AC5DE7">
        <w:rPr>
          <w:i/>
          <w:lang w:val="es-ES"/>
        </w:rPr>
        <w:t>P.</w:t>
      </w:r>
      <w:r w:rsidR="00962428">
        <w:rPr>
          <w:i/>
          <w:lang w:val="es-ES"/>
        </w:rPr>
        <w:t xml:space="preserve"> </w:t>
      </w:r>
      <w:r w:rsidRPr="00AC5DE7">
        <w:rPr>
          <w:i/>
          <w:lang w:val="es-ES"/>
        </w:rPr>
        <w:t>S.</w:t>
      </w:r>
      <w:r w:rsidR="00962428">
        <w:rPr>
          <w:i/>
          <w:lang w:val="es-ES"/>
        </w:rPr>
        <w:t xml:space="preserve"> </w:t>
      </w:r>
      <w:r w:rsidRPr="00AC5DE7">
        <w:rPr>
          <w:i/>
          <w:lang w:val="es-ES"/>
        </w:rPr>
        <w:t>B. y T.</w:t>
      </w:r>
      <w:r w:rsidR="00962428">
        <w:rPr>
          <w:i/>
          <w:lang w:val="es-ES"/>
        </w:rPr>
        <w:t xml:space="preserve"> </w:t>
      </w:r>
      <w:r w:rsidRPr="00AC5DE7">
        <w:rPr>
          <w:i/>
          <w:lang w:val="es-ES"/>
        </w:rPr>
        <w:t>K. c. el Canadá</w:t>
      </w:r>
      <w:r w:rsidRPr="00AC5DE7">
        <w:rPr>
          <w:iCs/>
          <w:lang w:val="es-ES"/>
        </w:rPr>
        <w:t>,</w:t>
      </w:r>
      <w:r w:rsidRPr="00AC5DE7">
        <w:rPr>
          <w:lang w:val="es-ES"/>
        </w:rPr>
        <w:t xml:space="preserve"> y núm.</w:t>
      </w:r>
      <w:r w:rsidR="00962428">
        <w:rPr>
          <w:lang w:val="es-ES"/>
        </w:rPr>
        <w:t> </w:t>
      </w:r>
      <w:r w:rsidRPr="00AC5DE7">
        <w:rPr>
          <w:lang w:val="es-ES"/>
        </w:rPr>
        <w:t xml:space="preserve">554/2013, </w:t>
      </w:r>
      <w:r w:rsidRPr="00AC5DE7">
        <w:rPr>
          <w:i/>
          <w:lang w:val="es-ES"/>
        </w:rPr>
        <w:t xml:space="preserve">X. c. Kazajstán </w:t>
      </w:r>
      <w:r w:rsidRPr="00AC5DE7">
        <w:rPr>
          <w:lang w:val="es-ES"/>
        </w:rPr>
        <w:t xml:space="preserve">. El Comité dictaminó que el retorno forzoso de los autores de la queja no constituiría una infracción por los Estados partes del artículo 3 de la Convención en sus decisiones relativas a las comunicaciones núm. 530/2012, </w:t>
      </w:r>
      <w:r w:rsidRPr="00AC5DE7">
        <w:rPr>
          <w:i/>
          <w:lang w:val="es-ES"/>
        </w:rPr>
        <w:t>X., Y. y Z. c. Suecia</w:t>
      </w:r>
      <w:r w:rsidRPr="00AC5DE7">
        <w:rPr>
          <w:lang w:val="es-ES"/>
        </w:rPr>
        <w:t>, núm.</w:t>
      </w:r>
      <w:r w:rsidR="001E4713">
        <w:rPr>
          <w:lang w:val="es-ES"/>
        </w:rPr>
        <w:t xml:space="preserve"> </w:t>
      </w:r>
      <w:r w:rsidRPr="00AC5DE7">
        <w:rPr>
          <w:lang w:val="es-ES"/>
        </w:rPr>
        <w:t xml:space="preserve">571/2013, </w:t>
      </w:r>
      <w:r w:rsidRPr="00AC5DE7">
        <w:rPr>
          <w:i/>
          <w:lang w:val="es-ES"/>
        </w:rPr>
        <w:t>M.</w:t>
      </w:r>
      <w:r w:rsidR="00962428">
        <w:rPr>
          <w:i/>
          <w:lang w:val="es-ES"/>
        </w:rPr>
        <w:t xml:space="preserve"> </w:t>
      </w:r>
      <w:r w:rsidRPr="00AC5DE7">
        <w:rPr>
          <w:i/>
          <w:lang w:val="es-ES"/>
        </w:rPr>
        <w:t>S. c. Dinamarca</w:t>
      </w:r>
      <w:r w:rsidRPr="00AC5DE7">
        <w:rPr>
          <w:lang w:val="es-ES"/>
        </w:rPr>
        <w:t>, núm.</w:t>
      </w:r>
      <w:r w:rsidR="001E4713">
        <w:rPr>
          <w:lang w:val="es-ES"/>
        </w:rPr>
        <w:t xml:space="preserve"> </w:t>
      </w:r>
      <w:r w:rsidRPr="00AC5DE7">
        <w:rPr>
          <w:lang w:val="es-ES"/>
        </w:rPr>
        <w:t xml:space="preserve">555/2013, </w:t>
      </w:r>
      <w:r w:rsidRPr="00AC5DE7">
        <w:rPr>
          <w:i/>
          <w:lang w:val="es-ES"/>
        </w:rPr>
        <w:t>Z. c. Dinamarca</w:t>
      </w:r>
      <w:r w:rsidRPr="00AC5DE7">
        <w:rPr>
          <w:lang w:val="es-ES"/>
        </w:rPr>
        <w:t>, y núm.</w:t>
      </w:r>
      <w:r w:rsidR="0078513C">
        <w:rPr>
          <w:lang w:val="es-ES"/>
        </w:rPr>
        <w:t> </w:t>
      </w:r>
      <w:r w:rsidRPr="00AC5DE7">
        <w:rPr>
          <w:lang w:val="es-ES"/>
        </w:rPr>
        <w:t xml:space="preserve">566/2013, </w:t>
      </w:r>
      <w:r w:rsidRPr="00AC5DE7">
        <w:rPr>
          <w:i/>
          <w:iCs/>
          <w:lang w:val="es-ES"/>
        </w:rPr>
        <w:t>M.</w:t>
      </w:r>
      <w:r w:rsidR="00962428">
        <w:rPr>
          <w:i/>
          <w:iCs/>
          <w:lang w:val="es-ES"/>
        </w:rPr>
        <w:t xml:space="preserve"> </w:t>
      </w:r>
      <w:r w:rsidRPr="00AC5DE7">
        <w:rPr>
          <w:i/>
          <w:iCs/>
          <w:lang w:val="es-ES"/>
        </w:rPr>
        <w:t>A. y M.</w:t>
      </w:r>
      <w:r w:rsidR="00962428">
        <w:rPr>
          <w:i/>
          <w:iCs/>
          <w:lang w:val="es-ES"/>
        </w:rPr>
        <w:t xml:space="preserve"> </w:t>
      </w:r>
      <w:r w:rsidRPr="00AC5DE7">
        <w:rPr>
          <w:i/>
          <w:iCs/>
          <w:lang w:val="es-ES"/>
        </w:rPr>
        <w:t xml:space="preserve">N. c. Suecia </w:t>
      </w:r>
      <w:r w:rsidRPr="00AC5DE7">
        <w:rPr>
          <w:lang w:val="es-ES"/>
        </w:rPr>
        <w:t>.</w:t>
      </w:r>
    </w:p>
    <w:p w:rsidR="00AC5DE7" w:rsidRPr="00AC5DE7" w:rsidRDefault="00AC5DE7" w:rsidP="00AC5DE7">
      <w:pPr>
        <w:pStyle w:val="SingleTxtG"/>
        <w:rPr>
          <w:lang w:val="es-ES"/>
        </w:rPr>
      </w:pPr>
      <w:r w:rsidRPr="00AC5DE7">
        <w:rPr>
          <w:lang w:val="es-ES"/>
        </w:rPr>
        <w:t>68.</w:t>
      </w:r>
      <w:r w:rsidRPr="00AC5DE7">
        <w:rPr>
          <w:lang w:val="es-ES"/>
        </w:rPr>
        <w:tab/>
        <w:t xml:space="preserve">En sus decisiones relativas a las comunicaciones núm. 522/2012, </w:t>
      </w:r>
      <w:r w:rsidRPr="00AC5DE7">
        <w:rPr>
          <w:i/>
          <w:lang w:val="es-ES"/>
        </w:rPr>
        <w:t>Gahungu c. Burundi</w:t>
      </w:r>
      <w:r w:rsidRPr="00AC5DE7">
        <w:rPr>
          <w:lang w:val="es-ES"/>
        </w:rPr>
        <w:t>, núm.</w:t>
      </w:r>
      <w:r w:rsidR="001E4713">
        <w:rPr>
          <w:lang w:val="es-ES"/>
        </w:rPr>
        <w:t xml:space="preserve"> </w:t>
      </w:r>
      <w:r w:rsidRPr="00AC5DE7">
        <w:rPr>
          <w:lang w:val="es-ES"/>
        </w:rPr>
        <w:t xml:space="preserve">553/2013, </w:t>
      </w:r>
      <w:r w:rsidRPr="00AC5DE7">
        <w:rPr>
          <w:i/>
          <w:lang w:val="es-ES"/>
        </w:rPr>
        <w:t>X. c. Burundi</w:t>
      </w:r>
      <w:r w:rsidRPr="00AC5DE7">
        <w:rPr>
          <w:lang w:val="es-ES"/>
        </w:rPr>
        <w:t>, y núm.</w:t>
      </w:r>
      <w:r w:rsidR="001E4713">
        <w:rPr>
          <w:lang w:val="es-ES"/>
        </w:rPr>
        <w:t xml:space="preserve"> </w:t>
      </w:r>
      <w:r w:rsidRPr="00AC5DE7">
        <w:rPr>
          <w:lang w:val="es-ES"/>
        </w:rPr>
        <w:t xml:space="preserve">575/2013, </w:t>
      </w:r>
      <w:r w:rsidRPr="00AC5DE7">
        <w:rPr>
          <w:i/>
          <w:lang w:val="es-ES"/>
        </w:rPr>
        <w:t>Ntahiraja c. Burundi</w:t>
      </w:r>
      <w:r w:rsidRPr="00AC5DE7">
        <w:rPr>
          <w:lang w:val="es-ES"/>
        </w:rPr>
        <w:t xml:space="preserve">, el Comité consideró que se habían vulnerado el artículo 1; el artículo 2, párrafo 1, leído conjuntamente con el artículo 1; los artículos 11 a 14; y el artículo 16 de la Convención. Las comunicaciones indicadas se referían a personas que habían sido torturadas mientras se encontraban en prisión preventiva y que posteriormente habían sido encarceladas en condiciones inhumanas. En la comunicación núm. 494/2012, </w:t>
      </w:r>
      <w:r w:rsidRPr="00AC5DE7">
        <w:rPr>
          <w:i/>
          <w:lang w:val="es-ES"/>
        </w:rPr>
        <w:t>H.</w:t>
      </w:r>
      <w:r w:rsidR="0078513C">
        <w:rPr>
          <w:i/>
          <w:lang w:val="es-ES"/>
        </w:rPr>
        <w:t xml:space="preserve"> </w:t>
      </w:r>
      <w:r w:rsidRPr="00AC5DE7">
        <w:rPr>
          <w:i/>
          <w:lang w:val="es-ES"/>
        </w:rPr>
        <w:t>B. c. Argelia</w:t>
      </w:r>
      <w:r w:rsidRPr="00AC5DE7">
        <w:rPr>
          <w:lang w:val="es-ES"/>
        </w:rPr>
        <w:t>, el Comité determinó que se habían vulnerado el artículo</w:t>
      </w:r>
      <w:r w:rsidR="0078513C">
        <w:rPr>
          <w:lang w:val="es-ES"/>
        </w:rPr>
        <w:t xml:space="preserve"> 1</w:t>
      </w:r>
      <w:r w:rsidRPr="00AC5DE7">
        <w:rPr>
          <w:lang w:val="es-ES"/>
        </w:rPr>
        <w:t xml:space="preserve">; el artículo 2, párrafo 1, leído conjuntamente con el artículo 1; y los artículos 11 a 14 de la Convención, también en relación con las torturas infringidas al autor de la comunicación mientras se encontraba privado de libertad. En la comunicación núm. 500/2012, </w:t>
      </w:r>
      <w:r w:rsidRPr="00AC5DE7">
        <w:rPr>
          <w:i/>
          <w:lang w:val="es-ES"/>
        </w:rPr>
        <w:t>Martínez c. México,</w:t>
      </w:r>
      <w:r w:rsidRPr="00AC5DE7">
        <w:rPr>
          <w:lang w:val="es-ES"/>
        </w:rPr>
        <w:t xml:space="preserve"> el Comité determinó que se habían vulnerado los artículos 1; 2, párrafo 1; 12 a 15; y 22 de la Convención en relación con la tortura y la detención preventiva, las condiciones inhumanas de la reclusión y el hecho de que el Estado parte no hubiese atendido a la solicitud del Comité de que se adoptaran medidas de protección de los autores de la comunicación.</w:t>
      </w:r>
    </w:p>
    <w:p w:rsidR="00AC5DE7" w:rsidRPr="00AC5DE7" w:rsidRDefault="00AC5DE7" w:rsidP="00AC5DE7">
      <w:pPr>
        <w:pStyle w:val="SingleTxtG"/>
        <w:rPr>
          <w:lang w:val="es-ES"/>
        </w:rPr>
      </w:pPr>
      <w:r w:rsidRPr="00AC5DE7">
        <w:rPr>
          <w:lang w:val="es-ES"/>
        </w:rPr>
        <w:t>69.</w:t>
      </w:r>
      <w:r w:rsidRPr="00AC5DE7">
        <w:rPr>
          <w:lang w:val="es-ES"/>
        </w:rPr>
        <w:tab/>
        <w:t xml:space="preserve">Además, el Comité determinó que dos comunicaciones, a saber las comunicaciones núm. 512/2012, </w:t>
      </w:r>
      <w:r w:rsidRPr="00AC5DE7">
        <w:rPr>
          <w:i/>
          <w:lang w:val="es-ES"/>
        </w:rPr>
        <w:t>Y. c. el Canadá</w:t>
      </w:r>
      <w:r w:rsidRPr="00AC5DE7">
        <w:rPr>
          <w:lang w:val="es-ES"/>
        </w:rPr>
        <w:t xml:space="preserve"> y núm.</w:t>
      </w:r>
      <w:r w:rsidR="001E4713">
        <w:rPr>
          <w:lang w:val="es-ES"/>
        </w:rPr>
        <w:t xml:space="preserve"> </w:t>
      </w:r>
      <w:r w:rsidRPr="00AC5DE7">
        <w:rPr>
          <w:lang w:val="es-ES"/>
        </w:rPr>
        <w:t xml:space="preserve">642/2014, </w:t>
      </w:r>
      <w:r w:rsidRPr="00AC5DE7">
        <w:rPr>
          <w:i/>
          <w:lang w:val="es-ES"/>
        </w:rPr>
        <w:t>M.</w:t>
      </w:r>
      <w:r w:rsidR="00962428">
        <w:rPr>
          <w:i/>
          <w:lang w:val="es-ES"/>
        </w:rPr>
        <w:t xml:space="preserve"> </w:t>
      </w:r>
      <w:r w:rsidRPr="00AC5DE7">
        <w:rPr>
          <w:i/>
          <w:lang w:val="es-ES"/>
        </w:rPr>
        <w:t>T. c. Suecia</w:t>
      </w:r>
      <w:r w:rsidRPr="00AC5DE7">
        <w:rPr>
          <w:lang w:val="es-ES"/>
        </w:rPr>
        <w:t xml:space="preserve">, eran inadmisibles y suspendió el examen de la comunicación núm. 574/2013, </w:t>
      </w:r>
      <w:r w:rsidRPr="00AC5DE7">
        <w:rPr>
          <w:i/>
          <w:lang w:val="es-ES"/>
        </w:rPr>
        <w:t>R.</w:t>
      </w:r>
      <w:r w:rsidR="00962428">
        <w:rPr>
          <w:i/>
          <w:lang w:val="es-ES"/>
        </w:rPr>
        <w:t xml:space="preserve"> </w:t>
      </w:r>
      <w:r w:rsidRPr="00AC5DE7">
        <w:rPr>
          <w:i/>
          <w:lang w:val="es-ES"/>
        </w:rPr>
        <w:t>S. c. el Canadá</w:t>
      </w:r>
      <w:r w:rsidRPr="00AC5DE7">
        <w:rPr>
          <w:lang w:val="es-ES"/>
        </w:rPr>
        <w:t>.</w:t>
      </w:r>
    </w:p>
    <w:p w:rsidR="00AC5DE7" w:rsidRPr="00AC5DE7" w:rsidRDefault="00AC5DE7" w:rsidP="00AC5DE7">
      <w:pPr>
        <w:pStyle w:val="SingleTxtG"/>
        <w:rPr>
          <w:i/>
          <w:lang w:val="es-ES"/>
        </w:rPr>
      </w:pPr>
      <w:r w:rsidRPr="00AC5DE7">
        <w:rPr>
          <w:lang w:val="es-ES"/>
        </w:rPr>
        <w:lastRenderedPageBreak/>
        <w:t>70.</w:t>
      </w:r>
      <w:r w:rsidRPr="00AC5DE7">
        <w:rPr>
          <w:lang w:val="es-ES"/>
        </w:rPr>
        <w:tab/>
        <w:t xml:space="preserve">En su 56º período de sesiones, el Comité adoptó decisiones sobre el fondo en relación con las comunicaciones núm. 569/2013, </w:t>
      </w:r>
      <w:r w:rsidRPr="00AC5DE7">
        <w:rPr>
          <w:i/>
          <w:lang w:val="es-ES"/>
        </w:rPr>
        <w:t>M.</w:t>
      </w:r>
      <w:r w:rsidR="00962428">
        <w:rPr>
          <w:i/>
          <w:lang w:val="es-ES"/>
        </w:rPr>
        <w:t xml:space="preserve"> </w:t>
      </w:r>
      <w:r w:rsidRPr="00AC5DE7">
        <w:rPr>
          <w:i/>
          <w:lang w:val="es-ES"/>
        </w:rPr>
        <w:t>C. c. los Países Bajos</w:t>
      </w:r>
      <w:r w:rsidRPr="00AC5DE7">
        <w:rPr>
          <w:lang w:val="es-ES"/>
        </w:rPr>
        <w:t>, núm.</w:t>
      </w:r>
      <w:r w:rsidR="001E4713">
        <w:rPr>
          <w:lang w:val="es-ES"/>
        </w:rPr>
        <w:t xml:space="preserve"> </w:t>
      </w:r>
      <w:r w:rsidRPr="00AC5DE7">
        <w:rPr>
          <w:lang w:val="es-ES"/>
        </w:rPr>
        <w:t xml:space="preserve">586/2014, </w:t>
      </w:r>
      <w:r w:rsidRPr="00AC5DE7">
        <w:rPr>
          <w:i/>
          <w:lang w:val="es-ES"/>
        </w:rPr>
        <w:t>R.</w:t>
      </w:r>
      <w:r w:rsidR="00962428">
        <w:rPr>
          <w:i/>
          <w:lang w:val="es-ES"/>
        </w:rPr>
        <w:t xml:space="preserve"> </w:t>
      </w:r>
      <w:r w:rsidRPr="00AC5DE7">
        <w:rPr>
          <w:i/>
          <w:lang w:val="es-ES"/>
        </w:rPr>
        <w:t>G. y otros c. Suecia</w:t>
      </w:r>
      <w:r w:rsidRPr="00AC5DE7">
        <w:rPr>
          <w:lang w:val="es-ES"/>
        </w:rPr>
        <w:t>, núm.</w:t>
      </w:r>
      <w:r w:rsidR="001E4713">
        <w:rPr>
          <w:lang w:val="es-ES"/>
        </w:rPr>
        <w:t xml:space="preserve"> </w:t>
      </w:r>
      <w:r w:rsidRPr="00AC5DE7">
        <w:rPr>
          <w:lang w:val="es-ES"/>
        </w:rPr>
        <w:t xml:space="preserve">523/2012, </w:t>
      </w:r>
      <w:r w:rsidRPr="00AC5DE7">
        <w:rPr>
          <w:i/>
          <w:lang w:val="es-ES"/>
        </w:rPr>
        <w:t>X. c. Finlandia</w:t>
      </w:r>
      <w:r w:rsidRPr="00AC5DE7">
        <w:rPr>
          <w:lang w:val="es-ES"/>
        </w:rPr>
        <w:t>, núm.</w:t>
      </w:r>
      <w:r w:rsidR="001E4713">
        <w:rPr>
          <w:lang w:val="es-ES"/>
        </w:rPr>
        <w:t xml:space="preserve"> </w:t>
      </w:r>
      <w:r w:rsidRPr="00AC5DE7">
        <w:rPr>
          <w:lang w:val="es-ES"/>
        </w:rPr>
        <w:t xml:space="preserve">562/2013, </w:t>
      </w:r>
      <w:r w:rsidRPr="00AC5DE7">
        <w:rPr>
          <w:i/>
          <w:lang w:val="es-ES"/>
        </w:rPr>
        <w:t>J.</w:t>
      </w:r>
      <w:r w:rsidR="00962428">
        <w:rPr>
          <w:i/>
          <w:lang w:val="es-ES"/>
        </w:rPr>
        <w:t xml:space="preserve"> </w:t>
      </w:r>
      <w:r w:rsidRPr="00AC5DE7">
        <w:rPr>
          <w:i/>
          <w:lang w:val="es-ES"/>
        </w:rPr>
        <w:t>K. c. el Canadá</w:t>
      </w:r>
      <w:r w:rsidRPr="00AC5DE7">
        <w:rPr>
          <w:lang w:val="es-ES"/>
        </w:rPr>
        <w:t>, núm.</w:t>
      </w:r>
      <w:r w:rsidR="001E4713">
        <w:rPr>
          <w:lang w:val="es-ES"/>
        </w:rPr>
        <w:t xml:space="preserve"> </w:t>
      </w:r>
      <w:r w:rsidRPr="00AC5DE7">
        <w:rPr>
          <w:lang w:val="es-ES"/>
        </w:rPr>
        <w:t xml:space="preserve">613/2014, </w:t>
      </w:r>
      <w:r w:rsidRPr="00AC5DE7">
        <w:rPr>
          <w:i/>
          <w:lang w:val="es-ES"/>
        </w:rPr>
        <w:t>F.</w:t>
      </w:r>
      <w:r w:rsidR="00962428">
        <w:rPr>
          <w:i/>
          <w:lang w:val="es-ES"/>
        </w:rPr>
        <w:t xml:space="preserve"> </w:t>
      </w:r>
      <w:r w:rsidRPr="00AC5DE7">
        <w:rPr>
          <w:i/>
          <w:lang w:val="es-ES"/>
        </w:rPr>
        <w:t>B. c. los Países Bajos</w:t>
      </w:r>
      <w:r w:rsidRPr="00AC5DE7">
        <w:rPr>
          <w:lang w:val="es-ES"/>
        </w:rPr>
        <w:t>, núm.</w:t>
      </w:r>
      <w:r w:rsidR="001E4713">
        <w:rPr>
          <w:lang w:val="es-ES"/>
        </w:rPr>
        <w:t xml:space="preserve"> </w:t>
      </w:r>
      <w:r w:rsidRPr="00AC5DE7">
        <w:rPr>
          <w:lang w:val="es-ES"/>
        </w:rPr>
        <w:t xml:space="preserve">580/2014, </w:t>
      </w:r>
      <w:r w:rsidRPr="00AC5DE7">
        <w:rPr>
          <w:i/>
          <w:lang w:val="es-ES"/>
        </w:rPr>
        <w:t>F.</w:t>
      </w:r>
      <w:r w:rsidR="00962428">
        <w:rPr>
          <w:i/>
          <w:lang w:val="es-ES"/>
        </w:rPr>
        <w:t xml:space="preserve"> </w:t>
      </w:r>
      <w:r w:rsidRPr="00AC5DE7">
        <w:rPr>
          <w:i/>
          <w:lang w:val="es-ES"/>
        </w:rPr>
        <w:t>K. c. Dinamarca</w:t>
      </w:r>
      <w:r w:rsidRPr="00AC5DE7">
        <w:rPr>
          <w:lang w:val="es-ES"/>
        </w:rPr>
        <w:t>, núm.</w:t>
      </w:r>
      <w:r w:rsidR="0078513C">
        <w:rPr>
          <w:lang w:val="es-ES"/>
        </w:rPr>
        <w:t> </w:t>
      </w:r>
      <w:r w:rsidRPr="00AC5DE7">
        <w:rPr>
          <w:lang w:val="es-ES"/>
        </w:rPr>
        <w:t xml:space="preserve">578/2013, </w:t>
      </w:r>
      <w:r w:rsidRPr="00AC5DE7">
        <w:rPr>
          <w:i/>
          <w:lang w:val="es-ES"/>
        </w:rPr>
        <w:t>E.</w:t>
      </w:r>
      <w:r w:rsidR="00962428">
        <w:rPr>
          <w:i/>
          <w:lang w:val="es-ES"/>
        </w:rPr>
        <w:t xml:space="preserve"> </w:t>
      </w:r>
      <w:r w:rsidRPr="00AC5DE7">
        <w:rPr>
          <w:i/>
          <w:lang w:val="es-ES"/>
        </w:rPr>
        <w:t>N. c. Burundi</w:t>
      </w:r>
      <w:r w:rsidRPr="00AC5DE7">
        <w:rPr>
          <w:lang w:val="es-ES"/>
        </w:rPr>
        <w:t>, núm.</w:t>
      </w:r>
      <w:r w:rsidR="001E4713">
        <w:rPr>
          <w:lang w:val="es-ES"/>
        </w:rPr>
        <w:t xml:space="preserve"> </w:t>
      </w:r>
      <w:r w:rsidRPr="00AC5DE7">
        <w:rPr>
          <w:lang w:val="es-ES"/>
        </w:rPr>
        <w:t xml:space="preserve">671/2015, </w:t>
      </w:r>
      <w:r w:rsidRPr="00AC5DE7">
        <w:rPr>
          <w:i/>
          <w:lang w:val="es-ES"/>
        </w:rPr>
        <w:t>D.</w:t>
      </w:r>
      <w:r w:rsidR="00962428">
        <w:rPr>
          <w:i/>
          <w:lang w:val="es-ES"/>
        </w:rPr>
        <w:t xml:space="preserve"> </w:t>
      </w:r>
      <w:r w:rsidRPr="00AC5DE7">
        <w:rPr>
          <w:i/>
          <w:lang w:val="es-ES"/>
        </w:rPr>
        <w:t>I.</w:t>
      </w:r>
      <w:r w:rsidR="00962428">
        <w:rPr>
          <w:i/>
          <w:lang w:val="es-ES"/>
        </w:rPr>
        <w:t xml:space="preserve"> </w:t>
      </w:r>
      <w:r w:rsidRPr="00AC5DE7">
        <w:rPr>
          <w:i/>
          <w:lang w:val="es-ES"/>
        </w:rPr>
        <w:t>S. c. Hungría</w:t>
      </w:r>
      <w:r w:rsidRPr="00AC5DE7">
        <w:rPr>
          <w:lang w:val="es-ES"/>
        </w:rPr>
        <w:t>, núm.</w:t>
      </w:r>
      <w:r w:rsidR="001E4713">
        <w:rPr>
          <w:lang w:val="es-ES"/>
        </w:rPr>
        <w:t xml:space="preserve"> </w:t>
      </w:r>
      <w:r w:rsidRPr="00AC5DE7">
        <w:rPr>
          <w:lang w:val="es-ES"/>
        </w:rPr>
        <w:t xml:space="preserve">565/2013, </w:t>
      </w:r>
      <w:r w:rsidRPr="00AC5DE7">
        <w:rPr>
          <w:i/>
          <w:lang w:val="es-ES"/>
        </w:rPr>
        <w:t>S.</w:t>
      </w:r>
      <w:r w:rsidR="0078513C">
        <w:rPr>
          <w:i/>
          <w:lang w:val="es-ES"/>
        </w:rPr>
        <w:t> </w:t>
      </w:r>
      <w:r w:rsidRPr="00AC5DE7">
        <w:rPr>
          <w:i/>
          <w:lang w:val="es-ES"/>
        </w:rPr>
        <w:t>A.</w:t>
      </w:r>
      <w:r w:rsidR="0078513C">
        <w:rPr>
          <w:i/>
          <w:lang w:val="es-ES"/>
        </w:rPr>
        <w:t> </w:t>
      </w:r>
      <w:r w:rsidRPr="00AC5DE7">
        <w:rPr>
          <w:i/>
          <w:lang w:val="es-ES"/>
        </w:rPr>
        <w:t>P. y otros c. Suiza</w:t>
      </w:r>
      <w:r w:rsidRPr="00AC5DE7">
        <w:rPr>
          <w:lang w:val="es-ES"/>
        </w:rPr>
        <w:t>, núm.</w:t>
      </w:r>
      <w:r w:rsidR="001E4713">
        <w:rPr>
          <w:lang w:val="es-ES"/>
        </w:rPr>
        <w:t xml:space="preserve"> </w:t>
      </w:r>
      <w:r w:rsidRPr="00AC5DE7">
        <w:rPr>
          <w:lang w:val="es-ES"/>
        </w:rPr>
        <w:t xml:space="preserve">591/2014, </w:t>
      </w:r>
      <w:r w:rsidRPr="00AC5DE7">
        <w:rPr>
          <w:i/>
          <w:lang w:val="es-ES"/>
        </w:rPr>
        <w:t>K.</w:t>
      </w:r>
      <w:r w:rsidR="00962428">
        <w:rPr>
          <w:i/>
          <w:lang w:val="es-ES"/>
        </w:rPr>
        <w:t xml:space="preserve"> </w:t>
      </w:r>
      <w:r w:rsidRPr="00AC5DE7">
        <w:rPr>
          <w:i/>
          <w:lang w:val="es-ES"/>
        </w:rPr>
        <w:t>N. c. Australia</w:t>
      </w:r>
      <w:r w:rsidRPr="00AC5DE7">
        <w:rPr>
          <w:lang w:val="es-ES"/>
        </w:rPr>
        <w:t>, y núm.</w:t>
      </w:r>
      <w:r w:rsidR="001E4713">
        <w:rPr>
          <w:lang w:val="es-ES"/>
        </w:rPr>
        <w:t xml:space="preserve"> </w:t>
      </w:r>
      <w:r w:rsidRPr="00AC5DE7">
        <w:rPr>
          <w:lang w:val="es-ES"/>
        </w:rPr>
        <w:t xml:space="preserve">594/2014, </w:t>
      </w:r>
      <w:r w:rsidRPr="00AC5DE7">
        <w:rPr>
          <w:i/>
          <w:lang w:val="es-ES"/>
        </w:rPr>
        <w:t>B.</w:t>
      </w:r>
      <w:r w:rsidR="00962428">
        <w:rPr>
          <w:i/>
          <w:lang w:val="es-ES"/>
        </w:rPr>
        <w:t xml:space="preserve"> </w:t>
      </w:r>
      <w:r w:rsidRPr="00AC5DE7">
        <w:rPr>
          <w:i/>
          <w:lang w:val="es-ES"/>
        </w:rPr>
        <w:t>M.</w:t>
      </w:r>
      <w:r w:rsidR="00962428">
        <w:rPr>
          <w:i/>
          <w:lang w:val="es-ES"/>
        </w:rPr>
        <w:t xml:space="preserve"> </w:t>
      </w:r>
      <w:r w:rsidRPr="00AC5DE7">
        <w:rPr>
          <w:i/>
          <w:lang w:val="es-ES"/>
        </w:rPr>
        <w:t>S. c. Suecia.</w:t>
      </w:r>
    </w:p>
    <w:p w:rsidR="00AC5DE7" w:rsidRPr="00AC5DE7" w:rsidRDefault="00AC5DE7" w:rsidP="00AC5DE7">
      <w:pPr>
        <w:pStyle w:val="SingleTxtG"/>
        <w:rPr>
          <w:lang w:val="es-ES"/>
        </w:rPr>
      </w:pPr>
      <w:r w:rsidRPr="00AC5DE7">
        <w:rPr>
          <w:lang w:val="es-ES"/>
        </w:rPr>
        <w:t>71.</w:t>
      </w:r>
      <w:r w:rsidRPr="00AC5DE7">
        <w:rPr>
          <w:lang w:val="es-ES"/>
        </w:rPr>
        <w:tab/>
        <w:t xml:space="preserve">El Comité dictaminó que el retorno forzoso de los autores de la queja constituiría una infracción por los Estados partes del artículo 3 de la Convención en sus decisiones relativas a las comunicaciones núm. 569/2013, </w:t>
      </w:r>
      <w:r w:rsidRPr="00AC5DE7">
        <w:rPr>
          <w:i/>
          <w:lang w:val="es-ES"/>
        </w:rPr>
        <w:t>M.</w:t>
      </w:r>
      <w:r w:rsidR="0078513C">
        <w:rPr>
          <w:i/>
          <w:lang w:val="es-ES"/>
        </w:rPr>
        <w:t xml:space="preserve"> </w:t>
      </w:r>
      <w:r w:rsidRPr="00AC5DE7">
        <w:rPr>
          <w:i/>
          <w:lang w:val="es-ES"/>
        </w:rPr>
        <w:t>C</w:t>
      </w:r>
      <w:r w:rsidRPr="00AC5DE7">
        <w:rPr>
          <w:lang w:val="es-ES"/>
        </w:rPr>
        <w:t>.</w:t>
      </w:r>
      <w:r w:rsidRPr="00AC5DE7">
        <w:rPr>
          <w:i/>
          <w:lang w:val="es-ES"/>
        </w:rPr>
        <w:t xml:space="preserve"> c. los Países Bajos</w:t>
      </w:r>
      <w:r w:rsidRPr="00AC5DE7">
        <w:rPr>
          <w:lang w:val="es-ES"/>
        </w:rPr>
        <w:t>, núm.</w:t>
      </w:r>
      <w:r w:rsidR="001E4713">
        <w:rPr>
          <w:lang w:val="es-ES"/>
        </w:rPr>
        <w:t xml:space="preserve"> </w:t>
      </w:r>
      <w:r w:rsidRPr="00AC5DE7">
        <w:rPr>
          <w:lang w:val="es-ES"/>
        </w:rPr>
        <w:t xml:space="preserve">586/2014, </w:t>
      </w:r>
      <w:r w:rsidRPr="00AC5DE7">
        <w:rPr>
          <w:i/>
          <w:lang w:val="es-ES"/>
        </w:rPr>
        <w:t>R.</w:t>
      </w:r>
      <w:r w:rsidR="0078513C">
        <w:rPr>
          <w:i/>
          <w:lang w:val="es-ES"/>
        </w:rPr>
        <w:t xml:space="preserve"> </w:t>
      </w:r>
      <w:r w:rsidRPr="00AC5DE7">
        <w:rPr>
          <w:i/>
          <w:lang w:val="es-ES"/>
        </w:rPr>
        <w:t>G. y otros c. Suecia</w:t>
      </w:r>
      <w:r w:rsidRPr="00AC5DE7">
        <w:rPr>
          <w:lang w:val="es-ES"/>
        </w:rPr>
        <w:t>, núm.</w:t>
      </w:r>
      <w:r w:rsidR="001E4713">
        <w:rPr>
          <w:lang w:val="es-ES"/>
        </w:rPr>
        <w:t xml:space="preserve"> </w:t>
      </w:r>
      <w:r w:rsidRPr="00AC5DE7">
        <w:rPr>
          <w:lang w:val="es-ES"/>
        </w:rPr>
        <w:t xml:space="preserve">523/2012, </w:t>
      </w:r>
      <w:r w:rsidRPr="00AC5DE7">
        <w:rPr>
          <w:i/>
          <w:lang w:val="es-ES"/>
        </w:rPr>
        <w:t>X. c. Finlandia</w:t>
      </w:r>
      <w:r w:rsidRPr="00AC5DE7">
        <w:rPr>
          <w:lang w:val="es-ES"/>
        </w:rPr>
        <w:t>, núm.</w:t>
      </w:r>
      <w:r w:rsidR="001E4713">
        <w:rPr>
          <w:lang w:val="es-ES"/>
        </w:rPr>
        <w:t xml:space="preserve"> </w:t>
      </w:r>
      <w:r w:rsidRPr="00AC5DE7">
        <w:rPr>
          <w:lang w:val="es-ES"/>
        </w:rPr>
        <w:t xml:space="preserve">562/2013, </w:t>
      </w:r>
      <w:r w:rsidRPr="00AC5DE7">
        <w:rPr>
          <w:i/>
          <w:lang w:val="es-ES"/>
        </w:rPr>
        <w:t>J.</w:t>
      </w:r>
      <w:r w:rsidR="0078513C">
        <w:rPr>
          <w:i/>
          <w:lang w:val="es-ES"/>
        </w:rPr>
        <w:t xml:space="preserve"> </w:t>
      </w:r>
      <w:r w:rsidRPr="00AC5DE7">
        <w:rPr>
          <w:i/>
          <w:lang w:val="es-ES"/>
        </w:rPr>
        <w:t>K. c. el Canadá</w:t>
      </w:r>
      <w:r w:rsidRPr="00AC5DE7">
        <w:rPr>
          <w:lang w:val="es-ES"/>
        </w:rPr>
        <w:t>, núm.</w:t>
      </w:r>
      <w:r w:rsidR="001E4713">
        <w:rPr>
          <w:lang w:val="es-ES"/>
        </w:rPr>
        <w:t xml:space="preserve"> </w:t>
      </w:r>
      <w:r w:rsidRPr="00AC5DE7">
        <w:rPr>
          <w:lang w:val="es-ES"/>
        </w:rPr>
        <w:t xml:space="preserve">613/2014, </w:t>
      </w:r>
      <w:r w:rsidRPr="00AC5DE7">
        <w:rPr>
          <w:i/>
          <w:lang w:val="es-ES"/>
        </w:rPr>
        <w:t>F.</w:t>
      </w:r>
      <w:r w:rsidR="0078513C">
        <w:rPr>
          <w:i/>
          <w:lang w:val="es-ES"/>
        </w:rPr>
        <w:t xml:space="preserve"> </w:t>
      </w:r>
      <w:r w:rsidRPr="00AC5DE7">
        <w:rPr>
          <w:i/>
          <w:lang w:val="es-ES"/>
        </w:rPr>
        <w:t>B. c. los Países Bajos</w:t>
      </w:r>
      <w:r w:rsidRPr="00AC5DE7">
        <w:rPr>
          <w:lang w:val="es-ES"/>
        </w:rPr>
        <w:t>, y núm.</w:t>
      </w:r>
      <w:r w:rsidR="001E4713">
        <w:rPr>
          <w:lang w:val="es-ES"/>
        </w:rPr>
        <w:t xml:space="preserve"> </w:t>
      </w:r>
      <w:r w:rsidRPr="00AC5DE7">
        <w:rPr>
          <w:lang w:val="es-ES"/>
        </w:rPr>
        <w:t xml:space="preserve">580/2014, </w:t>
      </w:r>
      <w:r w:rsidRPr="00AC5DE7">
        <w:rPr>
          <w:i/>
          <w:lang w:val="es-ES"/>
        </w:rPr>
        <w:t>F.</w:t>
      </w:r>
      <w:r w:rsidR="0078513C">
        <w:rPr>
          <w:i/>
          <w:lang w:val="es-ES"/>
        </w:rPr>
        <w:t xml:space="preserve"> </w:t>
      </w:r>
      <w:r w:rsidRPr="00AC5DE7">
        <w:rPr>
          <w:i/>
          <w:lang w:val="es-ES"/>
        </w:rPr>
        <w:t>K. c. Dinamarca</w:t>
      </w:r>
      <w:r w:rsidRPr="00AC5DE7">
        <w:rPr>
          <w:lang w:val="es-ES"/>
        </w:rPr>
        <w:t>. En relación con la comunicación núm.</w:t>
      </w:r>
      <w:r w:rsidR="001E4713">
        <w:rPr>
          <w:lang w:val="es-ES"/>
        </w:rPr>
        <w:t xml:space="preserve"> </w:t>
      </w:r>
      <w:r w:rsidRPr="00AC5DE7">
        <w:rPr>
          <w:lang w:val="es-ES"/>
        </w:rPr>
        <w:t xml:space="preserve">580/2014, </w:t>
      </w:r>
      <w:r w:rsidRPr="00AC5DE7">
        <w:rPr>
          <w:i/>
          <w:lang w:val="es-ES"/>
        </w:rPr>
        <w:t>F.</w:t>
      </w:r>
      <w:r w:rsidR="0078513C">
        <w:rPr>
          <w:i/>
          <w:lang w:val="es-ES"/>
        </w:rPr>
        <w:t xml:space="preserve"> </w:t>
      </w:r>
      <w:r w:rsidRPr="00AC5DE7">
        <w:rPr>
          <w:i/>
          <w:lang w:val="es-ES"/>
        </w:rPr>
        <w:t>K. c. Dinamarca</w:t>
      </w:r>
      <w:r w:rsidRPr="00AC5DE7">
        <w:rPr>
          <w:lang w:val="es-ES"/>
        </w:rPr>
        <w:t xml:space="preserve">, el Comité consideró que se había vulnerado el artículo 12, leído conjuntamente con el artículo 16 de la Convención, porque las autoridades del Estado parte no habían investigado las denuncias de malos tratos. En relación con la comunicación núm. 578/2013, </w:t>
      </w:r>
      <w:r w:rsidRPr="00AC5DE7">
        <w:rPr>
          <w:i/>
          <w:lang w:val="es-ES"/>
        </w:rPr>
        <w:t>E.</w:t>
      </w:r>
      <w:r w:rsidR="0078513C">
        <w:rPr>
          <w:i/>
          <w:lang w:val="es-ES"/>
        </w:rPr>
        <w:t xml:space="preserve"> </w:t>
      </w:r>
      <w:r w:rsidRPr="00AC5DE7">
        <w:rPr>
          <w:i/>
          <w:lang w:val="es-ES"/>
        </w:rPr>
        <w:t>N. c. Burundi</w:t>
      </w:r>
      <w:r w:rsidRPr="00AC5DE7">
        <w:rPr>
          <w:lang w:val="es-ES"/>
        </w:rPr>
        <w:t xml:space="preserve">, el Comité consideró que se habían vulnerado el artículo 1; el artículo 2, párrafo 1, leído conjuntamente con el artículo 1; y los artículos 11 a 14 de la Convención. En relación con la comunicación núm. 671/2015, </w:t>
      </w:r>
      <w:r w:rsidRPr="00AC5DE7">
        <w:rPr>
          <w:i/>
          <w:lang w:val="es-ES"/>
        </w:rPr>
        <w:t>D.</w:t>
      </w:r>
      <w:r w:rsidR="0078513C">
        <w:rPr>
          <w:i/>
          <w:lang w:val="es-ES"/>
        </w:rPr>
        <w:t xml:space="preserve"> </w:t>
      </w:r>
      <w:r w:rsidRPr="00AC5DE7">
        <w:rPr>
          <w:i/>
          <w:lang w:val="es-ES"/>
        </w:rPr>
        <w:t>I.</w:t>
      </w:r>
      <w:r w:rsidR="0078513C">
        <w:rPr>
          <w:i/>
          <w:lang w:val="es-ES"/>
        </w:rPr>
        <w:t xml:space="preserve"> </w:t>
      </w:r>
      <w:r w:rsidRPr="00AC5DE7">
        <w:rPr>
          <w:i/>
          <w:lang w:val="es-ES"/>
        </w:rPr>
        <w:t>S. c. Hungría</w:t>
      </w:r>
      <w:r w:rsidRPr="00AC5DE7">
        <w:rPr>
          <w:lang w:val="es-ES"/>
        </w:rPr>
        <w:t>, el Comité determinó que se había vulnerado el artículo 22 de la Convención porque el Estado parte no había cooperado ni atendido a las solicitudes del Comité de que adoptase medidas provisionales.</w:t>
      </w:r>
    </w:p>
    <w:p w:rsidR="00AC5DE7" w:rsidRPr="00AC5DE7" w:rsidRDefault="00AC5DE7" w:rsidP="00AC5DE7">
      <w:pPr>
        <w:pStyle w:val="SingleTxtG"/>
        <w:rPr>
          <w:i/>
          <w:lang w:val="es-ES"/>
        </w:rPr>
      </w:pPr>
      <w:r w:rsidRPr="00AC5DE7">
        <w:rPr>
          <w:lang w:val="es-ES"/>
        </w:rPr>
        <w:t>72.</w:t>
      </w:r>
      <w:r w:rsidRPr="00AC5DE7">
        <w:rPr>
          <w:lang w:val="es-ES"/>
        </w:rPr>
        <w:tab/>
        <w:t xml:space="preserve">El Comité dictaminó que el retorno forzoso de los autores de la queja no constituiría una infracción por los Estados partes del artículo 3 de la Convención en sus decisiones relativas a las comunicaciones núm. 565/2013, </w:t>
      </w:r>
      <w:r w:rsidRPr="00AC5DE7">
        <w:rPr>
          <w:i/>
          <w:lang w:val="es-ES"/>
        </w:rPr>
        <w:t>S.</w:t>
      </w:r>
      <w:r w:rsidR="0078513C">
        <w:rPr>
          <w:i/>
          <w:lang w:val="es-ES"/>
        </w:rPr>
        <w:t xml:space="preserve"> </w:t>
      </w:r>
      <w:r w:rsidRPr="00AC5DE7">
        <w:rPr>
          <w:i/>
          <w:lang w:val="es-ES"/>
        </w:rPr>
        <w:t>A.</w:t>
      </w:r>
      <w:r w:rsidR="0078513C">
        <w:rPr>
          <w:i/>
          <w:lang w:val="es-ES"/>
        </w:rPr>
        <w:t xml:space="preserve"> </w:t>
      </w:r>
      <w:r w:rsidRPr="00AC5DE7">
        <w:rPr>
          <w:i/>
          <w:lang w:val="es-ES"/>
        </w:rPr>
        <w:t>P. y otros c. Suiza</w:t>
      </w:r>
      <w:r w:rsidRPr="00AC5DE7">
        <w:rPr>
          <w:lang w:val="es-ES"/>
        </w:rPr>
        <w:t>, núm.</w:t>
      </w:r>
      <w:r w:rsidR="001E4713">
        <w:rPr>
          <w:lang w:val="es-ES"/>
        </w:rPr>
        <w:t xml:space="preserve"> </w:t>
      </w:r>
      <w:r w:rsidRPr="00AC5DE7">
        <w:rPr>
          <w:lang w:val="es-ES"/>
        </w:rPr>
        <w:t xml:space="preserve">591/2014, </w:t>
      </w:r>
      <w:r w:rsidRPr="00AC5DE7">
        <w:rPr>
          <w:i/>
          <w:lang w:val="es-ES"/>
        </w:rPr>
        <w:t>K.</w:t>
      </w:r>
      <w:r w:rsidR="0078513C">
        <w:rPr>
          <w:i/>
          <w:lang w:val="es-ES"/>
        </w:rPr>
        <w:t> </w:t>
      </w:r>
      <w:r w:rsidRPr="00AC5DE7">
        <w:rPr>
          <w:i/>
          <w:lang w:val="es-ES"/>
        </w:rPr>
        <w:t>N. c. Australia</w:t>
      </w:r>
      <w:r w:rsidRPr="00AC5DE7">
        <w:rPr>
          <w:lang w:val="es-ES"/>
        </w:rPr>
        <w:t>, y núm.</w:t>
      </w:r>
      <w:r w:rsidR="001E4713">
        <w:rPr>
          <w:lang w:val="es-ES"/>
        </w:rPr>
        <w:t xml:space="preserve"> </w:t>
      </w:r>
      <w:r w:rsidRPr="00AC5DE7">
        <w:rPr>
          <w:lang w:val="es-ES"/>
        </w:rPr>
        <w:t xml:space="preserve">594/2014, </w:t>
      </w:r>
      <w:r w:rsidRPr="00AC5DE7">
        <w:rPr>
          <w:i/>
          <w:lang w:val="es-ES"/>
        </w:rPr>
        <w:t>B.</w:t>
      </w:r>
      <w:r w:rsidR="0078513C">
        <w:rPr>
          <w:i/>
          <w:lang w:val="es-ES"/>
        </w:rPr>
        <w:t xml:space="preserve"> </w:t>
      </w:r>
      <w:r w:rsidRPr="00AC5DE7">
        <w:rPr>
          <w:i/>
          <w:lang w:val="es-ES"/>
        </w:rPr>
        <w:t>M.</w:t>
      </w:r>
      <w:r w:rsidR="0078513C">
        <w:rPr>
          <w:i/>
          <w:lang w:val="es-ES"/>
        </w:rPr>
        <w:t xml:space="preserve"> </w:t>
      </w:r>
      <w:r w:rsidRPr="00AC5DE7">
        <w:rPr>
          <w:i/>
          <w:lang w:val="es-ES"/>
        </w:rPr>
        <w:t>S. c. Suecia.</w:t>
      </w:r>
    </w:p>
    <w:p w:rsidR="00AC5DE7" w:rsidRPr="00AC5DE7" w:rsidRDefault="00AC5DE7" w:rsidP="00AC5DE7">
      <w:pPr>
        <w:pStyle w:val="SingleTxtG"/>
        <w:rPr>
          <w:lang w:val="es-ES"/>
        </w:rPr>
      </w:pPr>
      <w:r w:rsidRPr="00AC5DE7">
        <w:rPr>
          <w:lang w:val="es-ES"/>
        </w:rPr>
        <w:t>73.</w:t>
      </w:r>
      <w:r w:rsidRPr="00AC5DE7">
        <w:rPr>
          <w:lang w:val="es-ES"/>
        </w:rPr>
        <w:tab/>
        <w:t xml:space="preserve">Además, el Comité determinó que seis comunicaciones, a saber las comunicaciones núm. 577/2013, </w:t>
      </w:r>
      <w:r w:rsidRPr="00AC5DE7">
        <w:rPr>
          <w:i/>
          <w:lang w:val="es-ES"/>
        </w:rPr>
        <w:t>N.</w:t>
      </w:r>
      <w:r w:rsidR="009E5BE3">
        <w:rPr>
          <w:i/>
          <w:lang w:val="es-ES"/>
        </w:rPr>
        <w:t xml:space="preserve"> </w:t>
      </w:r>
      <w:r w:rsidRPr="00AC5DE7">
        <w:rPr>
          <w:i/>
          <w:lang w:val="es-ES"/>
        </w:rPr>
        <w:t>B. c. la Federación de Rusia</w:t>
      </w:r>
      <w:r w:rsidRPr="00AC5DE7">
        <w:rPr>
          <w:lang w:val="es-ES"/>
        </w:rPr>
        <w:t xml:space="preserve">, </w:t>
      </w:r>
      <w:proofErr w:type="gramStart"/>
      <w:r w:rsidRPr="00AC5DE7">
        <w:rPr>
          <w:lang w:val="es-ES"/>
        </w:rPr>
        <w:t>núm .</w:t>
      </w:r>
      <w:proofErr w:type="gramEnd"/>
      <w:r w:rsidR="001E4713">
        <w:rPr>
          <w:lang w:val="es-ES"/>
        </w:rPr>
        <w:t xml:space="preserve"> </w:t>
      </w:r>
      <w:r w:rsidRPr="00AC5DE7">
        <w:rPr>
          <w:lang w:val="es-ES"/>
        </w:rPr>
        <w:t xml:space="preserve">604/2014, </w:t>
      </w:r>
      <w:r w:rsidRPr="00AC5DE7">
        <w:rPr>
          <w:i/>
          <w:lang w:val="es-ES"/>
        </w:rPr>
        <w:t>H.</w:t>
      </w:r>
      <w:r w:rsidR="0078513C">
        <w:rPr>
          <w:i/>
          <w:lang w:val="es-ES"/>
        </w:rPr>
        <w:t xml:space="preserve"> </w:t>
      </w:r>
      <w:r w:rsidRPr="00AC5DE7">
        <w:rPr>
          <w:i/>
          <w:lang w:val="es-ES"/>
        </w:rPr>
        <w:t>Z. c. el Canadá</w:t>
      </w:r>
      <w:r w:rsidRPr="00AC5DE7">
        <w:rPr>
          <w:lang w:val="es-ES"/>
        </w:rPr>
        <w:t>, núm.</w:t>
      </w:r>
      <w:r w:rsidR="0078513C">
        <w:rPr>
          <w:lang w:val="es-ES"/>
        </w:rPr>
        <w:t> </w:t>
      </w:r>
      <w:r w:rsidRPr="00AC5DE7">
        <w:rPr>
          <w:lang w:val="es-ES"/>
        </w:rPr>
        <w:t xml:space="preserve">635/2014, </w:t>
      </w:r>
      <w:r w:rsidRPr="00AC5DE7">
        <w:rPr>
          <w:i/>
          <w:lang w:val="es-ES"/>
        </w:rPr>
        <w:t>M.</w:t>
      </w:r>
      <w:r w:rsidR="0078513C">
        <w:rPr>
          <w:i/>
          <w:lang w:val="es-ES"/>
        </w:rPr>
        <w:t xml:space="preserve"> </w:t>
      </w:r>
      <w:r w:rsidRPr="00AC5DE7">
        <w:rPr>
          <w:i/>
          <w:lang w:val="es-ES"/>
        </w:rPr>
        <w:t>K. y B.</w:t>
      </w:r>
      <w:r w:rsidR="0078513C">
        <w:rPr>
          <w:i/>
          <w:lang w:val="es-ES"/>
        </w:rPr>
        <w:t xml:space="preserve"> </w:t>
      </w:r>
      <w:r w:rsidRPr="00AC5DE7">
        <w:rPr>
          <w:i/>
          <w:lang w:val="es-ES"/>
        </w:rPr>
        <w:t>B. c. Suiza</w:t>
      </w:r>
      <w:r w:rsidRPr="00AC5DE7">
        <w:rPr>
          <w:lang w:val="es-ES"/>
        </w:rPr>
        <w:t>, núm.</w:t>
      </w:r>
      <w:r w:rsidR="001E4713">
        <w:rPr>
          <w:lang w:val="es-ES"/>
        </w:rPr>
        <w:t xml:space="preserve"> </w:t>
      </w:r>
      <w:r w:rsidRPr="00AC5DE7">
        <w:rPr>
          <w:lang w:val="es-ES"/>
        </w:rPr>
        <w:t xml:space="preserve">643/2014, </w:t>
      </w:r>
      <w:r w:rsidRPr="00AC5DE7">
        <w:rPr>
          <w:i/>
          <w:lang w:val="es-ES"/>
        </w:rPr>
        <w:t>U.</w:t>
      </w:r>
      <w:r w:rsidR="0078513C">
        <w:rPr>
          <w:i/>
          <w:lang w:val="es-ES"/>
        </w:rPr>
        <w:t xml:space="preserve"> </w:t>
      </w:r>
      <w:r w:rsidRPr="00AC5DE7">
        <w:rPr>
          <w:i/>
          <w:lang w:val="es-ES"/>
        </w:rPr>
        <w:t>A. c. Suecia</w:t>
      </w:r>
      <w:r w:rsidRPr="00AC5DE7">
        <w:rPr>
          <w:lang w:val="es-ES"/>
        </w:rPr>
        <w:t>, núm.</w:t>
      </w:r>
      <w:r w:rsidR="001E4713">
        <w:rPr>
          <w:lang w:val="es-ES"/>
        </w:rPr>
        <w:t xml:space="preserve"> </w:t>
      </w:r>
      <w:r w:rsidRPr="00AC5DE7">
        <w:rPr>
          <w:lang w:val="es-ES"/>
        </w:rPr>
        <w:t xml:space="preserve">536/2013, </w:t>
      </w:r>
      <w:r w:rsidRPr="00AC5DE7">
        <w:rPr>
          <w:i/>
          <w:lang w:val="es-ES"/>
        </w:rPr>
        <w:t>H.</w:t>
      </w:r>
      <w:r w:rsidR="0078513C">
        <w:rPr>
          <w:i/>
          <w:lang w:val="es-ES"/>
        </w:rPr>
        <w:t> </w:t>
      </w:r>
      <w:r w:rsidRPr="00AC5DE7">
        <w:rPr>
          <w:i/>
          <w:lang w:val="es-ES"/>
        </w:rPr>
        <w:t>B.</w:t>
      </w:r>
      <w:r w:rsidR="0078513C">
        <w:rPr>
          <w:i/>
          <w:lang w:val="es-ES"/>
        </w:rPr>
        <w:t xml:space="preserve"> </w:t>
      </w:r>
      <w:r w:rsidRPr="00AC5DE7">
        <w:rPr>
          <w:i/>
          <w:lang w:val="es-ES"/>
        </w:rPr>
        <w:t>A. y otros c. el Canadá</w:t>
      </w:r>
      <w:r w:rsidRPr="00AC5DE7">
        <w:rPr>
          <w:lang w:val="es-ES"/>
        </w:rPr>
        <w:t>, y núm.</w:t>
      </w:r>
      <w:r w:rsidR="001E4713">
        <w:rPr>
          <w:lang w:val="es-ES"/>
        </w:rPr>
        <w:t xml:space="preserve"> </w:t>
      </w:r>
      <w:r w:rsidRPr="00AC5DE7">
        <w:rPr>
          <w:lang w:val="es-ES"/>
        </w:rPr>
        <w:t xml:space="preserve">545/2013, </w:t>
      </w:r>
      <w:r w:rsidRPr="00AC5DE7">
        <w:rPr>
          <w:i/>
          <w:lang w:val="es-ES"/>
        </w:rPr>
        <w:t>Z. c. Suiza</w:t>
      </w:r>
      <w:r w:rsidRPr="00AC5DE7">
        <w:rPr>
          <w:lang w:val="es-ES"/>
        </w:rPr>
        <w:t xml:space="preserve">, eran inadmisibles y suspendió el examen de las comunicaciones núm. 358/2008, </w:t>
      </w:r>
      <w:r w:rsidRPr="00AC5DE7">
        <w:rPr>
          <w:i/>
          <w:lang w:val="es-ES"/>
        </w:rPr>
        <w:t>A.</w:t>
      </w:r>
      <w:r w:rsidR="0078513C">
        <w:rPr>
          <w:i/>
          <w:lang w:val="es-ES"/>
        </w:rPr>
        <w:t xml:space="preserve"> </w:t>
      </w:r>
      <w:r w:rsidRPr="00AC5DE7">
        <w:rPr>
          <w:i/>
          <w:lang w:val="es-ES"/>
        </w:rPr>
        <w:t>S. c. el Canadá</w:t>
      </w:r>
      <w:r w:rsidRPr="00AC5DE7">
        <w:rPr>
          <w:lang w:val="es-ES"/>
        </w:rPr>
        <w:t>, núm.</w:t>
      </w:r>
      <w:r w:rsidR="001E4713">
        <w:rPr>
          <w:lang w:val="es-ES"/>
        </w:rPr>
        <w:t xml:space="preserve"> </w:t>
      </w:r>
      <w:r w:rsidRPr="00AC5DE7">
        <w:rPr>
          <w:lang w:val="es-ES"/>
        </w:rPr>
        <w:t xml:space="preserve">403/2009, </w:t>
      </w:r>
      <w:r w:rsidRPr="00AC5DE7">
        <w:rPr>
          <w:i/>
          <w:lang w:val="es-ES"/>
        </w:rPr>
        <w:t>Y.</w:t>
      </w:r>
      <w:r w:rsidR="0078513C">
        <w:rPr>
          <w:i/>
          <w:lang w:val="es-ES"/>
        </w:rPr>
        <w:t> N. </w:t>
      </w:r>
      <w:r w:rsidRPr="00AC5DE7">
        <w:rPr>
          <w:i/>
          <w:lang w:val="es-ES"/>
        </w:rPr>
        <w:t>c. Suiza</w:t>
      </w:r>
      <w:r w:rsidRPr="00AC5DE7">
        <w:rPr>
          <w:lang w:val="es-ES"/>
        </w:rPr>
        <w:t>, núm.</w:t>
      </w:r>
      <w:r w:rsidR="001E4713">
        <w:rPr>
          <w:lang w:val="es-ES"/>
        </w:rPr>
        <w:t xml:space="preserve"> </w:t>
      </w:r>
      <w:r w:rsidRPr="00AC5DE7">
        <w:rPr>
          <w:lang w:val="es-ES"/>
        </w:rPr>
        <w:t xml:space="preserve">410/2010, </w:t>
      </w:r>
      <w:r w:rsidRPr="00AC5DE7">
        <w:rPr>
          <w:i/>
          <w:lang w:val="es-ES"/>
        </w:rPr>
        <w:t>H.</w:t>
      </w:r>
      <w:r w:rsidR="0078513C">
        <w:rPr>
          <w:i/>
          <w:lang w:val="es-ES"/>
        </w:rPr>
        <w:t xml:space="preserve"> </w:t>
      </w:r>
      <w:r w:rsidRPr="00AC5DE7">
        <w:rPr>
          <w:i/>
          <w:lang w:val="es-ES"/>
        </w:rPr>
        <w:t>S. y otros c. el Canadá</w:t>
      </w:r>
      <w:r w:rsidRPr="00AC5DE7">
        <w:rPr>
          <w:lang w:val="es-ES"/>
        </w:rPr>
        <w:t>, núm.</w:t>
      </w:r>
      <w:r w:rsidR="001E4713">
        <w:rPr>
          <w:lang w:val="es-ES"/>
        </w:rPr>
        <w:t xml:space="preserve"> </w:t>
      </w:r>
      <w:r w:rsidRPr="00AC5DE7">
        <w:rPr>
          <w:lang w:val="es-ES"/>
        </w:rPr>
        <w:t xml:space="preserve">563/2013, </w:t>
      </w:r>
      <w:r w:rsidRPr="00AC5DE7">
        <w:rPr>
          <w:i/>
          <w:lang w:val="es-ES"/>
        </w:rPr>
        <w:t>N.</w:t>
      </w:r>
      <w:r w:rsidR="0078513C">
        <w:rPr>
          <w:i/>
          <w:lang w:val="es-ES"/>
        </w:rPr>
        <w:t xml:space="preserve"> </w:t>
      </w:r>
      <w:r w:rsidRPr="00AC5DE7">
        <w:rPr>
          <w:i/>
          <w:lang w:val="es-ES"/>
        </w:rPr>
        <w:t>S. c. el Canadá</w:t>
      </w:r>
      <w:r w:rsidRPr="00AC5DE7">
        <w:rPr>
          <w:lang w:val="es-ES"/>
        </w:rPr>
        <w:t>, núm.</w:t>
      </w:r>
      <w:r w:rsidR="001E4713">
        <w:rPr>
          <w:lang w:val="es-ES"/>
        </w:rPr>
        <w:t xml:space="preserve"> </w:t>
      </w:r>
      <w:r w:rsidRPr="00AC5DE7">
        <w:rPr>
          <w:lang w:val="es-ES"/>
        </w:rPr>
        <w:t xml:space="preserve">564/2013, </w:t>
      </w:r>
      <w:r w:rsidRPr="00AC5DE7">
        <w:rPr>
          <w:i/>
          <w:lang w:val="es-ES"/>
        </w:rPr>
        <w:t>A.</w:t>
      </w:r>
      <w:r w:rsidR="0078513C">
        <w:rPr>
          <w:i/>
          <w:lang w:val="es-ES"/>
        </w:rPr>
        <w:t xml:space="preserve"> </w:t>
      </w:r>
      <w:r w:rsidRPr="00AC5DE7">
        <w:rPr>
          <w:i/>
          <w:lang w:val="es-ES"/>
        </w:rPr>
        <w:t>A. c. Suecia</w:t>
      </w:r>
      <w:r w:rsidRPr="00AC5DE7">
        <w:rPr>
          <w:lang w:val="es-ES"/>
        </w:rPr>
        <w:t>, núm.</w:t>
      </w:r>
      <w:r w:rsidR="001E4713">
        <w:rPr>
          <w:lang w:val="es-ES"/>
        </w:rPr>
        <w:t xml:space="preserve"> </w:t>
      </w:r>
      <w:r w:rsidRPr="00AC5DE7">
        <w:rPr>
          <w:lang w:val="es-ES"/>
        </w:rPr>
        <w:t xml:space="preserve">570/2013, </w:t>
      </w:r>
      <w:r w:rsidRPr="00AC5DE7">
        <w:rPr>
          <w:i/>
          <w:lang w:val="es-ES"/>
        </w:rPr>
        <w:t>G.</w:t>
      </w:r>
      <w:r w:rsidR="0078513C">
        <w:rPr>
          <w:i/>
          <w:lang w:val="es-ES"/>
        </w:rPr>
        <w:t xml:space="preserve"> </w:t>
      </w:r>
      <w:r w:rsidRPr="00AC5DE7">
        <w:rPr>
          <w:i/>
          <w:lang w:val="es-ES"/>
        </w:rPr>
        <w:t>M. c. Suiza</w:t>
      </w:r>
      <w:r w:rsidRPr="00AC5DE7">
        <w:rPr>
          <w:lang w:val="es-ES"/>
        </w:rPr>
        <w:t>, núm.</w:t>
      </w:r>
      <w:r w:rsidR="001E4713">
        <w:rPr>
          <w:lang w:val="es-ES"/>
        </w:rPr>
        <w:t xml:space="preserve"> </w:t>
      </w:r>
      <w:r w:rsidRPr="00AC5DE7">
        <w:rPr>
          <w:lang w:val="es-ES"/>
        </w:rPr>
        <w:t xml:space="preserve">587/2014, </w:t>
      </w:r>
      <w:r w:rsidRPr="00AC5DE7">
        <w:rPr>
          <w:i/>
          <w:lang w:val="es-ES"/>
        </w:rPr>
        <w:t>R.</w:t>
      </w:r>
      <w:r w:rsidR="0078513C">
        <w:rPr>
          <w:i/>
          <w:lang w:val="es-ES"/>
        </w:rPr>
        <w:t> </w:t>
      </w:r>
      <w:r w:rsidRPr="00AC5DE7">
        <w:rPr>
          <w:i/>
          <w:lang w:val="es-ES"/>
        </w:rPr>
        <w:t>U. y otros c. Suecia</w:t>
      </w:r>
      <w:r w:rsidRPr="00AC5DE7">
        <w:rPr>
          <w:lang w:val="es-ES"/>
        </w:rPr>
        <w:t>, núm.</w:t>
      </w:r>
      <w:r w:rsidR="001E4713">
        <w:rPr>
          <w:lang w:val="es-ES"/>
        </w:rPr>
        <w:t xml:space="preserve"> </w:t>
      </w:r>
      <w:r w:rsidRPr="00AC5DE7">
        <w:rPr>
          <w:lang w:val="es-ES"/>
        </w:rPr>
        <w:t xml:space="preserve">622/2014, </w:t>
      </w:r>
      <w:r w:rsidRPr="00AC5DE7">
        <w:rPr>
          <w:i/>
          <w:lang w:val="es-ES"/>
        </w:rPr>
        <w:t>S.</w:t>
      </w:r>
      <w:r w:rsidR="0078513C">
        <w:rPr>
          <w:i/>
          <w:lang w:val="es-ES"/>
        </w:rPr>
        <w:t xml:space="preserve"> </w:t>
      </w:r>
      <w:r w:rsidRPr="00AC5DE7">
        <w:rPr>
          <w:i/>
          <w:lang w:val="es-ES"/>
        </w:rPr>
        <w:t>O. c. Marruecos</w:t>
      </w:r>
      <w:r w:rsidRPr="00AC5DE7">
        <w:rPr>
          <w:lang w:val="es-ES"/>
        </w:rPr>
        <w:t>, núm.</w:t>
      </w:r>
      <w:r w:rsidR="001E4713">
        <w:rPr>
          <w:lang w:val="es-ES"/>
        </w:rPr>
        <w:t xml:space="preserve"> </w:t>
      </w:r>
      <w:r w:rsidRPr="00AC5DE7">
        <w:rPr>
          <w:lang w:val="es-ES"/>
        </w:rPr>
        <w:t xml:space="preserve">631/2014, </w:t>
      </w:r>
      <w:r w:rsidRPr="00AC5DE7">
        <w:rPr>
          <w:i/>
          <w:lang w:val="es-ES"/>
        </w:rPr>
        <w:t>D.</w:t>
      </w:r>
      <w:r w:rsidR="0078513C">
        <w:rPr>
          <w:i/>
          <w:lang w:val="es-ES"/>
        </w:rPr>
        <w:t> G. </w:t>
      </w:r>
      <w:r w:rsidRPr="00AC5DE7">
        <w:rPr>
          <w:i/>
          <w:lang w:val="es-ES"/>
        </w:rPr>
        <w:t>c.</w:t>
      </w:r>
      <w:r w:rsidR="0078513C">
        <w:rPr>
          <w:i/>
          <w:lang w:val="es-ES"/>
        </w:rPr>
        <w:t> </w:t>
      </w:r>
      <w:r w:rsidRPr="00AC5DE7">
        <w:rPr>
          <w:i/>
          <w:lang w:val="es-ES"/>
        </w:rPr>
        <w:t>Noruega</w:t>
      </w:r>
      <w:r w:rsidRPr="00AC5DE7">
        <w:rPr>
          <w:lang w:val="es-ES"/>
        </w:rPr>
        <w:t>, y núm.</w:t>
      </w:r>
      <w:r w:rsidR="001E4713">
        <w:rPr>
          <w:lang w:val="es-ES"/>
        </w:rPr>
        <w:t xml:space="preserve"> </w:t>
      </w:r>
      <w:r w:rsidRPr="00AC5DE7">
        <w:rPr>
          <w:lang w:val="es-ES"/>
        </w:rPr>
        <w:t xml:space="preserve">676/2015, </w:t>
      </w:r>
      <w:r w:rsidRPr="00AC5DE7">
        <w:rPr>
          <w:i/>
          <w:lang w:val="es-ES"/>
        </w:rPr>
        <w:t>A.</w:t>
      </w:r>
      <w:r w:rsidR="0078513C">
        <w:rPr>
          <w:i/>
          <w:lang w:val="es-ES"/>
        </w:rPr>
        <w:t xml:space="preserve"> </w:t>
      </w:r>
      <w:r w:rsidRPr="00AC5DE7">
        <w:rPr>
          <w:i/>
          <w:lang w:val="es-ES"/>
        </w:rPr>
        <w:t>L. c. Marruecos</w:t>
      </w:r>
      <w:r w:rsidRPr="00AC5DE7">
        <w:rPr>
          <w:lang w:val="es-ES"/>
        </w:rPr>
        <w:t>.</w:t>
      </w:r>
    </w:p>
    <w:p w:rsidR="00AC5DE7" w:rsidRPr="00AC5DE7" w:rsidRDefault="00AC5DE7" w:rsidP="00AC5DE7">
      <w:pPr>
        <w:pStyle w:val="SingleTxtG"/>
        <w:rPr>
          <w:i/>
          <w:lang w:val="es-ES"/>
        </w:rPr>
      </w:pPr>
      <w:r w:rsidRPr="00AC5DE7">
        <w:rPr>
          <w:lang w:val="es-ES"/>
        </w:rPr>
        <w:t>74.</w:t>
      </w:r>
      <w:r w:rsidRPr="00AC5DE7">
        <w:rPr>
          <w:lang w:val="es-ES"/>
        </w:rPr>
        <w:tab/>
        <w:t xml:space="preserve">En su 57º período de sesiones, el Comité adoptó decisiones sobre el fondo en relación con las comunicaciones núm. 558/2013, </w:t>
      </w:r>
      <w:r w:rsidRPr="00AC5DE7">
        <w:rPr>
          <w:i/>
          <w:lang w:val="es-ES"/>
        </w:rPr>
        <w:t>R.</w:t>
      </w:r>
      <w:r w:rsidR="0078513C">
        <w:rPr>
          <w:i/>
          <w:lang w:val="es-ES"/>
        </w:rPr>
        <w:t xml:space="preserve"> </w:t>
      </w:r>
      <w:r w:rsidRPr="00AC5DE7">
        <w:rPr>
          <w:i/>
          <w:lang w:val="es-ES"/>
        </w:rPr>
        <w:t>D. y otros c. Suiza</w:t>
      </w:r>
      <w:r w:rsidRPr="00AC5DE7">
        <w:rPr>
          <w:lang w:val="es-ES"/>
        </w:rPr>
        <w:t>, núm.</w:t>
      </w:r>
      <w:r w:rsidR="001E4713">
        <w:rPr>
          <w:lang w:val="es-ES"/>
        </w:rPr>
        <w:t xml:space="preserve"> </w:t>
      </w:r>
      <w:r w:rsidRPr="00AC5DE7">
        <w:rPr>
          <w:lang w:val="es-ES"/>
        </w:rPr>
        <w:t xml:space="preserve">628/2014, </w:t>
      </w:r>
      <w:r w:rsidRPr="00AC5DE7">
        <w:rPr>
          <w:i/>
          <w:lang w:val="es-ES"/>
        </w:rPr>
        <w:t>J.</w:t>
      </w:r>
      <w:r w:rsidR="0078513C">
        <w:rPr>
          <w:i/>
          <w:lang w:val="es-ES"/>
        </w:rPr>
        <w:t> </w:t>
      </w:r>
      <w:r w:rsidRPr="00AC5DE7">
        <w:rPr>
          <w:i/>
          <w:lang w:val="es-ES"/>
        </w:rPr>
        <w:t>N. c. Dinamarca</w:t>
      </w:r>
      <w:r w:rsidRPr="00AC5DE7">
        <w:rPr>
          <w:iCs/>
          <w:lang w:val="es-ES"/>
        </w:rPr>
        <w:t xml:space="preserve">, </w:t>
      </w:r>
      <w:r w:rsidRPr="00AC5DE7">
        <w:rPr>
          <w:lang w:val="es-ES"/>
        </w:rPr>
        <w:t>núm.</w:t>
      </w:r>
      <w:r w:rsidR="001E4713">
        <w:rPr>
          <w:lang w:val="es-ES"/>
        </w:rPr>
        <w:t xml:space="preserve"> </w:t>
      </w:r>
      <w:r w:rsidRPr="00AC5DE7">
        <w:rPr>
          <w:lang w:val="es-ES"/>
        </w:rPr>
        <w:t xml:space="preserve">531/2012, </w:t>
      </w:r>
      <w:r w:rsidRPr="00AC5DE7">
        <w:rPr>
          <w:i/>
          <w:lang w:val="es-ES"/>
        </w:rPr>
        <w:t>L.</w:t>
      </w:r>
      <w:r w:rsidR="0078513C">
        <w:rPr>
          <w:i/>
          <w:lang w:val="es-ES"/>
        </w:rPr>
        <w:t xml:space="preserve"> </w:t>
      </w:r>
      <w:r w:rsidRPr="00AC5DE7">
        <w:rPr>
          <w:i/>
          <w:lang w:val="es-ES"/>
        </w:rPr>
        <w:t xml:space="preserve">A. c. Argelia, </w:t>
      </w:r>
      <w:r w:rsidRPr="00AC5DE7">
        <w:rPr>
          <w:lang w:val="es-ES"/>
        </w:rPr>
        <w:t>núm.</w:t>
      </w:r>
      <w:r w:rsidR="001E4713">
        <w:rPr>
          <w:lang w:val="es-ES"/>
        </w:rPr>
        <w:t xml:space="preserve"> </w:t>
      </w:r>
      <w:r w:rsidRPr="00AC5DE7">
        <w:rPr>
          <w:lang w:val="es-ES"/>
        </w:rPr>
        <w:t xml:space="preserve">551/2013, </w:t>
      </w:r>
      <w:r w:rsidR="0078513C">
        <w:rPr>
          <w:i/>
          <w:lang w:val="es-ES"/>
        </w:rPr>
        <w:t>Elaï</w:t>
      </w:r>
      <w:r w:rsidRPr="00AC5DE7">
        <w:rPr>
          <w:i/>
          <w:lang w:val="es-ES"/>
        </w:rPr>
        <w:t>ba c. Túnez</w:t>
      </w:r>
      <w:r w:rsidRPr="00AC5DE7">
        <w:rPr>
          <w:lang w:val="es-ES"/>
        </w:rPr>
        <w:t>, núm.</w:t>
      </w:r>
      <w:r w:rsidR="0078513C">
        <w:rPr>
          <w:lang w:val="es-ES"/>
        </w:rPr>
        <w:t> </w:t>
      </w:r>
      <w:r w:rsidRPr="00AC5DE7">
        <w:rPr>
          <w:lang w:val="es-ES"/>
        </w:rPr>
        <w:t xml:space="preserve">583/2014, </w:t>
      </w:r>
      <w:r w:rsidRPr="00AC5DE7">
        <w:rPr>
          <w:i/>
          <w:lang w:val="es-ES"/>
        </w:rPr>
        <w:t>A. c. el Canadá</w:t>
      </w:r>
      <w:r w:rsidRPr="00AC5DE7">
        <w:rPr>
          <w:lang w:val="es-ES"/>
        </w:rPr>
        <w:t>, núm.</w:t>
      </w:r>
      <w:r w:rsidR="001E4713">
        <w:rPr>
          <w:lang w:val="es-ES"/>
        </w:rPr>
        <w:t xml:space="preserve"> </w:t>
      </w:r>
      <w:r w:rsidRPr="00AC5DE7">
        <w:rPr>
          <w:lang w:val="es-ES"/>
        </w:rPr>
        <w:t xml:space="preserve">605/2014, </w:t>
      </w:r>
      <w:r w:rsidRPr="00AC5DE7">
        <w:rPr>
          <w:i/>
          <w:lang w:val="es-ES"/>
        </w:rPr>
        <w:t>G.</w:t>
      </w:r>
      <w:r w:rsidR="009E5BE3">
        <w:rPr>
          <w:i/>
          <w:lang w:val="es-ES"/>
        </w:rPr>
        <w:t xml:space="preserve"> </w:t>
      </w:r>
      <w:r w:rsidRPr="00AC5DE7">
        <w:rPr>
          <w:i/>
          <w:lang w:val="es-ES"/>
        </w:rPr>
        <w:t>R. c. Australia</w:t>
      </w:r>
      <w:r w:rsidRPr="00AC5DE7">
        <w:rPr>
          <w:lang w:val="es-ES"/>
        </w:rPr>
        <w:t>, y núm.</w:t>
      </w:r>
      <w:r w:rsidR="001E4713">
        <w:rPr>
          <w:lang w:val="es-ES"/>
        </w:rPr>
        <w:t xml:space="preserve"> </w:t>
      </w:r>
      <w:r w:rsidRPr="00AC5DE7">
        <w:rPr>
          <w:lang w:val="es-ES"/>
        </w:rPr>
        <w:t xml:space="preserve">611/2014, </w:t>
      </w:r>
      <w:r w:rsidRPr="00AC5DE7">
        <w:rPr>
          <w:i/>
          <w:lang w:val="es-ES"/>
        </w:rPr>
        <w:t>P.</w:t>
      </w:r>
      <w:r w:rsidR="0078513C">
        <w:rPr>
          <w:i/>
          <w:lang w:val="es-ES"/>
        </w:rPr>
        <w:t> A. </w:t>
      </w:r>
      <w:r w:rsidRPr="00AC5DE7">
        <w:rPr>
          <w:i/>
          <w:lang w:val="es-ES"/>
        </w:rPr>
        <w:t>c. los Países Bajos.</w:t>
      </w:r>
    </w:p>
    <w:p w:rsidR="00AC5DE7" w:rsidRPr="00AC5DE7" w:rsidRDefault="00AC5DE7" w:rsidP="00AC5DE7">
      <w:pPr>
        <w:pStyle w:val="SingleTxtG"/>
        <w:rPr>
          <w:i/>
          <w:lang w:val="es-ES"/>
        </w:rPr>
      </w:pPr>
      <w:r w:rsidRPr="00AC5DE7">
        <w:rPr>
          <w:lang w:val="es-ES"/>
        </w:rPr>
        <w:t>75.</w:t>
      </w:r>
      <w:r w:rsidRPr="00AC5DE7">
        <w:rPr>
          <w:lang w:val="es-ES"/>
        </w:rPr>
        <w:tab/>
        <w:t xml:space="preserve">El Comité dictaminó que el retorno forzoso de los autores de la queja constituiría una infracción por los Estados partes del artículo 3 de la Convención en sus decisiones relativas a las comunicaciones núm. 558/2013, </w:t>
      </w:r>
      <w:r w:rsidRPr="00AC5DE7">
        <w:rPr>
          <w:i/>
          <w:lang w:val="es-ES"/>
        </w:rPr>
        <w:t>R.</w:t>
      </w:r>
      <w:r w:rsidR="0078513C">
        <w:rPr>
          <w:i/>
          <w:lang w:val="es-ES"/>
        </w:rPr>
        <w:t xml:space="preserve"> </w:t>
      </w:r>
      <w:r w:rsidRPr="00AC5DE7">
        <w:rPr>
          <w:i/>
          <w:lang w:val="es-ES"/>
        </w:rPr>
        <w:t>D. y otros c. Suiza</w:t>
      </w:r>
      <w:r w:rsidRPr="00AC5DE7">
        <w:rPr>
          <w:lang w:val="es-ES"/>
        </w:rPr>
        <w:t>, y núm.</w:t>
      </w:r>
      <w:r w:rsidR="001E4713">
        <w:rPr>
          <w:lang w:val="es-ES"/>
        </w:rPr>
        <w:t xml:space="preserve"> </w:t>
      </w:r>
      <w:r w:rsidRPr="00AC5DE7">
        <w:rPr>
          <w:lang w:val="es-ES"/>
        </w:rPr>
        <w:t xml:space="preserve">628/2014, </w:t>
      </w:r>
      <w:r w:rsidRPr="00AC5DE7">
        <w:rPr>
          <w:i/>
          <w:lang w:val="es-ES"/>
        </w:rPr>
        <w:t>J.</w:t>
      </w:r>
      <w:r w:rsidR="0078513C">
        <w:rPr>
          <w:i/>
          <w:lang w:val="es-ES"/>
        </w:rPr>
        <w:t> N. </w:t>
      </w:r>
      <w:r w:rsidRPr="00AC5DE7">
        <w:rPr>
          <w:i/>
          <w:lang w:val="es-ES"/>
        </w:rPr>
        <w:t>c. Dinamarca</w:t>
      </w:r>
      <w:r w:rsidRPr="00AC5DE7">
        <w:rPr>
          <w:lang w:val="es-ES"/>
        </w:rPr>
        <w:t xml:space="preserve">. En relación con la comunicación núm. 531/2012, </w:t>
      </w:r>
      <w:r w:rsidRPr="00AC5DE7">
        <w:rPr>
          <w:i/>
          <w:lang w:val="es-ES"/>
        </w:rPr>
        <w:t>L.</w:t>
      </w:r>
      <w:r w:rsidR="0078513C">
        <w:rPr>
          <w:i/>
          <w:lang w:val="es-ES"/>
        </w:rPr>
        <w:t xml:space="preserve"> </w:t>
      </w:r>
      <w:r w:rsidRPr="00AC5DE7">
        <w:rPr>
          <w:i/>
          <w:lang w:val="es-ES"/>
        </w:rPr>
        <w:t>A. c. Argelia</w:t>
      </w:r>
      <w:r w:rsidRPr="00AC5DE7">
        <w:rPr>
          <w:lang w:val="es-ES"/>
        </w:rPr>
        <w:t>, el Comité consideró que se había vulnerado el artículo 13 de la Convención. En relación con la comunicación núm. 551/2013,</w:t>
      </w:r>
      <w:r w:rsidR="0078513C">
        <w:rPr>
          <w:lang w:val="es-ES"/>
        </w:rPr>
        <w:t xml:space="preserve"> </w:t>
      </w:r>
      <w:r w:rsidR="008A55ED">
        <w:rPr>
          <w:i/>
          <w:lang w:val="es-ES"/>
        </w:rPr>
        <w:t>Elaï</w:t>
      </w:r>
      <w:r w:rsidRPr="00AC5DE7">
        <w:rPr>
          <w:i/>
          <w:lang w:val="es-ES"/>
        </w:rPr>
        <w:t>ba c. Túnez,</w:t>
      </w:r>
      <w:r w:rsidRPr="00AC5DE7">
        <w:rPr>
          <w:lang w:val="es-ES"/>
        </w:rPr>
        <w:t xml:space="preserve"> el Comité dictaminó que el retorno forzoso de los autores de la queja constituiría una infracción por los Estados partes del artículo 1; 2, párrafo 1; y 11 a 16 de la Convención. El Comité dictaminó que el retorno forzoso de los autores de la queja no constituiría una infracción por los Estados partes del artículo 3 de la Convención en sus decisiones relativas a las comunicacio</w:t>
      </w:r>
      <w:r w:rsidR="009E5BE3">
        <w:rPr>
          <w:lang w:val="es-ES"/>
        </w:rPr>
        <w:t>nes núm. </w:t>
      </w:r>
      <w:r w:rsidRPr="00AC5DE7">
        <w:rPr>
          <w:lang w:val="es-ES"/>
        </w:rPr>
        <w:t xml:space="preserve">583/2014, </w:t>
      </w:r>
      <w:r w:rsidRPr="00AC5DE7">
        <w:rPr>
          <w:i/>
          <w:lang w:val="es-ES"/>
        </w:rPr>
        <w:t>A. c. el Canadá</w:t>
      </w:r>
      <w:r w:rsidRPr="00AC5DE7">
        <w:rPr>
          <w:lang w:val="es-ES"/>
        </w:rPr>
        <w:t>, núm.</w:t>
      </w:r>
      <w:r w:rsidR="001E4713">
        <w:rPr>
          <w:lang w:val="es-ES"/>
        </w:rPr>
        <w:t xml:space="preserve"> </w:t>
      </w:r>
      <w:r w:rsidRPr="00AC5DE7">
        <w:rPr>
          <w:lang w:val="es-ES"/>
        </w:rPr>
        <w:t xml:space="preserve">605/2014, </w:t>
      </w:r>
      <w:r w:rsidRPr="00AC5DE7">
        <w:rPr>
          <w:i/>
          <w:lang w:val="es-ES"/>
        </w:rPr>
        <w:t>G.R. c. Australia</w:t>
      </w:r>
      <w:r w:rsidRPr="00AC5DE7">
        <w:rPr>
          <w:lang w:val="es-ES"/>
        </w:rPr>
        <w:t>, y núm.</w:t>
      </w:r>
      <w:r w:rsidR="001E4713">
        <w:rPr>
          <w:lang w:val="es-ES"/>
        </w:rPr>
        <w:t xml:space="preserve"> </w:t>
      </w:r>
      <w:r w:rsidRPr="00AC5DE7">
        <w:rPr>
          <w:lang w:val="es-ES"/>
        </w:rPr>
        <w:t xml:space="preserve">611/2014, </w:t>
      </w:r>
      <w:r w:rsidRPr="00AC5DE7">
        <w:rPr>
          <w:i/>
          <w:lang w:val="es-ES"/>
        </w:rPr>
        <w:t>P.</w:t>
      </w:r>
      <w:r w:rsidR="009E5BE3">
        <w:rPr>
          <w:i/>
          <w:lang w:val="es-ES"/>
        </w:rPr>
        <w:t> A. </w:t>
      </w:r>
      <w:r w:rsidRPr="00AC5DE7">
        <w:rPr>
          <w:i/>
          <w:lang w:val="es-ES"/>
        </w:rPr>
        <w:t>c. los Países Bajos.</w:t>
      </w:r>
    </w:p>
    <w:p w:rsidR="00AC5DE7" w:rsidRPr="00AC5DE7" w:rsidRDefault="00AC5DE7" w:rsidP="00AC5DE7">
      <w:pPr>
        <w:pStyle w:val="SingleTxtG"/>
        <w:rPr>
          <w:lang w:val="es-ES"/>
        </w:rPr>
      </w:pPr>
      <w:r w:rsidRPr="00AC5DE7">
        <w:rPr>
          <w:lang w:val="es-ES"/>
        </w:rPr>
        <w:lastRenderedPageBreak/>
        <w:t>76.</w:t>
      </w:r>
      <w:r w:rsidRPr="00AC5DE7">
        <w:rPr>
          <w:lang w:val="es-ES"/>
        </w:rPr>
        <w:tab/>
        <w:t xml:space="preserve">Además, el Comité declaró admisible la comunicación núm. 584/2014, </w:t>
      </w:r>
      <w:r w:rsidRPr="00AC5DE7">
        <w:rPr>
          <w:i/>
          <w:lang w:val="es-ES"/>
        </w:rPr>
        <w:t>B.</w:t>
      </w:r>
      <w:r w:rsidR="0078513C">
        <w:rPr>
          <w:i/>
          <w:lang w:val="es-ES"/>
        </w:rPr>
        <w:t xml:space="preserve"> </w:t>
      </w:r>
      <w:r w:rsidRPr="00AC5DE7">
        <w:rPr>
          <w:i/>
          <w:lang w:val="es-ES"/>
        </w:rPr>
        <w:t>M. c. Suiza</w:t>
      </w:r>
      <w:r w:rsidRPr="00AC5DE7">
        <w:rPr>
          <w:lang w:val="es-ES"/>
        </w:rPr>
        <w:t>, consideró inadmisibles cuatro comunicaciones, a saber, la</w:t>
      </w:r>
      <w:r w:rsidR="0078513C">
        <w:rPr>
          <w:lang w:val="es-ES"/>
        </w:rPr>
        <w:t>s comunicaciones núm. </w:t>
      </w:r>
      <w:r w:rsidRPr="00AC5DE7">
        <w:rPr>
          <w:lang w:val="es-ES"/>
        </w:rPr>
        <w:t xml:space="preserve">529/2012, </w:t>
      </w:r>
      <w:r w:rsidRPr="00AC5DE7">
        <w:rPr>
          <w:i/>
          <w:lang w:val="es-ES"/>
        </w:rPr>
        <w:t>J.</w:t>
      </w:r>
      <w:r w:rsidR="0078513C">
        <w:rPr>
          <w:i/>
          <w:lang w:val="es-ES"/>
        </w:rPr>
        <w:t xml:space="preserve"> </w:t>
      </w:r>
      <w:r w:rsidRPr="00AC5DE7">
        <w:rPr>
          <w:i/>
          <w:lang w:val="es-ES"/>
        </w:rPr>
        <w:t>B. c. el Canadá</w:t>
      </w:r>
      <w:r w:rsidRPr="00AC5DE7">
        <w:rPr>
          <w:lang w:val="es-ES"/>
        </w:rPr>
        <w:t>, núm.</w:t>
      </w:r>
      <w:r w:rsidR="001E4713">
        <w:rPr>
          <w:lang w:val="es-ES"/>
        </w:rPr>
        <w:t xml:space="preserve"> </w:t>
      </w:r>
      <w:r w:rsidRPr="00AC5DE7">
        <w:rPr>
          <w:lang w:val="es-ES"/>
        </w:rPr>
        <w:t xml:space="preserve">593/2014, </w:t>
      </w:r>
      <w:r w:rsidRPr="00AC5DE7">
        <w:rPr>
          <w:i/>
          <w:lang w:val="es-ES"/>
        </w:rPr>
        <w:t>I.</w:t>
      </w:r>
      <w:r w:rsidR="0078513C">
        <w:rPr>
          <w:i/>
          <w:lang w:val="es-ES"/>
        </w:rPr>
        <w:t xml:space="preserve"> </w:t>
      </w:r>
      <w:r w:rsidRPr="00AC5DE7">
        <w:rPr>
          <w:i/>
          <w:lang w:val="es-ES"/>
        </w:rPr>
        <w:t>M. y P.</w:t>
      </w:r>
      <w:r w:rsidR="0078513C">
        <w:rPr>
          <w:i/>
          <w:lang w:val="es-ES"/>
        </w:rPr>
        <w:t xml:space="preserve"> </w:t>
      </w:r>
      <w:r w:rsidRPr="00AC5DE7">
        <w:rPr>
          <w:i/>
          <w:lang w:val="es-ES"/>
        </w:rPr>
        <w:t>Z. c. Dinamarca</w:t>
      </w:r>
      <w:r w:rsidRPr="00AC5DE7">
        <w:rPr>
          <w:lang w:val="es-ES"/>
        </w:rPr>
        <w:t>, núm.</w:t>
      </w:r>
      <w:r w:rsidR="0078513C">
        <w:rPr>
          <w:lang w:val="es-ES"/>
        </w:rPr>
        <w:t> </w:t>
      </w:r>
      <w:r w:rsidRPr="00AC5DE7">
        <w:rPr>
          <w:lang w:val="es-ES"/>
        </w:rPr>
        <w:t xml:space="preserve">598/2014, </w:t>
      </w:r>
      <w:r w:rsidRPr="00AC5DE7">
        <w:rPr>
          <w:i/>
          <w:lang w:val="es-ES"/>
        </w:rPr>
        <w:t>B.</w:t>
      </w:r>
      <w:r w:rsidR="0078513C">
        <w:rPr>
          <w:i/>
          <w:lang w:val="es-ES"/>
        </w:rPr>
        <w:t xml:space="preserve"> </w:t>
      </w:r>
      <w:r w:rsidRPr="00AC5DE7">
        <w:rPr>
          <w:i/>
          <w:lang w:val="es-ES"/>
        </w:rPr>
        <w:t>R. c. Italia</w:t>
      </w:r>
      <w:r w:rsidRPr="00AC5DE7">
        <w:rPr>
          <w:lang w:val="es-ES"/>
        </w:rPr>
        <w:t>, y núm.</w:t>
      </w:r>
      <w:r w:rsidR="001E4713">
        <w:rPr>
          <w:lang w:val="es-ES"/>
        </w:rPr>
        <w:t xml:space="preserve"> </w:t>
      </w:r>
      <w:r w:rsidRPr="00AC5DE7">
        <w:rPr>
          <w:lang w:val="es-ES"/>
        </w:rPr>
        <w:t xml:space="preserve">709/2015, </w:t>
      </w:r>
      <w:r w:rsidRPr="00AC5DE7">
        <w:rPr>
          <w:i/>
          <w:lang w:val="es-ES"/>
        </w:rPr>
        <w:t>C.</w:t>
      </w:r>
      <w:r w:rsidR="0078513C">
        <w:rPr>
          <w:i/>
          <w:lang w:val="es-ES"/>
        </w:rPr>
        <w:t xml:space="preserve"> </w:t>
      </w:r>
      <w:r w:rsidRPr="00AC5DE7">
        <w:rPr>
          <w:i/>
          <w:lang w:val="es-ES"/>
        </w:rPr>
        <w:t>N. c. Dinamarca</w:t>
      </w:r>
      <w:r w:rsidRPr="00AC5DE7">
        <w:rPr>
          <w:lang w:val="es-ES"/>
        </w:rPr>
        <w:t xml:space="preserve">, y suspendió el examen de las comunicaciones núm. 527/2012, </w:t>
      </w:r>
      <w:r w:rsidRPr="00AC5DE7">
        <w:rPr>
          <w:i/>
          <w:lang w:val="es-ES"/>
        </w:rPr>
        <w:t>O.</w:t>
      </w:r>
      <w:r w:rsidR="0078513C">
        <w:rPr>
          <w:i/>
          <w:lang w:val="es-ES"/>
        </w:rPr>
        <w:t xml:space="preserve"> </w:t>
      </w:r>
      <w:r w:rsidRPr="00AC5DE7">
        <w:rPr>
          <w:i/>
          <w:lang w:val="es-ES"/>
        </w:rPr>
        <w:t>A. c. el Canadá</w:t>
      </w:r>
      <w:r w:rsidRPr="00AC5DE7">
        <w:rPr>
          <w:lang w:val="es-ES"/>
        </w:rPr>
        <w:t>, núm.</w:t>
      </w:r>
      <w:r w:rsidR="001E4713">
        <w:rPr>
          <w:lang w:val="es-ES"/>
        </w:rPr>
        <w:t xml:space="preserve"> </w:t>
      </w:r>
      <w:r w:rsidRPr="00AC5DE7">
        <w:rPr>
          <w:lang w:val="es-ES"/>
        </w:rPr>
        <w:t xml:space="preserve">528/2012, </w:t>
      </w:r>
      <w:r w:rsidRPr="00AC5DE7">
        <w:rPr>
          <w:i/>
          <w:lang w:val="es-ES"/>
        </w:rPr>
        <w:t>E.</w:t>
      </w:r>
      <w:r w:rsidR="00962428">
        <w:rPr>
          <w:i/>
          <w:lang w:val="es-ES"/>
        </w:rPr>
        <w:t xml:space="preserve"> </w:t>
      </w:r>
      <w:r w:rsidRPr="00AC5DE7">
        <w:rPr>
          <w:i/>
          <w:lang w:val="es-ES"/>
        </w:rPr>
        <w:t>A.</w:t>
      </w:r>
      <w:r w:rsidR="00962428">
        <w:rPr>
          <w:i/>
          <w:lang w:val="es-ES"/>
        </w:rPr>
        <w:t xml:space="preserve"> </w:t>
      </w:r>
      <w:r w:rsidRPr="00AC5DE7">
        <w:rPr>
          <w:i/>
          <w:lang w:val="es-ES"/>
        </w:rPr>
        <w:t>U. c. el Canadá</w:t>
      </w:r>
      <w:r w:rsidRPr="00AC5DE7">
        <w:rPr>
          <w:lang w:val="es-ES"/>
        </w:rPr>
        <w:t>, núm.</w:t>
      </w:r>
      <w:r w:rsidR="001E4713">
        <w:rPr>
          <w:lang w:val="es-ES"/>
        </w:rPr>
        <w:t xml:space="preserve"> </w:t>
      </w:r>
      <w:r w:rsidRPr="00AC5DE7">
        <w:rPr>
          <w:lang w:val="es-ES"/>
        </w:rPr>
        <w:t xml:space="preserve">533/2012, </w:t>
      </w:r>
      <w:r w:rsidRPr="00AC5DE7">
        <w:rPr>
          <w:i/>
          <w:lang w:val="es-ES"/>
        </w:rPr>
        <w:t>A.</w:t>
      </w:r>
      <w:r w:rsidR="0078513C">
        <w:rPr>
          <w:i/>
          <w:lang w:val="es-ES"/>
        </w:rPr>
        <w:t xml:space="preserve"> </w:t>
      </w:r>
      <w:r w:rsidRPr="00AC5DE7">
        <w:rPr>
          <w:i/>
          <w:lang w:val="es-ES"/>
        </w:rPr>
        <w:t>K.</w:t>
      </w:r>
      <w:r w:rsidR="0078513C">
        <w:rPr>
          <w:i/>
          <w:lang w:val="es-ES"/>
        </w:rPr>
        <w:t xml:space="preserve"> </w:t>
      </w:r>
      <w:r w:rsidRPr="00AC5DE7">
        <w:rPr>
          <w:i/>
          <w:lang w:val="es-ES"/>
        </w:rPr>
        <w:t>K. c. el Canadá</w:t>
      </w:r>
      <w:r w:rsidRPr="00AC5DE7">
        <w:rPr>
          <w:lang w:val="es-ES"/>
        </w:rPr>
        <w:t>, núm.</w:t>
      </w:r>
      <w:r w:rsidR="001E4713">
        <w:rPr>
          <w:lang w:val="es-ES"/>
        </w:rPr>
        <w:t xml:space="preserve"> </w:t>
      </w:r>
      <w:r w:rsidRPr="00AC5DE7">
        <w:rPr>
          <w:lang w:val="es-ES"/>
        </w:rPr>
        <w:t>535/2013,</w:t>
      </w:r>
      <w:r w:rsidR="0078513C">
        <w:rPr>
          <w:lang w:val="es-ES"/>
        </w:rPr>
        <w:t xml:space="preserve"> </w:t>
      </w:r>
      <w:r w:rsidRPr="00AC5DE7">
        <w:rPr>
          <w:i/>
          <w:lang w:val="es-ES"/>
        </w:rPr>
        <w:t>J.</w:t>
      </w:r>
      <w:r w:rsidR="0078513C">
        <w:rPr>
          <w:i/>
          <w:lang w:val="es-ES"/>
        </w:rPr>
        <w:t xml:space="preserve"> </w:t>
      </w:r>
      <w:r w:rsidRPr="00AC5DE7">
        <w:rPr>
          <w:i/>
          <w:lang w:val="es-ES"/>
        </w:rPr>
        <w:t xml:space="preserve">R. c. el Canadá, </w:t>
      </w:r>
      <w:r w:rsidRPr="00AC5DE7">
        <w:rPr>
          <w:lang w:val="es-ES"/>
        </w:rPr>
        <w:t>núm.</w:t>
      </w:r>
      <w:r w:rsidR="0078513C">
        <w:rPr>
          <w:lang w:val="es-ES"/>
        </w:rPr>
        <w:t> </w:t>
      </w:r>
      <w:r w:rsidRPr="00AC5DE7">
        <w:rPr>
          <w:lang w:val="es-ES"/>
        </w:rPr>
        <w:t xml:space="preserve">596/2014, </w:t>
      </w:r>
      <w:r w:rsidRPr="00AC5DE7">
        <w:rPr>
          <w:i/>
          <w:lang w:val="es-ES"/>
        </w:rPr>
        <w:t>S.</w:t>
      </w:r>
      <w:r w:rsidR="0078513C">
        <w:rPr>
          <w:i/>
          <w:lang w:val="es-ES"/>
        </w:rPr>
        <w:t xml:space="preserve"> </w:t>
      </w:r>
      <w:r w:rsidRPr="00AC5DE7">
        <w:rPr>
          <w:i/>
          <w:lang w:val="es-ES"/>
        </w:rPr>
        <w:t>S. c. el Canadá</w:t>
      </w:r>
      <w:r w:rsidR="009E5BE3">
        <w:rPr>
          <w:lang w:val="es-ES"/>
        </w:rPr>
        <w:t>, núm</w:t>
      </w:r>
      <w:r w:rsidRPr="00AC5DE7">
        <w:rPr>
          <w:lang w:val="es-ES"/>
        </w:rPr>
        <w:t>.</w:t>
      </w:r>
      <w:r w:rsidR="001E4713">
        <w:rPr>
          <w:lang w:val="es-ES"/>
        </w:rPr>
        <w:t xml:space="preserve"> </w:t>
      </w:r>
      <w:r w:rsidRPr="00AC5DE7">
        <w:rPr>
          <w:lang w:val="es-ES"/>
        </w:rPr>
        <w:t xml:space="preserve">657/2015, </w:t>
      </w:r>
      <w:r w:rsidRPr="00AC5DE7">
        <w:rPr>
          <w:i/>
          <w:lang w:val="es-ES"/>
        </w:rPr>
        <w:t>J.</w:t>
      </w:r>
      <w:r w:rsidR="0078513C">
        <w:rPr>
          <w:i/>
          <w:lang w:val="es-ES"/>
        </w:rPr>
        <w:t xml:space="preserve"> </w:t>
      </w:r>
      <w:r w:rsidRPr="00AC5DE7">
        <w:rPr>
          <w:i/>
          <w:lang w:val="es-ES"/>
        </w:rPr>
        <w:t>K. c. Australia</w:t>
      </w:r>
      <w:r w:rsidRPr="00AC5DE7">
        <w:rPr>
          <w:lang w:val="es-ES"/>
        </w:rPr>
        <w:t>, y núm.</w:t>
      </w:r>
      <w:r w:rsidR="001E4713">
        <w:rPr>
          <w:lang w:val="es-ES"/>
        </w:rPr>
        <w:t xml:space="preserve"> </w:t>
      </w:r>
      <w:r w:rsidRPr="00AC5DE7">
        <w:rPr>
          <w:lang w:val="es-ES"/>
        </w:rPr>
        <w:t xml:space="preserve">726/2016, </w:t>
      </w:r>
      <w:r w:rsidRPr="00AC5DE7">
        <w:rPr>
          <w:i/>
          <w:lang w:val="es-ES"/>
        </w:rPr>
        <w:t>H.</w:t>
      </w:r>
      <w:r w:rsidR="0078513C">
        <w:rPr>
          <w:i/>
          <w:lang w:val="es-ES"/>
        </w:rPr>
        <w:t> </w:t>
      </w:r>
      <w:r w:rsidRPr="00AC5DE7">
        <w:rPr>
          <w:i/>
          <w:lang w:val="es-ES"/>
        </w:rPr>
        <w:t>D. c. Finlandia</w:t>
      </w:r>
      <w:r w:rsidRPr="00AC5DE7">
        <w:rPr>
          <w:lang w:val="es-ES"/>
        </w:rPr>
        <w:t>.</w:t>
      </w:r>
    </w:p>
    <w:p w:rsidR="00AC5DE7" w:rsidRPr="00AC5DE7" w:rsidRDefault="00AC5DE7" w:rsidP="004479FD">
      <w:pPr>
        <w:pStyle w:val="H1G"/>
        <w:rPr>
          <w:lang w:val="es-ES"/>
        </w:rPr>
      </w:pPr>
      <w:r w:rsidRPr="00AC5DE7">
        <w:rPr>
          <w:lang w:val="es-ES"/>
        </w:rPr>
        <w:tab/>
      </w:r>
      <w:bookmarkStart w:id="74" w:name="_Toc428797515"/>
      <w:r w:rsidRPr="00AC5DE7">
        <w:rPr>
          <w:lang w:val="es-ES"/>
        </w:rPr>
        <w:t>D.</w:t>
      </w:r>
      <w:r w:rsidRPr="00AC5DE7">
        <w:rPr>
          <w:lang w:val="es-ES"/>
        </w:rPr>
        <w:tab/>
        <w:t>Actividades de seguimiento</w:t>
      </w:r>
      <w:bookmarkEnd w:id="74"/>
    </w:p>
    <w:p w:rsidR="00AC5DE7" w:rsidRPr="00AC5DE7" w:rsidRDefault="00AC5DE7" w:rsidP="00AC5DE7">
      <w:pPr>
        <w:pStyle w:val="SingleTxtG"/>
        <w:rPr>
          <w:lang w:val="es-ES"/>
        </w:rPr>
      </w:pPr>
      <w:r w:rsidRPr="00AC5DE7">
        <w:rPr>
          <w:lang w:val="es-ES"/>
        </w:rPr>
        <w:t>77.</w:t>
      </w:r>
      <w:r w:rsidRPr="00AC5DE7">
        <w:rPr>
          <w:lang w:val="es-ES"/>
        </w:rPr>
        <w:tab/>
        <w:t>En su 28º período de sesiones, celebrado en mayo de 2002, el Comité creó el cargo de Relator para el seguimiento de las decisiones sobre las quejas presentadas en virtud del artículo 22. En su 527ª sesión, celebrada el 16 de mayo de</w:t>
      </w:r>
      <w:r w:rsidR="001E4713">
        <w:rPr>
          <w:lang w:val="es-ES"/>
        </w:rPr>
        <w:t xml:space="preserve"> </w:t>
      </w:r>
      <w:r w:rsidRPr="00AC5DE7">
        <w:rPr>
          <w:lang w:val="es-ES"/>
        </w:rPr>
        <w:t>2002, el Comité decidió que el Relator debería realizar, entre otras, las actividades siguientes: velar por que se cumpliera</w:t>
      </w:r>
      <w:r w:rsidR="0078513C">
        <w:rPr>
          <w:lang w:val="es-ES"/>
        </w:rPr>
        <w:t>n</w:t>
      </w:r>
      <w:r w:rsidRPr="00AC5DE7">
        <w:rPr>
          <w:lang w:val="es-ES"/>
        </w:rPr>
        <w:t xml:space="preserve"> las decisiones del Comité enviando notas verbales a los Estados partes a fin de conocer las medidas adoptadas en cumplimiento de esas decisiones; recomendar al Comité medidas apropiadas cuando se recibieran respuestas de Estados partes, cuando no se respondiera o, en lo sucesivo, cuando se recibieran cartas de autores de quejas relativas al incumplimiento de decisiones del Comité; reunirse con representantes de las misiones permanentes de los Estados partes para promover el cumplimiento y resolver si sería apropiado o conveniente que el ACNUDH prestase servicios de asesoramiento o facilitase asistencia técnica; hacer, con la aprobación del Comité, visitas de seguimiento a los Estados partes; y preparar informes periódicos sobre sus actividades para el Comité.</w:t>
      </w:r>
    </w:p>
    <w:p w:rsidR="00AC5DE7" w:rsidRPr="00AC5DE7" w:rsidRDefault="00AC5DE7" w:rsidP="00AC5DE7">
      <w:pPr>
        <w:pStyle w:val="SingleTxtG"/>
        <w:rPr>
          <w:lang w:val="es-ES"/>
        </w:rPr>
      </w:pPr>
      <w:r w:rsidRPr="00AC5DE7">
        <w:rPr>
          <w:lang w:val="es-ES"/>
        </w:rPr>
        <w:t>78 .</w:t>
      </w:r>
      <w:r w:rsidRPr="00AC5DE7">
        <w:rPr>
          <w:lang w:val="es-ES"/>
        </w:rPr>
        <w:tab/>
        <w:t>El Comité, en su 56º período de sesiones, examinó comunicaciones relativas a</w:t>
      </w:r>
      <w:r w:rsidR="001E4713">
        <w:rPr>
          <w:lang w:val="es-ES"/>
        </w:rPr>
        <w:t xml:space="preserve"> </w:t>
      </w:r>
      <w:r w:rsidRPr="00AC5DE7">
        <w:rPr>
          <w:lang w:val="es-ES"/>
        </w:rPr>
        <w:t xml:space="preserve">nueve casos que actualmente son objeto de su procedimiento de seguimiento. El Comité decidió dar por terminado el diálogo de seguimiento porque se había llegado a una solución parcialmente satisfactoria con respecto a la comunicación núm. 257/2004, </w:t>
      </w:r>
      <w:r w:rsidRPr="00AC5DE7">
        <w:rPr>
          <w:i/>
          <w:lang w:val="es-ES"/>
        </w:rPr>
        <w:t xml:space="preserve">Keremedchiev </w:t>
      </w:r>
      <w:r w:rsidR="0078513C">
        <w:rPr>
          <w:i/>
          <w:lang w:val="es-ES"/>
        </w:rPr>
        <w:t>c</w:t>
      </w:r>
      <w:r w:rsidRPr="00AC5DE7">
        <w:rPr>
          <w:bCs/>
          <w:i/>
          <w:lang w:val="es-ES"/>
        </w:rPr>
        <w:t>. Bulgaria.</w:t>
      </w:r>
      <w:r w:rsidRPr="00AC5DE7">
        <w:rPr>
          <w:bCs/>
          <w:lang w:val="es-ES"/>
        </w:rPr>
        <w:t xml:space="preserve"> En ese caso, los autores de la queja habían obtenido una indemnización por los malos tratos perpetrados </w:t>
      </w:r>
      <w:r w:rsidRPr="00AC5DE7">
        <w:rPr>
          <w:lang w:val="es-ES"/>
        </w:rPr>
        <w:t>por el Estado parte. El Comité examinó la información recibida respecto de otros ocho casos y decidió mantener abierto el diálogo de seguimiento.</w:t>
      </w:r>
    </w:p>
    <w:p w:rsidR="00AC5DE7" w:rsidRPr="00AC5DE7" w:rsidRDefault="00AC5DE7" w:rsidP="00AC5DE7">
      <w:pPr>
        <w:pStyle w:val="SingleTxtG"/>
        <w:rPr>
          <w:lang w:val="es-ES"/>
        </w:rPr>
      </w:pPr>
      <w:r w:rsidRPr="00AC5DE7">
        <w:rPr>
          <w:lang w:val="es-ES"/>
        </w:rPr>
        <w:t>79.</w:t>
      </w:r>
      <w:r w:rsidRPr="00AC5DE7">
        <w:rPr>
          <w:lang w:val="es-ES"/>
        </w:rPr>
        <w:tab/>
        <w:t>Durante su 57º período de sesiones, el Comité examinó comunicaciones relacionadas con ocho casos que actualmente son objeto de su procedimiento de seguimiento. El Comité decidió dar por terminado el diálogo de seguimiento porque se había llegado a una solución satisfactoria con res</w:t>
      </w:r>
      <w:r w:rsidR="0078513C">
        <w:rPr>
          <w:lang w:val="es-ES"/>
        </w:rPr>
        <w:t>pecto a las comunicaciones núm. </w:t>
      </w:r>
      <w:r w:rsidRPr="00AC5DE7">
        <w:rPr>
          <w:lang w:val="es-ES"/>
        </w:rPr>
        <w:t xml:space="preserve">613/2014, </w:t>
      </w:r>
      <w:r w:rsidRPr="00AC5DE7">
        <w:rPr>
          <w:i/>
          <w:iCs/>
          <w:lang w:val="es-ES"/>
        </w:rPr>
        <w:t>F.</w:t>
      </w:r>
      <w:r w:rsidR="0078513C">
        <w:rPr>
          <w:i/>
          <w:iCs/>
          <w:lang w:val="es-ES"/>
        </w:rPr>
        <w:t xml:space="preserve"> </w:t>
      </w:r>
      <w:r w:rsidRPr="00AC5DE7">
        <w:rPr>
          <w:i/>
          <w:iCs/>
          <w:lang w:val="es-ES"/>
        </w:rPr>
        <w:t>B. c. los Países Bajos</w:t>
      </w:r>
      <w:r w:rsidRPr="00AC5DE7">
        <w:rPr>
          <w:lang w:val="es-ES"/>
        </w:rPr>
        <w:t xml:space="preserve">, y </w:t>
      </w:r>
      <w:r w:rsidRPr="0078513C">
        <w:rPr>
          <w:lang w:val="es-ES"/>
        </w:rPr>
        <w:t>núm.</w:t>
      </w:r>
      <w:r w:rsidR="001E4713" w:rsidRPr="0078513C">
        <w:rPr>
          <w:lang w:val="es-ES"/>
        </w:rPr>
        <w:t xml:space="preserve"> </w:t>
      </w:r>
      <w:r w:rsidRPr="0078513C">
        <w:rPr>
          <w:lang w:val="es-ES"/>
        </w:rPr>
        <w:t>544/2013,</w:t>
      </w:r>
      <w:r w:rsidRPr="00AC5DE7">
        <w:rPr>
          <w:lang w:val="es-ES"/>
        </w:rPr>
        <w:t xml:space="preserve"> </w:t>
      </w:r>
      <w:r w:rsidRPr="00AC5DE7">
        <w:rPr>
          <w:i/>
          <w:iCs/>
          <w:lang w:val="es-ES"/>
        </w:rPr>
        <w:t>A.</w:t>
      </w:r>
      <w:r w:rsidR="0078513C">
        <w:rPr>
          <w:i/>
          <w:iCs/>
          <w:lang w:val="es-ES"/>
        </w:rPr>
        <w:t xml:space="preserve"> </w:t>
      </w:r>
      <w:r w:rsidRPr="00AC5DE7">
        <w:rPr>
          <w:i/>
          <w:iCs/>
          <w:lang w:val="es-ES"/>
        </w:rPr>
        <w:t>K. c. Suiza</w:t>
      </w:r>
      <w:r w:rsidRPr="00AC5DE7">
        <w:rPr>
          <w:lang w:val="es-ES"/>
        </w:rPr>
        <w:t>. El Comité examinó la información recibida respecto de otros seis casos y decidió mantener abierto el diálogo de seguimiento.</w:t>
      </w:r>
    </w:p>
    <w:p w:rsidR="00AC5DE7" w:rsidRPr="00AC5DE7" w:rsidRDefault="00AC5DE7" w:rsidP="00AC5DE7">
      <w:pPr>
        <w:pStyle w:val="SingleTxtG"/>
        <w:rPr>
          <w:lang w:val="es-ES"/>
        </w:rPr>
      </w:pPr>
      <w:r w:rsidRPr="00AC5DE7">
        <w:rPr>
          <w:lang w:val="es-ES"/>
        </w:rPr>
        <w:t>80.</w:t>
      </w:r>
      <w:r w:rsidRPr="00AC5DE7">
        <w:rPr>
          <w:lang w:val="es-ES"/>
        </w:rPr>
        <w:tab/>
        <w:t xml:space="preserve">A la fecha de aprobación del presente informe, el Comité había decidido dar por terminado el diálogo de seguimiento porque se había llegado a una solución satisfactoria o parcialmente satisfactoria con respecto a 51 comunicaciones, de un total de 119 comunicaciones respecto de las cuales había constatado infracciones de distintas disposiciones de la Convención. Puede consultarse más información </w:t>
      </w:r>
      <w:r w:rsidR="0078513C">
        <w:rPr>
          <w:lang w:val="es-ES"/>
        </w:rPr>
        <w:t xml:space="preserve">en los documentos </w:t>
      </w:r>
      <w:hyperlink r:id="rId89" w:history="1">
        <w:r w:rsidR="0078513C" w:rsidRPr="008A7FF6">
          <w:rPr>
            <w:rStyle w:val="Hipervnculo"/>
            <w:lang w:val="es-ES"/>
          </w:rPr>
          <w:t>CAT/C/56/</w:t>
        </w:r>
        <w:r w:rsidR="00594C8F" w:rsidRPr="008A7FF6">
          <w:rPr>
            <w:rStyle w:val="Hipervnculo"/>
            <w:lang w:val="es-ES"/>
          </w:rPr>
          <w:t>2</w:t>
        </w:r>
      </w:hyperlink>
      <w:r w:rsidR="0078513C">
        <w:rPr>
          <w:lang w:val="es-ES"/>
        </w:rPr>
        <w:t xml:space="preserve"> y</w:t>
      </w:r>
      <w:r w:rsidRPr="00AC5DE7">
        <w:rPr>
          <w:lang w:val="es-ES"/>
        </w:rPr>
        <w:t xml:space="preserve"> </w:t>
      </w:r>
      <w:hyperlink r:id="rId90" w:history="1">
        <w:r w:rsidRPr="008A7FF6">
          <w:rPr>
            <w:rStyle w:val="Hipervnculo"/>
            <w:lang w:val="es-ES"/>
          </w:rPr>
          <w:t>CAT/C/57/3</w:t>
        </w:r>
      </w:hyperlink>
      <w:r w:rsidRPr="00AC5DE7">
        <w:rPr>
          <w:lang w:val="es-ES"/>
        </w:rPr>
        <w:t>.</w:t>
      </w:r>
    </w:p>
    <w:p w:rsidR="00AC5DE7" w:rsidRPr="00AC5DE7" w:rsidRDefault="00AC5DE7" w:rsidP="004479FD">
      <w:pPr>
        <w:pStyle w:val="HChG"/>
        <w:rPr>
          <w:lang w:val="es-ES"/>
        </w:rPr>
      </w:pPr>
      <w:bookmarkStart w:id="75" w:name="_Toc272490323"/>
      <w:bookmarkStart w:id="76" w:name="_Toc272491403"/>
      <w:bookmarkStart w:id="77" w:name="_Toc305402597"/>
      <w:bookmarkEnd w:id="63"/>
      <w:bookmarkEnd w:id="64"/>
      <w:r w:rsidRPr="00AC5DE7">
        <w:rPr>
          <w:lang w:val="es-ES"/>
        </w:rPr>
        <w:lastRenderedPageBreak/>
        <w:tab/>
      </w:r>
      <w:bookmarkStart w:id="78" w:name="_Toc305402602"/>
      <w:bookmarkStart w:id="79" w:name="_Toc428797516"/>
      <w:bookmarkEnd w:id="75"/>
      <w:bookmarkEnd w:id="76"/>
      <w:bookmarkEnd w:id="77"/>
      <w:r w:rsidRPr="00AC5DE7">
        <w:rPr>
          <w:lang w:val="es-ES"/>
        </w:rPr>
        <w:t>VII.</w:t>
      </w:r>
      <w:r w:rsidRPr="00AC5DE7">
        <w:rPr>
          <w:lang w:val="es-ES"/>
        </w:rPr>
        <w:tab/>
      </w:r>
      <w:bookmarkEnd w:id="78"/>
      <w:r w:rsidRPr="00AC5DE7">
        <w:rPr>
          <w:lang w:val="es-ES"/>
        </w:rPr>
        <w:t>Reuniones futuras del Comité</w:t>
      </w:r>
      <w:bookmarkEnd w:id="79"/>
    </w:p>
    <w:p w:rsidR="00AC5DE7" w:rsidRPr="00AC5DE7" w:rsidRDefault="00AC5DE7" w:rsidP="003A0AB5">
      <w:pPr>
        <w:pStyle w:val="SingleTxtG"/>
        <w:keepNext/>
        <w:keepLines/>
        <w:rPr>
          <w:lang w:val="es-ES"/>
        </w:rPr>
      </w:pPr>
      <w:r w:rsidRPr="00AC5DE7">
        <w:rPr>
          <w:lang w:val="es-ES"/>
        </w:rPr>
        <w:t>81.</w:t>
      </w:r>
      <w:r w:rsidRPr="00AC5DE7">
        <w:rPr>
          <w:lang w:val="es-ES"/>
        </w:rPr>
        <w:tab/>
        <w:t xml:space="preserve">De conformidad con la resolución </w:t>
      </w:r>
      <w:hyperlink r:id="rId91" w:history="1">
        <w:r w:rsidRPr="00581856">
          <w:rPr>
            <w:rStyle w:val="Hipervnculo"/>
            <w:lang w:val="es-ES"/>
          </w:rPr>
          <w:t>68/268</w:t>
        </w:r>
      </w:hyperlink>
      <w:r w:rsidRPr="00AC5DE7">
        <w:rPr>
          <w:lang w:val="es-ES"/>
        </w:rPr>
        <w:t xml:space="preserve"> de la Asamblea General, el Comité celebrará tres períodos ordinarios de sesiones en 2016: los períodos de sesiones 57º (18 de abril a 13 de mayo de 2016), 58º (25 de julio a 12 de agosto de 2016) y 59º (7 de noviembre a 7 de diciembre de 2016). </w:t>
      </w:r>
    </w:p>
    <w:p w:rsidR="00AC5DE7" w:rsidRPr="00AC5DE7" w:rsidRDefault="00AC5DE7" w:rsidP="004479FD">
      <w:pPr>
        <w:pStyle w:val="HChG"/>
        <w:rPr>
          <w:lang w:val="es-ES"/>
        </w:rPr>
      </w:pPr>
      <w:r w:rsidRPr="00AC5DE7">
        <w:rPr>
          <w:lang w:val="es-ES"/>
        </w:rPr>
        <w:tab/>
      </w:r>
      <w:bookmarkStart w:id="80" w:name="_Toc428797518"/>
      <w:r w:rsidRPr="00AC5DE7">
        <w:rPr>
          <w:lang w:val="es-ES"/>
        </w:rPr>
        <w:t>VIII.</w:t>
      </w:r>
      <w:r w:rsidRPr="00AC5DE7">
        <w:rPr>
          <w:lang w:val="es-ES"/>
        </w:rPr>
        <w:tab/>
        <w:t>Aprobación del inf</w:t>
      </w:r>
      <w:r w:rsidR="004479FD">
        <w:rPr>
          <w:lang w:val="es-ES"/>
        </w:rPr>
        <w:t xml:space="preserve">orme anual del Comité sobre sus </w:t>
      </w:r>
      <w:r w:rsidRPr="00AC5DE7">
        <w:rPr>
          <w:lang w:val="es-ES"/>
        </w:rPr>
        <w:t>actividades</w:t>
      </w:r>
      <w:bookmarkEnd w:id="80"/>
    </w:p>
    <w:p w:rsidR="00696752" w:rsidRDefault="00AC5DE7" w:rsidP="00AC5DE7">
      <w:pPr>
        <w:pStyle w:val="SingleTxtG"/>
        <w:rPr>
          <w:lang w:val="es-ES"/>
        </w:rPr>
      </w:pPr>
      <w:r w:rsidRPr="00AC5DE7">
        <w:rPr>
          <w:lang w:val="es-ES"/>
        </w:rPr>
        <w:t>82.</w:t>
      </w:r>
      <w:r w:rsidRPr="00AC5DE7">
        <w:rPr>
          <w:lang w:val="es-ES"/>
        </w:rPr>
        <w:tab/>
        <w:t xml:space="preserve">De conformidad con el artículo 24 de la Convención, el Comité debe presentar un informe anual sobre sus actividades a los Estados partes y a la Asamblea General. Puesto que el Comité celebra su tercer período ordinario de sesiones de cada año civil en noviembre, lo que coincide con los períodos ordinarios de sesiones de la Asamblea General, el Comité aprueba su informe anual al finalizar su período de sesiones del segundo trimestre del año, para transmitirlo a la Asamblea General en el mismo año civil. Por consiguiente, en su 1430ª sesión, celebrada el 13 de mayo de 2016 (véase </w:t>
      </w:r>
      <w:hyperlink r:id="rId92" w:history="1">
        <w:r w:rsidRPr="008A7FF6">
          <w:rPr>
            <w:rStyle w:val="Hipervnculo"/>
            <w:lang w:val="es-ES"/>
          </w:rPr>
          <w:t>CAT/C/</w:t>
        </w:r>
        <w:proofErr w:type="spellStart"/>
        <w:r w:rsidRPr="008A7FF6">
          <w:rPr>
            <w:rStyle w:val="Hipervnculo"/>
            <w:lang w:val="es-ES"/>
          </w:rPr>
          <w:t>SR.1430</w:t>
        </w:r>
        <w:proofErr w:type="spellEnd"/>
      </w:hyperlink>
      <w:r w:rsidRPr="00AC5DE7">
        <w:rPr>
          <w:lang w:val="es-ES"/>
        </w:rPr>
        <w:t>), el Comité examinó y aprobó por unanimidad el informe sobre sus actividades en los períodos de sesiones 57º, 58º y</w:t>
      </w:r>
      <w:r w:rsidR="001E4713">
        <w:rPr>
          <w:lang w:val="es-ES"/>
        </w:rPr>
        <w:t xml:space="preserve"> </w:t>
      </w:r>
      <w:r w:rsidRPr="00AC5DE7">
        <w:rPr>
          <w:lang w:val="es-ES"/>
        </w:rPr>
        <w:t>59º.</w:t>
      </w:r>
    </w:p>
    <w:p w:rsidR="00AC5DE7" w:rsidRPr="00AC5DE7" w:rsidRDefault="00696752" w:rsidP="00696752">
      <w:pPr>
        <w:pStyle w:val="HChG"/>
        <w:rPr>
          <w:lang w:val="es-ES"/>
        </w:rPr>
      </w:pPr>
      <w:r>
        <w:rPr>
          <w:lang w:val="es-ES"/>
        </w:rPr>
        <w:br w:type="page"/>
      </w:r>
      <w:bookmarkStart w:id="81" w:name="_Toc428797519"/>
      <w:r w:rsidR="00AC5DE7" w:rsidRPr="00AC5DE7">
        <w:rPr>
          <w:lang w:val="es-ES"/>
        </w:rPr>
        <w:lastRenderedPageBreak/>
        <w:t>Anexo</w:t>
      </w:r>
      <w:bookmarkEnd w:id="81"/>
    </w:p>
    <w:p w:rsidR="00AC5DE7" w:rsidRPr="00AC5DE7" w:rsidRDefault="001E4713" w:rsidP="001E4713">
      <w:pPr>
        <w:pStyle w:val="H1G"/>
        <w:rPr>
          <w:lang w:val="es-ES"/>
        </w:rPr>
      </w:pPr>
      <w:r>
        <w:rPr>
          <w:lang w:val="es-ES"/>
        </w:rPr>
        <w:tab/>
      </w:r>
      <w:r w:rsidR="00AC5DE7" w:rsidRPr="00AC5DE7">
        <w:rPr>
          <w:lang w:val="es-ES"/>
        </w:rPr>
        <w:tab/>
      </w:r>
      <w:bookmarkStart w:id="82" w:name="_Toc428797520"/>
      <w:r w:rsidR="00AC5DE7" w:rsidRPr="00AC5DE7">
        <w:rPr>
          <w:lang w:val="es-ES"/>
        </w:rPr>
        <w:t>Composición, miembros de la Mesa y mandatos del 16 de</w:t>
      </w:r>
      <w:r w:rsidR="00962428">
        <w:rPr>
          <w:lang w:val="es-ES"/>
        </w:rPr>
        <w:t xml:space="preserve"> </w:t>
      </w:r>
      <w:r w:rsidR="00AC5DE7" w:rsidRPr="00AC5DE7">
        <w:rPr>
          <w:lang w:val="es-ES"/>
        </w:rPr>
        <w:t>mayo</w:t>
      </w:r>
      <w:bookmarkEnd w:id="82"/>
      <w:r w:rsidR="00962428">
        <w:rPr>
          <w:lang w:val="es-ES"/>
        </w:rPr>
        <w:br/>
      </w:r>
      <w:r w:rsidR="00AC5DE7" w:rsidRPr="00AC5DE7">
        <w:rPr>
          <w:lang w:val="es-ES"/>
        </w:rPr>
        <w:t>al 31 de diciembre de 2015</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402"/>
        <w:gridCol w:w="2410"/>
        <w:gridCol w:w="1558"/>
      </w:tblGrid>
      <w:tr w:rsidR="00AC5DE7" w:rsidRPr="008A42A9" w:rsidTr="00113637">
        <w:trPr>
          <w:cantSplit/>
          <w:trHeight w:val="240"/>
          <w:tblHeader/>
        </w:trPr>
        <w:tc>
          <w:tcPr>
            <w:tcW w:w="3402" w:type="dxa"/>
            <w:tcBorders>
              <w:top w:val="single" w:sz="4" w:space="0" w:color="auto"/>
              <w:bottom w:val="single" w:sz="12" w:space="0" w:color="auto"/>
            </w:tcBorders>
            <w:shd w:val="clear" w:color="auto" w:fill="auto"/>
            <w:vAlign w:val="bottom"/>
          </w:tcPr>
          <w:p w:rsidR="00AC5DE7" w:rsidRPr="001E4713" w:rsidRDefault="00AC5DE7" w:rsidP="001E4713">
            <w:pPr>
              <w:pStyle w:val="SingleTxtG"/>
              <w:suppressAutoHyphens w:val="0"/>
              <w:spacing w:before="80" w:after="80" w:line="200" w:lineRule="exact"/>
              <w:ind w:left="0" w:right="0"/>
              <w:jc w:val="left"/>
              <w:rPr>
                <w:i/>
                <w:sz w:val="16"/>
                <w:lang w:val="es-ES"/>
              </w:rPr>
            </w:pPr>
            <w:r w:rsidRPr="001E4713">
              <w:rPr>
                <w:i/>
                <w:sz w:val="16"/>
                <w:lang w:val="es-ES"/>
              </w:rPr>
              <w:t>Nombre del miembro</w:t>
            </w:r>
          </w:p>
        </w:tc>
        <w:tc>
          <w:tcPr>
            <w:tcW w:w="2410" w:type="dxa"/>
            <w:tcBorders>
              <w:top w:val="single" w:sz="4" w:space="0" w:color="auto"/>
              <w:bottom w:val="single" w:sz="12" w:space="0" w:color="auto"/>
            </w:tcBorders>
            <w:shd w:val="clear" w:color="auto" w:fill="auto"/>
            <w:vAlign w:val="bottom"/>
          </w:tcPr>
          <w:p w:rsidR="00AC5DE7" w:rsidRPr="001E4713" w:rsidRDefault="00AC5DE7" w:rsidP="001E4713">
            <w:pPr>
              <w:pStyle w:val="SingleTxtG"/>
              <w:suppressAutoHyphens w:val="0"/>
              <w:spacing w:before="80" w:after="80" w:line="200" w:lineRule="exact"/>
              <w:ind w:left="0" w:right="0"/>
              <w:jc w:val="left"/>
              <w:rPr>
                <w:i/>
                <w:sz w:val="16"/>
                <w:lang w:val="es-ES"/>
              </w:rPr>
            </w:pPr>
            <w:r w:rsidRPr="001E4713">
              <w:rPr>
                <w:i/>
                <w:sz w:val="16"/>
                <w:lang w:val="es-ES"/>
              </w:rPr>
              <w:t>Nacionalidad</w:t>
            </w:r>
          </w:p>
        </w:tc>
        <w:tc>
          <w:tcPr>
            <w:tcW w:w="1558" w:type="dxa"/>
            <w:tcBorders>
              <w:top w:val="single" w:sz="4" w:space="0" w:color="auto"/>
              <w:bottom w:val="single" w:sz="12" w:space="0" w:color="auto"/>
            </w:tcBorders>
            <w:shd w:val="clear" w:color="auto" w:fill="auto"/>
            <w:vAlign w:val="bottom"/>
          </w:tcPr>
          <w:p w:rsidR="00AC5DE7" w:rsidRPr="001E4713" w:rsidRDefault="00AC5DE7" w:rsidP="001E4713">
            <w:pPr>
              <w:pStyle w:val="SingleTxtG"/>
              <w:suppressAutoHyphens w:val="0"/>
              <w:spacing w:before="80" w:after="80" w:line="200" w:lineRule="exact"/>
              <w:ind w:left="0" w:right="0"/>
              <w:jc w:val="left"/>
              <w:rPr>
                <w:i/>
                <w:sz w:val="16"/>
                <w:lang w:val="es-ES"/>
              </w:rPr>
            </w:pPr>
            <w:r w:rsidRPr="001E4713">
              <w:rPr>
                <w:i/>
                <w:sz w:val="16"/>
                <w:lang w:val="es-ES"/>
              </w:rPr>
              <w:t xml:space="preserve">El mandato termina </w:t>
            </w:r>
            <w:r w:rsidRPr="001E4713">
              <w:rPr>
                <w:i/>
                <w:sz w:val="16"/>
                <w:lang w:val="es-ES"/>
              </w:rPr>
              <w:br/>
              <w:t xml:space="preserve">el 31 de diciembre de </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bCs/>
                <w:lang w:val="es-ES"/>
              </w:rPr>
            </w:pPr>
            <w:proofErr w:type="spellStart"/>
            <w:r w:rsidRPr="001E4713">
              <w:rPr>
                <w:bCs/>
                <w:lang w:val="es-ES"/>
              </w:rPr>
              <w:t>Essadia</w:t>
            </w:r>
            <w:proofErr w:type="spellEnd"/>
            <w:r w:rsidRPr="001E4713">
              <w:rPr>
                <w:bCs/>
                <w:lang w:val="es-ES"/>
              </w:rPr>
              <w:t xml:space="preserve"> </w:t>
            </w:r>
            <w:proofErr w:type="spellStart"/>
            <w:r w:rsidRPr="001E4713">
              <w:rPr>
                <w:bCs/>
                <w:lang w:val="es-ES"/>
              </w:rPr>
              <w:t>Belmir</w:t>
            </w:r>
            <w:proofErr w:type="spellEnd"/>
            <w:r w:rsidRPr="001E4713">
              <w:rPr>
                <w:bCs/>
                <w:lang w:val="es-ES"/>
              </w:rPr>
              <w:br/>
              <w:t>(Vicepresidenta)</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Marruecos</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2017</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Alessio Bruni</w:t>
            </w:r>
            <w:r w:rsidRPr="001E4713">
              <w:rPr>
                <w:lang w:val="es-ES"/>
              </w:rPr>
              <w:br/>
              <w:t>(Relator para las represalias en relación con los</w:t>
            </w:r>
            <w:r w:rsidR="00962428">
              <w:rPr>
                <w:lang w:val="es-ES"/>
              </w:rPr>
              <w:t xml:space="preserve"> artículos 20 y </w:t>
            </w:r>
            <w:r w:rsidRPr="001E4713">
              <w:rPr>
                <w:lang w:val="es-ES"/>
              </w:rPr>
              <w:t>22)</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Italia</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2017</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Satyabhooshun Gupt Domah (Relator)</w:t>
            </w:r>
            <w:r w:rsidRPr="001E4713">
              <w:rPr>
                <w:lang w:val="es-ES"/>
              </w:rPr>
              <w:br/>
              <w:t>(Relator para las quejas nuevas y las medidas provisionales, y para el seguimiento de las decisiones aprobadas en virtud del</w:t>
            </w:r>
            <w:r w:rsidR="00962428">
              <w:rPr>
                <w:lang w:val="es-ES"/>
              </w:rPr>
              <w:t xml:space="preserve"> artículo </w:t>
            </w:r>
            <w:r w:rsidRPr="001E4713">
              <w:rPr>
                <w:lang w:val="es-ES"/>
              </w:rPr>
              <w:t>22)</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Mauricio</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2015</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Felice Gaer</w:t>
            </w:r>
            <w:r w:rsidRPr="001E4713">
              <w:rPr>
                <w:lang w:val="es-ES"/>
              </w:rPr>
              <w:br/>
              <w:t>(Vicepresidenta)</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Estados Unidos de América</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2015</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Abdoulaye Gaye</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Senegal</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2015</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Claudio Grossman</w:t>
            </w:r>
            <w:r w:rsidRPr="001E4713">
              <w:rPr>
                <w:lang w:val="es-ES"/>
              </w:rPr>
              <w:br/>
              <w:t>(Presidente)</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Chile</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2015</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Jens Modvig</w:t>
            </w:r>
            <w:r w:rsidRPr="001E4713">
              <w:rPr>
                <w:lang w:val="es-ES"/>
              </w:rPr>
              <w:br/>
              <w:t>(Relator para el seguimiento en relación con el artículo 19)</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Dinamarca</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2017</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Sapana Pradhan-Malla</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Nepal</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2017</w:t>
            </w:r>
          </w:p>
        </w:tc>
      </w:tr>
      <w:tr w:rsidR="00AC5DE7" w:rsidRPr="001E4713" w:rsidTr="00113637">
        <w:trPr>
          <w:cantSplit/>
          <w:trHeight w:val="240"/>
        </w:trPr>
        <w:tc>
          <w:tcPr>
            <w:tcW w:w="3402"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 xml:space="preserve">George Tugushi </w:t>
            </w:r>
            <w:r w:rsidRPr="001E4713">
              <w:rPr>
                <w:lang w:val="es-ES"/>
              </w:rPr>
              <w:br/>
              <w:t>(Vicepresidente)</w:t>
            </w:r>
            <w:r w:rsidRPr="001E4713">
              <w:rPr>
                <w:lang w:val="es-ES"/>
              </w:rPr>
              <w:br/>
              <w:t>(Relator para las represalias en relación con el artículo 19)</w:t>
            </w:r>
          </w:p>
        </w:tc>
        <w:tc>
          <w:tcPr>
            <w:tcW w:w="2410"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Georgia</w:t>
            </w:r>
          </w:p>
        </w:tc>
        <w:tc>
          <w:tcPr>
            <w:tcW w:w="155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2015</w:t>
            </w:r>
          </w:p>
        </w:tc>
      </w:tr>
      <w:tr w:rsidR="00AC5DE7" w:rsidRPr="001E4713" w:rsidTr="00113637">
        <w:trPr>
          <w:cantSplit/>
          <w:trHeight w:val="240"/>
        </w:trPr>
        <w:tc>
          <w:tcPr>
            <w:tcW w:w="3402" w:type="dxa"/>
            <w:tcBorders>
              <w:bottom w:val="single" w:sz="12" w:space="0" w:color="auto"/>
            </w:tcBorders>
            <w:shd w:val="clear" w:color="auto" w:fill="auto"/>
          </w:tcPr>
          <w:p w:rsidR="00AC5DE7" w:rsidRPr="001E4713" w:rsidRDefault="00AC5DE7" w:rsidP="001E4713">
            <w:pPr>
              <w:pStyle w:val="SingleTxtG"/>
              <w:suppressAutoHyphens w:val="0"/>
              <w:spacing w:before="40"/>
              <w:ind w:left="0" w:right="0"/>
              <w:jc w:val="left"/>
              <w:rPr>
                <w:lang w:val="es-ES"/>
              </w:rPr>
            </w:pPr>
            <w:proofErr w:type="spellStart"/>
            <w:r w:rsidRPr="001E4713">
              <w:rPr>
                <w:lang w:val="es-ES"/>
              </w:rPr>
              <w:t>Kening</w:t>
            </w:r>
            <w:proofErr w:type="spellEnd"/>
            <w:r w:rsidRPr="001E4713">
              <w:rPr>
                <w:lang w:val="es-ES"/>
              </w:rPr>
              <w:t xml:space="preserve"> Zhang</w:t>
            </w:r>
          </w:p>
        </w:tc>
        <w:tc>
          <w:tcPr>
            <w:tcW w:w="2410" w:type="dxa"/>
            <w:tcBorders>
              <w:bottom w:val="single" w:sz="12" w:space="0" w:color="auto"/>
            </w:tcBorders>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China</w:t>
            </w:r>
          </w:p>
        </w:tc>
        <w:tc>
          <w:tcPr>
            <w:tcW w:w="1558" w:type="dxa"/>
            <w:tcBorders>
              <w:bottom w:val="single" w:sz="12" w:space="0" w:color="auto"/>
            </w:tcBorders>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2017</w:t>
            </w:r>
          </w:p>
        </w:tc>
      </w:tr>
    </w:tbl>
    <w:p w:rsidR="00696752" w:rsidRDefault="00696752" w:rsidP="00696752">
      <w:pPr>
        <w:pStyle w:val="H1G"/>
        <w:keepNext w:val="0"/>
        <w:keepLines w:val="0"/>
        <w:rPr>
          <w:lang w:val="es-ES"/>
        </w:rPr>
        <w:sectPr w:rsidR="00696752" w:rsidSect="00696752">
          <w:footerReference w:type="even" r:id="rId93"/>
          <w:headerReference w:type="first" r:id="rId94"/>
          <w:footerReference w:type="first" r:id="rId95"/>
          <w:footnotePr>
            <w:numRestart w:val="eachSect"/>
          </w:footnotePr>
          <w:endnotePr>
            <w:numFmt w:val="decimal"/>
          </w:endnotePr>
          <w:pgSz w:w="11906" w:h="16838" w:code="9"/>
          <w:pgMar w:top="1701" w:right="1134" w:bottom="2268" w:left="1134" w:header="1134" w:footer="1701" w:gutter="0"/>
          <w:pgNumType w:start="1"/>
          <w:cols w:space="708"/>
          <w:docGrid w:linePitch="360"/>
        </w:sectPr>
      </w:pPr>
    </w:p>
    <w:p w:rsidR="00AC5DE7" w:rsidRPr="00AC5DE7" w:rsidRDefault="001E4713" w:rsidP="001E4713">
      <w:pPr>
        <w:pStyle w:val="H1G"/>
        <w:rPr>
          <w:lang w:val="es-ES"/>
        </w:rPr>
      </w:pPr>
      <w:r>
        <w:rPr>
          <w:lang w:val="es-ES"/>
        </w:rPr>
        <w:lastRenderedPageBreak/>
        <w:tab/>
      </w:r>
      <w:r>
        <w:rPr>
          <w:lang w:val="es-ES"/>
        </w:rPr>
        <w:tab/>
      </w:r>
      <w:r w:rsidR="00AC5DE7" w:rsidRPr="00AC5DE7">
        <w:rPr>
          <w:lang w:val="es-ES"/>
        </w:rPr>
        <w:t xml:space="preserve">Composición, miembros de la Mesa y mandatos del 1 de enero </w:t>
      </w:r>
      <w:r w:rsidR="00962428">
        <w:rPr>
          <w:lang w:val="es-ES"/>
        </w:rPr>
        <w:br/>
      </w:r>
      <w:r w:rsidR="00AC5DE7" w:rsidRPr="00AC5DE7">
        <w:rPr>
          <w:lang w:val="es-ES"/>
        </w:rPr>
        <w:t>de 2016 al 31 de diciembre de 2017</w:t>
      </w:r>
      <w:r w:rsidR="003A082F" w:rsidRPr="00FE3A40">
        <w:rPr>
          <w:rStyle w:val="Refdenotaalpie"/>
          <w:b w:val="0"/>
          <w:szCs w:val="18"/>
          <w:lang w:val="es-ES"/>
        </w:rPr>
        <w:footnoteReference w:id="13"/>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767"/>
        <w:gridCol w:w="2435"/>
        <w:gridCol w:w="2168"/>
      </w:tblGrid>
      <w:tr w:rsidR="00AC5DE7" w:rsidRPr="008A42A9" w:rsidTr="003A082F">
        <w:trPr>
          <w:cantSplit/>
          <w:trHeight w:val="240"/>
          <w:tblHeader/>
        </w:trPr>
        <w:tc>
          <w:tcPr>
            <w:tcW w:w="2767" w:type="dxa"/>
            <w:tcBorders>
              <w:top w:val="single" w:sz="4" w:space="0" w:color="auto"/>
              <w:bottom w:val="single" w:sz="12" w:space="0" w:color="auto"/>
            </w:tcBorders>
            <w:shd w:val="clear" w:color="auto" w:fill="auto"/>
            <w:vAlign w:val="bottom"/>
          </w:tcPr>
          <w:p w:rsidR="00AC5DE7" w:rsidRPr="001E4713" w:rsidRDefault="00AC5DE7" w:rsidP="00113637">
            <w:pPr>
              <w:pStyle w:val="SingleTxtG"/>
              <w:keepNext/>
              <w:suppressAutoHyphens w:val="0"/>
              <w:spacing w:before="80" w:after="80" w:line="200" w:lineRule="exact"/>
              <w:ind w:left="0" w:right="0"/>
              <w:jc w:val="left"/>
              <w:rPr>
                <w:i/>
                <w:sz w:val="16"/>
                <w:lang w:val="es-ES"/>
              </w:rPr>
            </w:pPr>
            <w:r w:rsidRPr="001E4713">
              <w:rPr>
                <w:i/>
                <w:sz w:val="16"/>
                <w:lang w:val="es-ES"/>
              </w:rPr>
              <w:t>Nombre del miembro</w:t>
            </w:r>
          </w:p>
        </w:tc>
        <w:tc>
          <w:tcPr>
            <w:tcW w:w="2435" w:type="dxa"/>
            <w:tcBorders>
              <w:top w:val="single" w:sz="4" w:space="0" w:color="auto"/>
              <w:bottom w:val="single" w:sz="12" w:space="0" w:color="auto"/>
            </w:tcBorders>
            <w:shd w:val="clear" w:color="auto" w:fill="auto"/>
            <w:vAlign w:val="bottom"/>
          </w:tcPr>
          <w:p w:rsidR="00AC5DE7" w:rsidRPr="001E4713" w:rsidRDefault="00AC5DE7" w:rsidP="00113637">
            <w:pPr>
              <w:pStyle w:val="SingleTxtG"/>
              <w:keepNext/>
              <w:suppressAutoHyphens w:val="0"/>
              <w:spacing w:before="80" w:after="80" w:line="200" w:lineRule="exact"/>
              <w:ind w:left="0" w:right="0"/>
              <w:jc w:val="left"/>
              <w:rPr>
                <w:i/>
                <w:sz w:val="16"/>
                <w:lang w:val="es-ES"/>
              </w:rPr>
            </w:pPr>
            <w:r w:rsidRPr="001E4713">
              <w:rPr>
                <w:i/>
                <w:sz w:val="16"/>
                <w:lang w:val="es-ES"/>
              </w:rPr>
              <w:t>Nacionalidad</w:t>
            </w:r>
          </w:p>
        </w:tc>
        <w:tc>
          <w:tcPr>
            <w:tcW w:w="2168" w:type="dxa"/>
            <w:tcBorders>
              <w:top w:val="single" w:sz="4" w:space="0" w:color="auto"/>
              <w:bottom w:val="single" w:sz="12" w:space="0" w:color="auto"/>
            </w:tcBorders>
            <w:shd w:val="clear" w:color="auto" w:fill="auto"/>
            <w:vAlign w:val="bottom"/>
          </w:tcPr>
          <w:p w:rsidR="00AC5DE7" w:rsidRPr="001E4713" w:rsidRDefault="00AC5DE7" w:rsidP="00113637">
            <w:pPr>
              <w:pStyle w:val="SingleTxtG"/>
              <w:keepNext/>
              <w:suppressAutoHyphens w:val="0"/>
              <w:spacing w:before="80" w:after="80" w:line="200" w:lineRule="exact"/>
              <w:ind w:left="0" w:right="0"/>
              <w:jc w:val="left"/>
              <w:rPr>
                <w:i/>
                <w:sz w:val="16"/>
                <w:lang w:val="es-ES"/>
              </w:rPr>
            </w:pPr>
            <w:r w:rsidRPr="001E4713">
              <w:rPr>
                <w:i/>
                <w:sz w:val="16"/>
                <w:lang w:val="es-ES"/>
              </w:rPr>
              <w:t xml:space="preserve">El mandato termina </w:t>
            </w:r>
            <w:r w:rsidRPr="001E4713">
              <w:rPr>
                <w:i/>
                <w:sz w:val="16"/>
                <w:lang w:val="es-ES"/>
              </w:rPr>
              <w:br/>
              <w:t xml:space="preserve">el 31 de diciembre de </w:t>
            </w:r>
          </w:p>
        </w:tc>
      </w:tr>
      <w:tr w:rsidR="00AC5DE7" w:rsidRPr="001E4713" w:rsidTr="003A082F">
        <w:trPr>
          <w:cantSplit/>
          <w:trHeight w:val="240"/>
          <w:tblHeader/>
        </w:trPr>
        <w:tc>
          <w:tcPr>
            <w:tcW w:w="2767" w:type="dxa"/>
            <w:tcBorders>
              <w:top w:val="single" w:sz="12" w:space="0" w:color="auto"/>
            </w:tcBorders>
            <w:shd w:val="clear" w:color="auto" w:fill="auto"/>
          </w:tcPr>
          <w:p w:rsidR="00AC5DE7" w:rsidRPr="001E4713" w:rsidRDefault="00AC5DE7" w:rsidP="00113637">
            <w:pPr>
              <w:pStyle w:val="SingleTxtG"/>
              <w:keepNext/>
              <w:suppressAutoHyphens w:val="0"/>
              <w:spacing w:before="40"/>
              <w:ind w:left="0" w:right="0"/>
              <w:jc w:val="left"/>
              <w:rPr>
                <w:lang w:val="es-ES"/>
              </w:rPr>
            </w:pPr>
            <w:proofErr w:type="spellStart"/>
            <w:r w:rsidRPr="001E4713">
              <w:rPr>
                <w:lang w:val="es-ES"/>
              </w:rPr>
              <w:t>Essadia</w:t>
            </w:r>
            <w:proofErr w:type="spellEnd"/>
            <w:r w:rsidRPr="001E4713">
              <w:rPr>
                <w:lang w:val="es-ES"/>
              </w:rPr>
              <w:t xml:space="preserve"> </w:t>
            </w:r>
            <w:proofErr w:type="spellStart"/>
            <w:r w:rsidRPr="001E4713">
              <w:rPr>
                <w:lang w:val="es-ES"/>
              </w:rPr>
              <w:t>Belmir</w:t>
            </w:r>
            <w:proofErr w:type="spellEnd"/>
            <w:r w:rsidRPr="001E4713">
              <w:rPr>
                <w:lang w:val="es-ES"/>
              </w:rPr>
              <w:br/>
              <w:t>(Vicepresidenta)</w:t>
            </w:r>
          </w:p>
        </w:tc>
        <w:tc>
          <w:tcPr>
            <w:tcW w:w="2435" w:type="dxa"/>
            <w:tcBorders>
              <w:top w:val="single" w:sz="12" w:space="0" w:color="auto"/>
            </w:tcBorders>
            <w:shd w:val="clear" w:color="auto" w:fill="auto"/>
          </w:tcPr>
          <w:p w:rsidR="00AC5DE7" w:rsidRPr="001E4713" w:rsidRDefault="00AC5DE7" w:rsidP="00113637">
            <w:pPr>
              <w:pStyle w:val="SingleTxtG"/>
              <w:keepNext/>
              <w:suppressAutoHyphens w:val="0"/>
              <w:spacing w:before="40"/>
              <w:ind w:left="0" w:right="0"/>
              <w:jc w:val="left"/>
              <w:rPr>
                <w:lang w:val="es-ES"/>
              </w:rPr>
            </w:pPr>
            <w:r w:rsidRPr="001E4713">
              <w:rPr>
                <w:lang w:val="es-ES"/>
              </w:rPr>
              <w:t>Marruecos</w:t>
            </w:r>
          </w:p>
        </w:tc>
        <w:tc>
          <w:tcPr>
            <w:tcW w:w="2168" w:type="dxa"/>
            <w:tcBorders>
              <w:top w:val="single" w:sz="12" w:space="0" w:color="auto"/>
            </w:tcBorders>
            <w:shd w:val="clear" w:color="auto" w:fill="auto"/>
          </w:tcPr>
          <w:p w:rsidR="00AC5DE7" w:rsidRPr="001E4713" w:rsidRDefault="00AC5DE7" w:rsidP="00113637">
            <w:pPr>
              <w:pStyle w:val="SingleTxtG"/>
              <w:keepNext/>
              <w:suppressAutoHyphens w:val="0"/>
              <w:spacing w:before="40"/>
              <w:ind w:left="0" w:right="0"/>
              <w:jc w:val="left"/>
              <w:rPr>
                <w:lang w:val="es-ES"/>
              </w:rPr>
            </w:pPr>
            <w:r w:rsidRPr="001E4713">
              <w:rPr>
                <w:lang w:val="es-ES"/>
              </w:rPr>
              <w:t>2017</w:t>
            </w:r>
          </w:p>
        </w:tc>
      </w:tr>
      <w:tr w:rsidR="00AC5DE7" w:rsidRPr="001E4713" w:rsidTr="003A082F">
        <w:trPr>
          <w:cantSplit/>
          <w:trHeight w:val="240"/>
          <w:tblHeader/>
        </w:trPr>
        <w:tc>
          <w:tcPr>
            <w:tcW w:w="2767" w:type="dxa"/>
            <w:shd w:val="clear" w:color="auto" w:fill="auto"/>
          </w:tcPr>
          <w:p w:rsidR="00AC5DE7" w:rsidRPr="001E4713" w:rsidRDefault="00AC5DE7" w:rsidP="00113637">
            <w:pPr>
              <w:pStyle w:val="SingleTxtG"/>
              <w:keepNext/>
              <w:suppressAutoHyphens w:val="0"/>
              <w:spacing w:before="40"/>
              <w:ind w:left="0" w:right="0"/>
              <w:jc w:val="left"/>
              <w:rPr>
                <w:lang w:val="es-ES"/>
              </w:rPr>
            </w:pPr>
            <w:r w:rsidRPr="001E4713">
              <w:rPr>
                <w:lang w:val="es-ES"/>
              </w:rPr>
              <w:t>Alessio Bruni</w:t>
            </w:r>
            <w:r w:rsidRPr="001E4713">
              <w:rPr>
                <w:lang w:val="es-ES"/>
              </w:rPr>
              <w:br/>
              <w:t>(Relator para las represalias)</w:t>
            </w:r>
          </w:p>
        </w:tc>
        <w:tc>
          <w:tcPr>
            <w:tcW w:w="2435" w:type="dxa"/>
            <w:shd w:val="clear" w:color="auto" w:fill="auto"/>
          </w:tcPr>
          <w:p w:rsidR="00AC5DE7" w:rsidRPr="001E4713" w:rsidRDefault="00AC5DE7" w:rsidP="00113637">
            <w:pPr>
              <w:pStyle w:val="SingleTxtG"/>
              <w:keepNext/>
              <w:suppressAutoHyphens w:val="0"/>
              <w:spacing w:before="40"/>
              <w:ind w:left="0" w:right="0"/>
              <w:jc w:val="left"/>
              <w:rPr>
                <w:lang w:val="es-ES"/>
              </w:rPr>
            </w:pPr>
            <w:r w:rsidRPr="001E4713">
              <w:rPr>
                <w:lang w:val="es-ES"/>
              </w:rPr>
              <w:t>Italia</w:t>
            </w:r>
          </w:p>
        </w:tc>
        <w:tc>
          <w:tcPr>
            <w:tcW w:w="2168" w:type="dxa"/>
            <w:shd w:val="clear" w:color="auto" w:fill="auto"/>
          </w:tcPr>
          <w:p w:rsidR="00AC5DE7" w:rsidRPr="001E4713" w:rsidRDefault="00AC5DE7" w:rsidP="00113637">
            <w:pPr>
              <w:pStyle w:val="SingleTxtG"/>
              <w:keepNext/>
              <w:suppressAutoHyphens w:val="0"/>
              <w:spacing w:before="40"/>
              <w:ind w:left="0" w:right="0"/>
              <w:jc w:val="left"/>
              <w:rPr>
                <w:lang w:val="es-ES"/>
              </w:rPr>
            </w:pPr>
            <w:r w:rsidRPr="001E4713">
              <w:rPr>
                <w:lang w:val="es-ES"/>
              </w:rPr>
              <w:t>2017</w:t>
            </w:r>
          </w:p>
        </w:tc>
      </w:tr>
      <w:tr w:rsidR="00AC5DE7" w:rsidRPr="001E4713" w:rsidTr="003A082F">
        <w:trPr>
          <w:cantSplit/>
          <w:trHeight w:val="240"/>
          <w:tblHeader/>
        </w:trPr>
        <w:tc>
          <w:tcPr>
            <w:tcW w:w="2767"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Felice Gaer</w:t>
            </w:r>
            <w:r w:rsidRPr="001E4713">
              <w:rPr>
                <w:lang w:val="es-ES"/>
              </w:rPr>
              <w:br/>
              <w:t>(Vicepresidenta)</w:t>
            </w:r>
          </w:p>
        </w:tc>
        <w:tc>
          <w:tcPr>
            <w:tcW w:w="2435"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Estados Unidos de América</w:t>
            </w:r>
          </w:p>
        </w:tc>
        <w:tc>
          <w:tcPr>
            <w:tcW w:w="216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w:t>
            </w:r>
            <w:r w:rsidR="005B0CBE">
              <w:rPr>
                <w:lang w:val="es-ES"/>
              </w:rPr>
              <w:t>9</w:t>
            </w:r>
          </w:p>
        </w:tc>
      </w:tr>
      <w:tr w:rsidR="00AC5DE7" w:rsidRPr="001E4713" w:rsidTr="003A082F">
        <w:trPr>
          <w:cantSplit/>
          <w:trHeight w:val="240"/>
          <w:tblHeader/>
        </w:trPr>
        <w:tc>
          <w:tcPr>
            <w:tcW w:w="2767" w:type="dxa"/>
            <w:shd w:val="clear" w:color="auto" w:fill="auto"/>
          </w:tcPr>
          <w:p w:rsidR="00AC5DE7" w:rsidRPr="001E4713" w:rsidRDefault="00AC5DE7" w:rsidP="00113637">
            <w:pPr>
              <w:pStyle w:val="SingleTxtG"/>
              <w:suppressAutoHyphens w:val="0"/>
              <w:spacing w:before="40"/>
              <w:ind w:left="0" w:right="0"/>
              <w:jc w:val="left"/>
              <w:rPr>
                <w:lang w:val="es-ES"/>
              </w:rPr>
            </w:pPr>
            <w:r w:rsidRPr="001E4713">
              <w:rPr>
                <w:lang w:val="es-ES"/>
              </w:rPr>
              <w:t>Abdelwahab Hani</w:t>
            </w:r>
            <w:r w:rsidR="00113637">
              <w:rPr>
                <w:lang w:val="es-ES"/>
              </w:rPr>
              <w:br/>
            </w:r>
            <w:r w:rsidRPr="001E4713">
              <w:rPr>
                <w:lang w:val="es-ES"/>
              </w:rPr>
              <w:t>(Relator para el seguimiento en relación con el artículo 19)</w:t>
            </w:r>
          </w:p>
        </w:tc>
        <w:tc>
          <w:tcPr>
            <w:tcW w:w="2435"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Túnez</w:t>
            </w:r>
          </w:p>
        </w:tc>
        <w:tc>
          <w:tcPr>
            <w:tcW w:w="216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2019</w:t>
            </w:r>
          </w:p>
        </w:tc>
      </w:tr>
      <w:tr w:rsidR="00AC5DE7" w:rsidRPr="001E4713" w:rsidTr="003A082F">
        <w:trPr>
          <w:cantSplit/>
          <w:trHeight w:val="240"/>
          <w:tblHeader/>
        </w:trPr>
        <w:tc>
          <w:tcPr>
            <w:tcW w:w="2767" w:type="dxa"/>
            <w:shd w:val="clear" w:color="auto" w:fill="auto"/>
          </w:tcPr>
          <w:p w:rsidR="00AC5DE7" w:rsidRPr="001E4713" w:rsidRDefault="00AC5DE7" w:rsidP="001E4713">
            <w:pPr>
              <w:pStyle w:val="SingleTxtG"/>
              <w:suppressAutoHyphens w:val="0"/>
              <w:spacing w:before="40"/>
              <w:ind w:left="0" w:right="0"/>
              <w:jc w:val="left"/>
              <w:rPr>
                <w:lang w:val="en-US"/>
              </w:rPr>
            </w:pPr>
            <w:r w:rsidRPr="001E4713">
              <w:rPr>
                <w:lang w:val="en-US"/>
              </w:rPr>
              <w:t>Claude Heller Rouassant</w:t>
            </w:r>
            <w:r w:rsidR="001E4713">
              <w:rPr>
                <w:lang w:val="en-US"/>
              </w:rPr>
              <w:br/>
            </w:r>
            <w:r w:rsidRPr="001E4713">
              <w:rPr>
                <w:lang w:val="en-US"/>
              </w:rPr>
              <w:t>(Vicepresidente)</w:t>
            </w:r>
          </w:p>
        </w:tc>
        <w:tc>
          <w:tcPr>
            <w:tcW w:w="2435"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México</w:t>
            </w:r>
          </w:p>
        </w:tc>
        <w:tc>
          <w:tcPr>
            <w:tcW w:w="2168" w:type="dxa"/>
            <w:shd w:val="clear" w:color="auto" w:fill="auto"/>
          </w:tcPr>
          <w:p w:rsidR="00AC5DE7" w:rsidRPr="001E4713" w:rsidRDefault="00AC5DE7" w:rsidP="001E4713">
            <w:pPr>
              <w:pStyle w:val="SingleTxtG"/>
              <w:suppressAutoHyphens w:val="0"/>
              <w:spacing w:before="40"/>
              <w:ind w:left="0" w:right="0"/>
              <w:jc w:val="left"/>
              <w:rPr>
                <w:lang w:val="es-ES"/>
              </w:rPr>
            </w:pPr>
            <w:r w:rsidRPr="001E4713">
              <w:rPr>
                <w:lang w:val="es-ES"/>
              </w:rPr>
              <w:t>2019</w:t>
            </w:r>
          </w:p>
        </w:tc>
      </w:tr>
      <w:tr w:rsidR="003A082F" w:rsidRPr="001E4713" w:rsidTr="003A082F">
        <w:trPr>
          <w:cantSplit/>
          <w:trHeight w:val="240"/>
          <w:tblHeader/>
        </w:trPr>
        <w:tc>
          <w:tcPr>
            <w:tcW w:w="2767" w:type="dxa"/>
            <w:shd w:val="clear" w:color="auto" w:fill="auto"/>
          </w:tcPr>
          <w:p w:rsidR="003A082F" w:rsidRPr="001E4713" w:rsidRDefault="003A082F" w:rsidP="001E4713">
            <w:pPr>
              <w:pStyle w:val="SingleTxtG"/>
              <w:suppressAutoHyphens w:val="0"/>
              <w:spacing w:before="40"/>
              <w:ind w:left="0" w:right="0"/>
              <w:jc w:val="left"/>
              <w:rPr>
                <w:lang w:val="en-US"/>
              </w:rPr>
            </w:pPr>
            <w:r>
              <w:rPr>
                <w:lang w:val="en-US"/>
              </w:rPr>
              <w:t xml:space="preserve">Jens </w:t>
            </w:r>
            <w:proofErr w:type="spellStart"/>
            <w:r>
              <w:rPr>
                <w:lang w:val="en-US"/>
              </w:rPr>
              <w:t>Modvig</w:t>
            </w:r>
            <w:proofErr w:type="spellEnd"/>
            <w:r>
              <w:rPr>
                <w:lang w:val="en-US"/>
              </w:rPr>
              <w:br/>
              <w:t>(</w:t>
            </w:r>
            <w:proofErr w:type="spellStart"/>
            <w:r>
              <w:rPr>
                <w:lang w:val="en-US"/>
              </w:rPr>
              <w:t>Presidente</w:t>
            </w:r>
            <w:proofErr w:type="spellEnd"/>
            <w:r>
              <w:rPr>
                <w:lang w:val="en-US"/>
              </w:rPr>
              <w:t>)</w:t>
            </w:r>
          </w:p>
        </w:tc>
        <w:tc>
          <w:tcPr>
            <w:tcW w:w="2435"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Dinamarca</w:t>
            </w:r>
          </w:p>
        </w:tc>
        <w:tc>
          <w:tcPr>
            <w:tcW w:w="2168"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2017</w:t>
            </w:r>
          </w:p>
        </w:tc>
      </w:tr>
      <w:tr w:rsidR="003A082F" w:rsidRPr="001E4713" w:rsidTr="003A082F">
        <w:trPr>
          <w:cantSplit/>
          <w:trHeight w:val="240"/>
          <w:tblHeader/>
        </w:trPr>
        <w:tc>
          <w:tcPr>
            <w:tcW w:w="2767" w:type="dxa"/>
            <w:shd w:val="clear" w:color="auto" w:fill="auto"/>
          </w:tcPr>
          <w:p w:rsidR="003A082F" w:rsidRPr="003A082F" w:rsidRDefault="003A082F" w:rsidP="001E4713">
            <w:pPr>
              <w:pStyle w:val="SingleTxtG"/>
              <w:suppressAutoHyphens w:val="0"/>
              <w:spacing w:before="40"/>
              <w:ind w:left="0" w:right="0"/>
              <w:jc w:val="left"/>
              <w:rPr>
                <w:lang w:val="es-ES"/>
              </w:rPr>
            </w:pPr>
            <w:proofErr w:type="spellStart"/>
            <w:r w:rsidRPr="003A082F">
              <w:rPr>
                <w:lang w:val="es-ES"/>
              </w:rPr>
              <w:t>Sapana</w:t>
            </w:r>
            <w:proofErr w:type="spellEnd"/>
            <w:r w:rsidRPr="003A082F">
              <w:rPr>
                <w:lang w:val="es-ES"/>
              </w:rPr>
              <w:t xml:space="preserve"> </w:t>
            </w:r>
            <w:proofErr w:type="spellStart"/>
            <w:r w:rsidRPr="003A082F">
              <w:rPr>
                <w:lang w:val="es-ES"/>
              </w:rPr>
              <w:t>Pradhan</w:t>
            </w:r>
            <w:proofErr w:type="spellEnd"/>
            <w:r w:rsidRPr="003A082F">
              <w:rPr>
                <w:lang w:val="es-ES"/>
              </w:rPr>
              <w:t>-Malla</w:t>
            </w:r>
            <w:r w:rsidRPr="003A082F">
              <w:rPr>
                <w:lang w:val="es-ES"/>
              </w:rPr>
              <w:br/>
              <w:t xml:space="preserve">(Relator </w:t>
            </w:r>
            <w:r w:rsidRPr="001E4713">
              <w:rPr>
                <w:lang w:val="es-ES"/>
              </w:rPr>
              <w:t>para el seguimiento de las decisiones aprobadas en virtud del</w:t>
            </w:r>
            <w:r>
              <w:rPr>
                <w:lang w:val="es-ES"/>
              </w:rPr>
              <w:t xml:space="preserve"> artículo </w:t>
            </w:r>
            <w:r w:rsidRPr="001E4713">
              <w:rPr>
                <w:lang w:val="es-ES"/>
              </w:rPr>
              <w:t>22</w:t>
            </w:r>
            <w:r>
              <w:rPr>
                <w:lang w:val="es-ES"/>
              </w:rPr>
              <w:t>)</w:t>
            </w:r>
          </w:p>
        </w:tc>
        <w:tc>
          <w:tcPr>
            <w:tcW w:w="2435"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Nepal</w:t>
            </w:r>
          </w:p>
        </w:tc>
        <w:tc>
          <w:tcPr>
            <w:tcW w:w="2168"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2017</w:t>
            </w:r>
          </w:p>
        </w:tc>
      </w:tr>
      <w:tr w:rsidR="003A082F" w:rsidRPr="001E4713" w:rsidTr="003A082F">
        <w:trPr>
          <w:cantSplit/>
          <w:trHeight w:val="240"/>
          <w:tblHeader/>
        </w:trPr>
        <w:tc>
          <w:tcPr>
            <w:tcW w:w="2767" w:type="dxa"/>
            <w:shd w:val="clear" w:color="auto" w:fill="auto"/>
          </w:tcPr>
          <w:p w:rsidR="003A082F" w:rsidRPr="001E4713" w:rsidRDefault="003A082F" w:rsidP="001E4713">
            <w:pPr>
              <w:pStyle w:val="SingleTxtG"/>
              <w:suppressAutoHyphens w:val="0"/>
              <w:spacing w:before="40"/>
              <w:ind w:left="0" w:right="0"/>
              <w:jc w:val="left"/>
              <w:rPr>
                <w:lang w:val="en-US"/>
              </w:rPr>
            </w:pPr>
            <w:r>
              <w:rPr>
                <w:lang w:val="en-US"/>
              </w:rPr>
              <w:t xml:space="preserve">Ana </w:t>
            </w:r>
            <w:proofErr w:type="spellStart"/>
            <w:r>
              <w:rPr>
                <w:lang w:val="en-US"/>
              </w:rPr>
              <w:t>Racu</w:t>
            </w:r>
            <w:proofErr w:type="spellEnd"/>
          </w:p>
        </w:tc>
        <w:tc>
          <w:tcPr>
            <w:tcW w:w="2435"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 xml:space="preserve">República de </w:t>
            </w:r>
            <w:proofErr w:type="spellStart"/>
            <w:r>
              <w:rPr>
                <w:lang w:val="es-ES"/>
              </w:rPr>
              <w:t>Moldova</w:t>
            </w:r>
            <w:proofErr w:type="spellEnd"/>
          </w:p>
        </w:tc>
        <w:tc>
          <w:tcPr>
            <w:tcW w:w="2168"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2019</w:t>
            </w:r>
          </w:p>
        </w:tc>
      </w:tr>
      <w:tr w:rsidR="003A082F" w:rsidRPr="001E4713" w:rsidTr="003A082F">
        <w:trPr>
          <w:cantSplit/>
          <w:trHeight w:val="240"/>
          <w:tblHeader/>
        </w:trPr>
        <w:tc>
          <w:tcPr>
            <w:tcW w:w="2767" w:type="dxa"/>
            <w:shd w:val="clear" w:color="auto" w:fill="auto"/>
          </w:tcPr>
          <w:p w:rsidR="003A082F" w:rsidRPr="001E4713" w:rsidRDefault="003A082F" w:rsidP="001E4713">
            <w:pPr>
              <w:pStyle w:val="SingleTxtG"/>
              <w:suppressAutoHyphens w:val="0"/>
              <w:spacing w:before="40"/>
              <w:ind w:left="0" w:right="0"/>
              <w:jc w:val="left"/>
              <w:rPr>
                <w:lang w:val="en-US"/>
              </w:rPr>
            </w:pPr>
            <w:proofErr w:type="spellStart"/>
            <w:r>
              <w:rPr>
                <w:lang w:val="en-US"/>
              </w:rPr>
              <w:t>Sébastien</w:t>
            </w:r>
            <w:proofErr w:type="spellEnd"/>
            <w:r>
              <w:rPr>
                <w:lang w:val="en-US"/>
              </w:rPr>
              <w:t xml:space="preserve"> </w:t>
            </w:r>
            <w:proofErr w:type="spellStart"/>
            <w:r>
              <w:rPr>
                <w:lang w:val="en-US"/>
              </w:rPr>
              <w:t>Touzé</w:t>
            </w:r>
            <w:proofErr w:type="spellEnd"/>
            <w:r>
              <w:rPr>
                <w:lang w:val="en-US"/>
              </w:rPr>
              <w:br/>
              <w:t>(Relator)</w:t>
            </w:r>
          </w:p>
        </w:tc>
        <w:tc>
          <w:tcPr>
            <w:tcW w:w="2435"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Francia</w:t>
            </w:r>
          </w:p>
        </w:tc>
        <w:tc>
          <w:tcPr>
            <w:tcW w:w="2168" w:type="dxa"/>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2019</w:t>
            </w:r>
          </w:p>
        </w:tc>
      </w:tr>
      <w:tr w:rsidR="003A082F" w:rsidRPr="001E4713" w:rsidTr="003A082F">
        <w:trPr>
          <w:cantSplit/>
          <w:trHeight w:val="240"/>
          <w:tblHeader/>
        </w:trPr>
        <w:tc>
          <w:tcPr>
            <w:tcW w:w="2767" w:type="dxa"/>
            <w:tcBorders>
              <w:bottom w:val="single" w:sz="12" w:space="0" w:color="auto"/>
            </w:tcBorders>
            <w:shd w:val="clear" w:color="auto" w:fill="auto"/>
          </w:tcPr>
          <w:p w:rsidR="003A082F" w:rsidRPr="00F5635D" w:rsidRDefault="003A082F" w:rsidP="001E4713">
            <w:pPr>
              <w:pStyle w:val="SingleTxtG"/>
              <w:suppressAutoHyphens w:val="0"/>
              <w:spacing w:before="40"/>
              <w:ind w:left="0" w:right="0"/>
              <w:jc w:val="left"/>
              <w:rPr>
                <w:lang w:val="es-ES"/>
              </w:rPr>
            </w:pPr>
            <w:proofErr w:type="spellStart"/>
            <w:r w:rsidRPr="00F5635D">
              <w:rPr>
                <w:lang w:val="es-ES"/>
              </w:rPr>
              <w:t>Kening</w:t>
            </w:r>
            <w:proofErr w:type="spellEnd"/>
            <w:r w:rsidRPr="00F5635D">
              <w:rPr>
                <w:lang w:val="es-ES"/>
              </w:rPr>
              <w:t xml:space="preserve"> Zhang</w:t>
            </w:r>
            <w:r w:rsidR="00F5635D" w:rsidRPr="00F5635D">
              <w:rPr>
                <w:lang w:val="es-ES"/>
              </w:rPr>
              <w:br/>
            </w:r>
            <w:r w:rsidR="00F5635D" w:rsidRPr="001E4713">
              <w:rPr>
                <w:lang w:val="es-ES"/>
              </w:rPr>
              <w:t>(Relator para las quejas nuevas y las medidas provisionales</w:t>
            </w:r>
            <w:r w:rsidR="00F5635D">
              <w:rPr>
                <w:lang w:val="es-ES"/>
              </w:rPr>
              <w:t>)</w:t>
            </w:r>
          </w:p>
        </w:tc>
        <w:tc>
          <w:tcPr>
            <w:tcW w:w="2435" w:type="dxa"/>
            <w:tcBorders>
              <w:bottom w:val="single" w:sz="12" w:space="0" w:color="auto"/>
            </w:tcBorders>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China</w:t>
            </w:r>
          </w:p>
        </w:tc>
        <w:tc>
          <w:tcPr>
            <w:tcW w:w="2168" w:type="dxa"/>
            <w:tcBorders>
              <w:bottom w:val="single" w:sz="12" w:space="0" w:color="auto"/>
            </w:tcBorders>
            <w:shd w:val="clear" w:color="auto" w:fill="auto"/>
          </w:tcPr>
          <w:p w:rsidR="003A082F" w:rsidRPr="001E4713" w:rsidRDefault="003A082F" w:rsidP="001E4713">
            <w:pPr>
              <w:pStyle w:val="SingleTxtG"/>
              <w:suppressAutoHyphens w:val="0"/>
              <w:spacing w:before="40"/>
              <w:ind w:left="0" w:right="0"/>
              <w:jc w:val="left"/>
              <w:rPr>
                <w:lang w:val="es-ES"/>
              </w:rPr>
            </w:pPr>
            <w:r>
              <w:rPr>
                <w:lang w:val="es-ES"/>
              </w:rPr>
              <w:t>2017</w:t>
            </w:r>
          </w:p>
        </w:tc>
      </w:tr>
    </w:tbl>
    <w:p w:rsidR="00AC5DE7" w:rsidRPr="001E4713" w:rsidRDefault="001E4713" w:rsidP="001E4713">
      <w:pPr>
        <w:pStyle w:val="SingleTxtG"/>
        <w:spacing w:before="240" w:after="0"/>
        <w:jc w:val="center"/>
        <w:rPr>
          <w:u w:val="single"/>
          <w:lang w:val="es-ES"/>
        </w:rPr>
      </w:pPr>
      <w:r>
        <w:rPr>
          <w:u w:val="single"/>
          <w:lang w:val="es-ES"/>
        </w:rPr>
        <w:tab/>
      </w:r>
      <w:r>
        <w:rPr>
          <w:u w:val="single"/>
          <w:lang w:val="es-ES"/>
        </w:rPr>
        <w:tab/>
      </w:r>
      <w:r>
        <w:rPr>
          <w:u w:val="single"/>
          <w:lang w:val="es-ES"/>
        </w:rPr>
        <w:tab/>
      </w:r>
    </w:p>
    <w:sectPr w:rsidR="00AC5DE7" w:rsidRPr="001E4713" w:rsidSect="003A082F">
      <w:footerReference w:type="even" r:id="rId96"/>
      <w:footnotePr>
        <w:numRestart w:val="eachSect"/>
      </w:footnotePr>
      <w:endnotePr>
        <w:numFmt w:val="decimal"/>
      </w:end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264" w:rsidRPr="00A312BC" w:rsidRDefault="004D2264" w:rsidP="00A312BC">
      <w:pPr>
        <w:pStyle w:val="Piedepgina"/>
      </w:pPr>
    </w:p>
  </w:endnote>
  <w:endnote w:type="continuationSeparator" w:id="0">
    <w:p w:rsidR="004D2264" w:rsidRPr="00A312BC" w:rsidRDefault="004D226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EE2D8A" w:rsidRDefault="004D2264" w:rsidP="00C66C4E">
    <w:pPr>
      <w:pStyle w:val="Piedepgina"/>
      <w:tabs>
        <w:tab w:val="left" w:pos="9639"/>
      </w:tabs>
      <w:ind w:right="357"/>
      <w:rPr>
        <w:sz w:val="20"/>
      </w:rPr>
    </w:pPr>
    <w:r>
      <w:rPr>
        <w:sz w:val="20"/>
      </w:rPr>
      <w:t>GE.13-…..  (S)    …..    …..</w:t>
    </w:r>
    <w:r>
      <w:rPr>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Default="004D2264">
    <w:pPr>
      <w:pStyle w:val="Piedepgina"/>
    </w:pPr>
    <w:r>
      <w:rPr>
        <w:noProof/>
        <w:lang w:val="es-ES" w:eastAsia="es-ES"/>
      </w:rPr>
      <w:drawing>
        <wp:anchor distT="0" distB="0" distL="114300" distR="114300" simplePos="0" relativeHeight="251661312" behindDoc="0" locked="0" layoutInCell="1" allowOverlap="1" wp14:anchorId="5E0068B1" wp14:editId="50BD3EEB">
          <wp:simplePos x="0" y="0"/>
          <wp:positionH relativeFrom="margin">
            <wp:posOffset>5489575</wp:posOffset>
          </wp:positionH>
          <wp:positionV relativeFrom="margin">
            <wp:posOffset>8027670</wp:posOffset>
          </wp:positionV>
          <wp:extent cx="637200" cy="637200"/>
          <wp:effectExtent l="0" t="0" r="0" b="0"/>
          <wp:wrapNone/>
          <wp:docPr id="2" name="Imagen 1" descr="http://undocs.org/m2/QRCode.ashx?DS=A/71/4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1/44&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0" locked="1" layoutInCell="1" allowOverlap="1" wp14:anchorId="7B7563E6" wp14:editId="618661F1">
          <wp:simplePos x="0" y="0"/>
          <wp:positionH relativeFrom="margin">
            <wp:posOffset>4196715</wp:posOffset>
          </wp:positionH>
          <wp:positionV relativeFrom="page">
            <wp:posOffset>9559290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Default="004D2264">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457366" w:rsidRDefault="004D2264" w:rsidP="00C66C4E">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Default="004D2264" w:rsidP="00C66C4E">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sidR="003D1455">
      <w:rPr>
        <w:rStyle w:val="Nmerodepgina"/>
        <w:noProof/>
      </w:rPr>
      <w:t>vi</w:t>
    </w:r>
    <w:r>
      <w:rPr>
        <w:rStyle w:val="Nmerodepgina"/>
      </w:rPr>
      <w:fldChar w:fldCharType="end"/>
    </w:r>
    <w:r>
      <w:rPr>
        <w:rStyle w:val="Nmerodepgina"/>
      </w:rPr>
      <w:tab/>
    </w:r>
    <w:r>
      <w:rPr>
        <w:szCs w:val="16"/>
      </w:rPr>
      <w:t>GE.16-13567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B44662" w:rsidRDefault="004D2264" w:rsidP="003333BE">
    <w:pPr>
      <w:pStyle w:val="Piedepgina"/>
      <w:tabs>
        <w:tab w:val="right" w:pos="9598"/>
      </w:tabs>
    </w:pPr>
    <w:proofErr w:type="spellStart"/>
    <w:r w:rsidRPr="00B562CF">
      <w:rPr>
        <w:szCs w:val="16"/>
      </w:rPr>
      <w:t>GE.16</w:t>
    </w:r>
    <w:proofErr w:type="spellEnd"/>
    <w:r w:rsidRPr="00B562CF">
      <w:rPr>
        <w:szCs w:val="16"/>
      </w:rPr>
      <w:t>-13567</w:t>
    </w:r>
    <w:r>
      <w:rPr>
        <w:b/>
        <w:sz w:val="18"/>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3D1455">
      <w:rPr>
        <w:b/>
        <w:noProof/>
        <w:sz w:val="18"/>
      </w:rPr>
      <w:t>19</w:t>
    </w:r>
    <w:r w:rsidRPr="002B4072">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3333BE" w:rsidRDefault="004D2264" w:rsidP="007A309F">
    <w:pPr>
      <w:pStyle w:val="Piedepgina"/>
      <w:tabs>
        <w:tab w:val="right" w:pos="9540"/>
      </w:tabs>
    </w:pPr>
    <w:proofErr w:type="spellStart"/>
    <w:r w:rsidRPr="007A309F">
      <w:rPr>
        <w:szCs w:val="16"/>
      </w:rPr>
      <w:t>GE.16</w:t>
    </w:r>
    <w:proofErr w:type="spellEnd"/>
    <w:r w:rsidRPr="007A309F">
      <w:rPr>
        <w:szCs w:val="16"/>
      </w:rPr>
      <w:t>-13567</w:t>
    </w:r>
    <w:r w:rsidRPr="00FF3066">
      <w:rPr>
        <w:sz w:val="20"/>
      </w:rPr>
      <w:tab/>
    </w:r>
    <w:r>
      <w:rPr>
        <w:rStyle w:val="Nmerodepgina"/>
      </w:rPr>
      <w:fldChar w:fldCharType="begin"/>
    </w:r>
    <w:r w:rsidRPr="00FF3066">
      <w:rPr>
        <w:rStyle w:val="Nmerodepgina"/>
      </w:rPr>
      <w:instrText xml:space="preserve"> PAGE </w:instrText>
    </w:r>
    <w:r>
      <w:rPr>
        <w:rStyle w:val="Nmerodepgina"/>
      </w:rPr>
      <w:fldChar w:fldCharType="separate"/>
    </w:r>
    <w:r w:rsidR="003D1455">
      <w:rPr>
        <w:rStyle w:val="Nmerodepgina"/>
        <w:noProof/>
      </w:rPr>
      <w:t>iii</w:t>
    </w:r>
    <w:r>
      <w:rPr>
        <w:rStyle w:val="Nmerodepgina"/>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3333BE" w:rsidRDefault="004D2264" w:rsidP="007A309F">
    <w:pPr>
      <w:pStyle w:val="Piedepgina"/>
      <w:tabs>
        <w:tab w:val="right" w:pos="9540"/>
      </w:tabs>
    </w:pPr>
    <w:proofErr w:type="spellStart"/>
    <w:r>
      <w:rPr>
        <w:sz w:val="20"/>
      </w:rPr>
      <w:t>GE.16</w:t>
    </w:r>
    <w:proofErr w:type="spellEnd"/>
    <w:r>
      <w:rPr>
        <w:sz w:val="20"/>
      </w:rPr>
      <w:t>-</w:t>
    </w:r>
    <w:proofErr w:type="gramStart"/>
    <w:r>
      <w:rPr>
        <w:sz w:val="20"/>
      </w:rPr>
      <w:t>13567  (</w:t>
    </w:r>
    <w:proofErr w:type="gramEnd"/>
    <w:r>
      <w:rPr>
        <w:sz w:val="20"/>
      </w:rPr>
      <w:t xml:space="preserve">S)    150816    </w:t>
    </w:r>
    <w:r w:rsidR="00E92326">
      <w:rPr>
        <w:sz w:val="20"/>
      </w:rPr>
      <w:t>31</w:t>
    </w:r>
    <w:r>
      <w:rPr>
        <w:sz w:val="20"/>
      </w:rPr>
      <w:t>0816</w:t>
    </w:r>
    <w:r w:rsidRPr="00FF3066">
      <w:rPr>
        <w:sz w:val="20"/>
      </w:rPr>
      <w:tab/>
    </w:r>
    <w:r>
      <w:rPr>
        <w:rStyle w:val="Nmerodepgina"/>
      </w:rPr>
      <w:fldChar w:fldCharType="begin"/>
    </w:r>
    <w:r w:rsidRPr="00FF3066">
      <w:rPr>
        <w:rStyle w:val="Nmerodepgina"/>
      </w:rPr>
      <w:instrText xml:space="preserve"> PAGE </w:instrText>
    </w:r>
    <w:r>
      <w:rPr>
        <w:rStyle w:val="Nmerodepgina"/>
      </w:rPr>
      <w:fldChar w:fldCharType="separate"/>
    </w:r>
    <w:r w:rsidR="003D1455">
      <w:rPr>
        <w:rStyle w:val="Nmerodepgina"/>
        <w:noProof/>
      </w:rPr>
      <w:t>v</w:t>
    </w:r>
    <w:r>
      <w:rPr>
        <w:rStyle w:val="Nmerodepgina"/>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Default="004D2264" w:rsidP="005106B2">
    <w:pPr>
      <w:pStyle w:val="Piedepgina"/>
      <w:tabs>
        <w:tab w:val="right" w:pos="9639"/>
      </w:tabs>
      <w:spacing w:line="240" w:lineRule="auto"/>
      <w:jc w:val="right"/>
    </w:pPr>
    <w:r>
      <w:rPr>
        <w:rStyle w:val="Nmerodepgina"/>
      </w:rPr>
      <w:fldChar w:fldCharType="begin"/>
    </w:r>
    <w:r>
      <w:rPr>
        <w:rStyle w:val="Nmerodepgina"/>
      </w:rPr>
      <w:instrText xml:space="preserve"> PAGE </w:instrText>
    </w:r>
    <w:r>
      <w:rPr>
        <w:rStyle w:val="Nmerodepgina"/>
      </w:rPr>
      <w:fldChar w:fldCharType="separate"/>
    </w:r>
    <w:r w:rsidR="003D1455">
      <w:rPr>
        <w:rStyle w:val="Nmerodepgina"/>
        <w:noProof/>
      </w:rPr>
      <w:t>18</w:t>
    </w:r>
    <w:r>
      <w:rPr>
        <w:rStyle w:val="Nmerodepgina"/>
      </w:rPr>
      <w:fldChar w:fldCharType="end"/>
    </w:r>
    <w:r>
      <w:rPr>
        <w:rStyle w:val="Nmerodepgina"/>
      </w:rPr>
      <w:tab/>
    </w:r>
    <w:proofErr w:type="spellStart"/>
    <w:r>
      <w:rPr>
        <w:szCs w:val="16"/>
      </w:rPr>
      <w:t>GE.16</w:t>
    </w:r>
    <w:proofErr w:type="spellEnd"/>
    <w:r>
      <w:rPr>
        <w:szCs w:val="16"/>
      </w:rPr>
      <w:t>-13567</w:t>
    </w:r>
    <w:r>
      <w:rPr>
        <w:szCs w:val="16"/>
      </w:rPr>
      <w:b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3333BE" w:rsidRDefault="004D2264" w:rsidP="00435418">
    <w:pPr>
      <w:pStyle w:val="Piedepgina"/>
      <w:tabs>
        <w:tab w:val="right" w:pos="9540"/>
      </w:tabs>
      <w:spacing w:before="240"/>
    </w:pPr>
    <w:proofErr w:type="spellStart"/>
    <w:r>
      <w:rPr>
        <w:sz w:val="20"/>
      </w:rPr>
      <w:t>GE.16</w:t>
    </w:r>
    <w:proofErr w:type="spellEnd"/>
    <w:r>
      <w:rPr>
        <w:sz w:val="20"/>
      </w:rPr>
      <w:t>-13567</w:t>
    </w:r>
    <w:r w:rsidRPr="00FF3066">
      <w:rPr>
        <w:sz w:val="20"/>
      </w:rPr>
      <w:tab/>
    </w:r>
    <w:r>
      <w:rPr>
        <w:rStyle w:val="Nmerodepgina"/>
      </w:rPr>
      <w:fldChar w:fldCharType="begin"/>
    </w:r>
    <w:r w:rsidRPr="00FF3066">
      <w:rPr>
        <w:rStyle w:val="Nmerodepgina"/>
      </w:rPr>
      <w:instrText xml:space="preserve"> PAGE </w:instrText>
    </w:r>
    <w:r>
      <w:rPr>
        <w:rStyle w:val="Nmerodepgina"/>
      </w:rPr>
      <w:fldChar w:fldCharType="separate"/>
    </w:r>
    <w:r>
      <w:rPr>
        <w:rStyle w:val="Nmerodepgina"/>
        <w:noProof/>
      </w:rPr>
      <w:t>20</w:t>
    </w:r>
    <w:r>
      <w:rPr>
        <w:rStyle w:val="Nmerodepgina"/>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Default="004D2264" w:rsidP="005106B2">
    <w:pPr>
      <w:pStyle w:val="Piedepgina"/>
      <w:tabs>
        <w:tab w:val="right" w:pos="9639"/>
      </w:tabs>
      <w:spacing w:line="240" w:lineRule="auto"/>
      <w:jc w:val="right"/>
    </w:pPr>
    <w:r>
      <w:rPr>
        <w:rStyle w:val="Nmerodepgina"/>
      </w:rPr>
      <w:fldChar w:fldCharType="begin"/>
    </w:r>
    <w:r>
      <w:rPr>
        <w:rStyle w:val="Nmerodepgina"/>
      </w:rPr>
      <w:instrText xml:space="preserve"> PAGE </w:instrText>
    </w:r>
    <w:r>
      <w:rPr>
        <w:rStyle w:val="Nmerodepgina"/>
      </w:rPr>
      <w:fldChar w:fldCharType="separate"/>
    </w:r>
    <w:r w:rsidR="003D1455">
      <w:rPr>
        <w:rStyle w:val="Nmerodepgina"/>
        <w:noProof/>
      </w:rPr>
      <w:t>20</w:t>
    </w:r>
    <w:r>
      <w:rPr>
        <w:rStyle w:val="Nmerodepgina"/>
      </w:rPr>
      <w:fldChar w:fldCharType="end"/>
    </w:r>
    <w:r>
      <w:rPr>
        <w:rStyle w:val="Nmerodepgina"/>
      </w:rPr>
      <w:tab/>
    </w:r>
    <w:proofErr w:type="spellStart"/>
    <w:r>
      <w:rPr>
        <w:szCs w:val="16"/>
      </w:rPr>
      <w:t>GE.16</w:t>
    </w:r>
    <w:proofErr w:type="spellEnd"/>
    <w:r>
      <w:rPr>
        <w:szCs w:val="16"/>
      </w:rPr>
      <w:t>-13567</w:t>
    </w:r>
    <w:r>
      <w:rPr>
        <w:szCs w:val="16"/>
      </w:rPr>
      <w:br/>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r w:rsidRPr="0048693D">
      <w:rPr>
        <w:rFonts w:ascii="C39T30Lfz" w:hAnsi="C39T30Lfz"/>
        <w:sz w:val="56"/>
        <w:szCs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264" w:rsidRPr="001075E9" w:rsidRDefault="004D2264" w:rsidP="001075E9">
      <w:pPr>
        <w:tabs>
          <w:tab w:val="right" w:pos="2155"/>
        </w:tabs>
        <w:spacing w:after="80" w:line="240" w:lineRule="auto"/>
        <w:ind w:left="680"/>
        <w:rPr>
          <w:u w:val="single"/>
        </w:rPr>
      </w:pPr>
      <w:r>
        <w:rPr>
          <w:u w:val="single"/>
        </w:rPr>
        <w:tab/>
      </w:r>
    </w:p>
  </w:footnote>
  <w:footnote w:type="continuationSeparator" w:id="0">
    <w:p w:rsidR="004D2264" w:rsidRDefault="004D2264" w:rsidP="00407B78">
      <w:pPr>
        <w:tabs>
          <w:tab w:val="right" w:pos="2155"/>
        </w:tabs>
        <w:spacing w:after="80"/>
        <w:ind w:left="680"/>
        <w:rPr>
          <w:u w:val="single"/>
        </w:rPr>
      </w:pPr>
      <w:r>
        <w:rPr>
          <w:u w:val="single"/>
        </w:rPr>
        <w:tab/>
      </w:r>
    </w:p>
  </w:footnote>
  <w:footnote w:id="1">
    <w:p w:rsidR="004D2264" w:rsidRPr="00FA70F6" w:rsidRDefault="004D2264" w:rsidP="004C5748">
      <w:pPr>
        <w:pStyle w:val="Textonotapie"/>
        <w:rPr>
          <w:lang w:val="es-ES_tradnl"/>
        </w:rPr>
      </w:pPr>
      <w:r w:rsidRPr="00FA70F6">
        <w:tab/>
      </w:r>
      <w:r w:rsidRPr="00FE3A40">
        <w:rPr>
          <w:rStyle w:val="Refdenotaalpie"/>
        </w:rPr>
        <w:footnoteRef/>
      </w:r>
      <w:r w:rsidRPr="00FA70F6">
        <w:rPr>
          <w:lang w:val="es-ES_tradnl"/>
        </w:rPr>
        <w:tab/>
        <w:t xml:space="preserve">Véase </w:t>
      </w:r>
      <w:r w:rsidRPr="00DB069A">
        <w:rPr>
          <w:i/>
          <w:lang w:val="es-ES_tradnl"/>
        </w:rPr>
        <w:t>Documentos Oficiales de la Asamblea General, sexagésimo cuarto período de sesiones, Suplemento núm. 44</w:t>
      </w:r>
      <w:r w:rsidRPr="00FA70F6">
        <w:rPr>
          <w:lang w:val="es-ES_tradnl"/>
        </w:rPr>
        <w:t xml:space="preserve"> (</w:t>
      </w:r>
      <w:hyperlink r:id="rId1" w:history="1">
        <w:r w:rsidRPr="008A7FF6">
          <w:rPr>
            <w:rStyle w:val="Hipervnculo"/>
            <w:szCs w:val="18"/>
            <w:lang w:val="es-ES"/>
          </w:rPr>
          <w:t>A/64/44</w:t>
        </w:r>
      </w:hyperlink>
      <w:r w:rsidRPr="00FA70F6">
        <w:rPr>
          <w:lang w:val="es-ES_tradnl"/>
        </w:rPr>
        <w:t>), párr. 26.</w:t>
      </w:r>
    </w:p>
  </w:footnote>
  <w:footnote w:id="2">
    <w:p w:rsidR="004D2264" w:rsidRPr="00FA70F6" w:rsidRDefault="004D2264" w:rsidP="004C5748">
      <w:pPr>
        <w:pStyle w:val="Textonotapie"/>
        <w:rPr>
          <w:lang w:val="es-ES_tradnl"/>
        </w:rPr>
      </w:pPr>
      <w:r w:rsidRPr="00FA70F6">
        <w:rPr>
          <w:lang w:val="es-ES_tradnl"/>
        </w:rPr>
        <w:tab/>
      </w:r>
      <w:r w:rsidRPr="00FE3A40">
        <w:rPr>
          <w:rStyle w:val="Refdenotaalpie"/>
        </w:rPr>
        <w:footnoteRef/>
      </w:r>
      <w:r w:rsidRPr="00FA70F6">
        <w:rPr>
          <w:lang w:val="es-ES_tradnl"/>
        </w:rPr>
        <w:tab/>
      </w:r>
      <w:r w:rsidRPr="00962428">
        <w:rPr>
          <w:i/>
          <w:lang w:val="es-ES"/>
        </w:rPr>
        <w:t>Ibid</w:t>
      </w:r>
      <w:r w:rsidRPr="003974DA">
        <w:rPr>
          <w:i/>
          <w:lang w:val="es-ES"/>
        </w:rPr>
        <w:t>.</w:t>
      </w:r>
      <w:r w:rsidRPr="003974DA">
        <w:rPr>
          <w:i/>
          <w:lang w:val="es-ES_tradnl"/>
        </w:rPr>
        <w:t>, sexagésimo séptimo período de sesiones, Suplemento núm. 44</w:t>
      </w:r>
      <w:r w:rsidRPr="00FA70F6">
        <w:rPr>
          <w:lang w:val="es-ES_tradnl"/>
        </w:rPr>
        <w:t xml:space="preserve"> (</w:t>
      </w:r>
      <w:hyperlink r:id="rId2" w:history="1">
        <w:r w:rsidRPr="00581856">
          <w:rPr>
            <w:rStyle w:val="Hipervnculo"/>
            <w:szCs w:val="18"/>
            <w:lang w:val="es-ES"/>
          </w:rPr>
          <w:t>A/67/44</w:t>
        </w:r>
      </w:hyperlink>
      <w:r w:rsidRPr="00581856">
        <w:rPr>
          <w:rStyle w:val="Hipervnculo"/>
          <w:color w:val="auto"/>
          <w:szCs w:val="18"/>
          <w:lang w:val="es-ES"/>
        </w:rPr>
        <w:t>)</w:t>
      </w:r>
      <w:r w:rsidRPr="00FA70F6">
        <w:rPr>
          <w:lang w:val="es-ES_tradnl"/>
        </w:rPr>
        <w:t>, párr. 33.</w:t>
      </w:r>
    </w:p>
  </w:footnote>
  <w:footnote w:id="3">
    <w:p w:rsidR="004D2264" w:rsidRPr="00FA70F6" w:rsidRDefault="004D2264" w:rsidP="004C5748">
      <w:pPr>
        <w:pStyle w:val="Textonotapie"/>
        <w:rPr>
          <w:lang w:val="es-ES_tradnl"/>
        </w:rPr>
      </w:pPr>
      <w:r w:rsidRPr="00FA70F6">
        <w:rPr>
          <w:lang w:val="es-ES_tradnl"/>
        </w:rPr>
        <w:tab/>
      </w:r>
      <w:r w:rsidRPr="00FE3A40">
        <w:rPr>
          <w:rStyle w:val="Refdenotaalpie"/>
        </w:rPr>
        <w:footnoteRef/>
      </w:r>
      <w:r w:rsidRPr="00FA70F6">
        <w:rPr>
          <w:lang w:val="es-ES_tradnl"/>
        </w:rPr>
        <w:tab/>
      </w:r>
      <w:r w:rsidRPr="00962428">
        <w:rPr>
          <w:i/>
          <w:lang w:val="es-ES_tradnl"/>
        </w:rPr>
        <w:t>Ibid</w:t>
      </w:r>
      <w:r w:rsidRPr="00DB069A">
        <w:rPr>
          <w:i/>
          <w:lang w:val="es-ES_tradnl"/>
        </w:rPr>
        <w:t>., sexagésimo sexto período de sesiones, Suplemento núm. 44</w:t>
      </w:r>
      <w:r w:rsidRPr="00FA70F6">
        <w:rPr>
          <w:lang w:val="es-ES_tradnl"/>
        </w:rPr>
        <w:t xml:space="preserve"> (</w:t>
      </w:r>
      <w:hyperlink r:id="rId3" w:history="1">
        <w:r w:rsidRPr="00581856">
          <w:rPr>
            <w:rStyle w:val="Hipervnculo"/>
            <w:szCs w:val="18"/>
            <w:lang w:val="es-ES"/>
          </w:rPr>
          <w:t>A/66/44</w:t>
        </w:r>
      </w:hyperlink>
      <w:r w:rsidRPr="00581856">
        <w:rPr>
          <w:rStyle w:val="Hipervnculo"/>
          <w:color w:val="auto"/>
          <w:szCs w:val="18"/>
          <w:lang w:val="es-ES"/>
        </w:rPr>
        <w:t>)</w:t>
      </w:r>
      <w:r w:rsidRPr="00FA70F6">
        <w:rPr>
          <w:lang w:val="es-ES_tradnl"/>
        </w:rPr>
        <w:t xml:space="preserve">, </w:t>
      </w:r>
      <w:proofErr w:type="spellStart"/>
      <w:r w:rsidRPr="00FA70F6">
        <w:rPr>
          <w:lang w:val="es-ES_tradnl"/>
        </w:rPr>
        <w:t>párrs</w:t>
      </w:r>
      <w:proofErr w:type="spellEnd"/>
      <w:r w:rsidRPr="00FA70F6">
        <w:rPr>
          <w:lang w:val="es-ES_tradnl"/>
        </w:rPr>
        <w:t>. 28 a 35.</w:t>
      </w:r>
    </w:p>
  </w:footnote>
  <w:footnote w:id="4">
    <w:p w:rsidR="004D2264" w:rsidRPr="00AC5DE7" w:rsidRDefault="004D2264" w:rsidP="004C5748">
      <w:pPr>
        <w:pStyle w:val="Textonotapie"/>
        <w:rPr>
          <w:lang w:val="es-ES"/>
        </w:rPr>
      </w:pPr>
      <w:r w:rsidRPr="00AC5DE7">
        <w:rPr>
          <w:rStyle w:val="Refdenotaalpie"/>
          <w:vertAlign w:val="baseline"/>
          <w:lang w:val="es-ES"/>
        </w:rPr>
        <w:tab/>
      </w:r>
      <w:r w:rsidRPr="00FE3A40">
        <w:rPr>
          <w:rStyle w:val="Refdenotaalpie"/>
        </w:rPr>
        <w:footnoteRef/>
      </w:r>
      <w:r w:rsidRPr="00AC5DE7">
        <w:rPr>
          <w:rStyle w:val="Refdenotaalpie"/>
          <w:vertAlign w:val="baseline"/>
          <w:lang w:val="es-ES"/>
        </w:rPr>
        <w:tab/>
      </w:r>
      <w:r w:rsidRPr="00AC5DE7">
        <w:rPr>
          <w:lang w:val="es-ES"/>
        </w:rPr>
        <w:t xml:space="preserve">Véase </w:t>
      </w:r>
      <w:r w:rsidRPr="00DB069A">
        <w:rPr>
          <w:i/>
          <w:lang w:val="es-ES"/>
        </w:rPr>
        <w:t>Documentos Oficiales de la Asamblea General, quincuagésimo octavo período de sesiones, Suplemento núm. 44</w:t>
      </w:r>
      <w:r w:rsidRPr="00AC5DE7">
        <w:rPr>
          <w:lang w:val="es-ES"/>
        </w:rPr>
        <w:t xml:space="preserve"> (</w:t>
      </w:r>
      <w:hyperlink r:id="rId4" w:history="1">
        <w:r w:rsidRPr="00581856">
          <w:rPr>
            <w:rStyle w:val="Hipervnculo"/>
            <w:szCs w:val="18"/>
            <w:lang w:val="es-ES"/>
          </w:rPr>
          <w:t>A/58/44</w:t>
        </w:r>
      </w:hyperlink>
      <w:r w:rsidRPr="00AC5DE7">
        <w:rPr>
          <w:lang w:val="es-ES"/>
        </w:rPr>
        <w:t>), párr. 12.</w:t>
      </w:r>
    </w:p>
  </w:footnote>
  <w:footnote w:id="5">
    <w:p w:rsidR="004D2264" w:rsidRPr="00AC5DE7" w:rsidRDefault="004D2264" w:rsidP="004C5748">
      <w:pPr>
        <w:pStyle w:val="Textonotapie"/>
        <w:rPr>
          <w:lang w:val="es-ES"/>
        </w:rPr>
      </w:pPr>
      <w:r w:rsidRPr="00AC5DE7">
        <w:rPr>
          <w:lang w:val="es-ES"/>
        </w:rPr>
        <w:tab/>
      </w:r>
      <w:r w:rsidRPr="00FE3A40">
        <w:rPr>
          <w:rStyle w:val="Refdenotaalpie"/>
        </w:rPr>
        <w:footnoteRef/>
      </w:r>
      <w:r w:rsidRPr="00AC5DE7">
        <w:rPr>
          <w:lang w:val="es-ES"/>
        </w:rPr>
        <w:tab/>
      </w:r>
      <w:hyperlink r:id="rId5" w:history="1">
        <w:r w:rsidRPr="00581856">
          <w:rPr>
            <w:rStyle w:val="Hipervnculo"/>
            <w:lang w:val="es-ES"/>
          </w:rPr>
          <w:t>CAT/C/55/3</w:t>
        </w:r>
      </w:hyperlink>
      <w:r w:rsidRPr="00AC5DE7">
        <w:rPr>
          <w:lang w:val="es-ES"/>
        </w:rPr>
        <w:t>.</w:t>
      </w:r>
    </w:p>
  </w:footnote>
  <w:footnote w:id="6">
    <w:p w:rsidR="004D2264" w:rsidRPr="00AC5DE7" w:rsidRDefault="004D2264" w:rsidP="004C5748">
      <w:pPr>
        <w:pStyle w:val="Textonotapie"/>
        <w:rPr>
          <w:lang w:val="es-ES"/>
        </w:rPr>
      </w:pPr>
      <w:r w:rsidRPr="00AC5DE7">
        <w:rPr>
          <w:rStyle w:val="Refdenotaalpie"/>
          <w:vertAlign w:val="baseline"/>
          <w:lang w:val="es-ES"/>
        </w:rPr>
        <w:tab/>
      </w:r>
      <w:r w:rsidRPr="00FE3A40">
        <w:rPr>
          <w:rStyle w:val="Refdenotaalpie"/>
        </w:rPr>
        <w:footnoteRef/>
      </w:r>
      <w:r w:rsidRPr="00AC5DE7">
        <w:rPr>
          <w:rStyle w:val="Refdenotaalpie"/>
          <w:vertAlign w:val="baseline"/>
          <w:lang w:val="es-ES"/>
        </w:rPr>
        <w:tab/>
      </w:r>
      <w:r w:rsidRPr="00DB069A">
        <w:rPr>
          <w:i/>
          <w:lang w:val="es-ES"/>
        </w:rPr>
        <w:t>Ibid.</w:t>
      </w:r>
      <w:r w:rsidRPr="00AC5DE7">
        <w:rPr>
          <w:lang w:val="es-ES"/>
        </w:rPr>
        <w:t>, párr. 9.</w:t>
      </w:r>
    </w:p>
  </w:footnote>
  <w:footnote w:id="7">
    <w:p w:rsidR="004D2264" w:rsidRPr="00AC5DE7" w:rsidRDefault="004D2264" w:rsidP="004C5748">
      <w:pPr>
        <w:pStyle w:val="Textonotapie"/>
        <w:rPr>
          <w:lang w:val="es-ES"/>
        </w:rPr>
      </w:pPr>
      <w:r w:rsidRPr="00AC5DE7">
        <w:rPr>
          <w:rStyle w:val="Refdenotaalpie"/>
          <w:vertAlign w:val="baseline"/>
          <w:lang w:val="es-ES"/>
        </w:rPr>
        <w:tab/>
      </w:r>
      <w:r w:rsidRPr="00FE3A40">
        <w:rPr>
          <w:rStyle w:val="Refdenotaalpie"/>
        </w:rPr>
        <w:footnoteRef/>
      </w:r>
      <w:r w:rsidRPr="00AC5DE7">
        <w:rPr>
          <w:rStyle w:val="Refdenotaalpie"/>
          <w:vertAlign w:val="baseline"/>
          <w:lang w:val="es-ES"/>
        </w:rPr>
        <w:tab/>
      </w:r>
      <w:r w:rsidRPr="00AC5DE7">
        <w:rPr>
          <w:lang w:val="es-ES"/>
        </w:rPr>
        <w:t xml:space="preserve">El Comité estableció en 2010 una página web especial para el seguimiento: </w:t>
      </w:r>
      <w:hyperlink r:id="rId6" w:history="1">
        <w:r w:rsidRPr="00581856">
          <w:rPr>
            <w:rStyle w:val="Hipervnculo"/>
            <w:lang w:val="es-ES"/>
          </w:rPr>
          <w:t>http://tbinternet.ohchr.org/_layouts/TreatyBodyExternal/FollowUp.aspx?Treaty=CAT&amp;Lang=en</w:t>
        </w:r>
      </w:hyperlink>
      <w:r>
        <w:rPr>
          <w:lang w:val="es-ES"/>
        </w:rPr>
        <w:t>. En </w:t>
      </w:r>
      <w:r w:rsidRPr="00AC5DE7">
        <w:rPr>
          <w:lang w:val="es-ES"/>
        </w:rPr>
        <w:t>la misma página, se puede encontrar una reseña del procedimiento de seguimiento desde 2003.</w:t>
      </w:r>
    </w:p>
  </w:footnote>
  <w:footnote w:id="8">
    <w:p w:rsidR="004D2264" w:rsidRPr="00AC5DE7" w:rsidRDefault="004D2264" w:rsidP="004C5748">
      <w:pPr>
        <w:pStyle w:val="Textonotapie"/>
        <w:rPr>
          <w:lang w:val="es-ES"/>
        </w:rPr>
      </w:pPr>
      <w:r w:rsidRPr="00AC5DE7">
        <w:rPr>
          <w:rStyle w:val="Refdenotaalpie"/>
          <w:vertAlign w:val="baseline"/>
          <w:lang w:val="es-ES"/>
        </w:rPr>
        <w:tab/>
      </w:r>
      <w:r w:rsidRPr="00FE3A40">
        <w:rPr>
          <w:rStyle w:val="Refdenotaalpie"/>
        </w:rPr>
        <w:footnoteRef/>
      </w:r>
      <w:r w:rsidRPr="00AC5DE7">
        <w:rPr>
          <w:rStyle w:val="Refdenotaalpie"/>
          <w:vertAlign w:val="baseline"/>
          <w:lang w:val="es-ES"/>
        </w:rPr>
        <w:tab/>
      </w:r>
      <w:r w:rsidRPr="00AC5DE7">
        <w:rPr>
          <w:lang w:val="es-ES"/>
        </w:rPr>
        <w:t>Esta lista no incluye a los Estados partes que no proporcionaron información sobre el seguimiento antes de presentar el siguiente informe periódico.</w:t>
      </w:r>
    </w:p>
  </w:footnote>
  <w:footnote w:id="9">
    <w:p w:rsidR="004D2264" w:rsidRPr="00AC5DE7" w:rsidRDefault="004D2264" w:rsidP="004C5748">
      <w:pPr>
        <w:pStyle w:val="Textonotapie"/>
        <w:rPr>
          <w:lang w:val="es-ES"/>
        </w:rPr>
      </w:pPr>
      <w:r w:rsidRPr="00AC5DE7">
        <w:rPr>
          <w:rStyle w:val="Refdenotaalpie"/>
          <w:vertAlign w:val="baseline"/>
          <w:lang w:val="es-ES"/>
        </w:rPr>
        <w:tab/>
      </w:r>
      <w:r w:rsidRPr="00FE3A40">
        <w:rPr>
          <w:rStyle w:val="Refdenotaalpie"/>
        </w:rPr>
        <w:footnoteRef/>
      </w:r>
      <w:r w:rsidRPr="00AC5DE7">
        <w:rPr>
          <w:rStyle w:val="Refdenotaalpie"/>
          <w:vertAlign w:val="baseline"/>
          <w:lang w:val="es-ES"/>
        </w:rPr>
        <w:tab/>
      </w:r>
      <w:r w:rsidRPr="00AC5DE7">
        <w:rPr>
          <w:lang w:val="es-ES"/>
        </w:rPr>
        <w:t>Las comunicaciones enviadas por el Relator para el seguimiento de las observaciones finales se pueden consultar en la página web relativa al seguimiento (</w:t>
      </w:r>
      <w:hyperlink r:id="rId7" w:history="1">
        <w:r w:rsidRPr="00581856">
          <w:rPr>
            <w:rStyle w:val="Hipervnculo"/>
            <w:lang w:val="es-ES"/>
          </w:rPr>
          <w:t>http://</w:t>
        </w:r>
        <w:proofErr w:type="spellStart"/>
        <w:r w:rsidRPr="00581856">
          <w:rPr>
            <w:rStyle w:val="Hipervnculo"/>
            <w:lang w:val="es-ES"/>
          </w:rPr>
          <w:t>tbinternet.ohchr.org</w:t>
        </w:r>
        <w:proofErr w:type="spellEnd"/>
        <w:r w:rsidRPr="00581856">
          <w:rPr>
            <w:rStyle w:val="Hipervnculo"/>
            <w:lang w:val="es-ES"/>
          </w:rPr>
          <w:t>/_</w:t>
        </w:r>
        <w:proofErr w:type="spellStart"/>
        <w:r w:rsidRPr="00581856">
          <w:rPr>
            <w:rStyle w:val="Hipervnculo"/>
            <w:lang w:val="es-ES"/>
          </w:rPr>
          <w:t>layouts</w:t>
        </w:r>
        <w:proofErr w:type="spellEnd"/>
        <w:r w:rsidRPr="00581856">
          <w:rPr>
            <w:rStyle w:val="Hipervnculo"/>
            <w:lang w:val="es-ES"/>
          </w:rPr>
          <w:t>/</w:t>
        </w:r>
        <w:r w:rsidR="00581856">
          <w:rPr>
            <w:rStyle w:val="Hipervnculo"/>
            <w:lang w:val="es-ES"/>
          </w:rPr>
          <w:br/>
        </w:r>
        <w:proofErr w:type="spellStart"/>
        <w:r w:rsidRPr="00581856">
          <w:rPr>
            <w:rStyle w:val="Hipervnculo"/>
            <w:lang w:val="es-ES"/>
          </w:rPr>
          <w:t>TreatyBodyExternal</w:t>
        </w:r>
        <w:proofErr w:type="spellEnd"/>
        <w:r w:rsidRPr="00581856">
          <w:rPr>
            <w:rStyle w:val="Hipervnculo"/>
            <w:lang w:val="es-ES"/>
          </w:rPr>
          <w:t>/</w:t>
        </w:r>
        <w:proofErr w:type="spellStart"/>
        <w:r w:rsidRPr="00581856">
          <w:rPr>
            <w:rStyle w:val="Hipervnculo"/>
            <w:lang w:val="es-ES"/>
          </w:rPr>
          <w:t>FollowUp.aspx</w:t>
        </w:r>
        <w:proofErr w:type="gramStart"/>
        <w:r w:rsidRPr="00581856">
          <w:rPr>
            <w:rStyle w:val="Hipervnculo"/>
            <w:lang w:val="es-ES"/>
          </w:rPr>
          <w:t>?Treaty</w:t>
        </w:r>
        <w:proofErr w:type="spellEnd"/>
        <w:proofErr w:type="gramEnd"/>
        <w:r w:rsidRPr="00581856">
          <w:rPr>
            <w:rStyle w:val="Hipervnculo"/>
            <w:lang w:val="es-ES"/>
          </w:rPr>
          <w:t>=</w:t>
        </w:r>
        <w:proofErr w:type="spellStart"/>
        <w:r w:rsidRPr="00581856">
          <w:rPr>
            <w:rStyle w:val="Hipervnculo"/>
            <w:lang w:val="es-ES"/>
          </w:rPr>
          <w:t>CAT&amp;Lang</w:t>
        </w:r>
        <w:proofErr w:type="spellEnd"/>
        <w:r w:rsidRPr="00581856">
          <w:rPr>
            <w:rStyle w:val="Hipervnculo"/>
            <w:lang w:val="es-ES"/>
          </w:rPr>
          <w:t>=en</w:t>
        </w:r>
      </w:hyperlink>
      <w:r w:rsidRPr="00AC5DE7">
        <w:rPr>
          <w:lang w:val="es-ES"/>
        </w:rPr>
        <w:t>).</w:t>
      </w:r>
    </w:p>
  </w:footnote>
  <w:footnote w:id="10">
    <w:p w:rsidR="004D2264" w:rsidRPr="00AC5DE7" w:rsidRDefault="004D2264" w:rsidP="004C5748">
      <w:pPr>
        <w:pStyle w:val="Textonotapie"/>
        <w:rPr>
          <w:lang w:val="es-ES"/>
        </w:rPr>
      </w:pPr>
      <w:r w:rsidRPr="00AC5DE7">
        <w:rPr>
          <w:lang w:val="es-ES"/>
        </w:rPr>
        <w:tab/>
      </w:r>
      <w:r w:rsidRPr="00FE3A40">
        <w:rPr>
          <w:rStyle w:val="Refdenotaalpie"/>
        </w:rPr>
        <w:footnoteRef/>
      </w:r>
      <w:r w:rsidRPr="00AC5DE7">
        <w:rPr>
          <w:lang w:val="es-ES"/>
        </w:rPr>
        <w:tab/>
        <w:t>Los informes de seguimiento presentados por los Estados partes se pueden consultar en la página web relativa al seguimiento.</w:t>
      </w:r>
    </w:p>
  </w:footnote>
  <w:footnote w:id="11">
    <w:p w:rsidR="004D2264" w:rsidRPr="00AC5DE7" w:rsidRDefault="004D2264" w:rsidP="004C5748">
      <w:pPr>
        <w:pStyle w:val="Textonotapie"/>
        <w:rPr>
          <w:lang w:val="es-ES"/>
        </w:rPr>
      </w:pPr>
      <w:r w:rsidRPr="00AC5DE7">
        <w:rPr>
          <w:lang w:val="es-ES"/>
        </w:rPr>
        <w:tab/>
      </w:r>
      <w:r w:rsidRPr="00FE3A40">
        <w:rPr>
          <w:rStyle w:val="Refdenotaalpie"/>
        </w:rPr>
        <w:footnoteRef/>
      </w:r>
      <w:r w:rsidRPr="00AC5DE7">
        <w:rPr>
          <w:lang w:val="es-ES"/>
        </w:rPr>
        <w:tab/>
        <w:t>Estos informes también se pueden consultar en la página web para el seguimiento.</w:t>
      </w:r>
    </w:p>
  </w:footnote>
  <w:footnote w:id="12">
    <w:p w:rsidR="004D2264" w:rsidRPr="00AC5DE7" w:rsidRDefault="004D2264" w:rsidP="004C5748">
      <w:pPr>
        <w:pStyle w:val="Textonotapie"/>
        <w:rPr>
          <w:lang w:val="es-ES"/>
        </w:rPr>
      </w:pPr>
      <w:r w:rsidRPr="00AC5DE7">
        <w:rPr>
          <w:lang w:val="es-ES"/>
        </w:rPr>
        <w:tab/>
      </w:r>
      <w:r w:rsidRPr="00FE3A40">
        <w:rPr>
          <w:rStyle w:val="Refdenotaalpie"/>
        </w:rPr>
        <w:footnoteRef/>
      </w:r>
      <w:r w:rsidRPr="00AC5DE7">
        <w:rPr>
          <w:lang w:val="es-ES"/>
        </w:rPr>
        <w:tab/>
        <w:t xml:space="preserve">A efectos estadísticos, las quejas examinadas por el Comité con respecto a la República Federativa de Yugoslavia y a Serbia y Montenegro se atribuyen a Serbia. </w:t>
      </w:r>
      <w:r>
        <w:rPr>
          <w:lang w:val="es-ES"/>
        </w:rPr>
        <w:tab/>
      </w:r>
    </w:p>
  </w:footnote>
  <w:footnote w:id="13">
    <w:p w:rsidR="004D2264" w:rsidRDefault="004D2264" w:rsidP="003A082F">
      <w:pPr>
        <w:pStyle w:val="Textonotapie"/>
        <w:widowControl w:val="0"/>
        <w:tabs>
          <w:tab w:val="clear" w:pos="1021"/>
          <w:tab w:val="right" w:pos="1020"/>
        </w:tabs>
        <w:rPr>
          <w:bCs/>
          <w:lang w:val="es-ES"/>
        </w:rPr>
      </w:pPr>
      <w:r>
        <w:rPr>
          <w:lang w:val="es-ES"/>
        </w:rPr>
        <w:tab/>
      </w:r>
      <w:r w:rsidRPr="00FE3A40">
        <w:rPr>
          <w:rStyle w:val="Refdenotaalpie"/>
        </w:rPr>
        <w:footnoteRef/>
      </w:r>
      <w:r>
        <w:rPr>
          <w:lang w:val="es-ES"/>
        </w:rPr>
        <w:tab/>
      </w:r>
      <w:r w:rsidRPr="003A082F">
        <w:rPr>
          <w:lang w:val="es-ES"/>
        </w:rPr>
        <w:t>Para el período comprendido entre el 1 de enero de 2016 y el 17 de abril de 2016, de conformidad con los artículos 16, 17 y 21 de su reglamento, el Comité decidió por unanimidad llevar a cabo una elección para llenar las vacantes de miembros salientes. Fueron elegidos los miembros siguientes:</w:t>
      </w:r>
      <w:r w:rsidRPr="003A082F">
        <w:rPr>
          <w:bCs/>
          <w:lang w:val="es-ES"/>
        </w:rPr>
        <w:t xml:space="preserve"> el Sr. </w:t>
      </w:r>
      <w:proofErr w:type="spellStart"/>
      <w:r w:rsidRPr="003A082F">
        <w:rPr>
          <w:bCs/>
          <w:lang w:val="es-ES"/>
        </w:rPr>
        <w:t>Bruni</w:t>
      </w:r>
      <w:proofErr w:type="spellEnd"/>
      <w:r w:rsidRPr="003A082F">
        <w:rPr>
          <w:bCs/>
          <w:lang w:val="es-ES"/>
        </w:rPr>
        <w:t xml:space="preserve"> (Vicepresidente); la Sra. </w:t>
      </w:r>
      <w:proofErr w:type="spellStart"/>
      <w:r w:rsidRPr="003A082F">
        <w:rPr>
          <w:bCs/>
          <w:lang w:val="es-ES"/>
        </w:rPr>
        <w:t>Belmir</w:t>
      </w:r>
      <w:proofErr w:type="spellEnd"/>
      <w:r w:rsidRPr="003A082F">
        <w:rPr>
          <w:bCs/>
          <w:lang w:val="es-ES"/>
        </w:rPr>
        <w:t xml:space="preserve"> (Relatora); el Sr. Zhang (Relator sobre nuevas comunicaciones); la Sra. </w:t>
      </w:r>
      <w:proofErr w:type="spellStart"/>
      <w:r w:rsidRPr="003A082F">
        <w:rPr>
          <w:bCs/>
          <w:lang w:val="es-ES"/>
        </w:rPr>
        <w:t>Pradhan</w:t>
      </w:r>
      <w:proofErr w:type="spellEnd"/>
      <w:r w:rsidRPr="003A082F">
        <w:rPr>
          <w:bCs/>
          <w:lang w:val="es-ES"/>
        </w:rPr>
        <w:t xml:space="preserve">-Malla (Relatora sobre el seguimiento del artículo 22); y el Sr. </w:t>
      </w:r>
      <w:proofErr w:type="spellStart"/>
      <w:r w:rsidRPr="003A082F">
        <w:rPr>
          <w:bCs/>
          <w:lang w:val="es-ES"/>
        </w:rPr>
        <w:t>Bruni</w:t>
      </w:r>
      <w:proofErr w:type="spellEnd"/>
      <w:r w:rsidRPr="003A082F">
        <w:rPr>
          <w:bCs/>
          <w:lang w:val="es-ES"/>
        </w:rPr>
        <w:t xml:space="preserve"> (Relator sobre las represalias en relación con el artículo 19). De conformidad con los artículos 12.2, 16, 17 y 19.3 del reglamento, el Comité decidió por unanimidad elegir al Presidente Interino para el período comprendido entre el 1 de enero de 2016 y el día anterior a la primera reunión de los nuevos integrantes del Comité, momento en el que erigiría a los miembros de la Mesa. El Comité eligió Presidente Interino al Sr. </w:t>
      </w:r>
      <w:proofErr w:type="spellStart"/>
      <w:r w:rsidRPr="003A082F">
        <w:rPr>
          <w:bCs/>
          <w:lang w:val="es-ES"/>
        </w:rPr>
        <w:t>Modvig</w:t>
      </w:r>
      <w:proofErr w:type="spellEnd"/>
      <w:r w:rsidRPr="003A082F">
        <w:rPr>
          <w:bCs/>
          <w:lang w:val="es-ES"/>
        </w:rPr>
        <w:t>. Con arreglo a la decisión y la interpretación del Comité, los párrafos 1 y 2 del artículo 19 del reglamento no se aplican en la situ</w:t>
      </w:r>
      <w:r>
        <w:rPr>
          <w:bCs/>
          <w:lang w:val="es-ES"/>
        </w:rPr>
        <w:t>ación actual. El 18 de abril de </w:t>
      </w:r>
      <w:r w:rsidRPr="003A082F">
        <w:rPr>
          <w:bCs/>
          <w:lang w:val="es-ES"/>
        </w:rPr>
        <w:t>2016, el Comité eligió por consenso a un nuevo Presidente y a una nueva Mesa.</w:t>
      </w:r>
    </w:p>
    <w:p w:rsidR="004D2264" w:rsidRPr="003A082F" w:rsidRDefault="004D2264" w:rsidP="003A082F">
      <w:pPr>
        <w:pStyle w:val="Textonotapie"/>
        <w:widowControl w:val="0"/>
        <w:tabs>
          <w:tab w:val="clear" w:pos="1021"/>
          <w:tab w:val="right" w:pos="1020"/>
        </w:tabs>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Default="004D2264" w:rsidP="00C66C4E">
    <w:pPr>
      <w:pStyle w:val="Encabezado"/>
      <w:tabs>
        <w:tab w:val="left" w:pos="4320"/>
        <w:tab w:val="right" w:pos="9496"/>
      </w:tabs>
      <w:suppressAutoHyphens w:val="0"/>
    </w:pPr>
    <w:r>
      <w:t>A/71/44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96750D" w:rsidRDefault="004D2264" w:rsidP="00053086">
    <w:pPr>
      <w:pStyle w:val="Encabezado"/>
      <w:jc w:val="right"/>
    </w:pPr>
    <w:r>
      <w:rPr>
        <w:lang w:val="es-ES"/>
      </w:rPr>
      <w:t>A/71/44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C55ADD" w:rsidRDefault="004D2264" w:rsidP="00C66C4E">
    <w:pPr>
      <w:pStyle w:val="Encabezado"/>
      <w:jc w:val="right"/>
      <w:rPr>
        <w:lang w:val="es-ES"/>
      </w:rPr>
    </w:pPr>
    <w:r>
      <w:rPr>
        <w:lang w:val="es-ES"/>
      </w:rPr>
      <w:t>A/71/44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264" w:rsidRPr="00321902" w:rsidRDefault="004D2264" w:rsidP="00321902">
    <w:pPr>
      <w:pStyle w:val="Encabezado"/>
      <w:jc w:val="right"/>
      <w:rPr>
        <w:lang w:val="es-ES"/>
      </w:rPr>
    </w:pPr>
    <w:r>
      <w:rPr>
        <w:lang w:val="es-ES"/>
      </w:rPr>
      <w:t>A/71/44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686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9B"/>
    <w:rsid w:val="000076CE"/>
    <w:rsid w:val="000103FE"/>
    <w:rsid w:val="00033EE1"/>
    <w:rsid w:val="00042B72"/>
    <w:rsid w:val="00053086"/>
    <w:rsid w:val="000558BD"/>
    <w:rsid w:val="000927C6"/>
    <w:rsid w:val="000B57E7"/>
    <w:rsid w:val="000B6373"/>
    <w:rsid w:val="000C673F"/>
    <w:rsid w:val="000E7D38"/>
    <w:rsid w:val="000F09DF"/>
    <w:rsid w:val="000F0AC4"/>
    <w:rsid w:val="000F61B2"/>
    <w:rsid w:val="001075E9"/>
    <w:rsid w:val="00113637"/>
    <w:rsid w:val="00126D80"/>
    <w:rsid w:val="001348F2"/>
    <w:rsid w:val="00134BC8"/>
    <w:rsid w:val="00180183"/>
    <w:rsid w:val="0018024D"/>
    <w:rsid w:val="0018649F"/>
    <w:rsid w:val="00196389"/>
    <w:rsid w:val="001A38BC"/>
    <w:rsid w:val="001B3EF6"/>
    <w:rsid w:val="001C7A89"/>
    <w:rsid w:val="001E4713"/>
    <w:rsid w:val="001F0C08"/>
    <w:rsid w:val="00244044"/>
    <w:rsid w:val="00265D06"/>
    <w:rsid w:val="00270D98"/>
    <w:rsid w:val="00295363"/>
    <w:rsid w:val="002A2EFC"/>
    <w:rsid w:val="002A3F2B"/>
    <w:rsid w:val="002C0E18"/>
    <w:rsid w:val="002D5AAC"/>
    <w:rsid w:val="002E77D5"/>
    <w:rsid w:val="002F405F"/>
    <w:rsid w:val="002F7EEC"/>
    <w:rsid w:val="00301299"/>
    <w:rsid w:val="003077B8"/>
    <w:rsid w:val="00307FB6"/>
    <w:rsid w:val="00317339"/>
    <w:rsid w:val="00321902"/>
    <w:rsid w:val="00322004"/>
    <w:rsid w:val="003333BE"/>
    <w:rsid w:val="0033490D"/>
    <w:rsid w:val="003402C2"/>
    <w:rsid w:val="00352949"/>
    <w:rsid w:val="00360032"/>
    <w:rsid w:val="00381C24"/>
    <w:rsid w:val="00387A65"/>
    <w:rsid w:val="003958D0"/>
    <w:rsid w:val="003974DA"/>
    <w:rsid w:val="003A082F"/>
    <w:rsid w:val="003A0AB5"/>
    <w:rsid w:val="003A7419"/>
    <w:rsid w:val="003B00E5"/>
    <w:rsid w:val="003D1455"/>
    <w:rsid w:val="003E4FA4"/>
    <w:rsid w:val="00401F99"/>
    <w:rsid w:val="00403BD5"/>
    <w:rsid w:val="00407B78"/>
    <w:rsid w:val="00424203"/>
    <w:rsid w:val="00435418"/>
    <w:rsid w:val="004479FD"/>
    <w:rsid w:val="00452493"/>
    <w:rsid w:val="00454E07"/>
    <w:rsid w:val="00471360"/>
    <w:rsid w:val="0048693D"/>
    <w:rsid w:val="00487143"/>
    <w:rsid w:val="00491FB8"/>
    <w:rsid w:val="004C5748"/>
    <w:rsid w:val="004C6979"/>
    <w:rsid w:val="004D2264"/>
    <w:rsid w:val="0050108D"/>
    <w:rsid w:val="005106B2"/>
    <w:rsid w:val="00513081"/>
    <w:rsid w:val="00517901"/>
    <w:rsid w:val="00526683"/>
    <w:rsid w:val="005332E4"/>
    <w:rsid w:val="005358C6"/>
    <w:rsid w:val="005709E0"/>
    <w:rsid w:val="00572E19"/>
    <w:rsid w:val="00581856"/>
    <w:rsid w:val="00594C8F"/>
    <w:rsid w:val="005961C8"/>
    <w:rsid w:val="005A2C9B"/>
    <w:rsid w:val="005A2CDC"/>
    <w:rsid w:val="005B0CBE"/>
    <w:rsid w:val="005B76B3"/>
    <w:rsid w:val="005D7914"/>
    <w:rsid w:val="005E2B41"/>
    <w:rsid w:val="005F0B42"/>
    <w:rsid w:val="0061789B"/>
    <w:rsid w:val="006315F2"/>
    <w:rsid w:val="00663056"/>
    <w:rsid w:val="00681A10"/>
    <w:rsid w:val="00696752"/>
    <w:rsid w:val="006A0D48"/>
    <w:rsid w:val="006C2031"/>
    <w:rsid w:val="006D461A"/>
    <w:rsid w:val="006E5635"/>
    <w:rsid w:val="006E771B"/>
    <w:rsid w:val="006F1522"/>
    <w:rsid w:val="006F35EE"/>
    <w:rsid w:val="007021FF"/>
    <w:rsid w:val="00712895"/>
    <w:rsid w:val="00757357"/>
    <w:rsid w:val="0078513C"/>
    <w:rsid w:val="007A309F"/>
    <w:rsid w:val="007A56A9"/>
    <w:rsid w:val="007C7AB8"/>
    <w:rsid w:val="007F2338"/>
    <w:rsid w:val="007F2A30"/>
    <w:rsid w:val="00825F8D"/>
    <w:rsid w:val="00826BAF"/>
    <w:rsid w:val="00834B71"/>
    <w:rsid w:val="0086445C"/>
    <w:rsid w:val="00894693"/>
    <w:rsid w:val="008A08D7"/>
    <w:rsid w:val="008A42A9"/>
    <w:rsid w:val="008A55ED"/>
    <w:rsid w:val="008A7FF6"/>
    <w:rsid w:val="008B6909"/>
    <w:rsid w:val="008E51C3"/>
    <w:rsid w:val="008F3C01"/>
    <w:rsid w:val="00906890"/>
    <w:rsid w:val="00911BE4"/>
    <w:rsid w:val="00923503"/>
    <w:rsid w:val="00945B4F"/>
    <w:rsid w:val="0095133F"/>
    <w:rsid w:val="00951972"/>
    <w:rsid w:val="00954639"/>
    <w:rsid w:val="009608F3"/>
    <w:rsid w:val="00962428"/>
    <w:rsid w:val="00983DF9"/>
    <w:rsid w:val="009B7601"/>
    <w:rsid w:val="009C0E13"/>
    <w:rsid w:val="009E5BE3"/>
    <w:rsid w:val="009E5E39"/>
    <w:rsid w:val="00A02E53"/>
    <w:rsid w:val="00A312BC"/>
    <w:rsid w:val="00A57D79"/>
    <w:rsid w:val="00A72853"/>
    <w:rsid w:val="00A84021"/>
    <w:rsid w:val="00A917B3"/>
    <w:rsid w:val="00A95809"/>
    <w:rsid w:val="00AA7FF2"/>
    <w:rsid w:val="00AB4B51"/>
    <w:rsid w:val="00AC302A"/>
    <w:rsid w:val="00AC5DE7"/>
    <w:rsid w:val="00AF021B"/>
    <w:rsid w:val="00B10CC7"/>
    <w:rsid w:val="00B539E7"/>
    <w:rsid w:val="00B562CF"/>
    <w:rsid w:val="00B62458"/>
    <w:rsid w:val="00BA3AD8"/>
    <w:rsid w:val="00BD33EE"/>
    <w:rsid w:val="00C106D6"/>
    <w:rsid w:val="00C10B94"/>
    <w:rsid w:val="00C3233D"/>
    <w:rsid w:val="00C60F0C"/>
    <w:rsid w:val="00C61636"/>
    <w:rsid w:val="00C627C9"/>
    <w:rsid w:val="00C66C4E"/>
    <w:rsid w:val="00C711EF"/>
    <w:rsid w:val="00C805C9"/>
    <w:rsid w:val="00C92939"/>
    <w:rsid w:val="00CA1679"/>
    <w:rsid w:val="00CB151C"/>
    <w:rsid w:val="00CC7E72"/>
    <w:rsid w:val="00CE4FDA"/>
    <w:rsid w:val="00CE5A1A"/>
    <w:rsid w:val="00CF312F"/>
    <w:rsid w:val="00CF55F6"/>
    <w:rsid w:val="00D33D63"/>
    <w:rsid w:val="00D712BF"/>
    <w:rsid w:val="00D84875"/>
    <w:rsid w:val="00D872D2"/>
    <w:rsid w:val="00D90138"/>
    <w:rsid w:val="00D939C3"/>
    <w:rsid w:val="00D97384"/>
    <w:rsid w:val="00DA0481"/>
    <w:rsid w:val="00DA567F"/>
    <w:rsid w:val="00DB069A"/>
    <w:rsid w:val="00DD2138"/>
    <w:rsid w:val="00DE112A"/>
    <w:rsid w:val="00E73F76"/>
    <w:rsid w:val="00E92326"/>
    <w:rsid w:val="00EA2C9F"/>
    <w:rsid w:val="00EA7559"/>
    <w:rsid w:val="00EB019B"/>
    <w:rsid w:val="00ED0BDA"/>
    <w:rsid w:val="00EF1360"/>
    <w:rsid w:val="00EF3220"/>
    <w:rsid w:val="00F24BAF"/>
    <w:rsid w:val="00F40E92"/>
    <w:rsid w:val="00F45BAB"/>
    <w:rsid w:val="00F46346"/>
    <w:rsid w:val="00F5635D"/>
    <w:rsid w:val="00F8263F"/>
    <w:rsid w:val="00F85780"/>
    <w:rsid w:val="00F94155"/>
    <w:rsid w:val="00FB74E8"/>
    <w:rsid w:val="00FC278F"/>
    <w:rsid w:val="00FD26F1"/>
    <w:rsid w:val="00FD2EF7"/>
    <w:rsid w:val="00FE3A40"/>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caption" w:semiHidden="1" w:unhideWhenUsed="1" w:qFormat="1"/>
    <w:lsdException w:name="table of figures" w:semiHidden="1"/>
    <w:lsdException w:name="footnote reference" w:qFormat="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3333BE"/>
    <w:pPr>
      <w:suppressAutoHyphens/>
      <w:spacing w:line="240" w:lineRule="atLeast"/>
    </w:pPr>
    <w:rPr>
      <w:lang w:val="en-GB"/>
    </w:rPr>
  </w:style>
  <w:style w:type="paragraph" w:styleId="Ttulo1">
    <w:name w:val="heading 1"/>
    <w:aliases w:val="Cuadro_G,Table_G"/>
    <w:basedOn w:val="SingleTxtG"/>
    <w:next w:val="SingleTxtG"/>
    <w:link w:val="Ttulo1Car"/>
    <w:qFormat/>
    <w:rsid w:val="00C10B94"/>
    <w:pPr>
      <w:keepNext/>
      <w:keepLines/>
      <w:kinsoku w:val="0"/>
      <w:overflowPunct w:val="0"/>
      <w:autoSpaceDE w:val="0"/>
      <w:autoSpaceDN w:val="0"/>
      <w:adjustRightInd w:val="0"/>
      <w:snapToGrid w:val="0"/>
      <w:spacing w:after="0" w:line="240" w:lineRule="auto"/>
      <w:ind w:right="0"/>
      <w:jc w:val="left"/>
      <w:outlineLvl w:val="0"/>
    </w:pPr>
    <w:rPr>
      <w:lang w:val="fr-CH"/>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rsid w:val="00681A1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rsid w:val="00681A10"/>
  </w:style>
  <w:style w:type="numbering" w:styleId="ArtculoSeccin">
    <w:name w:val="Outline List 3"/>
    <w:basedOn w:val="Sinlista"/>
    <w:rsid w:val="00681A10"/>
    <w:pPr>
      <w:numPr>
        <w:numId w:val="5"/>
      </w:numPr>
    </w:pPr>
  </w:style>
  <w:style w:type="paragraph" w:styleId="Cierre">
    <w:name w:val="Closing"/>
    <w:basedOn w:val="Normal"/>
    <w:link w:val="CierreCar"/>
    <w:rsid w:val="00681A10"/>
    <w:pPr>
      <w:ind w:left="4252"/>
    </w:pPr>
  </w:style>
  <w:style w:type="character" w:styleId="CitaHTML">
    <w:name w:val="HTML Cite"/>
    <w:rsid w:val="00681A10"/>
    <w:rPr>
      <w:i/>
      <w:iCs/>
    </w:rPr>
  </w:style>
  <w:style w:type="character" w:styleId="CdigoHTML">
    <w:name w:val="HTML Code"/>
    <w:rsid w:val="00681A10"/>
    <w:rPr>
      <w:rFonts w:ascii="Courier New" w:hAnsi="Courier New" w:cs="Courier New"/>
      <w:sz w:val="20"/>
      <w:szCs w:val="20"/>
    </w:rPr>
  </w:style>
  <w:style w:type="paragraph" w:styleId="Continuarlista">
    <w:name w:val="List Continue"/>
    <w:basedOn w:val="Normal"/>
    <w:rsid w:val="00681A10"/>
    <w:pPr>
      <w:spacing w:after="120"/>
      <w:ind w:left="283"/>
    </w:pPr>
  </w:style>
  <w:style w:type="paragraph" w:styleId="Continuarlista2">
    <w:name w:val="List Continue 2"/>
    <w:basedOn w:val="Normal"/>
    <w:rsid w:val="00681A10"/>
    <w:pPr>
      <w:spacing w:after="120"/>
      <w:ind w:left="566"/>
    </w:pPr>
  </w:style>
  <w:style w:type="paragraph" w:styleId="Continuarlista3">
    <w:name w:val="List Continue 3"/>
    <w:basedOn w:val="Normal"/>
    <w:rsid w:val="00681A10"/>
    <w:pPr>
      <w:spacing w:after="120"/>
      <w:ind w:left="849"/>
    </w:pPr>
  </w:style>
  <w:style w:type="paragraph" w:styleId="Continuarlista4">
    <w:name w:val="List Continue 4"/>
    <w:basedOn w:val="Normal"/>
    <w:rsid w:val="00681A10"/>
    <w:pPr>
      <w:spacing w:after="120"/>
      <w:ind w:left="1132"/>
    </w:pPr>
  </w:style>
  <w:style w:type="paragraph" w:styleId="Continuarlista5">
    <w:name w:val="List Continue 5"/>
    <w:basedOn w:val="Normal"/>
    <w:rsid w:val="00681A10"/>
    <w:pPr>
      <w:spacing w:after="120"/>
      <w:ind w:left="1415"/>
    </w:pPr>
  </w:style>
  <w:style w:type="character" w:styleId="DefinicinHTML">
    <w:name w:val="HTML Definition"/>
    <w:rsid w:val="00681A10"/>
    <w:rPr>
      <w:i/>
      <w:iCs/>
    </w:rPr>
  </w:style>
  <w:style w:type="paragraph" w:styleId="DireccinHTML">
    <w:name w:val="HTML Address"/>
    <w:basedOn w:val="Normal"/>
    <w:link w:val="DireccinHTMLCar"/>
    <w:rsid w:val="00681A10"/>
    <w:rPr>
      <w:i/>
      <w:iCs/>
    </w:rPr>
  </w:style>
  <w:style w:type="paragraph" w:styleId="Direccinsobre">
    <w:name w:val="envelope address"/>
    <w:basedOn w:val="Normal"/>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rsid w:val="00681A10"/>
    <w:rPr>
      <w:rFonts w:ascii="Courier New" w:hAnsi="Courier New" w:cs="Courier New"/>
    </w:rPr>
  </w:style>
  <w:style w:type="paragraph" w:styleId="Encabezadodemensaje">
    <w:name w:val="Message Header"/>
    <w:basedOn w:val="Normal"/>
    <w:link w:val="EncabezadodemensajeCar"/>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681A10"/>
  </w:style>
  <w:style w:type="character" w:styleId="nfasis">
    <w:name w:val="Emphasis"/>
    <w:qFormat/>
    <w:rsid w:val="00681A10"/>
    <w:rPr>
      <w:i/>
      <w:iCs/>
    </w:rPr>
  </w:style>
  <w:style w:type="paragraph" w:styleId="Fecha">
    <w:name w:val="Date"/>
    <w:basedOn w:val="Normal"/>
    <w:next w:val="Normal"/>
    <w:link w:val="FechaCar"/>
    <w:rsid w:val="00681A10"/>
  </w:style>
  <w:style w:type="paragraph" w:styleId="Firma">
    <w:name w:val="Signature"/>
    <w:basedOn w:val="Normal"/>
    <w:link w:val="FirmaCar"/>
    <w:rsid w:val="00681A10"/>
    <w:pPr>
      <w:ind w:left="4252"/>
    </w:pPr>
  </w:style>
  <w:style w:type="paragraph" w:styleId="Firmadecorreoelectrnico">
    <w:name w:val="E-mail Signature"/>
    <w:basedOn w:val="Normal"/>
    <w:link w:val="FirmadecorreoelectrnicoCar"/>
    <w:rsid w:val="00681A10"/>
  </w:style>
  <w:style w:type="character" w:styleId="Hipervnculo">
    <w:name w:val="Hyperlink"/>
    <w:rsid w:val="006A0D48"/>
    <w:rPr>
      <w:color w:val="0000FF"/>
      <w:u w:val="none"/>
    </w:rPr>
  </w:style>
  <w:style w:type="character" w:styleId="Hipervnculovisitado">
    <w:name w:val="FollowedHyperlink"/>
    <w:rsid w:val="006A0D48"/>
    <w:rPr>
      <w:color w:val="0000FF"/>
      <w:u w:val="none"/>
    </w:rPr>
  </w:style>
  <w:style w:type="paragraph" w:styleId="HTMLconformatoprevio">
    <w:name w:val="HTML Preformatted"/>
    <w:basedOn w:val="Normal"/>
    <w:link w:val="HTMLconformatoprevioCar"/>
    <w:rsid w:val="00681A10"/>
    <w:rPr>
      <w:rFonts w:ascii="Courier New" w:hAnsi="Courier New" w:cs="Courier New"/>
    </w:rPr>
  </w:style>
  <w:style w:type="paragraph" w:styleId="Lista">
    <w:name w:val="List"/>
    <w:basedOn w:val="Normal"/>
    <w:rsid w:val="00681A10"/>
    <w:pPr>
      <w:ind w:left="283" w:hanging="283"/>
    </w:pPr>
  </w:style>
  <w:style w:type="paragraph" w:styleId="Lista2">
    <w:name w:val="List 2"/>
    <w:basedOn w:val="Normal"/>
    <w:rsid w:val="00681A10"/>
    <w:pPr>
      <w:ind w:left="566" w:hanging="283"/>
    </w:pPr>
  </w:style>
  <w:style w:type="paragraph" w:styleId="Lista3">
    <w:name w:val="List 3"/>
    <w:basedOn w:val="Normal"/>
    <w:rsid w:val="00681A10"/>
    <w:pPr>
      <w:ind w:left="849" w:hanging="283"/>
    </w:pPr>
  </w:style>
  <w:style w:type="paragraph" w:styleId="Lista4">
    <w:name w:val="List 4"/>
    <w:basedOn w:val="Normal"/>
    <w:rsid w:val="00681A10"/>
    <w:pPr>
      <w:ind w:left="1132" w:hanging="283"/>
    </w:pPr>
  </w:style>
  <w:style w:type="paragraph" w:styleId="Lista5">
    <w:name w:val="List 5"/>
    <w:basedOn w:val="Normal"/>
    <w:rsid w:val="00681A10"/>
    <w:pPr>
      <w:ind w:left="1415" w:hanging="283"/>
    </w:pPr>
  </w:style>
  <w:style w:type="paragraph" w:styleId="Listaconnmeros">
    <w:name w:val="List Number"/>
    <w:basedOn w:val="Normal"/>
    <w:rsid w:val="00681A10"/>
    <w:pPr>
      <w:numPr>
        <w:numId w:val="6"/>
      </w:numPr>
    </w:pPr>
  </w:style>
  <w:style w:type="paragraph" w:styleId="Listaconnmeros2">
    <w:name w:val="List Number 2"/>
    <w:basedOn w:val="Normal"/>
    <w:rsid w:val="00681A10"/>
    <w:pPr>
      <w:numPr>
        <w:numId w:val="7"/>
      </w:numPr>
    </w:pPr>
  </w:style>
  <w:style w:type="paragraph" w:styleId="Listaconnmeros3">
    <w:name w:val="List Number 3"/>
    <w:basedOn w:val="Normal"/>
    <w:rsid w:val="00681A10"/>
    <w:pPr>
      <w:numPr>
        <w:numId w:val="8"/>
      </w:numPr>
    </w:pPr>
  </w:style>
  <w:style w:type="paragraph" w:styleId="Listaconnmeros4">
    <w:name w:val="List Number 4"/>
    <w:basedOn w:val="Normal"/>
    <w:rsid w:val="00681A10"/>
    <w:pPr>
      <w:numPr>
        <w:numId w:val="9"/>
      </w:numPr>
    </w:pPr>
  </w:style>
  <w:style w:type="paragraph" w:styleId="Listaconnmeros5">
    <w:name w:val="List Number 5"/>
    <w:basedOn w:val="Normal"/>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rsid w:val="00681A10"/>
    <w:pPr>
      <w:numPr>
        <w:numId w:val="12"/>
      </w:numPr>
    </w:pPr>
  </w:style>
  <w:style w:type="paragraph" w:styleId="Listaconvietas3">
    <w:name w:val="List Bullet 3"/>
    <w:basedOn w:val="Normal"/>
    <w:rsid w:val="00681A10"/>
    <w:pPr>
      <w:numPr>
        <w:numId w:val="13"/>
      </w:numPr>
    </w:pPr>
  </w:style>
  <w:style w:type="paragraph" w:styleId="Listaconvietas4">
    <w:name w:val="List Bullet 4"/>
    <w:basedOn w:val="Normal"/>
    <w:rsid w:val="00681A10"/>
    <w:pPr>
      <w:numPr>
        <w:numId w:val="14"/>
      </w:numPr>
    </w:pPr>
  </w:style>
  <w:style w:type="paragraph" w:styleId="Listaconvietas5">
    <w:name w:val="List Bullet 5"/>
    <w:basedOn w:val="Normal"/>
    <w:rsid w:val="00681A10"/>
    <w:pPr>
      <w:numPr>
        <w:numId w:val="15"/>
      </w:numPr>
    </w:pPr>
  </w:style>
  <w:style w:type="character" w:styleId="MquinadeescribirHTML">
    <w:name w:val="HTML Typewriter"/>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rsid w:val="00681A10"/>
  </w:style>
  <w:style w:type="character" w:styleId="Nmerodepgina">
    <w:name w:val="page number"/>
    <w:aliases w:val="7_G"/>
    <w:qFormat/>
    <w:rsid w:val="00681A10"/>
    <w:rPr>
      <w:b/>
      <w:sz w:val="18"/>
    </w:rPr>
  </w:style>
  <w:style w:type="character" w:styleId="Refdenotaalfinal">
    <w:name w:val="endnote reference"/>
    <w:aliases w:val="1_G"/>
    <w:qFormat/>
    <w:rsid w:val="00681A10"/>
    <w:rPr>
      <w:rFonts w:ascii="Times New Roman" w:hAnsi="Times New Roman"/>
      <w:sz w:val="18"/>
      <w:vertAlign w:val="superscript"/>
    </w:rPr>
  </w:style>
  <w:style w:type="paragraph" w:styleId="Remitedesobre">
    <w:name w:val="envelope return"/>
    <w:basedOn w:val="Normal"/>
    <w:rsid w:val="00681A10"/>
    <w:rPr>
      <w:rFonts w:ascii="Arial" w:hAnsi="Arial" w:cs="Arial"/>
    </w:rPr>
  </w:style>
  <w:style w:type="paragraph" w:styleId="Saludo">
    <w:name w:val="Salutation"/>
    <w:basedOn w:val="Normal"/>
    <w:next w:val="Normal"/>
    <w:link w:val="SaludoCar"/>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rsid w:val="00681A10"/>
    <w:pPr>
      <w:ind w:left="567"/>
    </w:pPr>
  </w:style>
  <w:style w:type="paragraph" w:styleId="Subttulo">
    <w:name w:val="Subtitle"/>
    <w:basedOn w:val="Normal"/>
    <w:link w:val="SubttuloCar"/>
    <w:qFormat/>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rsid w:val="00681A10"/>
    <w:rPr>
      <w:rFonts w:ascii="Courier New" w:hAnsi="Courier New" w:cs="Courier New"/>
      <w:sz w:val="20"/>
      <w:szCs w:val="20"/>
    </w:rPr>
  </w:style>
  <w:style w:type="paragraph" w:styleId="Textodebloque">
    <w:name w:val="Block Text"/>
    <w:basedOn w:val="Normal"/>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rsid w:val="00681A10"/>
    <w:pPr>
      <w:spacing w:after="120"/>
    </w:pPr>
    <w:rPr>
      <w:sz w:val="16"/>
      <w:szCs w:val="16"/>
    </w:rPr>
  </w:style>
  <w:style w:type="paragraph" w:styleId="Textoindependienteprimerasangra">
    <w:name w:val="Body Text First Indent"/>
    <w:basedOn w:val="Textoindependiente"/>
    <w:link w:val="TextoindependienteprimerasangraCar"/>
    <w:rsid w:val="00681A10"/>
    <w:pPr>
      <w:ind w:firstLine="210"/>
    </w:pPr>
  </w:style>
  <w:style w:type="paragraph" w:styleId="Textoindependienteprimerasangra2">
    <w:name w:val="Body Text First Indent 2"/>
    <w:basedOn w:val="Sangradetextonormal"/>
    <w:link w:val="Textoindependienteprimerasangra2Car"/>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rsid w:val="00681A10"/>
    <w:rPr>
      <w:rFonts w:ascii="Courier New" w:hAnsi="Courier New" w:cs="Courier New"/>
    </w:rPr>
  </w:style>
  <w:style w:type="paragraph" w:styleId="Ttulo">
    <w:name w:val="Title"/>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rsid w:val="00681A10"/>
    <w:rPr>
      <w:i/>
      <w:iCs/>
    </w:rPr>
  </w:style>
  <w:style w:type="paragraph" w:customStyle="1" w:styleId="Bullet1G">
    <w:name w:val="_Bullet 1_G"/>
    <w:basedOn w:val="Normal"/>
    <w:qFormat/>
    <w:rsid w:val="00681A10"/>
    <w:pPr>
      <w:numPr>
        <w:numId w:val="1"/>
      </w:numPr>
      <w:spacing w:after="120"/>
      <w:ind w:right="1134"/>
      <w:jc w:val="both"/>
    </w:pPr>
  </w:style>
  <w:style w:type="paragraph" w:customStyle="1" w:styleId="Bullet2G">
    <w:name w:val="_Bullet 2_G"/>
    <w:basedOn w:val="Normal"/>
    <w:qFormat/>
    <w:rsid w:val="00681A10"/>
    <w:pPr>
      <w:numPr>
        <w:numId w:val="2"/>
      </w:numPr>
      <w:spacing w:after="120"/>
      <w:ind w:right="1134"/>
      <w:jc w:val="both"/>
    </w:pPr>
  </w:style>
  <w:style w:type="character" w:styleId="nfasisintenso">
    <w:name w:val="Intense Emphasis"/>
    <w:uiPriority w:val="21"/>
    <w:rsid w:val="001348F2"/>
    <w:rPr>
      <w:b/>
      <w:bCs/>
      <w:i/>
      <w:iCs/>
      <w:color w:val="4F81BD"/>
    </w:rPr>
  </w:style>
  <w:style w:type="paragraph" w:styleId="Citadestacada">
    <w:name w:val="Intense Quote"/>
    <w:basedOn w:val="Normal"/>
    <w:next w:val="Normal"/>
    <w:link w:val="CitadestacadaCar"/>
    <w:uiPriority w:val="30"/>
    <w:rsid w:val="001348F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F1522"/>
    <w:rPr>
      <w:b/>
      <w:bCs/>
      <w:i/>
      <w:iCs/>
      <w:color w:val="4F81BD"/>
      <w:lang w:val="es-ES" w:eastAsia="es-ES"/>
    </w:rPr>
  </w:style>
  <w:style w:type="character" w:customStyle="1" w:styleId="Ttulo1Car">
    <w:name w:val="Título 1 Car"/>
    <w:aliases w:val="Cuadro_G Car,Table_G Car"/>
    <w:basedOn w:val="Fuentedeprrafopredeter"/>
    <w:link w:val="Ttulo1"/>
    <w:rsid w:val="00C10B94"/>
    <w:rPr>
      <w:lang w:val="fr-CH"/>
    </w:rPr>
  </w:style>
  <w:style w:type="character" w:customStyle="1" w:styleId="SingleTxtGChar">
    <w:name w:val="_ Single Txt_G Char"/>
    <w:basedOn w:val="Fuentedeprrafopredeter"/>
    <w:link w:val="SingleTxtG"/>
    <w:rsid w:val="003333BE"/>
    <w:rPr>
      <w:lang w:val="es-ES" w:eastAsia="es-ES"/>
    </w:rPr>
  </w:style>
  <w:style w:type="character" w:customStyle="1" w:styleId="EncabezadoCar">
    <w:name w:val="Encabezado Car"/>
    <w:aliases w:val="6_G Car"/>
    <w:basedOn w:val="Fuentedeprrafopredeter"/>
    <w:link w:val="Encabezado"/>
    <w:locked/>
    <w:rsid w:val="003333BE"/>
    <w:rPr>
      <w:b/>
      <w:sz w:val="18"/>
      <w:lang w:val="es-ES" w:eastAsia="es-ES"/>
    </w:rPr>
  </w:style>
  <w:style w:type="character" w:customStyle="1" w:styleId="PiedepginaCar">
    <w:name w:val="Pie de página Car"/>
    <w:aliases w:val="3_G Car"/>
    <w:basedOn w:val="Fuentedeprrafopredeter"/>
    <w:link w:val="Piedepgina"/>
    <w:rsid w:val="003333BE"/>
    <w:rPr>
      <w:sz w:val="16"/>
      <w:lang w:val="es-ES" w:eastAsia="es-ES"/>
    </w:rPr>
  </w:style>
  <w:style w:type="character" w:customStyle="1" w:styleId="SingleTxtGCar">
    <w:name w:val="_ Single Txt_G Car"/>
    <w:basedOn w:val="Fuentedeprrafopredeter"/>
    <w:rsid w:val="003333BE"/>
    <w:rPr>
      <w:lang w:val="es-ES" w:eastAsia="es-ES" w:bidi="ar-SA"/>
    </w:rPr>
  </w:style>
  <w:style w:type="character" w:customStyle="1" w:styleId="H4GCar">
    <w:name w:val="_ H_4_G Car"/>
    <w:basedOn w:val="Fuentedeprrafopredeter"/>
    <w:link w:val="H4G"/>
    <w:rsid w:val="003333BE"/>
    <w:rPr>
      <w:i/>
      <w:lang w:val="es-ES" w:eastAsia="es-ES"/>
    </w:rPr>
  </w:style>
  <w:style w:type="paragraph" w:styleId="Textodeglobo">
    <w:name w:val="Balloon Text"/>
    <w:basedOn w:val="Normal"/>
    <w:link w:val="TextodegloboCar"/>
    <w:rsid w:val="003333B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3333BE"/>
    <w:rPr>
      <w:rFonts w:ascii="Tahoma" w:hAnsi="Tahoma" w:cs="Tahoma"/>
      <w:sz w:val="16"/>
      <w:szCs w:val="16"/>
      <w:lang w:val="en-GB"/>
    </w:rPr>
  </w:style>
  <w:style w:type="character" w:customStyle="1" w:styleId="SubttuloCar">
    <w:name w:val="Subtítulo Car"/>
    <w:basedOn w:val="Fuentedeprrafopredeter"/>
    <w:link w:val="Subttulo"/>
    <w:rsid w:val="003333BE"/>
    <w:rPr>
      <w:rFonts w:ascii="Arial" w:hAnsi="Arial" w:cs="Arial"/>
      <w:sz w:val="24"/>
      <w:szCs w:val="24"/>
      <w:lang w:val="es-ES" w:eastAsia="es-ES"/>
    </w:rPr>
  </w:style>
  <w:style w:type="character" w:customStyle="1" w:styleId="Ttulo2Car">
    <w:name w:val="Título 2 Car"/>
    <w:basedOn w:val="Fuentedeprrafopredeter"/>
    <w:link w:val="Ttulo2"/>
    <w:rsid w:val="003333BE"/>
    <w:rPr>
      <w:rFonts w:cs="Arial"/>
      <w:bCs/>
      <w:iCs/>
      <w:szCs w:val="28"/>
      <w:lang w:val="es-ES" w:eastAsia="es-ES"/>
    </w:rPr>
  </w:style>
  <w:style w:type="character" w:customStyle="1" w:styleId="Ttulo3Car">
    <w:name w:val="Título 3 Car"/>
    <w:basedOn w:val="Fuentedeprrafopredeter"/>
    <w:link w:val="Ttulo3"/>
    <w:rsid w:val="003333BE"/>
    <w:rPr>
      <w:rFonts w:ascii="Arial" w:hAnsi="Arial" w:cs="Arial"/>
      <w:b/>
      <w:bCs/>
      <w:sz w:val="26"/>
      <w:szCs w:val="26"/>
      <w:lang w:val="es-ES" w:eastAsia="es-ES"/>
    </w:rPr>
  </w:style>
  <w:style w:type="character" w:customStyle="1" w:styleId="Ttulo4Car">
    <w:name w:val="Título 4 Car"/>
    <w:basedOn w:val="Fuentedeprrafopredeter"/>
    <w:link w:val="Ttulo4"/>
    <w:rsid w:val="003333BE"/>
    <w:rPr>
      <w:b/>
      <w:bCs/>
      <w:sz w:val="28"/>
      <w:szCs w:val="28"/>
      <w:lang w:val="es-ES" w:eastAsia="es-ES"/>
    </w:rPr>
  </w:style>
  <w:style w:type="character" w:customStyle="1" w:styleId="Ttulo5Car">
    <w:name w:val="Título 5 Car"/>
    <w:basedOn w:val="Fuentedeprrafopredeter"/>
    <w:link w:val="Ttulo5"/>
    <w:rsid w:val="003333BE"/>
    <w:rPr>
      <w:b/>
      <w:bCs/>
      <w:i/>
      <w:iCs/>
      <w:sz w:val="26"/>
      <w:szCs w:val="26"/>
      <w:lang w:val="es-ES" w:eastAsia="es-ES"/>
    </w:rPr>
  </w:style>
  <w:style w:type="character" w:customStyle="1" w:styleId="Ttulo6Car">
    <w:name w:val="Título 6 Car"/>
    <w:basedOn w:val="Fuentedeprrafopredeter"/>
    <w:link w:val="Ttulo6"/>
    <w:rsid w:val="003333BE"/>
    <w:rPr>
      <w:b/>
      <w:bCs/>
      <w:sz w:val="22"/>
      <w:szCs w:val="22"/>
      <w:lang w:val="es-ES" w:eastAsia="es-ES"/>
    </w:rPr>
  </w:style>
  <w:style w:type="character" w:customStyle="1" w:styleId="Ttulo7Car">
    <w:name w:val="Título 7 Car"/>
    <w:basedOn w:val="Fuentedeprrafopredeter"/>
    <w:link w:val="Ttulo7"/>
    <w:rsid w:val="003333BE"/>
    <w:rPr>
      <w:sz w:val="24"/>
      <w:szCs w:val="24"/>
      <w:lang w:val="es-ES" w:eastAsia="es-ES"/>
    </w:rPr>
  </w:style>
  <w:style w:type="character" w:customStyle="1" w:styleId="Ttulo8Car">
    <w:name w:val="Título 8 Car"/>
    <w:basedOn w:val="Fuentedeprrafopredeter"/>
    <w:link w:val="Ttulo8"/>
    <w:rsid w:val="003333BE"/>
    <w:rPr>
      <w:i/>
      <w:iCs/>
      <w:sz w:val="24"/>
      <w:szCs w:val="24"/>
      <w:lang w:val="es-ES" w:eastAsia="es-ES"/>
    </w:rPr>
  </w:style>
  <w:style w:type="character" w:customStyle="1" w:styleId="Ttulo9Car">
    <w:name w:val="Título 9 Car"/>
    <w:basedOn w:val="Fuentedeprrafopredeter"/>
    <w:link w:val="Ttulo9"/>
    <w:rsid w:val="003333BE"/>
    <w:rPr>
      <w:rFonts w:ascii="Arial" w:hAnsi="Arial" w:cs="Arial"/>
      <w:sz w:val="22"/>
      <w:szCs w:val="22"/>
      <w:lang w:val="es-ES" w:eastAsia="es-ES"/>
    </w:rPr>
  </w:style>
  <w:style w:type="character" w:customStyle="1" w:styleId="CierreCar">
    <w:name w:val="Cierre Car"/>
    <w:basedOn w:val="Fuentedeprrafopredeter"/>
    <w:link w:val="Cierre"/>
    <w:rsid w:val="003333BE"/>
    <w:rPr>
      <w:lang w:val="es-ES" w:eastAsia="es-ES"/>
    </w:rPr>
  </w:style>
  <w:style w:type="character" w:customStyle="1" w:styleId="DireccinHTMLCar">
    <w:name w:val="Dirección HTML Car"/>
    <w:basedOn w:val="Fuentedeprrafopredeter"/>
    <w:link w:val="DireccinHTML"/>
    <w:rsid w:val="003333BE"/>
    <w:rPr>
      <w:i/>
      <w:iCs/>
      <w:lang w:val="es-ES" w:eastAsia="es-ES"/>
    </w:rPr>
  </w:style>
  <w:style w:type="character" w:customStyle="1" w:styleId="EncabezadodemensajeCar">
    <w:name w:val="Encabezado de mensaje Car"/>
    <w:basedOn w:val="Fuentedeprrafopredeter"/>
    <w:link w:val="Encabezadodemensaje"/>
    <w:rsid w:val="003333B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3333BE"/>
    <w:rPr>
      <w:lang w:val="es-ES" w:eastAsia="es-ES"/>
    </w:rPr>
  </w:style>
  <w:style w:type="character" w:customStyle="1" w:styleId="FechaCar">
    <w:name w:val="Fecha Car"/>
    <w:basedOn w:val="Fuentedeprrafopredeter"/>
    <w:link w:val="Fecha"/>
    <w:rsid w:val="003333BE"/>
    <w:rPr>
      <w:lang w:val="es-ES" w:eastAsia="es-ES"/>
    </w:rPr>
  </w:style>
  <w:style w:type="character" w:customStyle="1" w:styleId="FirmaCar">
    <w:name w:val="Firma Car"/>
    <w:basedOn w:val="Fuentedeprrafopredeter"/>
    <w:link w:val="Firma"/>
    <w:rsid w:val="003333BE"/>
    <w:rPr>
      <w:lang w:val="es-ES" w:eastAsia="es-ES"/>
    </w:rPr>
  </w:style>
  <w:style w:type="character" w:customStyle="1" w:styleId="FirmadecorreoelectrnicoCar">
    <w:name w:val="Firma de correo electrónico Car"/>
    <w:basedOn w:val="Fuentedeprrafopredeter"/>
    <w:link w:val="Firmadecorreoelectrnico"/>
    <w:rsid w:val="003333BE"/>
    <w:rPr>
      <w:lang w:val="es-ES" w:eastAsia="es-ES"/>
    </w:rPr>
  </w:style>
  <w:style w:type="character" w:customStyle="1" w:styleId="HTMLconformatoprevioCar">
    <w:name w:val="HTML con formato previo Car"/>
    <w:basedOn w:val="Fuentedeprrafopredeter"/>
    <w:link w:val="HTMLconformatoprevio"/>
    <w:rsid w:val="003333BE"/>
    <w:rPr>
      <w:rFonts w:ascii="Courier New" w:hAnsi="Courier New" w:cs="Courier New"/>
      <w:lang w:val="es-ES" w:eastAsia="es-ES"/>
    </w:rPr>
  </w:style>
  <w:style w:type="character" w:customStyle="1" w:styleId="SaludoCar">
    <w:name w:val="Saludo Car"/>
    <w:basedOn w:val="Fuentedeprrafopredeter"/>
    <w:link w:val="Saludo"/>
    <w:rsid w:val="003333BE"/>
    <w:rPr>
      <w:lang w:val="es-ES" w:eastAsia="es-ES"/>
    </w:rPr>
  </w:style>
  <w:style w:type="character" w:customStyle="1" w:styleId="Sangra2detindependienteCar">
    <w:name w:val="Sangría 2 de t. independiente Car"/>
    <w:basedOn w:val="Fuentedeprrafopredeter"/>
    <w:link w:val="Sangra2detindependiente"/>
    <w:rsid w:val="003333BE"/>
    <w:rPr>
      <w:lang w:val="es-ES" w:eastAsia="es-ES"/>
    </w:rPr>
  </w:style>
  <w:style w:type="character" w:customStyle="1" w:styleId="Sangra3detindependienteCar">
    <w:name w:val="Sangría 3 de t. independiente Car"/>
    <w:basedOn w:val="Fuentedeprrafopredeter"/>
    <w:link w:val="Sangra3detindependiente"/>
    <w:rsid w:val="003333BE"/>
    <w:rPr>
      <w:sz w:val="16"/>
      <w:szCs w:val="16"/>
      <w:lang w:val="es-ES" w:eastAsia="es-ES"/>
    </w:rPr>
  </w:style>
  <w:style w:type="character" w:customStyle="1" w:styleId="SangradetextonormalCar">
    <w:name w:val="Sangría de texto normal Car"/>
    <w:basedOn w:val="Fuentedeprrafopredeter"/>
    <w:link w:val="Sangradetextonormal"/>
    <w:rsid w:val="003333BE"/>
    <w:rPr>
      <w:lang w:val="es-ES" w:eastAsia="es-ES"/>
    </w:rPr>
  </w:style>
  <w:style w:type="character" w:customStyle="1" w:styleId="TextoindependienteCar">
    <w:name w:val="Texto independiente Car"/>
    <w:basedOn w:val="Fuentedeprrafopredeter"/>
    <w:link w:val="Textoindependiente"/>
    <w:rsid w:val="003333BE"/>
    <w:rPr>
      <w:lang w:val="es-ES" w:eastAsia="es-ES"/>
    </w:rPr>
  </w:style>
  <w:style w:type="character" w:customStyle="1" w:styleId="Textoindependiente2Car">
    <w:name w:val="Texto independiente 2 Car"/>
    <w:basedOn w:val="Fuentedeprrafopredeter"/>
    <w:link w:val="Textoindependiente2"/>
    <w:rsid w:val="003333BE"/>
    <w:rPr>
      <w:lang w:val="es-ES" w:eastAsia="es-ES"/>
    </w:rPr>
  </w:style>
  <w:style w:type="character" w:customStyle="1" w:styleId="Textoindependiente3Car">
    <w:name w:val="Texto independiente 3 Car"/>
    <w:basedOn w:val="Fuentedeprrafopredeter"/>
    <w:link w:val="Textoindependiente3"/>
    <w:rsid w:val="003333B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3333BE"/>
    <w:rPr>
      <w:lang w:val="es-ES" w:eastAsia="es-ES"/>
    </w:rPr>
  </w:style>
  <w:style w:type="character" w:customStyle="1" w:styleId="Textoindependienteprimerasangra2Car">
    <w:name w:val="Texto independiente primera sangría 2 Car"/>
    <w:basedOn w:val="SangradetextonormalCar"/>
    <w:link w:val="Textoindependienteprimerasangra2"/>
    <w:rsid w:val="003333BE"/>
    <w:rPr>
      <w:lang w:val="es-ES" w:eastAsia="es-ES"/>
    </w:rPr>
  </w:style>
  <w:style w:type="character" w:customStyle="1" w:styleId="TextosinformatoCar">
    <w:name w:val="Texto sin formato Car"/>
    <w:basedOn w:val="Fuentedeprrafopredeter"/>
    <w:link w:val="Textosinformato"/>
    <w:rsid w:val="003333BE"/>
    <w:rPr>
      <w:rFonts w:ascii="Courier New" w:hAnsi="Courier New" w:cs="Courier New"/>
      <w:lang w:val="es-ES" w:eastAsia="es-ES"/>
    </w:rPr>
  </w:style>
  <w:style w:type="character" w:customStyle="1" w:styleId="TtuloCar">
    <w:name w:val="Título Car"/>
    <w:basedOn w:val="Fuentedeprrafopredeter"/>
    <w:link w:val="Ttulo"/>
    <w:rsid w:val="003333BE"/>
    <w:rPr>
      <w:rFonts w:ascii="Arial" w:hAnsi="Arial" w:cs="Arial"/>
      <w:b/>
      <w:bCs/>
      <w:kern w:val="28"/>
      <w:sz w:val="32"/>
      <w:szCs w:val="32"/>
      <w:lang w:val="es-ES" w:eastAsia="es-ES"/>
    </w:rPr>
  </w:style>
  <w:style w:type="character" w:customStyle="1" w:styleId="TextonotapieCar">
    <w:name w:val="Texto nota pie Car"/>
    <w:aliases w:val="5_G Car"/>
    <w:basedOn w:val="Fuentedeprrafopredeter"/>
    <w:link w:val="Textonotapie"/>
    <w:rsid w:val="003333BE"/>
    <w:rPr>
      <w:sz w:val="18"/>
      <w:lang w:val="es-ES" w:eastAsia="es-ES"/>
    </w:rPr>
  </w:style>
  <w:style w:type="character" w:customStyle="1" w:styleId="TextonotaalfinalCar">
    <w:name w:val="Texto nota al final Car"/>
    <w:aliases w:val="2_G Car"/>
    <w:basedOn w:val="Fuentedeprrafopredeter"/>
    <w:link w:val="Textonotaalfinal"/>
    <w:rsid w:val="003333BE"/>
    <w:rPr>
      <w:sz w:val="18"/>
      <w:lang w:val="es-ES" w:eastAsia="es-ES"/>
    </w:rPr>
  </w:style>
  <w:style w:type="character" w:styleId="Refdecomentario">
    <w:name w:val="annotation reference"/>
    <w:rsid w:val="003333BE"/>
    <w:rPr>
      <w:sz w:val="16"/>
      <w:szCs w:val="16"/>
    </w:rPr>
  </w:style>
  <w:style w:type="paragraph" w:styleId="Textocomentario">
    <w:name w:val="annotation text"/>
    <w:basedOn w:val="Normal"/>
    <w:link w:val="TextocomentarioCar"/>
    <w:rsid w:val="003333BE"/>
    <w:rPr>
      <w:rFonts w:eastAsia="SimSun"/>
      <w:lang w:eastAsia="zh-CN"/>
    </w:rPr>
  </w:style>
  <w:style w:type="character" w:customStyle="1" w:styleId="TextocomentarioCar">
    <w:name w:val="Texto comentario Car"/>
    <w:basedOn w:val="Fuentedeprrafopredeter"/>
    <w:link w:val="Textocomentario"/>
    <w:rsid w:val="003333BE"/>
    <w:rPr>
      <w:rFonts w:eastAsia="SimSun"/>
      <w:lang w:val="en-GB" w:eastAsia="zh-CN"/>
    </w:rPr>
  </w:style>
  <w:style w:type="paragraph" w:styleId="Asuntodelcomentario">
    <w:name w:val="annotation subject"/>
    <w:basedOn w:val="Textocomentario"/>
    <w:next w:val="Textocomentario"/>
    <w:link w:val="AsuntodelcomentarioCar"/>
    <w:rsid w:val="003333BE"/>
    <w:rPr>
      <w:b/>
      <w:bCs/>
    </w:rPr>
  </w:style>
  <w:style w:type="character" w:customStyle="1" w:styleId="AsuntodelcomentarioCar">
    <w:name w:val="Asunto del comentario Car"/>
    <w:basedOn w:val="TextocomentarioCar"/>
    <w:link w:val="Asuntodelcomentario"/>
    <w:rsid w:val="003333BE"/>
    <w:rPr>
      <w:rFonts w:eastAsia="SimSun"/>
      <w:b/>
      <w:bCs/>
      <w:lang w:val="en-GB" w:eastAsia="zh-CN"/>
    </w:rPr>
  </w:style>
  <w:style w:type="paragraph" w:styleId="Prrafodelista">
    <w:name w:val="List Paragraph"/>
    <w:basedOn w:val="Normal"/>
    <w:uiPriority w:val="34"/>
    <w:qFormat/>
    <w:rsid w:val="003333BE"/>
    <w:pPr>
      <w:spacing w:line="240" w:lineRule="exact"/>
      <w:ind w:left="720"/>
      <w:contextualSpacing/>
    </w:pPr>
    <w:rPr>
      <w:rFonts w:eastAsia="SimSun"/>
      <w:spacing w:val="4"/>
      <w:w w:val="103"/>
      <w:kern w:val="14"/>
      <w:lang w:eastAsia="zh-CN"/>
    </w:rPr>
  </w:style>
  <w:style w:type="paragraph" w:styleId="Revisin">
    <w:name w:val="Revision"/>
    <w:hidden/>
    <w:uiPriority w:val="99"/>
    <w:semiHidden/>
    <w:rsid w:val="003333B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caption" w:semiHidden="1" w:unhideWhenUsed="1" w:qFormat="1"/>
    <w:lsdException w:name="table of figures" w:semiHidden="1"/>
    <w:lsdException w:name="footnote reference" w:qFormat="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3333BE"/>
    <w:pPr>
      <w:suppressAutoHyphens/>
      <w:spacing w:line="240" w:lineRule="atLeast"/>
    </w:pPr>
    <w:rPr>
      <w:lang w:val="en-GB"/>
    </w:rPr>
  </w:style>
  <w:style w:type="paragraph" w:styleId="Ttulo1">
    <w:name w:val="heading 1"/>
    <w:aliases w:val="Cuadro_G,Table_G"/>
    <w:basedOn w:val="SingleTxtG"/>
    <w:next w:val="SingleTxtG"/>
    <w:link w:val="Ttulo1Car"/>
    <w:qFormat/>
    <w:rsid w:val="00C10B94"/>
    <w:pPr>
      <w:keepNext/>
      <w:keepLines/>
      <w:kinsoku w:val="0"/>
      <w:overflowPunct w:val="0"/>
      <w:autoSpaceDE w:val="0"/>
      <w:autoSpaceDN w:val="0"/>
      <w:adjustRightInd w:val="0"/>
      <w:snapToGrid w:val="0"/>
      <w:spacing w:after="0" w:line="240" w:lineRule="auto"/>
      <w:ind w:right="0"/>
      <w:jc w:val="left"/>
      <w:outlineLvl w:val="0"/>
    </w:pPr>
    <w:rPr>
      <w:lang w:val="fr-CH"/>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rsid w:val="00681A1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rsid w:val="00681A10"/>
  </w:style>
  <w:style w:type="numbering" w:styleId="ArtculoSeccin">
    <w:name w:val="Outline List 3"/>
    <w:basedOn w:val="Sinlista"/>
    <w:rsid w:val="00681A10"/>
    <w:pPr>
      <w:numPr>
        <w:numId w:val="5"/>
      </w:numPr>
    </w:pPr>
  </w:style>
  <w:style w:type="paragraph" w:styleId="Cierre">
    <w:name w:val="Closing"/>
    <w:basedOn w:val="Normal"/>
    <w:link w:val="CierreCar"/>
    <w:rsid w:val="00681A10"/>
    <w:pPr>
      <w:ind w:left="4252"/>
    </w:pPr>
  </w:style>
  <w:style w:type="character" w:styleId="CitaHTML">
    <w:name w:val="HTML Cite"/>
    <w:rsid w:val="00681A10"/>
    <w:rPr>
      <w:i/>
      <w:iCs/>
    </w:rPr>
  </w:style>
  <w:style w:type="character" w:styleId="CdigoHTML">
    <w:name w:val="HTML Code"/>
    <w:rsid w:val="00681A10"/>
    <w:rPr>
      <w:rFonts w:ascii="Courier New" w:hAnsi="Courier New" w:cs="Courier New"/>
      <w:sz w:val="20"/>
      <w:szCs w:val="20"/>
    </w:rPr>
  </w:style>
  <w:style w:type="paragraph" w:styleId="Continuarlista">
    <w:name w:val="List Continue"/>
    <w:basedOn w:val="Normal"/>
    <w:rsid w:val="00681A10"/>
    <w:pPr>
      <w:spacing w:after="120"/>
      <w:ind w:left="283"/>
    </w:pPr>
  </w:style>
  <w:style w:type="paragraph" w:styleId="Continuarlista2">
    <w:name w:val="List Continue 2"/>
    <w:basedOn w:val="Normal"/>
    <w:rsid w:val="00681A10"/>
    <w:pPr>
      <w:spacing w:after="120"/>
      <w:ind w:left="566"/>
    </w:pPr>
  </w:style>
  <w:style w:type="paragraph" w:styleId="Continuarlista3">
    <w:name w:val="List Continue 3"/>
    <w:basedOn w:val="Normal"/>
    <w:rsid w:val="00681A10"/>
    <w:pPr>
      <w:spacing w:after="120"/>
      <w:ind w:left="849"/>
    </w:pPr>
  </w:style>
  <w:style w:type="paragraph" w:styleId="Continuarlista4">
    <w:name w:val="List Continue 4"/>
    <w:basedOn w:val="Normal"/>
    <w:rsid w:val="00681A10"/>
    <w:pPr>
      <w:spacing w:after="120"/>
      <w:ind w:left="1132"/>
    </w:pPr>
  </w:style>
  <w:style w:type="paragraph" w:styleId="Continuarlista5">
    <w:name w:val="List Continue 5"/>
    <w:basedOn w:val="Normal"/>
    <w:rsid w:val="00681A10"/>
    <w:pPr>
      <w:spacing w:after="120"/>
      <w:ind w:left="1415"/>
    </w:pPr>
  </w:style>
  <w:style w:type="character" w:styleId="DefinicinHTML">
    <w:name w:val="HTML Definition"/>
    <w:rsid w:val="00681A10"/>
    <w:rPr>
      <w:i/>
      <w:iCs/>
    </w:rPr>
  </w:style>
  <w:style w:type="paragraph" w:styleId="DireccinHTML">
    <w:name w:val="HTML Address"/>
    <w:basedOn w:val="Normal"/>
    <w:link w:val="DireccinHTMLCar"/>
    <w:rsid w:val="00681A10"/>
    <w:rPr>
      <w:i/>
      <w:iCs/>
    </w:rPr>
  </w:style>
  <w:style w:type="paragraph" w:styleId="Direccinsobre">
    <w:name w:val="envelope address"/>
    <w:basedOn w:val="Normal"/>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rsid w:val="00681A10"/>
    <w:rPr>
      <w:rFonts w:ascii="Courier New" w:hAnsi="Courier New" w:cs="Courier New"/>
    </w:rPr>
  </w:style>
  <w:style w:type="paragraph" w:styleId="Encabezadodemensaje">
    <w:name w:val="Message Header"/>
    <w:basedOn w:val="Normal"/>
    <w:link w:val="EncabezadodemensajeCar"/>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681A10"/>
  </w:style>
  <w:style w:type="character" w:styleId="nfasis">
    <w:name w:val="Emphasis"/>
    <w:qFormat/>
    <w:rsid w:val="00681A10"/>
    <w:rPr>
      <w:i/>
      <w:iCs/>
    </w:rPr>
  </w:style>
  <w:style w:type="paragraph" w:styleId="Fecha">
    <w:name w:val="Date"/>
    <w:basedOn w:val="Normal"/>
    <w:next w:val="Normal"/>
    <w:link w:val="FechaCar"/>
    <w:rsid w:val="00681A10"/>
  </w:style>
  <w:style w:type="paragraph" w:styleId="Firma">
    <w:name w:val="Signature"/>
    <w:basedOn w:val="Normal"/>
    <w:link w:val="FirmaCar"/>
    <w:rsid w:val="00681A10"/>
    <w:pPr>
      <w:ind w:left="4252"/>
    </w:pPr>
  </w:style>
  <w:style w:type="paragraph" w:styleId="Firmadecorreoelectrnico">
    <w:name w:val="E-mail Signature"/>
    <w:basedOn w:val="Normal"/>
    <w:link w:val="FirmadecorreoelectrnicoCar"/>
    <w:rsid w:val="00681A10"/>
  </w:style>
  <w:style w:type="character" w:styleId="Hipervnculo">
    <w:name w:val="Hyperlink"/>
    <w:rsid w:val="006A0D48"/>
    <w:rPr>
      <w:color w:val="0000FF"/>
      <w:u w:val="none"/>
    </w:rPr>
  </w:style>
  <w:style w:type="character" w:styleId="Hipervnculovisitado">
    <w:name w:val="FollowedHyperlink"/>
    <w:rsid w:val="006A0D48"/>
    <w:rPr>
      <w:color w:val="0000FF"/>
      <w:u w:val="none"/>
    </w:rPr>
  </w:style>
  <w:style w:type="paragraph" w:styleId="HTMLconformatoprevio">
    <w:name w:val="HTML Preformatted"/>
    <w:basedOn w:val="Normal"/>
    <w:link w:val="HTMLconformatoprevioCar"/>
    <w:rsid w:val="00681A10"/>
    <w:rPr>
      <w:rFonts w:ascii="Courier New" w:hAnsi="Courier New" w:cs="Courier New"/>
    </w:rPr>
  </w:style>
  <w:style w:type="paragraph" w:styleId="Lista">
    <w:name w:val="List"/>
    <w:basedOn w:val="Normal"/>
    <w:rsid w:val="00681A10"/>
    <w:pPr>
      <w:ind w:left="283" w:hanging="283"/>
    </w:pPr>
  </w:style>
  <w:style w:type="paragraph" w:styleId="Lista2">
    <w:name w:val="List 2"/>
    <w:basedOn w:val="Normal"/>
    <w:rsid w:val="00681A10"/>
    <w:pPr>
      <w:ind w:left="566" w:hanging="283"/>
    </w:pPr>
  </w:style>
  <w:style w:type="paragraph" w:styleId="Lista3">
    <w:name w:val="List 3"/>
    <w:basedOn w:val="Normal"/>
    <w:rsid w:val="00681A10"/>
    <w:pPr>
      <w:ind w:left="849" w:hanging="283"/>
    </w:pPr>
  </w:style>
  <w:style w:type="paragraph" w:styleId="Lista4">
    <w:name w:val="List 4"/>
    <w:basedOn w:val="Normal"/>
    <w:rsid w:val="00681A10"/>
    <w:pPr>
      <w:ind w:left="1132" w:hanging="283"/>
    </w:pPr>
  </w:style>
  <w:style w:type="paragraph" w:styleId="Lista5">
    <w:name w:val="List 5"/>
    <w:basedOn w:val="Normal"/>
    <w:rsid w:val="00681A10"/>
    <w:pPr>
      <w:ind w:left="1415" w:hanging="283"/>
    </w:pPr>
  </w:style>
  <w:style w:type="paragraph" w:styleId="Listaconnmeros">
    <w:name w:val="List Number"/>
    <w:basedOn w:val="Normal"/>
    <w:rsid w:val="00681A10"/>
    <w:pPr>
      <w:numPr>
        <w:numId w:val="6"/>
      </w:numPr>
    </w:pPr>
  </w:style>
  <w:style w:type="paragraph" w:styleId="Listaconnmeros2">
    <w:name w:val="List Number 2"/>
    <w:basedOn w:val="Normal"/>
    <w:rsid w:val="00681A10"/>
    <w:pPr>
      <w:numPr>
        <w:numId w:val="7"/>
      </w:numPr>
    </w:pPr>
  </w:style>
  <w:style w:type="paragraph" w:styleId="Listaconnmeros3">
    <w:name w:val="List Number 3"/>
    <w:basedOn w:val="Normal"/>
    <w:rsid w:val="00681A10"/>
    <w:pPr>
      <w:numPr>
        <w:numId w:val="8"/>
      </w:numPr>
    </w:pPr>
  </w:style>
  <w:style w:type="paragraph" w:styleId="Listaconnmeros4">
    <w:name w:val="List Number 4"/>
    <w:basedOn w:val="Normal"/>
    <w:rsid w:val="00681A10"/>
    <w:pPr>
      <w:numPr>
        <w:numId w:val="9"/>
      </w:numPr>
    </w:pPr>
  </w:style>
  <w:style w:type="paragraph" w:styleId="Listaconnmeros5">
    <w:name w:val="List Number 5"/>
    <w:basedOn w:val="Normal"/>
    <w:rsid w:val="00681A10"/>
    <w:pPr>
      <w:numPr>
        <w:numId w:val="10"/>
      </w:numPr>
    </w:pPr>
  </w:style>
  <w:style w:type="paragraph" w:styleId="Listaconvietas">
    <w:name w:val="List Bullet"/>
    <w:basedOn w:val="Normal"/>
    <w:rsid w:val="00681A10"/>
    <w:pPr>
      <w:numPr>
        <w:numId w:val="11"/>
      </w:numPr>
    </w:pPr>
  </w:style>
  <w:style w:type="paragraph" w:styleId="Listaconvietas2">
    <w:name w:val="List Bullet 2"/>
    <w:basedOn w:val="Normal"/>
    <w:rsid w:val="00681A10"/>
    <w:pPr>
      <w:numPr>
        <w:numId w:val="12"/>
      </w:numPr>
    </w:pPr>
  </w:style>
  <w:style w:type="paragraph" w:styleId="Listaconvietas3">
    <w:name w:val="List Bullet 3"/>
    <w:basedOn w:val="Normal"/>
    <w:rsid w:val="00681A10"/>
    <w:pPr>
      <w:numPr>
        <w:numId w:val="13"/>
      </w:numPr>
    </w:pPr>
  </w:style>
  <w:style w:type="paragraph" w:styleId="Listaconvietas4">
    <w:name w:val="List Bullet 4"/>
    <w:basedOn w:val="Normal"/>
    <w:rsid w:val="00681A10"/>
    <w:pPr>
      <w:numPr>
        <w:numId w:val="14"/>
      </w:numPr>
    </w:pPr>
  </w:style>
  <w:style w:type="paragraph" w:styleId="Listaconvietas5">
    <w:name w:val="List Bullet 5"/>
    <w:basedOn w:val="Normal"/>
    <w:rsid w:val="00681A10"/>
    <w:pPr>
      <w:numPr>
        <w:numId w:val="15"/>
      </w:numPr>
    </w:pPr>
  </w:style>
  <w:style w:type="character" w:styleId="MquinadeescribirHTML">
    <w:name w:val="HTML Typewriter"/>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rsid w:val="00681A10"/>
  </w:style>
  <w:style w:type="character" w:styleId="Nmerodepgina">
    <w:name w:val="page number"/>
    <w:aliases w:val="7_G"/>
    <w:qFormat/>
    <w:rsid w:val="00681A10"/>
    <w:rPr>
      <w:b/>
      <w:sz w:val="18"/>
    </w:rPr>
  </w:style>
  <w:style w:type="character" w:styleId="Refdenotaalfinal">
    <w:name w:val="endnote reference"/>
    <w:aliases w:val="1_G"/>
    <w:qFormat/>
    <w:rsid w:val="00681A10"/>
    <w:rPr>
      <w:rFonts w:ascii="Times New Roman" w:hAnsi="Times New Roman"/>
      <w:sz w:val="18"/>
      <w:vertAlign w:val="superscript"/>
    </w:rPr>
  </w:style>
  <w:style w:type="paragraph" w:styleId="Remitedesobre">
    <w:name w:val="envelope return"/>
    <w:basedOn w:val="Normal"/>
    <w:rsid w:val="00681A10"/>
    <w:rPr>
      <w:rFonts w:ascii="Arial" w:hAnsi="Arial" w:cs="Arial"/>
    </w:rPr>
  </w:style>
  <w:style w:type="paragraph" w:styleId="Saludo">
    <w:name w:val="Salutation"/>
    <w:basedOn w:val="Normal"/>
    <w:next w:val="Normal"/>
    <w:link w:val="SaludoCar"/>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rsid w:val="00681A10"/>
    <w:pPr>
      <w:ind w:left="567"/>
    </w:pPr>
  </w:style>
  <w:style w:type="paragraph" w:styleId="Subttulo">
    <w:name w:val="Subtitle"/>
    <w:basedOn w:val="Normal"/>
    <w:link w:val="SubttuloCar"/>
    <w:qFormat/>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rsid w:val="00681A10"/>
    <w:rPr>
      <w:rFonts w:ascii="Courier New" w:hAnsi="Courier New" w:cs="Courier New"/>
      <w:sz w:val="20"/>
      <w:szCs w:val="20"/>
    </w:rPr>
  </w:style>
  <w:style w:type="paragraph" w:styleId="Textodebloque">
    <w:name w:val="Block Text"/>
    <w:basedOn w:val="Normal"/>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rsid w:val="00681A10"/>
    <w:pPr>
      <w:spacing w:after="120" w:line="480" w:lineRule="auto"/>
    </w:pPr>
  </w:style>
  <w:style w:type="paragraph" w:styleId="Textoindependiente3">
    <w:name w:val="Body Text 3"/>
    <w:basedOn w:val="Normal"/>
    <w:link w:val="Textoindependiente3Car"/>
    <w:rsid w:val="00681A10"/>
    <w:pPr>
      <w:spacing w:after="120"/>
    </w:pPr>
    <w:rPr>
      <w:sz w:val="16"/>
      <w:szCs w:val="16"/>
    </w:rPr>
  </w:style>
  <w:style w:type="paragraph" w:styleId="Textoindependienteprimerasangra">
    <w:name w:val="Body Text First Indent"/>
    <w:basedOn w:val="Textoindependiente"/>
    <w:link w:val="TextoindependienteprimerasangraCar"/>
    <w:rsid w:val="00681A10"/>
    <w:pPr>
      <w:ind w:firstLine="210"/>
    </w:pPr>
  </w:style>
  <w:style w:type="paragraph" w:styleId="Textoindependienteprimerasangra2">
    <w:name w:val="Body Text First Indent 2"/>
    <w:basedOn w:val="Sangradetextonormal"/>
    <w:link w:val="Textoindependienteprimerasangra2Car"/>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rsid w:val="00681A10"/>
    <w:rPr>
      <w:rFonts w:ascii="Courier New" w:hAnsi="Courier New" w:cs="Courier New"/>
    </w:rPr>
  </w:style>
  <w:style w:type="paragraph" w:styleId="Ttulo">
    <w:name w:val="Title"/>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rsid w:val="00681A10"/>
    <w:rPr>
      <w:i/>
      <w:iCs/>
    </w:rPr>
  </w:style>
  <w:style w:type="paragraph" w:customStyle="1" w:styleId="Bullet1G">
    <w:name w:val="_Bullet 1_G"/>
    <w:basedOn w:val="Normal"/>
    <w:qFormat/>
    <w:rsid w:val="00681A10"/>
    <w:pPr>
      <w:numPr>
        <w:numId w:val="1"/>
      </w:numPr>
      <w:spacing w:after="120"/>
      <w:ind w:right="1134"/>
      <w:jc w:val="both"/>
    </w:pPr>
  </w:style>
  <w:style w:type="paragraph" w:customStyle="1" w:styleId="Bullet2G">
    <w:name w:val="_Bullet 2_G"/>
    <w:basedOn w:val="Normal"/>
    <w:qFormat/>
    <w:rsid w:val="00681A10"/>
    <w:pPr>
      <w:numPr>
        <w:numId w:val="2"/>
      </w:numPr>
      <w:spacing w:after="120"/>
      <w:ind w:right="1134"/>
      <w:jc w:val="both"/>
    </w:pPr>
  </w:style>
  <w:style w:type="character" w:styleId="nfasisintenso">
    <w:name w:val="Intense Emphasis"/>
    <w:uiPriority w:val="21"/>
    <w:rsid w:val="001348F2"/>
    <w:rPr>
      <w:b/>
      <w:bCs/>
      <w:i/>
      <w:iCs/>
      <w:color w:val="4F81BD"/>
    </w:rPr>
  </w:style>
  <w:style w:type="paragraph" w:styleId="Citadestacada">
    <w:name w:val="Intense Quote"/>
    <w:basedOn w:val="Normal"/>
    <w:next w:val="Normal"/>
    <w:link w:val="CitadestacadaCar"/>
    <w:uiPriority w:val="30"/>
    <w:rsid w:val="001348F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F1522"/>
    <w:rPr>
      <w:b/>
      <w:bCs/>
      <w:i/>
      <w:iCs/>
      <w:color w:val="4F81BD"/>
      <w:lang w:val="es-ES" w:eastAsia="es-ES"/>
    </w:rPr>
  </w:style>
  <w:style w:type="character" w:customStyle="1" w:styleId="Ttulo1Car">
    <w:name w:val="Título 1 Car"/>
    <w:aliases w:val="Cuadro_G Car,Table_G Car"/>
    <w:basedOn w:val="Fuentedeprrafopredeter"/>
    <w:link w:val="Ttulo1"/>
    <w:rsid w:val="00C10B94"/>
    <w:rPr>
      <w:lang w:val="fr-CH"/>
    </w:rPr>
  </w:style>
  <w:style w:type="character" w:customStyle="1" w:styleId="SingleTxtGChar">
    <w:name w:val="_ Single Txt_G Char"/>
    <w:basedOn w:val="Fuentedeprrafopredeter"/>
    <w:link w:val="SingleTxtG"/>
    <w:rsid w:val="003333BE"/>
    <w:rPr>
      <w:lang w:val="es-ES" w:eastAsia="es-ES"/>
    </w:rPr>
  </w:style>
  <w:style w:type="character" w:customStyle="1" w:styleId="EncabezadoCar">
    <w:name w:val="Encabezado Car"/>
    <w:aliases w:val="6_G Car"/>
    <w:basedOn w:val="Fuentedeprrafopredeter"/>
    <w:link w:val="Encabezado"/>
    <w:locked/>
    <w:rsid w:val="003333BE"/>
    <w:rPr>
      <w:b/>
      <w:sz w:val="18"/>
      <w:lang w:val="es-ES" w:eastAsia="es-ES"/>
    </w:rPr>
  </w:style>
  <w:style w:type="character" w:customStyle="1" w:styleId="PiedepginaCar">
    <w:name w:val="Pie de página Car"/>
    <w:aliases w:val="3_G Car"/>
    <w:basedOn w:val="Fuentedeprrafopredeter"/>
    <w:link w:val="Piedepgina"/>
    <w:rsid w:val="003333BE"/>
    <w:rPr>
      <w:sz w:val="16"/>
      <w:lang w:val="es-ES" w:eastAsia="es-ES"/>
    </w:rPr>
  </w:style>
  <w:style w:type="character" w:customStyle="1" w:styleId="SingleTxtGCar">
    <w:name w:val="_ Single Txt_G Car"/>
    <w:basedOn w:val="Fuentedeprrafopredeter"/>
    <w:rsid w:val="003333BE"/>
    <w:rPr>
      <w:lang w:val="es-ES" w:eastAsia="es-ES" w:bidi="ar-SA"/>
    </w:rPr>
  </w:style>
  <w:style w:type="character" w:customStyle="1" w:styleId="H4GCar">
    <w:name w:val="_ H_4_G Car"/>
    <w:basedOn w:val="Fuentedeprrafopredeter"/>
    <w:link w:val="H4G"/>
    <w:rsid w:val="003333BE"/>
    <w:rPr>
      <w:i/>
      <w:lang w:val="es-ES" w:eastAsia="es-ES"/>
    </w:rPr>
  </w:style>
  <w:style w:type="paragraph" w:styleId="Textodeglobo">
    <w:name w:val="Balloon Text"/>
    <w:basedOn w:val="Normal"/>
    <w:link w:val="TextodegloboCar"/>
    <w:rsid w:val="003333B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3333BE"/>
    <w:rPr>
      <w:rFonts w:ascii="Tahoma" w:hAnsi="Tahoma" w:cs="Tahoma"/>
      <w:sz w:val="16"/>
      <w:szCs w:val="16"/>
      <w:lang w:val="en-GB"/>
    </w:rPr>
  </w:style>
  <w:style w:type="character" w:customStyle="1" w:styleId="SubttuloCar">
    <w:name w:val="Subtítulo Car"/>
    <w:basedOn w:val="Fuentedeprrafopredeter"/>
    <w:link w:val="Subttulo"/>
    <w:rsid w:val="003333BE"/>
    <w:rPr>
      <w:rFonts w:ascii="Arial" w:hAnsi="Arial" w:cs="Arial"/>
      <w:sz w:val="24"/>
      <w:szCs w:val="24"/>
      <w:lang w:val="es-ES" w:eastAsia="es-ES"/>
    </w:rPr>
  </w:style>
  <w:style w:type="character" w:customStyle="1" w:styleId="Ttulo2Car">
    <w:name w:val="Título 2 Car"/>
    <w:basedOn w:val="Fuentedeprrafopredeter"/>
    <w:link w:val="Ttulo2"/>
    <w:rsid w:val="003333BE"/>
    <w:rPr>
      <w:rFonts w:cs="Arial"/>
      <w:bCs/>
      <w:iCs/>
      <w:szCs w:val="28"/>
      <w:lang w:val="es-ES" w:eastAsia="es-ES"/>
    </w:rPr>
  </w:style>
  <w:style w:type="character" w:customStyle="1" w:styleId="Ttulo3Car">
    <w:name w:val="Título 3 Car"/>
    <w:basedOn w:val="Fuentedeprrafopredeter"/>
    <w:link w:val="Ttulo3"/>
    <w:rsid w:val="003333BE"/>
    <w:rPr>
      <w:rFonts w:ascii="Arial" w:hAnsi="Arial" w:cs="Arial"/>
      <w:b/>
      <w:bCs/>
      <w:sz w:val="26"/>
      <w:szCs w:val="26"/>
      <w:lang w:val="es-ES" w:eastAsia="es-ES"/>
    </w:rPr>
  </w:style>
  <w:style w:type="character" w:customStyle="1" w:styleId="Ttulo4Car">
    <w:name w:val="Título 4 Car"/>
    <w:basedOn w:val="Fuentedeprrafopredeter"/>
    <w:link w:val="Ttulo4"/>
    <w:rsid w:val="003333BE"/>
    <w:rPr>
      <w:b/>
      <w:bCs/>
      <w:sz w:val="28"/>
      <w:szCs w:val="28"/>
      <w:lang w:val="es-ES" w:eastAsia="es-ES"/>
    </w:rPr>
  </w:style>
  <w:style w:type="character" w:customStyle="1" w:styleId="Ttulo5Car">
    <w:name w:val="Título 5 Car"/>
    <w:basedOn w:val="Fuentedeprrafopredeter"/>
    <w:link w:val="Ttulo5"/>
    <w:rsid w:val="003333BE"/>
    <w:rPr>
      <w:b/>
      <w:bCs/>
      <w:i/>
      <w:iCs/>
      <w:sz w:val="26"/>
      <w:szCs w:val="26"/>
      <w:lang w:val="es-ES" w:eastAsia="es-ES"/>
    </w:rPr>
  </w:style>
  <w:style w:type="character" w:customStyle="1" w:styleId="Ttulo6Car">
    <w:name w:val="Título 6 Car"/>
    <w:basedOn w:val="Fuentedeprrafopredeter"/>
    <w:link w:val="Ttulo6"/>
    <w:rsid w:val="003333BE"/>
    <w:rPr>
      <w:b/>
      <w:bCs/>
      <w:sz w:val="22"/>
      <w:szCs w:val="22"/>
      <w:lang w:val="es-ES" w:eastAsia="es-ES"/>
    </w:rPr>
  </w:style>
  <w:style w:type="character" w:customStyle="1" w:styleId="Ttulo7Car">
    <w:name w:val="Título 7 Car"/>
    <w:basedOn w:val="Fuentedeprrafopredeter"/>
    <w:link w:val="Ttulo7"/>
    <w:rsid w:val="003333BE"/>
    <w:rPr>
      <w:sz w:val="24"/>
      <w:szCs w:val="24"/>
      <w:lang w:val="es-ES" w:eastAsia="es-ES"/>
    </w:rPr>
  </w:style>
  <w:style w:type="character" w:customStyle="1" w:styleId="Ttulo8Car">
    <w:name w:val="Título 8 Car"/>
    <w:basedOn w:val="Fuentedeprrafopredeter"/>
    <w:link w:val="Ttulo8"/>
    <w:rsid w:val="003333BE"/>
    <w:rPr>
      <w:i/>
      <w:iCs/>
      <w:sz w:val="24"/>
      <w:szCs w:val="24"/>
      <w:lang w:val="es-ES" w:eastAsia="es-ES"/>
    </w:rPr>
  </w:style>
  <w:style w:type="character" w:customStyle="1" w:styleId="Ttulo9Car">
    <w:name w:val="Título 9 Car"/>
    <w:basedOn w:val="Fuentedeprrafopredeter"/>
    <w:link w:val="Ttulo9"/>
    <w:rsid w:val="003333BE"/>
    <w:rPr>
      <w:rFonts w:ascii="Arial" w:hAnsi="Arial" w:cs="Arial"/>
      <w:sz w:val="22"/>
      <w:szCs w:val="22"/>
      <w:lang w:val="es-ES" w:eastAsia="es-ES"/>
    </w:rPr>
  </w:style>
  <w:style w:type="character" w:customStyle="1" w:styleId="CierreCar">
    <w:name w:val="Cierre Car"/>
    <w:basedOn w:val="Fuentedeprrafopredeter"/>
    <w:link w:val="Cierre"/>
    <w:rsid w:val="003333BE"/>
    <w:rPr>
      <w:lang w:val="es-ES" w:eastAsia="es-ES"/>
    </w:rPr>
  </w:style>
  <w:style w:type="character" w:customStyle="1" w:styleId="DireccinHTMLCar">
    <w:name w:val="Dirección HTML Car"/>
    <w:basedOn w:val="Fuentedeprrafopredeter"/>
    <w:link w:val="DireccinHTML"/>
    <w:rsid w:val="003333BE"/>
    <w:rPr>
      <w:i/>
      <w:iCs/>
      <w:lang w:val="es-ES" w:eastAsia="es-ES"/>
    </w:rPr>
  </w:style>
  <w:style w:type="character" w:customStyle="1" w:styleId="EncabezadodemensajeCar">
    <w:name w:val="Encabezado de mensaje Car"/>
    <w:basedOn w:val="Fuentedeprrafopredeter"/>
    <w:link w:val="Encabezadodemensaje"/>
    <w:rsid w:val="003333B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3333BE"/>
    <w:rPr>
      <w:lang w:val="es-ES" w:eastAsia="es-ES"/>
    </w:rPr>
  </w:style>
  <w:style w:type="character" w:customStyle="1" w:styleId="FechaCar">
    <w:name w:val="Fecha Car"/>
    <w:basedOn w:val="Fuentedeprrafopredeter"/>
    <w:link w:val="Fecha"/>
    <w:rsid w:val="003333BE"/>
    <w:rPr>
      <w:lang w:val="es-ES" w:eastAsia="es-ES"/>
    </w:rPr>
  </w:style>
  <w:style w:type="character" w:customStyle="1" w:styleId="FirmaCar">
    <w:name w:val="Firma Car"/>
    <w:basedOn w:val="Fuentedeprrafopredeter"/>
    <w:link w:val="Firma"/>
    <w:rsid w:val="003333BE"/>
    <w:rPr>
      <w:lang w:val="es-ES" w:eastAsia="es-ES"/>
    </w:rPr>
  </w:style>
  <w:style w:type="character" w:customStyle="1" w:styleId="FirmadecorreoelectrnicoCar">
    <w:name w:val="Firma de correo electrónico Car"/>
    <w:basedOn w:val="Fuentedeprrafopredeter"/>
    <w:link w:val="Firmadecorreoelectrnico"/>
    <w:rsid w:val="003333BE"/>
    <w:rPr>
      <w:lang w:val="es-ES" w:eastAsia="es-ES"/>
    </w:rPr>
  </w:style>
  <w:style w:type="character" w:customStyle="1" w:styleId="HTMLconformatoprevioCar">
    <w:name w:val="HTML con formato previo Car"/>
    <w:basedOn w:val="Fuentedeprrafopredeter"/>
    <w:link w:val="HTMLconformatoprevio"/>
    <w:rsid w:val="003333BE"/>
    <w:rPr>
      <w:rFonts w:ascii="Courier New" w:hAnsi="Courier New" w:cs="Courier New"/>
      <w:lang w:val="es-ES" w:eastAsia="es-ES"/>
    </w:rPr>
  </w:style>
  <w:style w:type="character" w:customStyle="1" w:styleId="SaludoCar">
    <w:name w:val="Saludo Car"/>
    <w:basedOn w:val="Fuentedeprrafopredeter"/>
    <w:link w:val="Saludo"/>
    <w:rsid w:val="003333BE"/>
    <w:rPr>
      <w:lang w:val="es-ES" w:eastAsia="es-ES"/>
    </w:rPr>
  </w:style>
  <w:style w:type="character" w:customStyle="1" w:styleId="Sangra2detindependienteCar">
    <w:name w:val="Sangría 2 de t. independiente Car"/>
    <w:basedOn w:val="Fuentedeprrafopredeter"/>
    <w:link w:val="Sangra2detindependiente"/>
    <w:rsid w:val="003333BE"/>
    <w:rPr>
      <w:lang w:val="es-ES" w:eastAsia="es-ES"/>
    </w:rPr>
  </w:style>
  <w:style w:type="character" w:customStyle="1" w:styleId="Sangra3detindependienteCar">
    <w:name w:val="Sangría 3 de t. independiente Car"/>
    <w:basedOn w:val="Fuentedeprrafopredeter"/>
    <w:link w:val="Sangra3detindependiente"/>
    <w:rsid w:val="003333BE"/>
    <w:rPr>
      <w:sz w:val="16"/>
      <w:szCs w:val="16"/>
      <w:lang w:val="es-ES" w:eastAsia="es-ES"/>
    </w:rPr>
  </w:style>
  <w:style w:type="character" w:customStyle="1" w:styleId="SangradetextonormalCar">
    <w:name w:val="Sangría de texto normal Car"/>
    <w:basedOn w:val="Fuentedeprrafopredeter"/>
    <w:link w:val="Sangradetextonormal"/>
    <w:rsid w:val="003333BE"/>
    <w:rPr>
      <w:lang w:val="es-ES" w:eastAsia="es-ES"/>
    </w:rPr>
  </w:style>
  <w:style w:type="character" w:customStyle="1" w:styleId="TextoindependienteCar">
    <w:name w:val="Texto independiente Car"/>
    <w:basedOn w:val="Fuentedeprrafopredeter"/>
    <w:link w:val="Textoindependiente"/>
    <w:rsid w:val="003333BE"/>
    <w:rPr>
      <w:lang w:val="es-ES" w:eastAsia="es-ES"/>
    </w:rPr>
  </w:style>
  <w:style w:type="character" w:customStyle="1" w:styleId="Textoindependiente2Car">
    <w:name w:val="Texto independiente 2 Car"/>
    <w:basedOn w:val="Fuentedeprrafopredeter"/>
    <w:link w:val="Textoindependiente2"/>
    <w:rsid w:val="003333BE"/>
    <w:rPr>
      <w:lang w:val="es-ES" w:eastAsia="es-ES"/>
    </w:rPr>
  </w:style>
  <w:style w:type="character" w:customStyle="1" w:styleId="Textoindependiente3Car">
    <w:name w:val="Texto independiente 3 Car"/>
    <w:basedOn w:val="Fuentedeprrafopredeter"/>
    <w:link w:val="Textoindependiente3"/>
    <w:rsid w:val="003333B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3333BE"/>
    <w:rPr>
      <w:lang w:val="es-ES" w:eastAsia="es-ES"/>
    </w:rPr>
  </w:style>
  <w:style w:type="character" w:customStyle="1" w:styleId="Textoindependienteprimerasangra2Car">
    <w:name w:val="Texto independiente primera sangría 2 Car"/>
    <w:basedOn w:val="SangradetextonormalCar"/>
    <w:link w:val="Textoindependienteprimerasangra2"/>
    <w:rsid w:val="003333BE"/>
    <w:rPr>
      <w:lang w:val="es-ES" w:eastAsia="es-ES"/>
    </w:rPr>
  </w:style>
  <w:style w:type="character" w:customStyle="1" w:styleId="TextosinformatoCar">
    <w:name w:val="Texto sin formato Car"/>
    <w:basedOn w:val="Fuentedeprrafopredeter"/>
    <w:link w:val="Textosinformato"/>
    <w:rsid w:val="003333BE"/>
    <w:rPr>
      <w:rFonts w:ascii="Courier New" w:hAnsi="Courier New" w:cs="Courier New"/>
      <w:lang w:val="es-ES" w:eastAsia="es-ES"/>
    </w:rPr>
  </w:style>
  <w:style w:type="character" w:customStyle="1" w:styleId="TtuloCar">
    <w:name w:val="Título Car"/>
    <w:basedOn w:val="Fuentedeprrafopredeter"/>
    <w:link w:val="Ttulo"/>
    <w:rsid w:val="003333BE"/>
    <w:rPr>
      <w:rFonts w:ascii="Arial" w:hAnsi="Arial" w:cs="Arial"/>
      <w:b/>
      <w:bCs/>
      <w:kern w:val="28"/>
      <w:sz w:val="32"/>
      <w:szCs w:val="32"/>
      <w:lang w:val="es-ES" w:eastAsia="es-ES"/>
    </w:rPr>
  </w:style>
  <w:style w:type="character" w:customStyle="1" w:styleId="TextonotapieCar">
    <w:name w:val="Texto nota pie Car"/>
    <w:aliases w:val="5_G Car"/>
    <w:basedOn w:val="Fuentedeprrafopredeter"/>
    <w:link w:val="Textonotapie"/>
    <w:rsid w:val="003333BE"/>
    <w:rPr>
      <w:sz w:val="18"/>
      <w:lang w:val="es-ES" w:eastAsia="es-ES"/>
    </w:rPr>
  </w:style>
  <w:style w:type="character" w:customStyle="1" w:styleId="TextonotaalfinalCar">
    <w:name w:val="Texto nota al final Car"/>
    <w:aliases w:val="2_G Car"/>
    <w:basedOn w:val="Fuentedeprrafopredeter"/>
    <w:link w:val="Textonotaalfinal"/>
    <w:rsid w:val="003333BE"/>
    <w:rPr>
      <w:sz w:val="18"/>
      <w:lang w:val="es-ES" w:eastAsia="es-ES"/>
    </w:rPr>
  </w:style>
  <w:style w:type="character" w:styleId="Refdecomentario">
    <w:name w:val="annotation reference"/>
    <w:rsid w:val="003333BE"/>
    <w:rPr>
      <w:sz w:val="16"/>
      <w:szCs w:val="16"/>
    </w:rPr>
  </w:style>
  <w:style w:type="paragraph" w:styleId="Textocomentario">
    <w:name w:val="annotation text"/>
    <w:basedOn w:val="Normal"/>
    <w:link w:val="TextocomentarioCar"/>
    <w:rsid w:val="003333BE"/>
    <w:rPr>
      <w:rFonts w:eastAsia="SimSun"/>
      <w:lang w:eastAsia="zh-CN"/>
    </w:rPr>
  </w:style>
  <w:style w:type="character" w:customStyle="1" w:styleId="TextocomentarioCar">
    <w:name w:val="Texto comentario Car"/>
    <w:basedOn w:val="Fuentedeprrafopredeter"/>
    <w:link w:val="Textocomentario"/>
    <w:rsid w:val="003333BE"/>
    <w:rPr>
      <w:rFonts w:eastAsia="SimSun"/>
      <w:lang w:val="en-GB" w:eastAsia="zh-CN"/>
    </w:rPr>
  </w:style>
  <w:style w:type="paragraph" w:styleId="Asuntodelcomentario">
    <w:name w:val="annotation subject"/>
    <w:basedOn w:val="Textocomentario"/>
    <w:next w:val="Textocomentario"/>
    <w:link w:val="AsuntodelcomentarioCar"/>
    <w:rsid w:val="003333BE"/>
    <w:rPr>
      <w:b/>
      <w:bCs/>
    </w:rPr>
  </w:style>
  <w:style w:type="character" w:customStyle="1" w:styleId="AsuntodelcomentarioCar">
    <w:name w:val="Asunto del comentario Car"/>
    <w:basedOn w:val="TextocomentarioCar"/>
    <w:link w:val="Asuntodelcomentario"/>
    <w:rsid w:val="003333BE"/>
    <w:rPr>
      <w:rFonts w:eastAsia="SimSun"/>
      <w:b/>
      <w:bCs/>
      <w:lang w:val="en-GB" w:eastAsia="zh-CN"/>
    </w:rPr>
  </w:style>
  <w:style w:type="paragraph" w:styleId="Prrafodelista">
    <w:name w:val="List Paragraph"/>
    <w:basedOn w:val="Normal"/>
    <w:uiPriority w:val="34"/>
    <w:qFormat/>
    <w:rsid w:val="003333BE"/>
    <w:pPr>
      <w:spacing w:line="240" w:lineRule="exact"/>
      <w:ind w:left="720"/>
      <w:contextualSpacing/>
    </w:pPr>
    <w:rPr>
      <w:rFonts w:eastAsia="SimSun"/>
      <w:spacing w:val="4"/>
      <w:w w:val="103"/>
      <w:kern w:val="14"/>
      <w:lang w:eastAsia="zh-CN"/>
    </w:rPr>
  </w:style>
  <w:style w:type="paragraph" w:styleId="Revisin">
    <w:name w:val="Revision"/>
    <w:hidden/>
    <w:uiPriority w:val="99"/>
    <w:semiHidden/>
    <w:rsid w:val="003333B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3241">
      <w:bodyDiv w:val="1"/>
      <w:marLeft w:val="0"/>
      <w:marRight w:val="0"/>
      <w:marTop w:val="0"/>
      <w:marBottom w:val="0"/>
      <w:divBdr>
        <w:top w:val="none" w:sz="0" w:space="0" w:color="auto"/>
        <w:left w:val="none" w:sz="0" w:space="0" w:color="auto"/>
        <w:bottom w:val="none" w:sz="0" w:space="0" w:color="auto"/>
        <w:right w:val="none" w:sz="0" w:space="0" w:color="auto"/>
      </w:divBdr>
    </w:div>
    <w:div w:id="83574024">
      <w:bodyDiv w:val="1"/>
      <w:marLeft w:val="0"/>
      <w:marRight w:val="0"/>
      <w:marTop w:val="0"/>
      <w:marBottom w:val="0"/>
      <w:divBdr>
        <w:top w:val="none" w:sz="0" w:space="0" w:color="auto"/>
        <w:left w:val="none" w:sz="0" w:space="0" w:color="auto"/>
        <w:bottom w:val="none" w:sz="0" w:space="0" w:color="auto"/>
        <w:right w:val="none" w:sz="0" w:space="0" w:color="auto"/>
      </w:divBdr>
    </w:div>
    <w:div w:id="132408354">
      <w:bodyDiv w:val="1"/>
      <w:marLeft w:val="0"/>
      <w:marRight w:val="0"/>
      <w:marTop w:val="0"/>
      <w:marBottom w:val="0"/>
      <w:divBdr>
        <w:top w:val="none" w:sz="0" w:space="0" w:color="auto"/>
        <w:left w:val="none" w:sz="0" w:space="0" w:color="auto"/>
        <w:bottom w:val="none" w:sz="0" w:space="0" w:color="auto"/>
        <w:right w:val="none" w:sz="0" w:space="0" w:color="auto"/>
      </w:divBdr>
    </w:div>
    <w:div w:id="147522359">
      <w:bodyDiv w:val="1"/>
      <w:marLeft w:val="0"/>
      <w:marRight w:val="0"/>
      <w:marTop w:val="0"/>
      <w:marBottom w:val="0"/>
      <w:divBdr>
        <w:top w:val="none" w:sz="0" w:space="0" w:color="auto"/>
        <w:left w:val="none" w:sz="0" w:space="0" w:color="auto"/>
        <w:bottom w:val="none" w:sz="0" w:space="0" w:color="auto"/>
        <w:right w:val="none" w:sz="0" w:space="0" w:color="auto"/>
      </w:divBdr>
    </w:div>
    <w:div w:id="198203794">
      <w:bodyDiv w:val="1"/>
      <w:marLeft w:val="0"/>
      <w:marRight w:val="0"/>
      <w:marTop w:val="0"/>
      <w:marBottom w:val="0"/>
      <w:divBdr>
        <w:top w:val="none" w:sz="0" w:space="0" w:color="auto"/>
        <w:left w:val="none" w:sz="0" w:space="0" w:color="auto"/>
        <w:bottom w:val="none" w:sz="0" w:space="0" w:color="auto"/>
        <w:right w:val="none" w:sz="0" w:space="0" w:color="auto"/>
      </w:divBdr>
    </w:div>
    <w:div w:id="401609688">
      <w:bodyDiv w:val="1"/>
      <w:marLeft w:val="0"/>
      <w:marRight w:val="0"/>
      <w:marTop w:val="0"/>
      <w:marBottom w:val="0"/>
      <w:divBdr>
        <w:top w:val="none" w:sz="0" w:space="0" w:color="auto"/>
        <w:left w:val="none" w:sz="0" w:space="0" w:color="auto"/>
        <w:bottom w:val="none" w:sz="0" w:space="0" w:color="auto"/>
        <w:right w:val="none" w:sz="0" w:space="0" w:color="auto"/>
      </w:divBdr>
    </w:div>
    <w:div w:id="450320463">
      <w:bodyDiv w:val="1"/>
      <w:marLeft w:val="0"/>
      <w:marRight w:val="0"/>
      <w:marTop w:val="0"/>
      <w:marBottom w:val="0"/>
      <w:divBdr>
        <w:top w:val="none" w:sz="0" w:space="0" w:color="auto"/>
        <w:left w:val="none" w:sz="0" w:space="0" w:color="auto"/>
        <w:bottom w:val="none" w:sz="0" w:space="0" w:color="auto"/>
        <w:right w:val="none" w:sz="0" w:space="0" w:color="auto"/>
      </w:divBdr>
    </w:div>
    <w:div w:id="511337151">
      <w:bodyDiv w:val="1"/>
      <w:marLeft w:val="0"/>
      <w:marRight w:val="0"/>
      <w:marTop w:val="0"/>
      <w:marBottom w:val="0"/>
      <w:divBdr>
        <w:top w:val="none" w:sz="0" w:space="0" w:color="auto"/>
        <w:left w:val="none" w:sz="0" w:space="0" w:color="auto"/>
        <w:bottom w:val="none" w:sz="0" w:space="0" w:color="auto"/>
        <w:right w:val="none" w:sz="0" w:space="0" w:color="auto"/>
      </w:divBdr>
    </w:div>
    <w:div w:id="552348016">
      <w:bodyDiv w:val="1"/>
      <w:marLeft w:val="0"/>
      <w:marRight w:val="0"/>
      <w:marTop w:val="0"/>
      <w:marBottom w:val="0"/>
      <w:divBdr>
        <w:top w:val="none" w:sz="0" w:space="0" w:color="auto"/>
        <w:left w:val="none" w:sz="0" w:space="0" w:color="auto"/>
        <w:bottom w:val="none" w:sz="0" w:space="0" w:color="auto"/>
        <w:right w:val="none" w:sz="0" w:space="0" w:color="auto"/>
      </w:divBdr>
    </w:div>
    <w:div w:id="606929044">
      <w:bodyDiv w:val="1"/>
      <w:marLeft w:val="0"/>
      <w:marRight w:val="0"/>
      <w:marTop w:val="0"/>
      <w:marBottom w:val="0"/>
      <w:divBdr>
        <w:top w:val="none" w:sz="0" w:space="0" w:color="auto"/>
        <w:left w:val="none" w:sz="0" w:space="0" w:color="auto"/>
        <w:bottom w:val="none" w:sz="0" w:space="0" w:color="auto"/>
        <w:right w:val="none" w:sz="0" w:space="0" w:color="auto"/>
      </w:divBdr>
    </w:div>
    <w:div w:id="787744683">
      <w:bodyDiv w:val="1"/>
      <w:marLeft w:val="0"/>
      <w:marRight w:val="0"/>
      <w:marTop w:val="0"/>
      <w:marBottom w:val="0"/>
      <w:divBdr>
        <w:top w:val="none" w:sz="0" w:space="0" w:color="auto"/>
        <w:left w:val="none" w:sz="0" w:space="0" w:color="auto"/>
        <w:bottom w:val="none" w:sz="0" w:space="0" w:color="auto"/>
        <w:right w:val="none" w:sz="0" w:space="0" w:color="auto"/>
      </w:divBdr>
    </w:div>
    <w:div w:id="793208967">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38949344">
      <w:bodyDiv w:val="1"/>
      <w:marLeft w:val="0"/>
      <w:marRight w:val="0"/>
      <w:marTop w:val="0"/>
      <w:marBottom w:val="0"/>
      <w:divBdr>
        <w:top w:val="none" w:sz="0" w:space="0" w:color="auto"/>
        <w:left w:val="none" w:sz="0" w:space="0" w:color="auto"/>
        <w:bottom w:val="none" w:sz="0" w:space="0" w:color="auto"/>
        <w:right w:val="none" w:sz="0" w:space="0" w:color="auto"/>
      </w:divBdr>
    </w:div>
    <w:div w:id="989560492">
      <w:bodyDiv w:val="1"/>
      <w:marLeft w:val="0"/>
      <w:marRight w:val="0"/>
      <w:marTop w:val="0"/>
      <w:marBottom w:val="0"/>
      <w:divBdr>
        <w:top w:val="none" w:sz="0" w:space="0" w:color="auto"/>
        <w:left w:val="none" w:sz="0" w:space="0" w:color="auto"/>
        <w:bottom w:val="none" w:sz="0" w:space="0" w:color="auto"/>
        <w:right w:val="none" w:sz="0" w:space="0" w:color="auto"/>
      </w:divBdr>
    </w:div>
    <w:div w:id="1084566461">
      <w:bodyDiv w:val="1"/>
      <w:marLeft w:val="0"/>
      <w:marRight w:val="0"/>
      <w:marTop w:val="0"/>
      <w:marBottom w:val="0"/>
      <w:divBdr>
        <w:top w:val="none" w:sz="0" w:space="0" w:color="auto"/>
        <w:left w:val="none" w:sz="0" w:space="0" w:color="auto"/>
        <w:bottom w:val="none" w:sz="0" w:space="0" w:color="auto"/>
        <w:right w:val="none" w:sz="0" w:space="0" w:color="auto"/>
      </w:divBdr>
    </w:div>
    <w:div w:id="1157383780">
      <w:bodyDiv w:val="1"/>
      <w:marLeft w:val="0"/>
      <w:marRight w:val="0"/>
      <w:marTop w:val="0"/>
      <w:marBottom w:val="0"/>
      <w:divBdr>
        <w:top w:val="none" w:sz="0" w:space="0" w:color="auto"/>
        <w:left w:val="none" w:sz="0" w:space="0" w:color="auto"/>
        <w:bottom w:val="none" w:sz="0" w:space="0" w:color="auto"/>
        <w:right w:val="none" w:sz="0" w:space="0" w:color="auto"/>
      </w:divBdr>
    </w:div>
    <w:div w:id="1170363740">
      <w:bodyDiv w:val="1"/>
      <w:marLeft w:val="0"/>
      <w:marRight w:val="0"/>
      <w:marTop w:val="0"/>
      <w:marBottom w:val="0"/>
      <w:divBdr>
        <w:top w:val="none" w:sz="0" w:space="0" w:color="auto"/>
        <w:left w:val="none" w:sz="0" w:space="0" w:color="auto"/>
        <w:bottom w:val="none" w:sz="0" w:space="0" w:color="auto"/>
        <w:right w:val="none" w:sz="0" w:space="0" w:color="auto"/>
      </w:divBdr>
    </w:div>
    <w:div w:id="1334527651">
      <w:bodyDiv w:val="1"/>
      <w:marLeft w:val="0"/>
      <w:marRight w:val="0"/>
      <w:marTop w:val="0"/>
      <w:marBottom w:val="0"/>
      <w:divBdr>
        <w:top w:val="none" w:sz="0" w:space="0" w:color="auto"/>
        <w:left w:val="none" w:sz="0" w:space="0" w:color="auto"/>
        <w:bottom w:val="none" w:sz="0" w:space="0" w:color="auto"/>
        <w:right w:val="none" w:sz="0" w:space="0" w:color="auto"/>
      </w:divBdr>
    </w:div>
    <w:div w:id="1432319950">
      <w:bodyDiv w:val="1"/>
      <w:marLeft w:val="0"/>
      <w:marRight w:val="0"/>
      <w:marTop w:val="0"/>
      <w:marBottom w:val="0"/>
      <w:divBdr>
        <w:top w:val="none" w:sz="0" w:space="0" w:color="auto"/>
        <w:left w:val="none" w:sz="0" w:space="0" w:color="auto"/>
        <w:bottom w:val="none" w:sz="0" w:space="0" w:color="auto"/>
        <w:right w:val="none" w:sz="0" w:space="0" w:color="auto"/>
      </w:divBdr>
    </w:div>
    <w:div w:id="1565796983">
      <w:bodyDiv w:val="1"/>
      <w:marLeft w:val="0"/>
      <w:marRight w:val="0"/>
      <w:marTop w:val="0"/>
      <w:marBottom w:val="0"/>
      <w:divBdr>
        <w:top w:val="none" w:sz="0" w:space="0" w:color="auto"/>
        <w:left w:val="none" w:sz="0" w:space="0" w:color="auto"/>
        <w:bottom w:val="none" w:sz="0" w:space="0" w:color="auto"/>
        <w:right w:val="none" w:sz="0" w:space="0" w:color="auto"/>
      </w:divBdr>
    </w:div>
    <w:div w:id="1639651061">
      <w:bodyDiv w:val="1"/>
      <w:marLeft w:val="0"/>
      <w:marRight w:val="0"/>
      <w:marTop w:val="0"/>
      <w:marBottom w:val="0"/>
      <w:divBdr>
        <w:top w:val="none" w:sz="0" w:space="0" w:color="auto"/>
        <w:left w:val="none" w:sz="0" w:space="0" w:color="auto"/>
        <w:bottom w:val="none" w:sz="0" w:space="0" w:color="auto"/>
        <w:right w:val="none" w:sz="0" w:space="0" w:color="auto"/>
      </w:divBdr>
    </w:div>
    <w:div w:id="1704015796">
      <w:bodyDiv w:val="1"/>
      <w:marLeft w:val="0"/>
      <w:marRight w:val="0"/>
      <w:marTop w:val="0"/>
      <w:marBottom w:val="0"/>
      <w:divBdr>
        <w:top w:val="none" w:sz="0" w:space="0" w:color="auto"/>
        <w:left w:val="none" w:sz="0" w:space="0" w:color="auto"/>
        <w:bottom w:val="none" w:sz="0" w:space="0" w:color="auto"/>
        <w:right w:val="none" w:sz="0" w:space="0" w:color="auto"/>
      </w:divBdr>
    </w:div>
    <w:div w:id="1710185555">
      <w:bodyDiv w:val="1"/>
      <w:marLeft w:val="0"/>
      <w:marRight w:val="0"/>
      <w:marTop w:val="0"/>
      <w:marBottom w:val="0"/>
      <w:divBdr>
        <w:top w:val="none" w:sz="0" w:space="0" w:color="auto"/>
        <w:left w:val="none" w:sz="0" w:space="0" w:color="auto"/>
        <w:bottom w:val="none" w:sz="0" w:space="0" w:color="auto"/>
        <w:right w:val="none" w:sz="0" w:space="0" w:color="auto"/>
      </w:divBdr>
    </w:div>
    <w:div w:id="1724711740">
      <w:bodyDiv w:val="1"/>
      <w:marLeft w:val="0"/>
      <w:marRight w:val="0"/>
      <w:marTop w:val="0"/>
      <w:marBottom w:val="0"/>
      <w:divBdr>
        <w:top w:val="none" w:sz="0" w:space="0" w:color="auto"/>
        <w:left w:val="none" w:sz="0" w:space="0" w:color="auto"/>
        <w:bottom w:val="none" w:sz="0" w:space="0" w:color="auto"/>
        <w:right w:val="none" w:sz="0" w:space="0" w:color="auto"/>
      </w:divBdr>
    </w:div>
    <w:div w:id="1753895373">
      <w:bodyDiv w:val="1"/>
      <w:marLeft w:val="0"/>
      <w:marRight w:val="0"/>
      <w:marTop w:val="0"/>
      <w:marBottom w:val="0"/>
      <w:divBdr>
        <w:top w:val="none" w:sz="0" w:space="0" w:color="auto"/>
        <w:left w:val="none" w:sz="0" w:space="0" w:color="auto"/>
        <w:bottom w:val="none" w:sz="0" w:space="0" w:color="auto"/>
        <w:right w:val="none" w:sz="0" w:space="0" w:color="auto"/>
      </w:divBdr>
    </w:div>
    <w:div w:id="1890609098">
      <w:bodyDiv w:val="1"/>
      <w:marLeft w:val="0"/>
      <w:marRight w:val="0"/>
      <w:marTop w:val="0"/>
      <w:marBottom w:val="0"/>
      <w:divBdr>
        <w:top w:val="none" w:sz="0" w:space="0" w:color="auto"/>
        <w:left w:val="none" w:sz="0" w:space="0" w:color="auto"/>
        <w:bottom w:val="none" w:sz="0" w:space="0" w:color="auto"/>
        <w:right w:val="none" w:sz="0" w:space="0" w:color="auto"/>
      </w:divBdr>
    </w:div>
    <w:div w:id="1930962246">
      <w:bodyDiv w:val="1"/>
      <w:marLeft w:val="0"/>
      <w:marRight w:val="0"/>
      <w:marTop w:val="0"/>
      <w:marBottom w:val="0"/>
      <w:divBdr>
        <w:top w:val="none" w:sz="0" w:space="0" w:color="auto"/>
        <w:left w:val="none" w:sz="0" w:space="0" w:color="auto"/>
        <w:bottom w:val="none" w:sz="0" w:space="0" w:color="auto"/>
        <w:right w:val="none" w:sz="0" w:space="0" w:color="auto"/>
      </w:divBdr>
    </w:div>
    <w:div w:id="1932660780">
      <w:bodyDiv w:val="1"/>
      <w:marLeft w:val="0"/>
      <w:marRight w:val="0"/>
      <w:marTop w:val="0"/>
      <w:marBottom w:val="0"/>
      <w:divBdr>
        <w:top w:val="none" w:sz="0" w:space="0" w:color="auto"/>
        <w:left w:val="none" w:sz="0" w:space="0" w:color="auto"/>
        <w:bottom w:val="none" w:sz="0" w:space="0" w:color="auto"/>
        <w:right w:val="none" w:sz="0" w:space="0" w:color="auto"/>
      </w:divBdr>
    </w:div>
    <w:div w:id="2055419672">
      <w:bodyDiv w:val="1"/>
      <w:marLeft w:val="0"/>
      <w:marRight w:val="0"/>
      <w:marTop w:val="0"/>
      <w:marBottom w:val="0"/>
      <w:divBdr>
        <w:top w:val="none" w:sz="0" w:space="0" w:color="auto"/>
        <w:left w:val="none" w:sz="0" w:space="0" w:color="auto"/>
        <w:bottom w:val="none" w:sz="0" w:space="0" w:color="auto"/>
        <w:right w:val="none" w:sz="0" w:space="0" w:color="auto"/>
      </w:divBdr>
    </w:div>
    <w:div w:id="205928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un.org/ga/search/view_doc.asp?symbol=CAT/C/56/1&amp;referer=http://www.un.org/en/ga/documents/symbol.shtml&amp;Lang=S" TargetMode="External"/><Relationship Id="rId21" Type="http://schemas.openxmlformats.org/officeDocument/2006/relationships/footer" Target="footer7.xml"/><Relationship Id="rId34" Type="http://schemas.openxmlformats.org/officeDocument/2006/relationships/hyperlink" Target="file:///\\conf-share1\LS\SPA\COMMON\MSWDocs\_3Final\www.ohchr.org\EN\Issues\Torture\UNVFT\Pages\IntlDay.aspx" TargetMode="External"/><Relationship Id="rId42" Type="http://schemas.openxmlformats.org/officeDocument/2006/relationships/hyperlink" Target="http://www.un.org/ga/search/view_doc.asp?symbol=CAT/C/IRQ/1&amp;referer=http://www.un.org/en/ga/documents/symbol.shtml&amp;Lang=S" TargetMode="External"/><Relationship Id="rId47" Type="http://schemas.openxmlformats.org/officeDocument/2006/relationships/hyperlink" Target="http://www.un.org/ga/search/view_doc.asp?symbol=CAT/C/AUT/6&amp;referer=http://www.un.org/en/ga/documents/symbol.shtml&amp;Lang=S" TargetMode="External"/><Relationship Id="rId50" Type="http://schemas.openxmlformats.org/officeDocument/2006/relationships/hyperlink" Target="http://www.un.org/ga/search/view_doc.asp?symbol=CAT/C/AZE/CO/4&amp;referer=http://www.un.org/en/ga/documents/symbol.shtml&amp;Lang=S" TargetMode="External"/><Relationship Id="rId55" Type="http://schemas.openxmlformats.org/officeDocument/2006/relationships/hyperlink" Target="http://www.un.org/ga/search/view_doc.asp?symbol=CAT/C/CHN-MAC/5&amp;referer=http://www.un.org/en/ga/documents/symbol.shtml&amp;Lang=S" TargetMode="External"/><Relationship Id="rId63" Type="http://schemas.openxmlformats.org/officeDocument/2006/relationships/hyperlink" Target="http://documents.un.org" TargetMode="External"/><Relationship Id="rId68" Type="http://schemas.openxmlformats.org/officeDocument/2006/relationships/hyperlink" Target="http://www.un.org/ga/search/view_doc.asp?symbol=CAT/C/PHL/3&amp;referer=http://www.un.org/en/ga/documents/symbol.shtml&amp;Lang=S" TargetMode="External"/><Relationship Id="rId76" Type="http://schemas.openxmlformats.org/officeDocument/2006/relationships/hyperlink" Target="http://www.un.org/ga/search/view_doc.asp?symbol=CAT%2FC%2FCYP%2FCO%2F4%2FAdd.1&amp;Submit=Search&amp;Lang=E" TargetMode="External"/><Relationship Id="rId84" Type="http://schemas.openxmlformats.org/officeDocument/2006/relationships/hyperlink" Target="http://www.un.org/ga/search/view_doc.asp?symbol=CAT%2FC%2FSWE%2FCO%2F6-7%2FAdd.1&amp;Submit=Search&amp;Lang=E" TargetMode="External"/><Relationship Id="rId89" Type="http://schemas.openxmlformats.org/officeDocument/2006/relationships/hyperlink" Target="http://www.un.org/ga/search/view_doc.asp?symbol=CAT/C/56/2%20&amp;referer=http://www.un.org/en/ga/documents/symbol.shtml&amp;Lang=S" TargetMode="External"/><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www.un.org/ga/search/view_doc.asp?symbol=CAT/C/FRA/CO/7&amp;referer=http://www.un.org/en/ga/documents/symbol.shtml&amp;Lang=S" TargetMode="External"/><Relationship Id="rId92" Type="http://schemas.openxmlformats.org/officeDocument/2006/relationships/hyperlink" Target="http://www.un.org/ga/search/view_doc.asp?symbol=CAT%2FC%2FSR.1430&amp;Submit=Search&amp;Lang=E" TargetMode="Externa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undocs.org/sp/CAT/C/SR.1327" TargetMode="External"/><Relationship Id="rId11" Type="http://schemas.openxmlformats.org/officeDocument/2006/relationships/footer" Target="footer1.xml"/><Relationship Id="rId24" Type="http://schemas.openxmlformats.org/officeDocument/2006/relationships/hyperlink" Target="http://treaties.un.org" TargetMode="External"/><Relationship Id="rId32" Type="http://schemas.openxmlformats.org/officeDocument/2006/relationships/hyperlink" Target="http://treaties.un.org" TargetMode="External"/><Relationship Id="rId37" Type="http://schemas.openxmlformats.org/officeDocument/2006/relationships/hyperlink" Target="http://www.un.org/ga/search/view_doc.asp?symbol=CAT/C/55/3&amp;referer=http://www.un.org/en/ga/documents/symbol.shtml&amp;Lang=S" TargetMode="External"/><Relationship Id="rId40" Type="http://schemas.openxmlformats.org/officeDocument/2006/relationships/hyperlink" Target="http://undocs.org/CAT/C/BDI/2" TargetMode="External"/><Relationship Id="rId45" Type="http://schemas.openxmlformats.org/officeDocument/2006/relationships/hyperlink" Target="http://www.un.org/ga/search/view_doc.asp?symbol=CAT/C/CHE/CO/7&amp;referer=http://www.un.org/en/ga/documents/symbol.shtml&amp;Lang=S" TargetMode="External"/><Relationship Id="rId53" Type="http://schemas.openxmlformats.org/officeDocument/2006/relationships/hyperlink" Target="http://www.un.org/ga/search/view_doc.asp?symbol=CAT/C/CHN-HKG/5&amp;referer=http://www.un.org/en/ga/documents/symbol.shtml&amp;Lang=S" TargetMode="External"/><Relationship Id="rId58" Type="http://schemas.openxmlformats.org/officeDocument/2006/relationships/hyperlink" Target="http://www.un.org/ga/search/view_doc.asp?symbol=CAT/C/DNK/CO/6-7&amp;referer=http://www.un.org/en/ga/documents/symbol.shtml&amp;Lang=S" TargetMode="External"/><Relationship Id="rId66" Type="http://schemas.openxmlformats.org/officeDocument/2006/relationships/hyperlink" Target="http://www.un.org/ga/search/view_doc.asp?symbol=CAT/C/ISR/5&amp;referer=http://www.un.org/en/ga/documents/symbol.shtml&amp;Lang=S" TargetMode="External"/><Relationship Id="rId74" Type="http://schemas.openxmlformats.org/officeDocument/2006/relationships/hyperlink" Target="http://www.un.org/ga/search/view_doc.asp?symbol=CAT/C/TUR/4&amp;referer=http://www.un.org/en/ga/documents/symbol.shtml&amp;Lang=S" TargetMode="External"/><Relationship Id="rId79" Type="http://schemas.openxmlformats.org/officeDocument/2006/relationships/hyperlink" Target="http://www.un.org/ga/search/view_doc.asp?symbol=CAT%2FC%2FLTU%2FCO%2F3%2FAdd.1&amp;Submit=Search&amp;Lang=E" TargetMode="External"/><Relationship Id="rId87" Type="http://schemas.openxmlformats.org/officeDocument/2006/relationships/hyperlink" Target="http://juris.ohchr.org/es/" TargetMode="External"/><Relationship Id="rId5" Type="http://schemas.openxmlformats.org/officeDocument/2006/relationships/settings" Target="settings.xml"/><Relationship Id="rId61" Type="http://schemas.openxmlformats.org/officeDocument/2006/relationships/hyperlink" Target="http://www.un.org/ga/search/view_doc.asp?symbol=CAT/C/LIE/4&amp;referer=http://www.un.org/en/ga/documents/symbol.shtml&amp;Lang=S" TargetMode="External"/><Relationship Id="rId82" Type="http://schemas.openxmlformats.org/officeDocument/2006/relationships/hyperlink" Target="http://www.un.org/ga/search/view_doc.asp?symbol=CAT%2FC%2FKAZ%2FCO%2F3%2FAdd.1&amp;Submit=Search&amp;Lang=E" TargetMode="External"/><Relationship Id="rId90" Type="http://schemas.openxmlformats.org/officeDocument/2006/relationships/hyperlink" Target="http://www.un.org/ga/search/view_doc.asp?symbol=CAT/C/57/3&amp;referer=http://www.un.org/en/ga/documents/symbol.shtml&amp;Lang=S" TargetMode="External"/><Relationship Id="rId95" Type="http://schemas.openxmlformats.org/officeDocument/2006/relationships/footer" Target="footer10.xml"/><Relationship Id="rId19" Type="http://schemas.openxmlformats.org/officeDocument/2006/relationships/footer" Target="footer6.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hyperlink" Target="http://www.un.org/ga/search/view_doc.asp?symbol=CAT/C/57/1&amp;referer=http://www.un.org/en/ga/documents/symbol.shtml&amp;Lang=S" TargetMode="External"/><Relationship Id="rId30" Type="http://schemas.openxmlformats.org/officeDocument/2006/relationships/hyperlink" Target="http://www.un.org/ga/search/view_doc.asp?symbol=CAT/C/56/4&amp;referer=http://www.un.org/en/ga/documents/symbol.shtml&amp;Lang=S" TargetMode="External"/><Relationship Id="rId35" Type="http://schemas.openxmlformats.org/officeDocument/2006/relationships/hyperlink" Target="http://www.un.org/ga/search/view_doc.asp?symbol=CAT/C/55/2&amp;referer=http://www.un.org/en/ga/documents/symbol.shtml&amp;Lang=S" TargetMode="External"/><Relationship Id="rId43" Type="http://schemas.openxmlformats.org/officeDocument/2006/relationships/hyperlink" Target="http://www.un.org/ga/search/view_doc.asp?symbol=CAT/C/IRQ/CO/1&amp;referer=http://www.un.org/en/ga/documents/symbol.shtml&amp;Lang=S" TargetMode="External"/><Relationship Id="rId48" Type="http://schemas.openxmlformats.org/officeDocument/2006/relationships/hyperlink" Target="http://www.un.org/ga/search/view_doc.asp?symbol=CAT/C/AUT/CO/6&amp;referer=http://www.un.org/en/ga/documents/symbol.shtml&amp;Lang=S" TargetMode="External"/><Relationship Id="rId56" Type="http://schemas.openxmlformats.org/officeDocument/2006/relationships/hyperlink" Target="http://www.un.org/ga/search/view_doc.asp?symbol=CAT/C/CHN-MAC/CO/5&amp;referer=http://www.un.org/en/ga/documents/symbol.shtml&amp;Lang=S" TargetMode="External"/><Relationship Id="rId64" Type="http://schemas.openxmlformats.org/officeDocument/2006/relationships/hyperlink" Target="http://www.un.org/ga/search/view_doc.asp?symbol=CAT/C/SAU/2&amp;referer=http://www.un.org/en/ga/documents/symbol.shtml&amp;Lang=S" TargetMode="External"/><Relationship Id="rId69" Type="http://schemas.openxmlformats.org/officeDocument/2006/relationships/hyperlink" Target="http://www.un.org/ga/search/view_doc.asp?symbol=CAT/C/PHL/CO/3&amp;referer=http://www.un.org/en/ga/documents/symbol.shtml&amp;Lang=S" TargetMode="External"/><Relationship Id="rId77" Type="http://schemas.openxmlformats.org/officeDocument/2006/relationships/hyperlink" Target="http://www.un.org/ga/search/view_doc.asp?symbol=CAT%2FC%2FHRV%2FCO%2F4-5%2FAdd.2&amp;Submit=Search&amp;Lang=E" TargetMode="External"/><Relationship Id="rId8" Type="http://schemas.openxmlformats.org/officeDocument/2006/relationships/endnotes" Target="endnotes.xml"/><Relationship Id="rId51" Type="http://schemas.openxmlformats.org/officeDocument/2006/relationships/hyperlink" Target="http://www.un.org/ga/search/view_doc.asp?symbol=CAT/C/CHN/5&amp;referer=http://www.un.org/en/ga/documents/symbol.shtml&amp;Lang=S" TargetMode="External"/><Relationship Id="rId72" Type="http://schemas.openxmlformats.org/officeDocument/2006/relationships/hyperlink" Target="http://www.un.org/ga/search/view_doc.asp?symbol=CAT/C/TUN/3/Add.1&amp;referer=http://www.un.org/en/ga/documents/symbol.shtml&amp;Lang=S" TargetMode="External"/><Relationship Id="rId80" Type="http://schemas.openxmlformats.org/officeDocument/2006/relationships/hyperlink" Target="http://www.un.org/ga/search/view_doc.asp?symbol=CAT/C/URY/CO/3/Add.1&amp;referer=http://www.un.org/en/ga/documents/symbol.shtml&amp;Lang=S" TargetMode="External"/><Relationship Id="rId85" Type="http://schemas.openxmlformats.org/officeDocument/2006/relationships/hyperlink" Target="http://www.un.org/ga/search/view_doc.asp?symbol=CAT%2FC%2FUKR%2FCO%2F6%2FAdd.1&amp;Submit=Search&amp;Lang=E" TargetMode="External"/><Relationship Id="rId93" Type="http://schemas.openxmlformats.org/officeDocument/2006/relationships/footer" Target="footer9.xm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2.xml"/><Relationship Id="rId25" Type="http://schemas.openxmlformats.org/officeDocument/2006/relationships/hyperlink" Target="http://www.un.org/ga/search/view_doc.asp?symbol=CAT/C/55/1&amp;referer=http://www.un.org/en/ga/documents/symbol.shtml&amp;Lang=S" TargetMode="External"/><Relationship Id="rId33" Type="http://schemas.openxmlformats.org/officeDocument/2006/relationships/hyperlink" Target="http://www.un.org/ga/search/view_doc.asp?symbol=CAT/C/57/4&amp;referer=http://www.un.org/en/ga/documents/symbol.shtml&amp;Lang=S" TargetMode="External"/><Relationship Id="rId38" Type="http://schemas.openxmlformats.org/officeDocument/2006/relationships/hyperlink" Target="http://www.un.org/ga/search/view_doc.asp?symbol=CAT/C/47/2&amp;referer=http://www.un.org/en/ga/documents/symbol.shtml&amp;Lang=S" TargetMode="External"/><Relationship Id="rId46" Type="http://schemas.openxmlformats.org/officeDocument/2006/relationships/hyperlink" Target="http://documents.un.org" TargetMode="External"/><Relationship Id="rId59" Type="http://schemas.openxmlformats.org/officeDocument/2006/relationships/hyperlink" Target="http://www.un.org/ga/search/view_doc.asp?symbol=CAT/C/JOR/3&amp;referer=http://www.un.org/en/ga/documents/symbol.shtml&amp;Lang=S" TargetMode="External"/><Relationship Id="rId67" Type="http://schemas.openxmlformats.org/officeDocument/2006/relationships/hyperlink" Target="http://www.un.org/ga/search/view_doc.asp?symbol=CAT/C/ISR/CO/5&amp;referer=http://www.un.org/en/ga/documents/symbol.shtml&amp;Lang=S" TargetMode="External"/><Relationship Id="rId20" Type="http://schemas.openxmlformats.org/officeDocument/2006/relationships/header" Target="header3.xml"/><Relationship Id="rId41" Type="http://schemas.openxmlformats.org/officeDocument/2006/relationships/hyperlink" Target="http://www.un.org/ga/search/view_doc.asp?symbol=CAT/C/SVK/CO/3&amp;referer=http://www.un.org/en/ga/documents/symbol.shtml&amp;Lang=S" TargetMode="External"/><Relationship Id="rId54" Type="http://schemas.openxmlformats.org/officeDocument/2006/relationships/hyperlink" Target="http://www.un.org/ga/search/view_doc.asp?symbol=CAT/C/CHN-HKG/CO/5&amp;referer=http://www.un.org/en/ga/documents/symbol.shtml&amp;Lang=S" TargetMode="External"/><Relationship Id="rId62" Type="http://schemas.openxmlformats.org/officeDocument/2006/relationships/hyperlink" Target="http://www.un.org/ga/search/view_doc.asp?symbol=CAT/C/LIE/CO/4&amp;referer=http://www.un.org/en/ga/documents/symbol.shtml&amp;Lang=S" TargetMode="External"/><Relationship Id="rId70" Type="http://schemas.openxmlformats.org/officeDocument/2006/relationships/hyperlink" Target="http://www.un.org/ga/search/view_doc.asp?symbol=CAT/C/FRA/7&amp;referer=http://www.un.org/en/ga/documents/symbol.shtml&amp;Lang=S" TargetMode="External"/><Relationship Id="rId75" Type="http://schemas.openxmlformats.org/officeDocument/2006/relationships/hyperlink" Target="http://www.un.org/ga/search/view_doc.asp?symbol=CAT/C/TUR/CO/4&amp;referer=http://www.un.org/en/ga/documents/symbol.shtml&amp;Lang=S" TargetMode="External"/><Relationship Id="rId83" Type="http://schemas.openxmlformats.org/officeDocument/2006/relationships/hyperlink" Target="http://www.un.org/ga/search/view_doc.asp?symbol=CAT%2FC%2FAUS%2FCO%2F4-5%2FAdd.1&amp;Submit=Search&amp;Lang=E" TargetMode="External"/><Relationship Id="rId88" Type="http://schemas.openxmlformats.org/officeDocument/2006/relationships/hyperlink" Target="http://documents.un.org" TargetMode="External"/><Relationship Id="rId91" Type="http://schemas.openxmlformats.org/officeDocument/2006/relationships/hyperlink" Target="http://www.un.org/ga/search/view_doc.asp?symbol=A/RES/68/268&amp;referer=http://www.un.org/en/ga/documents/symbol.shtml&amp;Lang=S" TargetMode="External"/><Relationship Id="rId96"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www.un.org/ga/search/view_doc.asp?symbol=A/RES/39/46&amp;referer=http://www.un.org/en/ga/documents/symbol.shtml&amp;Lang=S" TargetMode="External"/><Relationship Id="rId28" Type="http://schemas.openxmlformats.org/officeDocument/2006/relationships/hyperlink" Target="http://www.un.org/ga/search/view_doc.asp?symbol=CAT%2FC%2FSR.1328&amp;Submit=Search&amp;Lang=E" TargetMode="External"/><Relationship Id="rId36" Type="http://schemas.openxmlformats.org/officeDocument/2006/relationships/hyperlink" Target="http://www.un.org/ga/search/view_doc.asp?symbol=A/RES/68/268&amp;referer=http://www.un.org/en/ga/documents/symbol.shtml&amp;Lang=S" TargetMode="External"/><Relationship Id="rId49" Type="http://schemas.openxmlformats.org/officeDocument/2006/relationships/hyperlink" Target="http://www.un.org/ga/search/view_doc.asp?symbol=CAT/C/AZE/4&amp;referer=http://www.un.org/en/ga/documents/symbol.shtml&amp;Lang=S" TargetMode="External"/><Relationship Id="rId57" Type="http://schemas.openxmlformats.org/officeDocument/2006/relationships/hyperlink" Target="http://www.un.org/ga/search/view_doc.asp?symbol=CAT/C/DNK/6-7&amp;referer=http://www.un.org/en/ga/documents/symbol.shtml&amp;Lang=S" TargetMode="External"/><Relationship Id="rId10" Type="http://schemas.openxmlformats.org/officeDocument/2006/relationships/hyperlink" Target="http://www.un.org/ga/search/view_doc.asp?symbol=A/70/44&amp;referer=/english/&amp;Lang=S" TargetMode="External"/><Relationship Id="rId31" Type="http://schemas.openxmlformats.org/officeDocument/2006/relationships/hyperlink" Target="http://www.un.org/ga/search/view_doc.asp?symbol=A/RES/68/156&amp;referer=http://www.un.org/en/ga/documents/symbol.shtml&amp;Lang=S" TargetMode="External"/><Relationship Id="rId44" Type="http://schemas.openxmlformats.org/officeDocument/2006/relationships/hyperlink" Target="http://www.un.org/ga/search/view_doc.asp?symbol=CAT/C/CHE/7&amp;referer=http://www.un.org/en/ga/documents/symbol.shtml&amp;Lang=S" TargetMode="External"/><Relationship Id="rId52" Type="http://schemas.openxmlformats.org/officeDocument/2006/relationships/hyperlink" Target="http://www.un.org/ga/search/view_doc.asp?symbol=CAT/C/CHN/CO/5&amp;referer=http://www.un.org/en/ga/documents/symbol.shtml&amp;Lang=S" TargetMode="External"/><Relationship Id="rId60" Type="http://schemas.openxmlformats.org/officeDocument/2006/relationships/hyperlink" Target="http://www.un.org/ga/search/view_doc.asp?symbol=CAT/C/JOR/CO/3&amp;referer=http://www.un.org/en/ga/documents/symbol.shtml&amp;Lang=S" TargetMode="External"/><Relationship Id="rId65" Type="http://schemas.openxmlformats.org/officeDocument/2006/relationships/hyperlink" Target="http://www.un.org/ga/search/view_doc.asp?symbol=CAT/C/SAU/CO/2&amp;referer=http://www.un.org/en/ga/documents/symbol.shtml&amp;Lang=S" TargetMode="External"/><Relationship Id="rId73" Type="http://schemas.openxmlformats.org/officeDocument/2006/relationships/hyperlink" Target="http://www.un.org/ga/search/view_doc.asp?symbol=CAT/C/TUN/CO/3&amp;referer=http://www.un.org/en/ga/documents/symbol.shtml&amp;Lang=S" TargetMode="External"/><Relationship Id="rId78" Type="http://schemas.openxmlformats.org/officeDocument/2006/relationships/hyperlink" Target="http://www.un.org/ga/search/view_doc.asp?symbol=CAT%2FC%2FTHA%2FCO%2F1%2FAdd.1&amp;Submit=Search&amp;Lang=E" TargetMode="External"/><Relationship Id="rId81" Type="http://schemas.openxmlformats.org/officeDocument/2006/relationships/hyperlink" Target="http://www.un.org/ga/search/view_doc.asp?symbol=CAT%2FC%2FMNE%2FCO%2F2%2FAdd.1&amp;Submit=Search&amp;Lang=E" TargetMode="External"/><Relationship Id="rId86" Type="http://schemas.openxmlformats.org/officeDocument/2006/relationships/hyperlink" Target="http://www.un.org/ga/search/view_doc.asp?symbol=CAT%2FC%2FUSA%2FCO%2F3-5%2FAdd.1&amp;Submit=Search&amp;Lang=E" TargetMode="External"/><Relationship Id="rId94"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5.xml"/><Relationship Id="rId39" Type="http://schemas.openxmlformats.org/officeDocument/2006/relationships/hyperlink" Target="http://documents.un.org"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un.org/ga/search/view_doc.asp?symbol=A/66/44&amp;referer=http://www.un.org/en/ga/documents/symbol.shtml&amp;Lang=S" TargetMode="External"/><Relationship Id="rId7" Type="http://schemas.openxmlformats.org/officeDocument/2006/relationships/hyperlink" Target="http://tbinternet.ohchr.org/_layouts/TreatyBodyExternal/FollowUp.aspx?Treaty=CAT&amp;Lang=en" TargetMode="External"/><Relationship Id="rId2" Type="http://schemas.openxmlformats.org/officeDocument/2006/relationships/hyperlink" Target="http://www.un.org/ga/search/view_doc.asp?symbol=A/67/44&amp;referer=http://www.un.org/en/ga/documents/symbol.shtml&amp;Lang=S" TargetMode="External"/><Relationship Id="rId1" Type="http://schemas.openxmlformats.org/officeDocument/2006/relationships/hyperlink" Target="http://www.un.org/ga/search/view_doc.asp?symbol=A/64/44&amp;referer=http://www.un.org/en/ga/documents/symbol.shtml&amp;Lang=S" TargetMode="External"/><Relationship Id="rId6" Type="http://schemas.openxmlformats.org/officeDocument/2006/relationships/hyperlink" Target="http://tbinternet.ohchr.org/_layouts/TreatyBodyExternal/FollowUp.aspx?Treaty=CAT&amp;Lang=en" TargetMode="External"/><Relationship Id="rId5" Type="http://schemas.openxmlformats.org/officeDocument/2006/relationships/hyperlink" Target="http://www.un.org/ga/search/view_doc.asp?symbol=CAT/C/55/3&amp;referer=http://www.un.org/en/ga/documents/symbol.shtml&amp;Lang=S" TargetMode="External"/><Relationship Id="rId4" Type="http://schemas.openxmlformats.org/officeDocument/2006/relationships/hyperlink" Target="http://undocs.org/sp/A/58/4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946EB-6E6F-45DB-BFC7-D7B261417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11603</Words>
  <Characters>63819</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A/71/44</vt:lpstr>
    </vt:vector>
  </TitlesOfParts>
  <LinksUpToDate>false</LinksUpToDate>
  <CharactersWithSpaces>75272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A/71/44</dc:title>
  <dc:subject>Final</dc:subject>
  <dc:creator/>
  <cp:keywords/>
  <dc:description/>
  <cp:lastModifiedBy/>
  <cp:revision>1</cp:revision>
  <dcterms:created xsi:type="dcterms:W3CDTF">2016-08-31T05:57:00Z</dcterms:created>
  <dcterms:modified xsi:type="dcterms:W3CDTF">2016-08-31T05:57:00Z</dcterms:modified>
</cp:coreProperties>
</file>