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36F06" w14:paraId="260BC138" w14:textId="77777777">
        <w:trPr>
          <w:trHeight w:hRule="exact" w:val="851"/>
        </w:trPr>
        <w:tc>
          <w:tcPr>
            <w:tcW w:w="1280" w:type="dxa"/>
            <w:tcBorders>
              <w:bottom w:val="single" w:sz="4" w:space="0" w:color="auto"/>
            </w:tcBorders>
            <w:shd w:val="clear" w:color="auto" w:fill="auto"/>
          </w:tcPr>
          <w:p w14:paraId="03B67EDB" w14:textId="77777777" w:rsidR="00566A9D" w:rsidRDefault="00566A9D"/>
        </w:tc>
        <w:tc>
          <w:tcPr>
            <w:tcW w:w="2273" w:type="dxa"/>
            <w:tcBorders>
              <w:bottom w:val="single" w:sz="4" w:space="0" w:color="auto"/>
            </w:tcBorders>
            <w:shd w:val="clear" w:color="auto" w:fill="auto"/>
            <w:vAlign w:val="bottom"/>
          </w:tcPr>
          <w:p w14:paraId="0B2D3F33" w14:textId="77777777" w:rsidR="00566A9D" w:rsidRDefault="002149D4">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61DE3E60" w14:textId="2BB867BE" w:rsidR="00566A9D" w:rsidRPr="000B66D8" w:rsidRDefault="000B66D8" w:rsidP="000B66D8">
            <w:pPr>
              <w:jc w:val="right"/>
            </w:pPr>
            <w:r w:rsidRPr="000B66D8">
              <w:rPr>
                <w:sz w:val="40"/>
              </w:rPr>
              <w:t>CAT</w:t>
            </w:r>
            <w:r>
              <w:t>/C/COL/FCO/6</w:t>
            </w:r>
          </w:p>
        </w:tc>
      </w:tr>
      <w:tr w:rsidR="00936F06" w14:paraId="3B17AD8F" w14:textId="77777777">
        <w:trPr>
          <w:trHeight w:hRule="exact" w:val="2835"/>
        </w:trPr>
        <w:tc>
          <w:tcPr>
            <w:tcW w:w="1280" w:type="dxa"/>
            <w:tcBorders>
              <w:top w:val="single" w:sz="4" w:space="0" w:color="auto"/>
              <w:bottom w:val="single" w:sz="12" w:space="0" w:color="auto"/>
            </w:tcBorders>
            <w:shd w:val="clear" w:color="auto" w:fill="auto"/>
          </w:tcPr>
          <w:p w14:paraId="2C003ABE" w14:textId="77777777" w:rsidR="00566A9D" w:rsidRDefault="002149D4">
            <w:pPr>
              <w:spacing w:before="120"/>
              <w:jc w:val="center"/>
            </w:pPr>
            <w:r>
              <w:rPr>
                <w:noProof/>
                <w:lang w:val="fr-CH" w:eastAsia="fr-CH"/>
              </w:rPr>
              <w:drawing>
                <wp:inline distT="0" distB="0" distL="0" distR="0" wp14:anchorId="6242D9D4" wp14:editId="39AB86D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FDA43BF" w14:textId="77777777" w:rsidR="00566A9D" w:rsidRDefault="002149D4">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1365BD1F" w14:textId="77777777" w:rsidR="00566A9D" w:rsidRPr="005E7C3B" w:rsidRDefault="002149D4">
            <w:pPr>
              <w:spacing w:before="240" w:line="240" w:lineRule="exact"/>
              <w:rPr>
                <w:lang w:val="es-SV"/>
              </w:rPr>
            </w:pPr>
            <w:r w:rsidRPr="005E7C3B">
              <w:rPr>
                <w:lang w:val="es-SV"/>
              </w:rPr>
              <w:t>Distr. general</w:t>
            </w:r>
          </w:p>
          <w:p w14:paraId="411513B8" w14:textId="0A8DF157" w:rsidR="00566A9D" w:rsidRPr="005E7C3B" w:rsidRDefault="00F069FD">
            <w:pPr>
              <w:rPr>
                <w:lang w:val="es-SV"/>
              </w:rPr>
            </w:pPr>
            <w:r>
              <w:rPr>
                <w:lang w:val="es-SV"/>
              </w:rPr>
              <w:t>10</w:t>
            </w:r>
            <w:r w:rsidR="00A52C6E" w:rsidRPr="005E7C3B">
              <w:rPr>
                <w:lang w:val="es-SV"/>
              </w:rPr>
              <w:t xml:space="preserve"> de junio de 2024</w:t>
            </w:r>
          </w:p>
          <w:p w14:paraId="60A2624B" w14:textId="77777777" w:rsidR="00566A9D" w:rsidRPr="005E7C3B" w:rsidRDefault="00566A9D">
            <w:pPr>
              <w:rPr>
                <w:lang w:val="es-SV"/>
              </w:rPr>
            </w:pPr>
          </w:p>
          <w:p w14:paraId="50A1B907" w14:textId="77777777" w:rsidR="00566A9D" w:rsidRPr="005E7C3B" w:rsidRDefault="002149D4">
            <w:pPr>
              <w:rPr>
                <w:lang w:val="es-SV"/>
              </w:rPr>
            </w:pPr>
            <w:r w:rsidRPr="005E7C3B">
              <w:rPr>
                <w:lang w:val="es-SV"/>
              </w:rPr>
              <w:t>Original: español</w:t>
            </w:r>
          </w:p>
          <w:p w14:paraId="67441CF4" w14:textId="77777777" w:rsidR="00566A9D" w:rsidRDefault="00A52C6E">
            <w:pPr>
              <w:spacing w:line="240" w:lineRule="exact"/>
            </w:pPr>
            <w:r>
              <w:t>Español, francés e inglés únicamente</w:t>
            </w:r>
          </w:p>
        </w:tc>
      </w:tr>
    </w:tbl>
    <w:p w14:paraId="166A1687" w14:textId="77777777" w:rsidR="00566A9D" w:rsidRDefault="002149D4">
      <w:pPr>
        <w:spacing w:before="120"/>
      </w:pPr>
      <w:r>
        <w:rPr>
          <w:b/>
          <w:sz w:val="24"/>
        </w:rPr>
        <w:t>Comité contra la Tortura</w:t>
      </w:r>
    </w:p>
    <w:p w14:paraId="7EEEE8C5" w14:textId="5546E965" w:rsidR="00566A9D" w:rsidRDefault="002149D4" w:rsidP="00D447EE">
      <w:pPr>
        <w:pStyle w:val="HMG"/>
        <w:rPr>
          <w:sz w:val="20"/>
        </w:rPr>
      </w:pPr>
      <w:r>
        <w:tab/>
      </w:r>
      <w:r>
        <w:tab/>
      </w:r>
      <w:r w:rsidRPr="00631849">
        <w:t>Información recibida de Colombia sobre</w:t>
      </w:r>
      <w:r w:rsidR="00D447EE">
        <w:t xml:space="preserve"> </w:t>
      </w:r>
      <w:r w:rsidRPr="00631849">
        <w:t>el seguimiento de las observaciones finales</w:t>
      </w:r>
      <w:r w:rsidR="00D447EE">
        <w:br/>
      </w:r>
      <w:r w:rsidR="00631849" w:rsidRPr="00631849">
        <w:t xml:space="preserve">sobre </w:t>
      </w:r>
      <w:r w:rsidR="00631849" w:rsidRPr="00D13E26">
        <w:t>su</w:t>
      </w:r>
      <w:r w:rsidR="00631849" w:rsidRPr="00631849">
        <w:t xml:space="preserve"> </w:t>
      </w:r>
      <w:r w:rsidR="00F02477">
        <w:t>sexto informe periódico</w:t>
      </w:r>
      <w:r>
        <w:rPr>
          <w:rStyle w:val="Refdenotaalpie"/>
          <w:b w:val="0"/>
          <w:sz w:val="20"/>
          <w:vertAlign w:val="baseline"/>
        </w:rPr>
        <w:footnoteReference w:customMarkFollows="1" w:id="1"/>
        <w:t>*</w:t>
      </w:r>
    </w:p>
    <w:p w14:paraId="2E64C275" w14:textId="15FA3F67" w:rsidR="00566A9D" w:rsidRDefault="002149D4">
      <w:pPr>
        <w:pStyle w:val="SingleTxtG"/>
        <w:jc w:val="right"/>
      </w:pPr>
      <w:r>
        <w:t xml:space="preserve">[Fecha de recepción: </w:t>
      </w:r>
      <w:r w:rsidR="00A87075" w:rsidRPr="00A87075">
        <w:t>12 de mayo de 2024</w:t>
      </w:r>
      <w:r>
        <w:t>]</w:t>
      </w:r>
    </w:p>
    <w:p w14:paraId="5B1CB6C6" w14:textId="77777777" w:rsidR="004C2DC6" w:rsidRDefault="005E7C3B" w:rsidP="004C2DC6">
      <w:pPr>
        <w:spacing w:line="240" w:lineRule="auto"/>
        <w:rPr>
          <w:color w:val="0000FF"/>
        </w:rPr>
      </w:pPr>
      <w:bookmarkStart w:id="1" w:name="_Hlt364857726"/>
      <w:bookmarkEnd w:id="1"/>
      <w:r>
        <w:rPr>
          <w:color w:val="0000FF"/>
        </w:rPr>
        <w:br w:type="page"/>
      </w:r>
    </w:p>
    <w:p w14:paraId="23A00668" w14:textId="52FDDB65" w:rsidR="005E7C3B" w:rsidRPr="00FD59B2" w:rsidRDefault="005E7C3B" w:rsidP="00B1586C">
      <w:pPr>
        <w:pStyle w:val="HChG"/>
        <w:rPr>
          <w:rFonts w:eastAsia="Verdana"/>
        </w:rPr>
      </w:pPr>
      <w:r>
        <w:rPr>
          <w:rFonts w:eastAsia="Verdana"/>
        </w:rPr>
        <w:lastRenderedPageBreak/>
        <w:tab/>
      </w:r>
      <w:r>
        <w:rPr>
          <w:rFonts w:eastAsia="Verdana"/>
        </w:rPr>
        <w:tab/>
      </w:r>
      <w:r w:rsidRPr="00FD59B2">
        <w:rPr>
          <w:rFonts w:eastAsia="Verdana"/>
        </w:rPr>
        <w:t>L</w:t>
      </w:r>
      <w:r w:rsidR="00FD59B2" w:rsidRPr="00FD59B2">
        <w:rPr>
          <w:rFonts w:eastAsia="Verdana"/>
        </w:rPr>
        <w:t xml:space="preserve">ista de abreviaciones y acrónimos </w:t>
      </w:r>
    </w:p>
    <w:tbl>
      <w:tblPr>
        <w:tblW w:w="7370" w:type="dxa"/>
        <w:tblInd w:w="1134" w:type="dxa"/>
        <w:tblLayout w:type="fixed"/>
        <w:tblCellMar>
          <w:left w:w="0" w:type="dxa"/>
          <w:right w:w="0" w:type="dxa"/>
        </w:tblCellMar>
        <w:tblLook w:val="04A0" w:firstRow="1" w:lastRow="0" w:firstColumn="1" w:lastColumn="0" w:noHBand="0" w:noVBand="1"/>
      </w:tblPr>
      <w:tblGrid>
        <w:gridCol w:w="1265"/>
        <w:gridCol w:w="6105"/>
      </w:tblGrid>
      <w:tr w:rsidR="00B1586C" w:rsidRPr="005E7C3B" w14:paraId="5F4122DD" w14:textId="77777777" w:rsidTr="005E7C3B">
        <w:tc>
          <w:tcPr>
            <w:tcW w:w="1265" w:type="dxa"/>
            <w:shd w:val="clear" w:color="auto" w:fill="auto"/>
            <w:noWrap/>
          </w:tcPr>
          <w:p w14:paraId="6D5802FE" w14:textId="77777777" w:rsidR="00B1586C" w:rsidRPr="005E7C3B" w:rsidRDefault="00B1586C" w:rsidP="005E7C3B">
            <w:pPr>
              <w:spacing w:before="40" w:after="120"/>
              <w:ind w:right="113"/>
              <w:rPr>
                <w:lang w:val="es-CO" w:eastAsia="es-CO"/>
              </w:rPr>
            </w:pPr>
            <w:r w:rsidRPr="005E7C3B">
              <w:rPr>
                <w:lang w:val="es-CO" w:eastAsia="es-CO"/>
              </w:rPr>
              <w:t>CERREM</w:t>
            </w:r>
          </w:p>
        </w:tc>
        <w:tc>
          <w:tcPr>
            <w:tcW w:w="6105" w:type="dxa"/>
            <w:shd w:val="clear" w:color="auto" w:fill="auto"/>
          </w:tcPr>
          <w:p w14:paraId="6477B3FF" w14:textId="77777777" w:rsidR="00B1586C" w:rsidRPr="005E7C3B" w:rsidRDefault="00B1586C" w:rsidP="005E7C3B">
            <w:pPr>
              <w:spacing w:before="40" w:after="120"/>
              <w:ind w:right="113"/>
              <w:rPr>
                <w:lang w:val="es-CO" w:eastAsia="es-CO"/>
              </w:rPr>
            </w:pPr>
            <w:r w:rsidRPr="005E7C3B">
              <w:rPr>
                <w:lang w:val="es-CO" w:eastAsia="es-CO"/>
              </w:rPr>
              <w:t>Comité de Evaluación de Riesgo y Recomendación de Medidas</w:t>
            </w:r>
          </w:p>
        </w:tc>
      </w:tr>
      <w:tr w:rsidR="00B1586C" w:rsidRPr="005E7C3B" w14:paraId="13A79FCE" w14:textId="77777777" w:rsidTr="005E7C3B">
        <w:tc>
          <w:tcPr>
            <w:tcW w:w="1265" w:type="dxa"/>
            <w:shd w:val="clear" w:color="auto" w:fill="auto"/>
            <w:noWrap/>
          </w:tcPr>
          <w:p w14:paraId="60E36155" w14:textId="77777777" w:rsidR="00B1586C" w:rsidRPr="005E7C3B" w:rsidRDefault="00B1586C" w:rsidP="005E7C3B">
            <w:pPr>
              <w:spacing w:before="40" w:after="120"/>
              <w:ind w:right="113"/>
              <w:rPr>
                <w:lang w:val="es-CO" w:eastAsia="es-CO"/>
              </w:rPr>
            </w:pPr>
            <w:r w:rsidRPr="005E7C3B">
              <w:rPr>
                <w:lang w:val="es-CO" w:eastAsia="es-CO"/>
              </w:rPr>
              <w:t>CICR</w:t>
            </w:r>
          </w:p>
        </w:tc>
        <w:tc>
          <w:tcPr>
            <w:tcW w:w="6105" w:type="dxa"/>
            <w:shd w:val="clear" w:color="auto" w:fill="auto"/>
          </w:tcPr>
          <w:p w14:paraId="0E19ED0C" w14:textId="77777777" w:rsidR="00B1586C" w:rsidRPr="005E7C3B" w:rsidRDefault="00B1586C" w:rsidP="005E7C3B">
            <w:pPr>
              <w:spacing w:before="40" w:after="120"/>
              <w:ind w:right="113"/>
              <w:rPr>
                <w:lang w:val="es-CO" w:eastAsia="es-CO"/>
              </w:rPr>
            </w:pPr>
            <w:r w:rsidRPr="005E7C3B">
              <w:rPr>
                <w:lang w:val="es-CO" w:eastAsia="es-CO"/>
              </w:rPr>
              <w:t>Comité Internacional de la Cruz Roja</w:t>
            </w:r>
          </w:p>
        </w:tc>
      </w:tr>
      <w:tr w:rsidR="00B1586C" w:rsidRPr="005E7C3B" w14:paraId="5AF58AA3" w14:textId="77777777" w:rsidTr="005E7C3B">
        <w:tc>
          <w:tcPr>
            <w:tcW w:w="1265" w:type="dxa"/>
            <w:shd w:val="clear" w:color="auto" w:fill="auto"/>
            <w:noWrap/>
          </w:tcPr>
          <w:p w14:paraId="20AA6F64" w14:textId="77777777" w:rsidR="00B1586C" w:rsidRPr="005E7C3B" w:rsidRDefault="00B1586C" w:rsidP="005E7C3B">
            <w:pPr>
              <w:spacing w:before="40" w:after="120"/>
              <w:ind w:right="113"/>
              <w:rPr>
                <w:lang w:val="es-CO" w:eastAsia="es-CO"/>
              </w:rPr>
            </w:pPr>
            <w:r w:rsidRPr="005E7C3B">
              <w:rPr>
                <w:lang w:val="es-CO" w:eastAsia="es-CO"/>
              </w:rPr>
              <w:t>CIPRUNNA</w:t>
            </w:r>
          </w:p>
        </w:tc>
        <w:tc>
          <w:tcPr>
            <w:tcW w:w="6105" w:type="dxa"/>
            <w:shd w:val="clear" w:color="auto" w:fill="auto"/>
          </w:tcPr>
          <w:p w14:paraId="458002BB" w14:textId="77777777" w:rsidR="00B1586C" w:rsidRPr="005E7C3B" w:rsidRDefault="00B1586C" w:rsidP="005E7C3B">
            <w:pPr>
              <w:spacing w:before="40" w:after="120"/>
              <w:ind w:right="113"/>
              <w:rPr>
                <w:lang w:val="es-CO" w:eastAsia="es-CO"/>
              </w:rPr>
            </w:pPr>
            <w:r w:rsidRPr="005E7C3B">
              <w:rPr>
                <w:lang w:val="es-CO" w:eastAsia="es-CO"/>
              </w:rPr>
              <w:t>Comisión Intersectorial para la Prevención del Reclutamiento, el Uso, la Utilización y la Violencia Sexual en contra de Niños, Niñas y Adolescentes por grupos armados organizados y por grupos delictivos organizados</w:t>
            </w:r>
          </w:p>
        </w:tc>
      </w:tr>
      <w:tr w:rsidR="00B1586C" w:rsidRPr="005E7C3B" w14:paraId="6916A382" w14:textId="77777777" w:rsidTr="005E7C3B">
        <w:tc>
          <w:tcPr>
            <w:tcW w:w="1265" w:type="dxa"/>
            <w:shd w:val="clear" w:color="auto" w:fill="auto"/>
            <w:noWrap/>
          </w:tcPr>
          <w:p w14:paraId="18D46CBA" w14:textId="77777777" w:rsidR="00B1586C" w:rsidRPr="005E7C3B" w:rsidRDefault="00B1586C" w:rsidP="005E7C3B">
            <w:pPr>
              <w:spacing w:before="40" w:after="120"/>
              <w:ind w:right="113"/>
              <w:rPr>
                <w:lang w:val="es-CO" w:eastAsia="es-CO"/>
              </w:rPr>
            </w:pPr>
            <w:r w:rsidRPr="005E7C3B">
              <w:rPr>
                <w:lang w:val="es-CO" w:eastAsia="es-CO"/>
              </w:rPr>
              <w:t>CNGS</w:t>
            </w:r>
          </w:p>
        </w:tc>
        <w:tc>
          <w:tcPr>
            <w:tcW w:w="6105" w:type="dxa"/>
            <w:shd w:val="clear" w:color="auto" w:fill="auto"/>
          </w:tcPr>
          <w:p w14:paraId="285BE96C" w14:textId="77777777" w:rsidR="00B1586C" w:rsidRPr="005E7C3B" w:rsidRDefault="00B1586C" w:rsidP="005E7C3B">
            <w:pPr>
              <w:spacing w:before="40" w:after="120"/>
              <w:ind w:right="113"/>
              <w:rPr>
                <w:lang w:val="es-CO" w:eastAsia="es-CO"/>
              </w:rPr>
            </w:pPr>
            <w:r w:rsidRPr="005E7C3B">
              <w:rPr>
                <w:lang w:val="es-CO" w:eastAsia="es-CO"/>
              </w:rPr>
              <w:t>Comisión Nacional de Garantías de Seguridad</w:t>
            </w:r>
          </w:p>
        </w:tc>
      </w:tr>
      <w:tr w:rsidR="00B1586C" w:rsidRPr="005E7C3B" w14:paraId="283E4D62" w14:textId="77777777" w:rsidTr="005E7C3B">
        <w:tc>
          <w:tcPr>
            <w:tcW w:w="1265" w:type="dxa"/>
            <w:shd w:val="clear" w:color="auto" w:fill="auto"/>
            <w:noWrap/>
          </w:tcPr>
          <w:p w14:paraId="248B92D0" w14:textId="77777777" w:rsidR="00B1586C" w:rsidRPr="005E7C3B" w:rsidRDefault="00B1586C" w:rsidP="005E7C3B">
            <w:pPr>
              <w:spacing w:before="40" w:after="120"/>
              <w:ind w:right="113"/>
              <w:rPr>
                <w:lang w:val="es-CO" w:eastAsia="es-CO"/>
              </w:rPr>
            </w:pPr>
            <w:r w:rsidRPr="005E7C3B">
              <w:rPr>
                <w:lang w:val="es-CO" w:eastAsia="es-CO"/>
              </w:rPr>
              <w:t>CONPES</w:t>
            </w:r>
          </w:p>
        </w:tc>
        <w:tc>
          <w:tcPr>
            <w:tcW w:w="6105" w:type="dxa"/>
            <w:shd w:val="clear" w:color="auto" w:fill="auto"/>
          </w:tcPr>
          <w:p w14:paraId="198BEE36" w14:textId="77777777" w:rsidR="00B1586C" w:rsidRPr="005E7C3B" w:rsidRDefault="00B1586C" w:rsidP="005E7C3B">
            <w:pPr>
              <w:spacing w:before="40" w:after="120"/>
              <w:ind w:right="113"/>
              <w:rPr>
                <w:lang w:val="es-CO" w:eastAsia="es-CO"/>
              </w:rPr>
            </w:pPr>
            <w:r w:rsidRPr="005E7C3B">
              <w:rPr>
                <w:lang w:val="es-CO" w:eastAsia="es-CO"/>
              </w:rPr>
              <w:t xml:space="preserve">Documento de Consejo de Política Económica y Social </w:t>
            </w:r>
          </w:p>
        </w:tc>
      </w:tr>
      <w:tr w:rsidR="00B1586C" w:rsidRPr="005E7C3B" w14:paraId="25EAA266" w14:textId="77777777" w:rsidTr="005E7C3B">
        <w:tc>
          <w:tcPr>
            <w:tcW w:w="1265" w:type="dxa"/>
            <w:shd w:val="clear" w:color="auto" w:fill="auto"/>
            <w:noWrap/>
          </w:tcPr>
          <w:p w14:paraId="792B722E" w14:textId="77777777" w:rsidR="00B1586C" w:rsidRPr="005E7C3B" w:rsidRDefault="00B1586C" w:rsidP="005E7C3B">
            <w:pPr>
              <w:spacing w:before="40" w:after="120"/>
              <w:ind w:right="113"/>
              <w:rPr>
                <w:lang w:val="es-CO" w:eastAsia="es-CO"/>
              </w:rPr>
            </w:pPr>
            <w:r w:rsidRPr="005E7C3B">
              <w:rPr>
                <w:lang w:val="es-CO" w:eastAsia="es-CO"/>
              </w:rPr>
              <w:t>DAIACCO</w:t>
            </w:r>
          </w:p>
        </w:tc>
        <w:tc>
          <w:tcPr>
            <w:tcW w:w="6105" w:type="dxa"/>
            <w:shd w:val="clear" w:color="auto" w:fill="auto"/>
          </w:tcPr>
          <w:p w14:paraId="12C836CA" w14:textId="77777777" w:rsidR="00B1586C" w:rsidRPr="005E7C3B" w:rsidRDefault="00B1586C" w:rsidP="005E7C3B">
            <w:pPr>
              <w:spacing w:before="40" w:after="120"/>
              <w:ind w:right="113"/>
              <w:rPr>
                <w:lang w:val="es-CO" w:eastAsia="es-CO"/>
              </w:rPr>
            </w:pPr>
            <w:r w:rsidRPr="005E7C3B">
              <w:rPr>
                <w:lang w:val="es-CO" w:eastAsia="es-CO"/>
              </w:rPr>
              <w:t xml:space="preserve">Dirección de Apoyo a la Investigación y Análisis contra la Criminalidad Organizada </w:t>
            </w:r>
          </w:p>
        </w:tc>
      </w:tr>
      <w:tr w:rsidR="00B1586C" w:rsidRPr="005E7C3B" w14:paraId="7CDA4D1F" w14:textId="77777777" w:rsidTr="005E7C3B">
        <w:tc>
          <w:tcPr>
            <w:tcW w:w="1265" w:type="dxa"/>
            <w:shd w:val="clear" w:color="auto" w:fill="auto"/>
            <w:noWrap/>
          </w:tcPr>
          <w:p w14:paraId="3564F3AE" w14:textId="77777777" w:rsidR="00B1586C" w:rsidRPr="005E7C3B" w:rsidRDefault="00B1586C" w:rsidP="005E7C3B">
            <w:pPr>
              <w:spacing w:before="40" w:after="120"/>
              <w:ind w:right="113"/>
              <w:rPr>
                <w:lang w:val="es-CO" w:eastAsia="es-CO"/>
              </w:rPr>
            </w:pPr>
            <w:r w:rsidRPr="005E7C3B">
              <w:rPr>
                <w:lang w:val="es-CO" w:eastAsia="es-CO"/>
              </w:rPr>
              <w:t>DDHH</w:t>
            </w:r>
          </w:p>
        </w:tc>
        <w:tc>
          <w:tcPr>
            <w:tcW w:w="6105" w:type="dxa"/>
            <w:shd w:val="clear" w:color="auto" w:fill="auto"/>
          </w:tcPr>
          <w:p w14:paraId="7CE51EC4" w14:textId="77777777" w:rsidR="00B1586C" w:rsidRPr="005E7C3B" w:rsidRDefault="00B1586C" w:rsidP="005E7C3B">
            <w:pPr>
              <w:spacing w:before="40" w:after="120"/>
              <w:ind w:right="113"/>
              <w:rPr>
                <w:lang w:val="es-CO" w:eastAsia="es-CO"/>
              </w:rPr>
            </w:pPr>
            <w:r w:rsidRPr="005E7C3B">
              <w:rPr>
                <w:lang w:val="es-CO" w:eastAsia="es-CO"/>
              </w:rPr>
              <w:t>Derechos Humanos</w:t>
            </w:r>
          </w:p>
        </w:tc>
      </w:tr>
      <w:tr w:rsidR="00B1586C" w:rsidRPr="005E7C3B" w14:paraId="11A5CF2C" w14:textId="77777777" w:rsidTr="005E7C3B">
        <w:tc>
          <w:tcPr>
            <w:tcW w:w="1265" w:type="dxa"/>
            <w:shd w:val="clear" w:color="auto" w:fill="auto"/>
            <w:noWrap/>
          </w:tcPr>
          <w:p w14:paraId="5DCD8B48" w14:textId="77777777" w:rsidR="00B1586C" w:rsidRPr="005E7C3B" w:rsidRDefault="00B1586C" w:rsidP="005E7C3B">
            <w:pPr>
              <w:spacing w:before="40" w:after="120"/>
              <w:ind w:right="113"/>
              <w:rPr>
                <w:lang w:val="es-CO" w:eastAsia="es-CO"/>
              </w:rPr>
            </w:pPr>
            <w:r w:rsidRPr="005E7C3B">
              <w:rPr>
                <w:lang w:val="es-CO" w:eastAsia="es-CO"/>
              </w:rPr>
              <w:t>DIH</w:t>
            </w:r>
          </w:p>
        </w:tc>
        <w:tc>
          <w:tcPr>
            <w:tcW w:w="6105" w:type="dxa"/>
            <w:shd w:val="clear" w:color="auto" w:fill="auto"/>
          </w:tcPr>
          <w:p w14:paraId="31652E16" w14:textId="77777777" w:rsidR="00B1586C" w:rsidRPr="005E7C3B" w:rsidRDefault="00B1586C" w:rsidP="005E7C3B">
            <w:pPr>
              <w:spacing w:before="40" w:after="120"/>
              <w:ind w:right="113"/>
              <w:rPr>
                <w:lang w:val="es-CO" w:eastAsia="es-CO"/>
              </w:rPr>
            </w:pPr>
            <w:r w:rsidRPr="005E7C3B">
              <w:rPr>
                <w:lang w:val="es-CO" w:eastAsia="es-CO"/>
              </w:rPr>
              <w:t>Derecho Internacional Humanitario</w:t>
            </w:r>
          </w:p>
        </w:tc>
      </w:tr>
      <w:tr w:rsidR="00B1586C" w:rsidRPr="005E7C3B" w14:paraId="4156FC7E" w14:textId="77777777" w:rsidTr="005E7C3B">
        <w:tc>
          <w:tcPr>
            <w:tcW w:w="1265" w:type="dxa"/>
            <w:shd w:val="clear" w:color="auto" w:fill="auto"/>
            <w:noWrap/>
          </w:tcPr>
          <w:p w14:paraId="210981E9" w14:textId="77777777" w:rsidR="00B1586C" w:rsidRPr="005E7C3B" w:rsidRDefault="00B1586C" w:rsidP="005E7C3B">
            <w:pPr>
              <w:spacing w:before="40" w:after="120"/>
              <w:ind w:right="113"/>
              <w:rPr>
                <w:lang w:val="es-CO" w:eastAsia="es-CO"/>
              </w:rPr>
            </w:pPr>
            <w:r w:rsidRPr="005E7C3B">
              <w:rPr>
                <w:lang w:val="es-CO" w:eastAsia="es-CO"/>
              </w:rPr>
              <w:t>DIJIN</w:t>
            </w:r>
          </w:p>
        </w:tc>
        <w:tc>
          <w:tcPr>
            <w:tcW w:w="6105" w:type="dxa"/>
            <w:shd w:val="clear" w:color="auto" w:fill="auto"/>
          </w:tcPr>
          <w:p w14:paraId="04C98098" w14:textId="77777777" w:rsidR="00B1586C" w:rsidRPr="005E7C3B" w:rsidRDefault="00B1586C" w:rsidP="005E7C3B">
            <w:pPr>
              <w:spacing w:before="40" w:after="120"/>
              <w:ind w:right="113"/>
              <w:rPr>
                <w:lang w:val="es-CO" w:eastAsia="es-CO"/>
              </w:rPr>
            </w:pPr>
            <w:r w:rsidRPr="005E7C3B">
              <w:rPr>
                <w:lang w:val="es-CO" w:eastAsia="es-CO"/>
              </w:rPr>
              <w:t>Dirección de Investigación Criminal e Interpol</w:t>
            </w:r>
          </w:p>
        </w:tc>
      </w:tr>
      <w:tr w:rsidR="00B1586C" w:rsidRPr="005E7C3B" w14:paraId="5898B5F1" w14:textId="77777777" w:rsidTr="005E7C3B">
        <w:tc>
          <w:tcPr>
            <w:tcW w:w="1265" w:type="dxa"/>
            <w:shd w:val="clear" w:color="auto" w:fill="auto"/>
            <w:noWrap/>
          </w:tcPr>
          <w:p w14:paraId="41214D3B" w14:textId="77777777" w:rsidR="00B1586C" w:rsidRPr="005E7C3B" w:rsidRDefault="00B1586C" w:rsidP="005E7C3B">
            <w:pPr>
              <w:spacing w:before="40" w:after="120"/>
              <w:ind w:right="113"/>
              <w:rPr>
                <w:lang w:val="es-CO" w:eastAsia="es-CO"/>
              </w:rPr>
            </w:pPr>
            <w:r w:rsidRPr="005E7C3B">
              <w:rPr>
                <w:lang w:val="es-CO" w:eastAsia="es-CO"/>
              </w:rPr>
              <w:t>DINAC</w:t>
            </w:r>
          </w:p>
        </w:tc>
        <w:tc>
          <w:tcPr>
            <w:tcW w:w="6105" w:type="dxa"/>
            <w:shd w:val="clear" w:color="auto" w:fill="auto"/>
          </w:tcPr>
          <w:p w14:paraId="359CBA02" w14:textId="77777777" w:rsidR="00B1586C" w:rsidRPr="005E7C3B" w:rsidRDefault="00B1586C" w:rsidP="005E7C3B">
            <w:pPr>
              <w:spacing w:before="40" w:after="120"/>
              <w:ind w:right="113"/>
              <w:rPr>
                <w:lang w:val="es-CO" w:eastAsia="es-CO"/>
              </w:rPr>
            </w:pPr>
            <w:r w:rsidRPr="005E7C3B">
              <w:rPr>
                <w:lang w:val="es-CO" w:eastAsia="es-CO"/>
              </w:rPr>
              <w:t xml:space="preserve">Dirección Nacional de Análisis y Contexto </w:t>
            </w:r>
          </w:p>
        </w:tc>
      </w:tr>
      <w:tr w:rsidR="00B1586C" w:rsidRPr="005E7C3B" w14:paraId="596E277C" w14:textId="77777777" w:rsidTr="005E7C3B">
        <w:tc>
          <w:tcPr>
            <w:tcW w:w="1265" w:type="dxa"/>
            <w:shd w:val="clear" w:color="auto" w:fill="auto"/>
            <w:noWrap/>
          </w:tcPr>
          <w:p w14:paraId="7588C8DF" w14:textId="77777777" w:rsidR="00B1586C" w:rsidRPr="005E7C3B" w:rsidRDefault="00B1586C" w:rsidP="005E7C3B">
            <w:pPr>
              <w:spacing w:before="40" w:after="120"/>
              <w:ind w:right="113"/>
              <w:rPr>
                <w:lang w:val="es-CO" w:eastAsia="es-CO"/>
              </w:rPr>
            </w:pPr>
            <w:r w:rsidRPr="005E7C3B">
              <w:rPr>
                <w:lang w:val="es-CO" w:eastAsia="es-CO"/>
              </w:rPr>
              <w:t>DIPON</w:t>
            </w:r>
          </w:p>
        </w:tc>
        <w:tc>
          <w:tcPr>
            <w:tcW w:w="6105" w:type="dxa"/>
            <w:shd w:val="clear" w:color="auto" w:fill="auto"/>
          </w:tcPr>
          <w:p w14:paraId="1B8F098D" w14:textId="77777777" w:rsidR="00B1586C" w:rsidRPr="005E7C3B" w:rsidRDefault="00B1586C" w:rsidP="005E7C3B">
            <w:pPr>
              <w:spacing w:before="40" w:after="120"/>
              <w:ind w:right="113"/>
              <w:rPr>
                <w:lang w:val="es-CO" w:eastAsia="es-CO"/>
              </w:rPr>
            </w:pPr>
            <w:r w:rsidRPr="005E7C3B">
              <w:rPr>
                <w:lang w:val="es-CO" w:eastAsia="es-CO"/>
              </w:rPr>
              <w:t>Dirección General de la Policía Nacional</w:t>
            </w:r>
          </w:p>
        </w:tc>
      </w:tr>
      <w:tr w:rsidR="00B1586C" w:rsidRPr="005E7C3B" w14:paraId="0ACA397C" w14:textId="77777777" w:rsidTr="005E7C3B">
        <w:tc>
          <w:tcPr>
            <w:tcW w:w="1265" w:type="dxa"/>
            <w:shd w:val="clear" w:color="auto" w:fill="auto"/>
            <w:noWrap/>
          </w:tcPr>
          <w:p w14:paraId="71EDA1E7" w14:textId="77777777" w:rsidR="00B1586C" w:rsidRPr="005E7C3B" w:rsidRDefault="00B1586C" w:rsidP="005E7C3B">
            <w:pPr>
              <w:spacing w:before="40" w:after="120"/>
              <w:ind w:right="113"/>
              <w:rPr>
                <w:lang w:val="es-CO" w:eastAsia="es-CO"/>
              </w:rPr>
            </w:pPr>
            <w:r w:rsidRPr="005E7C3B">
              <w:rPr>
                <w:lang w:val="es-CO" w:eastAsia="es-CO"/>
              </w:rPr>
              <w:t>DIPRO</w:t>
            </w:r>
          </w:p>
        </w:tc>
        <w:tc>
          <w:tcPr>
            <w:tcW w:w="6105" w:type="dxa"/>
            <w:shd w:val="clear" w:color="auto" w:fill="auto"/>
          </w:tcPr>
          <w:p w14:paraId="4468FD4D" w14:textId="77777777" w:rsidR="00B1586C" w:rsidRPr="005E7C3B" w:rsidRDefault="00B1586C" w:rsidP="005E7C3B">
            <w:pPr>
              <w:spacing w:before="40" w:after="120"/>
              <w:ind w:right="113"/>
              <w:rPr>
                <w:lang w:val="es-CO" w:eastAsia="es-CO"/>
              </w:rPr>
            </w:pPr>
            <w:r w:rsidRPr="005E7C3B">
              <w:rPr>
                <w:lang w:val="es-CO" w:eastAsia="es-CO"/>
              </w:rPr>
              <w:t xml:space="preserve">Dirección de Protección y Servicios Especiales de la Policía Nacional </w:t>
            </w:r>
          </w:p>
        </w:tc>
      </w:tr>
      <w:tr w:rsidR="00B1586C" w:rsidRPr="005E7C3B" w14:paraId="54AA6759" w14:textId="77777777" w:rsidTr="005E7C3B">
        <w:tc>
          <w:tcPr>
            <w:tcW w:w="1265" w:type="dxa"/>
            <w:shd w:val="clear" w:color="auto" w:fill="auto"/>
            <w:noWrap/>
          </w:tcPr>
          <w:p w14:paraId="0B0BFA9B" w14:textId="77777777" w:rsidR="00B1586C" w:rsidRPr="005E7C3B" w:rsidRDefault="00B1586C" w:rsidP="005E7C3B">
            <w:pPr>
              <w:spacing w:before="40" w:after="120"/>
              <w:ind w:right="113"/>
              <w:rPr>
                <w:lang w:val="es-CO" w:eastAsia="es-CO"/>
              </w:rPr>
            </w:pPr>
            <w:r w:rsidRPr="005E7C3B">
              <w:rPr>
                <w:lang w:val="es-CO" w:eastAsia="es-CO"/>
              </w:rPr>
              <w:t>ELN</w:t>
            </w:r>
          </w:p>
        </w:tc>
        <w:tc>
          <w:tcPr>
            <w:tcW w:w="6105" w:type="dxa"/>
            <w:shd w:val="clear" w:color="auto" w:fill="auto"/>
          </w:tcPr>
          <w:p w14:paraId="6599B465" w14:textId="77777777" w:rsidR="00B1586C" w:rsidRPr="005E7C3B" w:rsidRDefault="00B1586C" w:rsidP="005E7C3B">
            <w:pPr>
              <w:spacing w:before="40" w:after="120"/>
              <w:ind w:right="113"/>
              <w:rPr>
                <w:lang w:val="es-CO" w:eastAsia="es-CO"/>
              </w:rPr>
            </w:pPr>
            <w:r w:rsidRPr="005E7C3B">
              <w:rPr>
                <w:lang w:val="es-CO" w:eastAsia="es-CO"/>
              </w:rPr>
              <w:t>Ejército de Liberación Nacional</w:t>
            </w:r>
          </w:p>
        </w:tc>
      </w:tr>
      <w:tr w:rsidR="00B1586C" w:rsidRPr="005E7C3B" w14:paraId="3523E0B6" w14:textId="77777777" w:rsidTr="005E7C3B">
        <w:tc>
          <w:tcPr>
            <w:tcW w:w="1265" w:type="dxa"/>
            <w:shd w:val="clear" w:color="auto" w:fill="auto"/>
            <w:noWrap/>
          </w:tcPr>
          <w:p w14:paraId="284BA750" w14:textId="77777777" w:rsidR="00B1586C" w:rsidRPr="005E7C3B" w:rsidRDefault="00B1586C" w:rsidP="005E7C3B">
            <w:pPr>
              <w:spacing w:before="40" w:after="120"/>
              <w:ind w:right="113"/>
              <w:rPr>
                <w:lang w:val="es-CO" w:eastAsia="es-CO"/>
              </w:rPr>
            </w:pPr>
            <w:r w:rsidRPr="005E7C3B">
              <w:rPr>
                <w:lang w:val="es-CO" w:eastAsia="es-CO"/>
              </w:rPr>
              <w:t>ESPOV</w:t>
            </w:r>
          </w:p>
        </w:tc>
        <w:tc>
          <w:tcPr>
            <w:tcW w:w="6105" w:type="dxa"/>
            <w:shd w:val="clear" w:color="auto" w:fill="auto"/>
          </w:tcPr>
          <w:p w14:paraId="795E63B4" w14:textId="77777777" w:rsidR="00B1586C" w:rsidRPr="005E7C3B" w:rsidRDefault="00B1586C" w:rsidP="005E7C3B">
            <w:pPr>
              <w:spacing w:before="40" w:after="120"/>
              <w:ind w:right="113"/>
              <w:rPr>
                <w:lang w:val="es-CO" w:eastAsia="es-CO"/>
              </w:rPr>
            </w:pPr>
            <w:r w:rsidRPr="005E7C3B">
              <w:rPr>
                <w:lang w:val="es-CO" w:eastAsia="es-CO"/>
              </w:rPr>
              <w:t xml:space="preserve">Estrategia de Atención a Poblaciones en Situación de Vulnerabilidad- </w:t>
            </w:r>
          </w:p>
        </w:tc>
      </w:tr>
      <w:tr w:rsidR="00B1586C" w:rsidRPr="005E7C3B" w14:paraId="1433AD7A" w14:textId="77777777" w:rsidTr="005E7C3B">
        <w:tc>
          <w:tcPr>
            <w:tcW w:w="1265" w:type="dxa"/>
            <w:shd w:val="clear" w:color="auto" w:fill="auto"/>
            <w:noWrap/>
          </w:tcPr>
          <w:p w14:paraId="3C706462" w14:textId="77777777" w:rsidR="00B1586C" w:rsidRPr="005E7C3B" w:rsidRDefault="00B1586C" w:rsidP="005E7C3B">
            <w:pPr>
              <w:spacing w:before="40" w:after="120"/>
              <w:ind w:right="113"/>
              <w:rPr>
                <w:lang w:val="es-CO" w:eastAsia="es-CO"/>
              </w:rPr>
            </w:pPr>
            <w:r w:rsidRPr="005E7C3B">
              <w:rPr>
                <w:lang w:val="es-CO" w:eastAsia="es-CO"/>
              </w:rPr>
              <w:t>ESPOV</w:t>
            </w:r>
          </w:p>
        </w:tc>
        <w:tc>
          <w:tcPr>
            <w:tcW w:w="6105" w:type="dxa"/>
            <w:shd w:val="clear" w:color="auto" w:fill="auto"/>
          </w:tcPr>
          <w:p w14:paraId="3EC7DB45" w14:textId="77777777" w:rsidR="00B1586C" w:rsidRPr="005E7C3B" w:rsidRDefault="00B1586C" w:rsidP="005E7C3B">
            <w:pPr>
              <w:spacing w:before="40" w:after="120"/>
              <w:ind w:right="113"/>
              <w:rPr>
                <w:lang w:val="es-CO" w:eastAsia="es-CO"/>
              </w:rPr>
            </w:pPr>
            <w:r w:rsidRPr="005E7C3B">
              <w:rPr>
                <w:lang w:val="es-CO" w:eastAsia="es-CO"/>
              </w:rPr>
              <w:t>Estrategia de Atención a Poblaciones en Situación de Vulnerabilidad</w:t>
            </w:r>
          </w:p>
        </w:tc>
      </w:tr>
      <w:tr w:rsidR="00B1586C" w:rsidRPr="005E7C3B" w14:paraId="0A002941" w14:textId="77777777" w:rsidTr="005E7C3B">
        <w:tc>
          <w:tcPr>
            <w:tcW w:w="1265" w:type="dxa"/>
            <w:shd w:val="clear" w:color="auto" w:fill="auto"/>
            <w:noWrap/>
          </w:tcPr>
          <w:p w14:paraId="1D92D8C5" w14:textId="77777777" w:rsidR="00B1586C" w:rsidRPr="005E7C3B" w:rsidRDefault="00B1586C" w:rsidP="005E7C3B">
            <w:pPr>
              <w:spacing w:before="40" w:after="120"/>
              <w:ind w:right="113"/>
              <w:rPr>
                <w:lang w:val="es-CO" w:eastAsia="es-CO"/>
              </w:rPr>
            </w:pPr>
            <w:r w:rsidRPr="005E7C3B">
              <w:rPr>
                <w:lang w:val="es-CO" w:eastAsia="es-CO"/>
              </w:rPr>
              <w:t>ETCR</w:t>
            </w:r>
          </w:p>
        </w:tc>
        <w:tc>
          <w:tcPr>
            <w:tcW w:w="6105" w:type="dxa"/>
            <w:shd w:val="clear" w:color="auto" w:fill="auto"/>
          </w:tcPr>
          <w:p w14:paraId="2592C0EE" w14:textId="77777777" w:rsidR="00B1586C" w:rsidRPr="005E7C3B" w:rsidRDefault="00B1586C" w:rsidP="005E7C3B">
            <w:pPr>
              <w:spacing w:before="40" w:after="120"/>
              <w:ind w:right="113"/>
              <w:rPr>
                <w:lang w:val="es-CO" w:eastAsia="es-CO"/>
              </w:rPr>
            </w:pPr>
            <w:r w:rsidRPr="005E7C3B">
              <w:rPr>
                <w:lang w:val="es-CO" w:eastAsia="es-CO"/>
              </w:rPr>
              <w:t>Espacios Territoriales de Capacitación y Reincorporación</w:t>
            </w:r>
          </w:p>
        </w:tc>
      </w:tr>
      <w:tr w:rsidR="00B1586C" w:rsidRPr="005E7C3B" w14:paraId="7E649FE7" w14:textId="77777777" w:rsidTr="005E7C3B">
        <w:tc>
          <w:tcPr>
            <w:tcW w:w="1265" w:type="dxa"/>
            <w:shd w:val="clear" w:color="auto" w:fill="auto"/>
            <w:noWrap/>
          </w:tcPr>
          <w:p w14:paraId="433B5E55" w14:textId="77777777" w:rsidR="00B1586C" w:rsidRPr="005E7C3B" w:rsidRDefault="00B1586C" w:rsidP="005E7C3B">
            <w:pPr>
              <w:spacing w:before="40" w:after="120"/>
              <w:ind w:right="113"/>
              <w:rPr>
                <w:lang w:val="es-CO" w:eastAsia="es-CO"/>
              </w:rPr>
            </w:pPr>
            <w:r w:rsidRPr="005E7C3B">
              <w:rPr>
                <w:lang w:val="es-CO" w:eastAsia="es-CO"/>
              </w:rPr>
              <w:t>FARC-EP</w:t>
            </w:r>
          </w:p>
        </w:tc>
        <w:tc>
          <w:tcPr>
            <w:tcW w:w="6105" w:type="dxa"/>
            <w:shd w:val="clear" w:color="auto" w:fill="auto"/>
          </w:tcPr>
          <w:p w14:paraId="579EB3CD" w14:textId="77777777" w:rsidR="00B1586C" w:rsidRPr="005E7C3B" w:rsidRDefault="00B1586C" w:rsidP="005E7C3B">
            <w:pPr>
              <w:spacing w:before="40" w:after="120"/>
              <w:ind w:right="113"/>
              <w:rPr>
                <w:lang w:val="es-CO" w:eastAsia="es-CO"/>
              </w:rPr>
            </w:pPr>
            <w:r w:rsidRPr="005E7C3B">
              <w:rPr>
                <w:lang w:val="es-CO" w:eastAsia="es-CO"/>
              </w:rPr>
              <w:t>Fuerzas Armadas Revolucionarias de Colombia</w:t>
            </w:r>
          </w:p>
        </w:tc>
      </w:tr>
      <w:tr w:rsidR="00B1586C" w:rsidRPr="005E7C3B" w14:paraId="251C0BD3" w14:textId="77777777" w:rsidTr="005E7C3B">
        <w:tc>
          <w:tcPr>
            <w:tcW w:w="1265" w:type="dxa"/>
            <w:shd w:val="clear" w:color="auto" w:fill="auto"/>
            <w:noWrap/>
          </w:tcPr>
          <w:p w14:paraId="7557585A" w14:textId="77777777" w:rsidR="00B1586C" w:rsidRPr="005E7C3B" w:rsidRDefault="00B1586C" w:rsidP="005E7C3B">
            <w:pPr>
              <w:spacing w:before="40" w:after="120"/>
              <w:ind w:right="113"/>
              <w:rPr>
                <w:lang w:val="es-CO" w:eastAsia="es-CO"/>
              </w:rPr>
            </w:pPr>
            <w:r w:rsidRPr="005E7C3B">
              <w:rPr>
                <w:lang w:val="es-CO" w:eastAsia="es-CO"/>
              </w:rPr>
              <w:t>GAO</w:t>
            </w:r>
          </w:p>
        </w:tc>
        <w:tc>
          <w:tcPr>
            <w:tcW w:w="6105" w:type="dxa"/>
            <w:shd w:val="clear" w:color="auto" w:fill="auto"/>
          </w:tcPr>
          <w:p w14:paraId="32E56337" w14:textId="77777777" w:rsidR="00B1586C" w:rsidRPr="005E7C3B" w:rsidRDefault="00B1586C" w:rsidP="005E7C3B">
            <w:pPr>
              <w:spacing w:before="40" w:after="120"/>
              <w:ind w:right="113"/>
              <w:rPr>
                <w:lang w:val="es-CO" w:eastAsia="es-CO"/>
              </w:rPr>
            </w:pPr>
            <w:r w:rsidRPr="005E7C3B">
              <w:rPr>
                <w:lang w:val="es-CO" w:eastAsia="es-CO"/>
              </w:rPr>
              <w:t>Grupo Armado Organizado</w:t>
            </w:r>
          </w:p>
        </w:tc>
      </w:tr>
      <w:tr w:rsidR="00B1586C" w:rsidRPr="005E7C3B" w14:paraId="06770D98" w14:textId="77777777" w:rsidTr="005E7C3B">
        <w:tc>
          <w:tcPr>
            <w:tcW w:w="1265" w:type="dxa"/>
            <w:shd w:val="clear" w:color="auto" w:fill="auto"/>
            <w:noWrap/>
          </w:tcPr>
          <w:p w14:paraId="3FFE6522" w14:textId="546C282D" w:rsidR="00B1586C" w:rsidRPr="005E7C3B" w:rsidRDefault="00B1586C" w:rsidP="005E7C3B">
            <w:pPr>
              <w:spacing w:before="40" w:after="120"/>
              <w:ind w:right="113"/>
              <w:rPr>
                <w:lang w:val="es-CO" w:eastAsia="es-CO"/>
              </w:rPr>
            </w:pPr>
            <w:r w:rsidRPr="005E7C3B">
              <w:rPr>
                <w:lang w:val="es-CO" w:eastAsia="es-CO"/>
              </w:rPr>
              <w:t>GAO</w:t>
            </w:r>
            <w:r>
              <w:rPr>
                <w:lang w:val="es-CO" w:eastAsia="es-CO"/>
              </w:rPr>
              <w:t>R</w:t>
            </w:r>
          </w:p>
        </w:tc>
        <w:tc>
          <w:tcPr>
            <w:tcW w:w="6105" w:type="dxa"/>
            <w:shd w:val="clear" w:color="auto" w:fill="auto"/>
          </w:tcPr>
          <w:p w14:paraId="1D7AAE22" w14:textId="77777777" w:rsidR="00B1586C" w:rsidRPr="005E7C3B" w:rsidRDefault="00B1586C" w:rsidP="005E7C3B">
            <w:pPr>
              <w:spacing w:before="40" w:after="120"/>
              <w:ind w:right="113"/>
              <w:rPr>
                <w:lang w:val="es-CO" w:eastAsia="es-CO"/>
              </w:rPr>
            </w:pPr>
            <w:r w:rsidRPr="005E7C3B">
              <w:rPr>
                <w:lang w:val="es-CO" w:eastAsia="es-CO"/>
              </w:rPr>
              <w:t xml:space="preserve">Grupos Armados Organizados Residuales </w:t>
            </w:r>
          </w:p>
        </w:tc>
      </w:tr>
      <w:tr w:rsidR="00B1586C" w:rsidRPr="005E7C3B" w14:paraId="67771493" w14:textId="77777777" w:rsidTr="005E7C3B">
        <w:tc>
          <w:tcPr>
            <w:tcW w:w="1265" w:type="dxa"/>
            <w:shd w:val="clear" w:color="auto" w:fill="auto"/>
            <w:noWrap/>
          </w:tcPr>
          <w:p w14:paraId="20513F63" w14:textId="77777777" w:rsidR="00B1586C" w:rsidRPr="005E7C3B" w:rsidRDefault="00B1586C" w:rsidP="005E7C3B">
            <w:pPr>
              <w:spacing w:before="40" w:after="120"/>
              <w:ind w:right="113"/>
              <w:rPr>
                <w:lang w:val="es-CO" w:eastAsia="es-CO"/>
              </w:rPr>
            </w:pPr>
            <w:r w:rsidRPr="005E7C3B">
              <w:rPr>
                <w:lang w:val="es-CO" w:eastAsia="es-CO"/>
              </w:rPr>
              <w:t xml:space="preserve">GDCO </w:t>
            </w:r>
          </w:p>
        </w:tc>
        <w:tc>
          <w:tcPr>
            <w:tcW w:w="6105" w:type="dxa"/>
            <w:shd w:val="clear" w:color="auto" w:fill="auto"/>
          </w:tcPr>
          <w:p w14:paraId="67F97129" w14:textId="77777777" w:rsidR="00B1586C" w:rsidRPr="005E7C3B" w:rsidRDefault="00B1586C" w:rsidP="005E7C3B">
            <w:pPr>
              <w:spacing w:before="40" w:after="120"/>
              <w:ind w:right="113"/>
              <w:rPr>
                <w:lang w:val="es-CO" w:eastAsia="es-CO"/>
              </w:rPr>
            </w:pPr>
            <w:r w:rsidRPr="005E7C3B">
              <w:rPr>
                <w:lang w:val="es-CO" w:eastAsia="es-CO"/>
              </w:rPr>
              <w:t>Grupos de Delincuencia Común Organizada</w:t>
            </w:r>
          </w:p>
        </w:tc>
      </w:tr>
      <w:tr w:rsidR="00B1586C" w:rsidRPr="005E7C3B" w14:paraId="5DCC4E32" w14:textId="77777777" w:rsidTr="005E7C3B">
        <w:tc>
          <w:tcPr>
            <w:tcW w:w="1265" w:type="dxa"/>
            <w:shd w:val="clear" w:color="auto" w:fill="auto"/>
            <w:noWrap/>
          </w:tcPr>
          <w:p w14:paraId="5E5D2DB5" w14:textId="77777777" w:rsidR="00B1586C" w:rsidRPr="005E7C3B" w:rsidRDefault="00B1586C" w:rsidP="005E7C3B">
            <w:pPr>
              <w:spacing w:before="40" w:after="120"/>
              <w:ind w:right="113"/>
              <w:rPr>
                <w:lang w:val="es-CO" w:eastAsia="es-CO"/>
              </w:rPr>
            </w:pPr>
            <w:r w:rsidRPr="005E7C3B">
              <w:rPr>
                <w:lang w:val="es-CO" w:eastAsia="es-CO"/>
              </w:rPr>
              <w:t>GDO</w:t>
            </w:r>
          </w:p>
        </w:tc>
        <w:tc>
          <w:tcPr>
            <w:tcW w:w="6105" w:type="dxa"/>
            <w:shd w:val="clear" w:color="auto" w:fill="auto"/>
          </w:tcPr>
          <w:p w14:paraId="37AF5E95" w14:textId="77777777" w:rsidR="00B1586C" w:rsidRPr="005E7C3B" w:rsidRDefault="00B1586C" w:rsidP="005E7C3B">
            <w:pPr>
              <w:spacing w:before="40" w:after="120"/>
              <w:ind w:right="113"/>
              <w:rPr>
                <w:lang w:val="es-CO" w:eastAsia="es-CO"/>
              </w:rPr>
            </w:pPr>
            <w:r w:rsidRPr="005E7C3B">
              <w:rPr>
                <w:lang w:val="es-CO" w:eastAsia="es-CO"/>
              </w:rPr>
              <w:t>Grupos de Delincuencia Organizada</w:t>
            </w:r>
          </w:p>
        </w:tc>
      </w:tr>
      <w:tr w:rsidR="00B1586C" w:rsidRPr="005E7C3B" w14:paraId="24387FD6" w14:textId="77777777" w:rsidTr="005E7C3B">
        <w:tc>
          <w:tcPr>
            <w:tcW w:w="1265" w:type="dxa"/>
            <w:shd w:val="clear" w:color="auto" w:fill="auto"/>
            <w:noWrap/>
          </w:tcPr>
          <w:p w14:paraId="01E0CCBA" w14:textId="77777777" w:rsidR="00B1586C" w:rsidRPr="005E7C3B" w:rsidRDefault="00B1586C" w:rsidP="005E7C3B">
            <w:pPr>
              <w:spacing w:before="40" w:after="120"/>
              <w:ind w:right="113"/>
              <w:rPr>
                <w:lang w:val="es-CO" w:eastAsia="es-CO"/>
              </w:rPr>
            </w:pPr>
            <w:r w:rsidRPr="005E7C3B">
              <w:rPr>
                <w:lang w:val="es-CO" w:eastAsia="es-CO"/>
              </w:rPr>
              <w:t>ICBF</w:t>
            </w:r>
          </w:p>
        </w:tc>
        <w:tc>
          <w:tcPr>
            <w:tcW w:w="6105" w:type="dxa"/>
            <w:shd w:val="clear" w:color="auto" w:fill="auto"/>
          </w:tcPr>
          <w:p w14:paraId="281AB903" w14:textId="77777777" w:rsidR="00B1586C" w:rsidRPr="005E7C3B" w:rsidRDefault="00B1586C" w:rsidP="005E7C3B">
            <w:pPr>
              <w:spacing w:before="40" w:after="120"/>
              <w:ind w:right="113"/>
              <w:rPr>
                <w:lang w:val="es-CO" w:eastAsia="es-CO"/>
              </w:rPr>
            </w:pPr>
            <w:r w:rsidRPr="005E7C3B">
              <w:rPr>
                <w:lang w:val="es-CO" w:eastAsia="es-CO"/>
              </w:rPr>
              <w:t xml:space="preserve">Colombiano de Bienestar Familiar </w:t>
            </w:r>
          </w:p>
        </w:tc>
      </w:tr>
      <w:tr w:rsidR="00B1586C" w:rsidRPr="005E7C3B" w14:paraId="520BEC01" w14:textId="77777777" w:rsidTr="005E7C3B">
        <w:tc>
          <w:tcPr>
            <w:tcW w:w="1265" w:type="dxa"/>
            <w:shd w:val="clear" w:color="auto" w:fill="auto"/>
            <w:noWrap/>
          </w:tcPr>
          <w:p w14:paraId="268CF3C2" w14:textId="77777777" w:rsidR="00B1586C" w:rsidRPr="005E7C3B" w:rsidRDefault="00B1586C" w:rsidP="005E7C3B">
            <w:pPr>
              <w:spacing w:before="40" w:after="120"/>
              <w:ind w:right="113"/>
              <w:rPr>
                <w:lang w:val="es-CO" w:eastAsia="es-CO"/>
              </w:rPr>
            </w:pPr>
            <w:r w:rsidRPr="005E7C3B">
              <w:rPr>
                <w:lang w:val="es-CO" w:eastAsia="es-CO"/>
              </w:rPr>
              <w:t>INPEC</w:t>
            </w:r>
          </w:p>
        </w:tc>
        <w:tc>
          <w:tcPr>
            <w:tcW w:w="6105" w:type="dxa"/>
            <w:shd w:val="clear" w:color="auto" w:fill="auto"/>
          </w:tcPr>
          <w:p w14:paraId="08702A1A" w14:textId="77777777" w:rsidR="00B1586C" w:rsidRPr="005E7C3B" w:rsidRDefault="00B1586C" w:rsidP="005E7C3B">
            <w:pPr>
              <w:spacing w:before="40" w:after="120"/>
              <w:ind w:right="113"/>
              <w:rPr>
                <w:lang w:val="es-CO" w:eastAsia="es-CO"/>
              </w:rPr>
            </w:pPr>
            <w:r w:rsidRPr="005E7C3B">
              <w:rPr>
                <w:lang w:val="es-CO" w:eastAsia="es-CO"/>
              </w:rPr>
              <w:t xml:space="preserve">Instituto Penitenciario y Carcelario </w:t>
            </w:r>
          </w:p>
        </w:tc>
      </w:tr>
      <w:tr w:rsidR="00B1586C" w:rsidRPr="005E7C3B" w14:paraId="23EC5071" w14:textId="77777777" w:rsidTr="005E7C3B">
        <w:tc>
          <w:tcPr>
            <w:tcW w:w="1265" w:type="dxa"/>
            <w:shd w:val="clear" w:color="auto" w:fill="auto"/>
            <w:noWrap/>
          </w:tcPr>
          <w:p w14:paraId="2E69C3EC" w14:textId="77777777" w:rsidR="00B1586C" w:rsidRPr="005E7C3B" w:rsidRDefault="00B1586C" w:rsidP="005E7C3B">
            <w:pPr>
              <w:spacing w:before="40" w:after="120"/>
              <w:ind w:right="113"/>
              <w:rPr>
                <w:lang w:val="es-CO" w:eastAsia="es-CO"/>
              </w:rPr>
            </w:pPr>
            <w:r w:rsidRPr="005E7C3B">
              <w:rPr>
                <w:lang w:val="es-CO" w:eastAsia="es-CO"/>
              </w:rPr>
              <w:t>INTERPOL</w:t>
            </w:r>
          </w:p>
        </w:tc>
        <w:tc>
          <w:tcPr>
            <w:tcW w:w="6105" w:type="dxa"/>
            <w:shd w:val="clear" w:color="auto" w:fill="auto"/>
          </w:tcPr>
          <w:p w14:paraId="2A8DFB3E" w14:textId="77777777" w:rsidR="00B1586C" w:rsidRPr="005E7C3B" w:rsidRDefault="00B1586C" w:rsidP="005E7C3B">
            <w:pPr>
              <w:spacing w:before="40" w:after="120"/>
              <w:ind w:right="113"/>
              <w:rPr>
                <w:lang w:val="es-CO" w:eastAsia="es-CO"/>
              </w:rPr>
            </w:pPr>
            <w:r w:rsidRPr="005E7C3B">
              <w:rPr>
                <w:lang w:val="es-CO" w:eastAsia="es-CO"/>
              </w:rPr>
              <w:t>Organización Internacional de Policía Criminal o Policía Internacional</w:t>
            </w:r>
          </w:p>
        </w:tc>
      </w:tr>
      <w:tr w:rsidR="00B1586C" w:rsidRPr="005E7C3B" w14:paraId="3BF24C82" w14:textId="77777777" w:rsidTr="005E7C3B">
        <w:tc>
          <w:tcPr>
            <w:tcW w:w="1265" w:type="dxa"/>
            <w:shd w:val="clear" w:color="auto" w:fill="auto"/>
            <w:noWrap/>
          </w:tcPr>
          <w:p w14:paraId="3BD6CD80" w14:textId="77777777" w:rsidR="00B1586C" w:rsidRPr="005E7C3B" w:rsidRDefault="00B1586C" w:rsidP="005E7C3B">
            <w:pPr>
              <w:spacing w:before="40" w:after="120"/>
              <w:ind w:right="113"/>
              <w:rPr>
                <w:lang w:val="es-CO" w:eastAsia="es-CO"/>
              </w:rPr>
            </w:pPr>
            <w:r w:rsidRPr="005E7C3B">
              <w:rPr>
                <w:lang w:val="es-CO" w:eastAsia="es-CO"/>
              </w:rPr>
              <w:t>JEP</w:t>
            </w:r>
          </w:p>
        </w:tc>
        <w:tc>
          <w:tcPr>
            <w:tcW w:w="6105" w:type="dxa"/>
            <w:shd w:val="clear" w:color="auto" w:fill="auto"/>
          </w:tcPr>
          <w:p w14:paraId="3A968828" w14:textId="77777777" w:rsidR="00B1586C" w:rsidRPr="005E7C3B" w:rsidRDefault="00B1586C" w:rsidP="005E7C3B">
            <w:pPr>
              <w:spacing w:before="40" w:after="120"/>
              <w:ind w:right="113"/>
              <w:rPr>
                <w:lang w:val="es-CO" w:eastAsia="es-CO"/>
              </w:rPr>
            </w:pPr>
            <w:r w:rsidRPr="005E7C3B">
              <w:rPr>
                <w:lang w:val="es-CO" w:eastAsia="es-CO"/>
              </w:rPr>
              <w:t>Jurisdicción Especial de Paz</w:t>
            </w:r>
          </w:p>
        </w:tc>
      </w:tr>
      <w:tr w:rsidR="00B1586C" w:rsidRPr="005E7C3B" w14:paraId="5CCA764D" w14:textId="77777777" w:rsidTr="005E7C3B">
        <w:tc>
          <w:tcPr>
            <w:tcW w:w="1265" w:type="dxa"/>
            <w:shd w:val="clear" w:color="auto" w:fill="auto"/>
            <w:noWrap/>
          </w:tcPr>
          <w:p w14:paraId="596DF93B" w14:textId="77777777" w:rsidR="00B1586C" w:rsidRPr="005E7C3B" w:rsidRDefault="00B1586C" w:rsidP="005E7C3B">
            <w:pPr>
              <w:spacing w:before="40" w:after="120"/>
              <w:ind w:right="113"/>
              <w:rPr>
                <w:lang w:val="es-CO" w:eastAsia="es-CO"/>
              </w:rPr>
            </w:pPr>
            <w:r w:rsidRPr="005E7C3B">
              <w:rPr>
                <w:lang w:val="es-CO" w:eastAsia="es-CO"/>
              </w:rPr>
              <w:t xml:space="preserve">MAARIV </w:t>
            </w:r>
          </w:p>
        </w:tc>
        <w:tc>
          <w:tcPr>
            <w:tcW w:w="6105" w:type="dxa"/>
            <w:shd w:val="clear" w:color="auto" w:fill="auto"/>
          </w:tcPr>
          <w:p w14:paraId="6AFF3CC0" w14:textId="77777777" w:rsidR="00B1586C" w:rsidRPr="005E7C3B" w:rsidRDefault="00B1586C" w:rsidP="005E7C3B">
            <w:pPr>
              <w:spacing w:before="40" w:after="120"/>
              <w:ind w:right="113"/>
              <w:rPr>
                <w:lang w:val="es-CO" w:eastAsia="es-CO"/>
              </w:rPr>
            </w:pPr>
            <w:r w:rsidRPr="005E7C3B">
              <w:rPr>
                <w:lang w:val="es-CO" w:eastAsia="es-CO"/>
              </w:rPr>
              <w:t xml:space="preserve">Modelo de Atención y Reparación Integral de las Victimas </w:t>
            </w:r>
          </w:p>
        </w:tc>
      </w:tr>
      <w:tr w:rsidR="00B1586C" w:rsidRPr="005E7C3B" w14:paraId="3FD1EE54" w14:textId="77777777" w:rsidTr="005E7C3B">
        <w:tc>
          <w:tcPr>
            <w:tcW w:w="1265" w:type="dxa"/>
            <w:shd w:val="clear" w:color="auto" w:fill="auto"/>
            <w:noWrap/>
          </w:tcPr>
          <w:p w14:paraId="5E295F2F" w14:textId="77777777" w:rsidR="00B1586C" w:rsidRPr="005E7C3B" w:rsidRDefault="00B1586C" w:rsidP="005E7C3B">
            <w:pPr>
              <w:spacing w:before="40" w:after="120"/>
              <w:ind w:right="113"/>
              <w:rPr>
                <w:lang w:val="es-CO" w:eastAsia="es-CO"/>
              </w:rPr>
            </w:pPr>
            <w:r w:rsidRPr="005E7C3B">
              <w:rPr>
                <w:lang w:val="es-CO" w:eastAsia="es-CO"/>
              </w:rPr>
              <w:t>NARP</w:t>
            </w:r>
          </w:p>
        </w:tc>
        <w:tc>
          <w:tcPr>
            <w:tcW w:w="6105" w:type="dxa"/>
            <w:shd w:val="clear" w:color="auto" w:fill="auto"/>
          </w:tcPr>
          <w:p w14:paraId="74356789" w14:textId="77777777" w:rsidR="00B1586C" w:rsidRPr="005E7C3B" w:rsidRDefault="00B1586C" w:rsidP="005E7C3B">
            <w:pPr>
              <w:spacing w:before="40" w:after="120"/>
              <w:ind w:right="113"/>
              <w:rPr>
                <w:lang w:val="es-CO" w:eastAsia="es-CO"/>
              </w:rPr>
            </w:pPr>
            <w:r w:rsidRPr="005E7C3B">
              <w:rPr>
                <w:lang w:val="es-CO" w:eastAsia="es-CO"/>
              </w:rPr>
              <w:t>Población Negra, Afrocolombiana, Raizal y Palenquera</w:t>
            </w:r>
          </w:p>
        </w:tc>
      </w:tr>
      <w:tr w:rsidR="00B1586C" w:rsidRPr="005E7C3B" w14:paraId="2C1F7FC9" w14:textId="77777777" w:rsidTr="005E7C3B">
        <w:tc>
          <w:tcPr>
            <w:tcW w:w="1265" w:type="dxa"/>
            <w:shd w:val="clear" w:color="auto" w:fill="auto"/>
            <w:noWrap/>
          </w:tcPr>
          <w:p w14:paraId="73B0D438" w14:textId="77777777" w:rsidR="00B1586C" w:rsidRPr="005E7C3B" w:rsidRDefault="00B1586C" w:rsidP="005E7C3B">
            <w:pPr>
              <w:spacing w:before="40" w:after="120"/>
              <w:ind w:right="113"/>
              <w:rPr>
                <w:lang w:val="es-CO" w:eastAsia="es-CO"/>
              </w:rPr>
            </w:pPr>
            <w:r w:rsidRPr="005E7C3B">
              <w:rPr>
                <w:lang w:val="es-CO" w:eastAsia="es-CO"/>
              </w:rPr>
              <w:t>ONG</w:t>
            </w:r>
          </w:p>
        </w:tc>
        <w:tc>
          <w:tcPr>
            <w:tcW w:w="6105" w:type="dxa"/>
            <w:shd w:val="clear" w:color="auto" w:fill="auto"/>
          </w:tcPr>
          <w:p w14:paraId="61CA6207" w14:textId="77777777" w:rsidR="00B1586C" w:rsidRPr="005E7C3B" w:rsidRDefault="00B1586C" w:rsidP="005E7C3B">
            <w:pPr>
              <w:spacing w:before="40" w:after="120"/>
              <w:ind w:right="113"/>
              <w:rPr>
                <w:lang w:val="es-CO" w:eastAsia="es-CO"/>
              </w:rPr>
            </w:pPr>
            <w:r w:rsidRPr="005E7C3B">
              <w:rPr>
                <w:lang w:val="es-CO" w:eastAsia="es-CO"/>
              </w:rPr>
              <w:t>Organización No Gubernamental</w:t>
            </w:r>
          </w:p>
        </w:tc>
      </w:tr>
      <w:tr w:rsidR="00B1586C" w:rsidRPr="005E7C3B" w14:paraId="1D7ACBE5" w14:textId="77777777" w:rsidTr="005E7C3B">
        <w:tc>
          <w:tcPr>
            <w:tcW w:w="1265" w:type="dxa"/>
            <w:shd w:val="clear" w:color="auto" w:fill="auto"/>
            <w:noWrap/>
          </w:tcPr>
          <w:p w14:paraId="4F76024F" w14:textId="77777777" w:rsidR="00B1586C" w:rsidRPr="005E7C3B" w:rsidRDefault="00B1586C" w:rsidP="005E7C3B">
            <w:pPr>
              <w:spacing w:before="40" w:after="120"/>
              <w:ind w:right="113"/>
              <w:rPr>
                <w:lang w:val="es-CO" w:eastAsia="es-CO"/>
              </w:rPr>
            </w:pPr>
            <w:r w:rsidRPr="005E7C3B">
              <w:rPr>
                <w:lang w:val="es-CO" w:eastAsia="es-CO"/>
              </w:rPr>
              <w:t>OPCAT</w:t>
            </w:r>
          </w:p>
        </w:tc>
        <w:tc>
          <w:tcPr>
            <w:tcW w:w="6105" w:type="dxa"/>
            <w:shd w:val="clear" w:color="auto" w:fill="auto"/>
          </w:tcPr>
          <w:p w14:paraId="7D4364B1" w14:textId="77777777" w:rsidR="00B1586C" w:rsidRPr="005E7C3B" w:rsidRDefault="00B1586C" w:rsidP="005E7C3B">
            <w:pPr>
              <w:spacing w:before="40" w:after="120"/>
              <w:ind w:right="113"/>
              <w:rPr>
                <w:lang w:val="es-CO" w:eastAsia="es-CO"/>
              </w:rPr>
            </w:pPr>
            <w:r w:rsidRPr="005E7C3B">
              <w:rPr>
                <w:lang w:val="es-CO" w:eastAsia="es-CO"/>
              </w:rPr>
              <w:t>Protocolo Facultativo de la Convención contra la Tortura y otros Tratos o Penas Crueles, Inhumanos o Degradantes</w:t>
            </w:r>
          </w:p>
        </w:tc>
      </w:tr>
      <w:tr w:rsidR="00B1586C" w:rsidRPr="005E7C3B" w14:paraId="057A3096" w14:textId="77777777" w:rsidTr="005E7C3B">
        <w:tc>
          <w:tcPr>
            <w:tcW w:w="1265" w:type="dxa"/>
            <w:shd w:val="clear" w:color="auto" w:fill="auto"/>
            <w:noWrap/>
          </w:tcPr>
          <w:p w14:paraId="0AECD1C2" w14:textId="77777777" w:rsidR="00B1586C" w:rsidRPr="005E7C3B" w:rsidRDefault="00B1586C" w:rsidP="005E7C3B">
            <w:pPr>
              <w:spacing w:before="40" w:after="120"/>
              <w:ind w:right="113"/>
              <w:rPr>
                <w:lang w:val="es-CO" w:eastAsia="es-CO"/>
              </w:rPr>
            </w:pPr>
            <w:r w:rsidRPr="005E7C3B">
              <w:rPr>
                <w:lang w:val="es-CO" w:eastAsia="es-CO"/>
              </w:rPr>
              <w:t>PMUV</w:t>
            </w:r>
          </w:p>
        </w:tc>
        <w:tc>
          <w:tcPr>
            <w:tcW w:w="6105" w:type="dxa"/>
            <w:shd w:val="clear" w:color="auto" w:fill="auto"/>
          </w:tcPr>
          <w:p w14:paraId="3A37B07B" w14:textId="77777777" w:rsidR="00B1586C" w:rsidRPr="005E7C3B" w:rsidRDefault="00B1586C" w:rsidP="005E7C3B">
            <w:pPr>
              <w:spacing w:before="40" w:after="120"/>
              <w:ind w:right="113"/>
              <w:rPr>
                <w:lang w:val="es-CO" w:eastAsia="es-CO"/>
              </w:rPr>
            </w:pPr>
            <w:r w:rsidRPr="005E7C3B">
              <w:rPr>
                <w:lang w:val="es-CO" w:eastAsia="es-CO"/>
              </w:rPr>
              <w:t>Puestos de Mando Unificados por la Vida</w:t>
            </w:r>
          </w:p>
        </w:tc>
      </w:tr>
      <w:tr w:rsidR="00B1586C" w:rsidRPr="005E7C3B" w14:paraId="6E91D0B9" w14:textId="77777777" w:rsidTr="005E7C3B">
        <w:tc>
          <w:tcPr>
            <w:tcW w:w="1265" w:type="dxa"/>
            <w:shd w:val="clear" w:color="auto" w:fill="auto"/>
            <w:noWrap/>
          </w:tcPr>
          <w:p w14:paraId="3BA68C10" w14:textId="77777777" w:rsidR="00B1586C" w:rsidRPr="005E7C3B" w:rsidRDefault="00B1586C" w:rsidP="005E7C3B">
            <w:pPr>
              <w:spacing w:before="40" w:after="120"/>
              <w:ind w:right="113"/>
              <w:rPr>
                <w:lang w:val="es-CO" w:eastAsia="es-CO"/>
              </w:rPr>
            </w:pPr>
            <w:r w:rsidRPr="005E7C3B">
              <w:rPr>
                <w:lang w:val="es-CO" w:eastAsia="es-CO"/>
              </w:rPr>
              <w:t>PND</w:t>
            </w:r>
          </w:p>
        </w:tc>
        <w:tc>
          <w:tcPr>
            <w:tcW w:w="6105" w:type="dxa"/>
            <w:shd w:val="clear" w:color="auto" w:fill="auto"/>
          </w:tcPr>
          <w:p w14:paraId="7F5803AC" w14:textId="77777777" w:rsidR="00B1586C" w:rsidRPr="005E7C3B" w:rsidRDefault="00B1586C" w:rsidP="005E7C3B">
            <w:pPr>
              <w:spacing w:before="40" w:after="120"/>
              <w:ind w:right="113"/>
              <w:rPr>
                <w:lang w:val="es-CO" w:eastAsia="es-CO"/>
              </w:rPr>
            </w:pPr>
            <w:r w:rsidRPr="005E7C3B">
              <w:rPr>
                <w:lang w:val="es-CO" w:eastAsia="es-CO"/>
              </w:rPr>
              <w:t xml:space="preserve">Plan Nacional de Desarrollo </w:t>
            </w:r>
          </w:p>
        </w:tc>
      </w:tr>
      <w:tr w:rsidR="00B1586C" w:rsidRPr="005E7C3B" w14:paraId="0E4590B0" w14:textId="77777777" w:rsidTr="005E7C3B">
        <w:tc>
          <w:tcPr>
            <w:tcW w:w="1265" w:type="dxa"/>
            <w:shd w:val="clear" w:color="auto" w:fill="auto"/>
            <w:noWrap/>
          </w:tcPr>
          <w:p w14:paraId="6B013121" w14:textId="77777777" w:rsidR="00B1586C" w:rsidRPr="005E7C3B" w:rsidRDefault="00B1586C" w:rsidP="005E7C3B">
            <w:pPr>
              <w:spacing w:before="40" w:after="120"/>
              <w:ind w:right="113"/>
              <w:rPr>
                <w:lang w:val="es-CO" w:eastAsia="es-CO"/>
              </w:rPr>
            </w:pPr>
            <w:r w:rsidRPr="005E7C3B">
              <w:rPr>
                <w:lang w:val="es-CO" w:eastAsia="es-CO"/>
              </w:rPr>
              <w:lastRenderedPageBreak/>
              <w:t xml:space="preserve">RUV </w:t>
            </w:r>
          </w:p>
        </w:tc>
        <w:tc>
          <w:tcPr>
            <w:tcW w:w="6105" w:type="dxa"/>
            <w:shd w:val="clear" w:color="auto" w:fill="auto"/>
          </w:tcPr>
          <w:p w14:paraId="27C6BCCB" w14:textId="77777777" w:rsidR="00B1586C" w:rsidRPr="005E7C3B" w:rsidRDefault="00B1586C" w:rsidP="005E7C3B">
            <w:pPr>
              <w:spacing w:before="40" w:after="120"/>
              <w:ind w:right="113"/>
              <w:rPr>
                <w:lang w:val="es-CO" w:eastAsia="es-CO"/>
              </w:rPr>
            </w:pPr>
            <w:r w:rsidRPr="005E7C3B">
              <w:rPr>
                <w:lang w:val="es-CO" w:eastAsia="es-CO"/>
              </w:rPr>
              <w:t>Registro Único de Victimas</w:t>
            </w:r>
          </w:p>
        </w:tc>
      </w:tr>
      <w:tr w:rsidR="00B1586C" w:rsidRPr="005E7C3B" w14:paraId="56548118" w14:textId="77777777" w:rsidTr="005E7C3B">
        <w:tc>
          <w:tcPr>
            <w:tcW w:w="1265" w:type="dxa"/>
            <w:shd w:val="clear" w:color="auto" w:fill="auto"/>
            <w:noWrap/>
          </w:tcPr>
          <w:p w14:paraId="1DCC7AB8" w14:textId="77777777" w:rsidR="00B1586C" w:rsidRPr="005E7C3B" w:rsidRDefault="00B1586C" w:rsidP="005E7C3B">
            <w:pPr>
              <w:spacing w:before="40" w:after="120"/>
              <w:ind w:right="113"/>
              <w:rPr>
                <w:lang w:val="es-CO" w:eastAsia="es-CO"/>
              </w:rPr>
            </w:pPr>
            <w:r w:rsidRPr="005E7C3B">
              <w:rPr>
                <w:lang w:val="es-CO" w:eastAsia="es-CO"/>
              </w:rPr>
              <w:t>SIDEH</w:t>
            </w:r>
          </w:p>
        </w:tc>
        <w:tc>
          <w:tcPr>
            <w:tcW w:w="6105" w:type="dxa"/>
            <w:shd w:val="clear" w:color="auto" w:fill="auto"/>
          </w:tcPr>
          <w:p w14:paraId="488CA2F6" w14:textId="77777777" w:rsidR="00B1586C" w:rsidRPr="005E7C3B" w:rsidRDefault="00B1586C" w:rsidP="005E7C3B">
            <w:pPr>
              <w:spacing w:before="40" w:after="120"/>
              <w:ind w:right="113"/>
              <w:rPr>
                <w:lang w:val="es-CO" w:eastAsia="es-CO"/>
              </w:rPr>
            </w:pPr>
            <w:r w:rsidRPr="005E7C3B">
              <w:rPr>
                <w:lang w:val="es-CO" w:eastAsia="es-CO"/>
              </w:rPr>
              <w:t xml:space="preserve">Sistema Integral de Derechos Humanos </w:t>
            </w:r>
          </w:p>
        </w:tc>
      </w:tr>
      <w:tr w:rsidR="00B1586C" w:rsidRPr="005E7C3B" w14:paraId="7CDD1E0A" w14:textId="77777777" w:rsidTr="005E7C3B">
        <w:tc>
          <w:tcPr>
            <w:tcW w:w="1265" w:type="dxa"/>
            <w:shd w:val="clear" w:color="auto" w:fill="auto"/>
            <w:noWrap/>
          </w:tcPr>
          <w:p w14:paraId="02E96BBC" w14:textId="77777777" w:rsidR="00B1586C" w:rsidRPr="005E7C3B" w:rsidRDefault="00B1586C" w:rsidP="005E7C3B">
            <w:pPr>
              <w:spacing w:before="40" w:after="120"/>
              <w:ind w:right="113"/>
              <w:rPr>
                <w:lang w:val="es-CO" w:eastAsia="es-CO"/>
              </w:rPr>
            </w:pPr>
            <w:r w:rsidRPr="005E7C3B">
              <w:rPr>
                <w:lang w:val="es-CO" w:eastAsia="es-CO"/>
              </w:rPr>
              <w:t>SMMLV</w:t>
            </w:r>
          </w:p>
        </w:tc>
        <w:tc>
          <w:tcPr>
            <w:tcW w:w="6105" w:type="dxa"/>
            <w:shd w:val="clear" w:color="auto" w:fill="auto"/>
          </w:tcPr>
          <w:p w14:paraId="4FD6C1FE" w14:textId="77777777" w:rsidR="00B1586C" w:rsidRPr="005E7C3B" w:rsidRDefault="00B1586C" w:rsidP="005E7C3B">
            <w:pPr>
              <w:spacing w:before="40" w:after="120"/>
              <w:ind w:right="113"/>
              <w:rPr>
                <w:lang w:val="es-CO" w:eastAsia="es-CO"/>
              </w:rPr>
            </w:pPr>
            <w:r w:rsidRPr="005E7C3B">
              <w:rPr>
                <w:lang w:val="es-CO" w:eastAsia="es-CO"/>
              </w:rPr>
              <w:t>Salario M</w:t>
            </w:r>
            <w:r>
              <w:rPr>
                <w:lang w:val="es-CO" w:eastAsia="es-CO"/>
              </w:rPr>
              <w:t>í</w:t>
            </w:r>
            <w:r w:rsidRPr="005E7C3B">
              <w:rPr>
                <w:lang w:val="es-CO" w:eastAsia="es-CO"/>
              </w:rPr>
              <w:t>nimo Mensual Legal Vigente</w:t>
            </w:r>
          </w:p>
        </w:tc>
      </w:tr>
      <w:tr w:rsidR="00B1586C" w:rsidRPr="005E7C3B" w14:paraId="5C9FC184" w14:textId="77777777" w:rsidTr="005E7C3B">
        <w:tc>
          <w:tcPr>
            <w:tcW w:w="1265" w:type="dxa"/>
            <w:shd w:val="clear" w:color="auto" w:fill="auto"/>
            <w:noWrap/>
          </w:tcPr>
          <w:p w14:paraId="49D664A3" w14:textId="77777777" w:rsidR="00B1586C" w:rsidRPr="005E7C3B" w:rsidRDefault="00B1586C" w:rsidP="005E7C3B">
            <w:pPr>
              <w:spacing w:before="40" w:after="120"/>
              <w:ind w:right="113"/>
              <w:rPr>
                <w:lang w:val="es-CO" w:eastAsia="es-CO"/>
              </w:rPr>
            </w:pPr>
            <w:r w:rsidRPr="005E7C3B">
              <w:rPr>
                <w:lang w:val="es-CO" w:eastAsia="es-CO"/>
              </w:rPr>
              <w:t>SNARIV</w:t>
            </w:r>
          </w:p>
        </w:tc>
        <w:tc>
          <w:tcPr>
            <w:tcW w:w="6105" w:type="dxa"/>
            <w:shd w:val="clear" w:color="auto" w:fill="auto"/>
          </w:tcPr>
          <w:p w14:paraId="40DF968F" w14:textId="77777777" w:rsidR="00B1586C" w:rsidRPr="005E7C3B" w:rsidRDefault="00B1586C" w:rsidP="005E7C3B">
            <w:pPr>
              <w:spacing w:before="40" w:after="120"/>
              <w:ind w:right="113"/>
              <w:rPr>
                <w:lang w:val="es-CO" w:eastAsia="es-CO"/>
              </w:rPr>
            </w:pPr>
            <w:r w:rsidRPr="005E7C3B">
              <w:rPr>
                <w:lang w:val="es-CO" w:eastAsia="es-CO"/>
              </w:rPr>
              <w:t>Sistema Nacional de Atención y Reparación Integral a las Víctimas</w:t>
            </w:r>
          </w:p>
        </w:tc>
      </w:tr>
      <w:tr w:rsidR="00B1586C" w:rsidRPr="005E7C3B" w14:paraId="39520CFD" w14:textId="77777777" w:rsidTr="005E7C3B">
        <w:tc>
          <w:tcPr>
            <w:tcW w:w="1265" w:type="dxa"/>
            <w:shd w:val="clear" w:color="auto" w:fill="auto"/>
            <w:noWrap/>
          </w:tcPr>
          <w:p w14:paraId="77CFCF6C" w14:textId="77777777" w:rsidR="00B1586C" w:rsidRPr="005E7C3B" w:rsidRDefault="00B1586C" w:rsidP="005E7C3B">
            <w:pPr>
              <w:spacing w:before="40" w:after="120"/>
              <w:ind w:right="113"/>
              <w:rPr>
                <w:lang w:val="es-CO" w:eastAsia="es-CO"/>
              </w:rPr>
            </w:pPr>
            <w:r w:rsidRPr="005E7C3B">
              <w:rPr>
                <w:lang w:val="es-CO" w:eastAsia="es-CO"/>
              </w:rPr>
              <w:t>SRVR</w:t>
            </w:r>
          </w:p>
        </w:tc>
        <w:tc>
          <w:tcPr>
            <w:tcW w:w="6105" w:type="dxa"/>
            <w:shd w:val="clear" w:color="auto" w:fill="auto"/>
          </w:tcPr>
          <w:p w14:paraId="7A5566B4" w14:textId="77777777" w:rsidR="00B1586C" w:rsidRPr="005E7C3B" w:rsidRDefault="00B1586C" w:rsidP="005E7C3B">
            <w:pPr>
              <w:spacing w:before="40" w:after="120"/>
              <w:ind w:right="113"/>
              <w:rPr>
                <w:lang w:val="es-CO" w:eastAsia="es-CO"/>
              </w:rPr>
            </w:pPr>
            <w:r w:rsidRPr="005E7C3B">
              <w:rPr>
                <w:lang w:val="es-CO" w:eastAsia="es-CO"/>
              </w:rPr>
              <w:t xml:space="preserve">Sala de Reconocimiento de Verdad, de Responsabilidad y de </w:t>
            </w:r>
            <w:r w:rsidRPr="005E7C3B">
              <w:rPr>
                <w:lang w:val="es-CO" w:eastAsia="es-CO"/>
              </w:rPr>
              <w:br/>
              <w:t xml:space="preserve">Determinación de los Hechos y Conductas </w:t>
            </w:r>
          </w:p>
        </w:tc>
      </w:tr>
      <w:tr w:rsidR="00B1586C" w:rsidRPr="005E7C3B" w14:paraId="48BB1A0F" w14:textId="77777777" w:rsidTr="005E7C3B">
        <w:tc>
          <w:tcPr>
            <w:tcW w:w="1265" w:type="dxa"/>
            <w:shd w:val="clear" w:color="auto" w:fill="auto"/>
            <w:noWrap/>
          </w:tcPr>
          <w:p w14:paraId="1BC91AA8" w14:textId="77777777" w:rsidR="00B1586C" w:rsidRPr="005E7C3B" w:rsidRDefault="00B1586C" w:rsidP="005E7C3B">
            <w:pPr>
              <w:spacing w:before="40" w:after="120"/>
              <w:ind w:right="113"/>
              <w:rPr>
                <w:lang w:val="es-CO" w:eastAsia="es-CO"/>
              </w:rPr>
            </w:pPr>
            <w:r w:rsidRPr="005E7C3B">
              <w:rPr>
                <w:lang w:val="es-CO" w:eastAsia="es-CO"/>
              </w:rPr>
              <w:t>UARIV</w:t>
            </w:r>
          </w:p>
        </w:tc>
        <w:tc>
          <w:tcPr>
            <w:tcW w:w="6105" w:type="dxa"/>
            <w:shd w:val="clear" w:color="auto" w:fill="auto"/>
          </w:tcPr>
          <w:p w14:paraId="0D106338" w14:textId="77777777" w:rsidR="00B1586C" w:rsidRPr="005E7C3B" w:rsidRDefault="00B1586C" w:rsidP="005E7C3B">
            <w:pPr>
              <w:spacing w:before="40" w:after="120"/>
              <w:ind w:right="113"/>
              <w:rPr>
                <w:lang w:val="es-CO" w:eastAsia="es-CO"/>
              </w:rPr>
            </w:pPr>
            <w:r w:rsidRPr="005E7C3B">
              <w:rPr>
                <w:lang w:val="es-CO" w:eastAsia="es-CO"/>
              </w:rPr>
              <w:t>Unidad para la Atención y Reparación Integral a las Víctimas</w:t>
            </w:r>
          </w:p>
        </w:tc>
      </w:tr>
      <w:tr w:rsidR="00B1586C" w:rsidRPr="005E7C3B" w14:paraId="6335941D" w14:textId="77777777" w:rsidTr="005E7C3B">
        <w:tc>
          <w:tcPr>
            <w:tcW w:w="1265" w:type="dxa"/>
            <w:shd w:val="clear" w:color="auto" w:fill="auto"/>
            <w:noWrap/>
          </w:tcPr>
          <w:p w14:paraId="4CE38C90" w14:textId="77777777" w:rsidR="00B1586C" w:rsidRPr="005E7C3B" w:rsidRDefault="00B1586C" w:rsidP="005E7C3B">
            <w:pPr>
              <w:spacing w:before="40" w:after="120"/>
              <w:ind w:right="113"/>
              <w:rPr>
                <w:lang w:val="es-CO" w:eastAsia="es-CO"/>
              </w:rPr>
            </w:pPr>
            <w:r w:rsidRPr="005E7C3B">
              <w:rPr>
                <w:lang w:val="es-CO" w:eastAsia="es-CO"/>
              </w:rPr>
              <w:t>UARIV</w:t>
            </w:r>
          </w:p>
        </w:tc>
        <w:tc>
          <w:tcPr>
            <w:tcW w:w="6105" w:type="dxa"/>
            <w:shd w:val="clear" w:color="auto" w:fill="auto"/>
          </w:tcPr>
          <w:p w14:paraId="5094455B" w14:textId="77777777" w:rsidR="00B1586C" w:rsidRPr="005E7C3B" w:rsidRDefault="00B1586C" w:rsidP="005E7C3B">
            <w:pPr>
              <w:spacing w:before="40" w:after="120"/>
              <w:ind w:right="113"/>
              <w:rPr>
                <w:lang w:val="es-CO" w:eastAsia="es-CO"/>
              </w:rPr>
            </w:pPr>
            <w:r w:rsidRPr="005E7C3B">
              <w:rPr>
                <w:lang w:val="es-CO" w:eastAsia="es-CO"/>
              </w:rPr>
              <w:t>Unidad para la Atención y Reparación Integral a las Víctimas</w:t>
            </w:r>
          </w:p>
        </w:tc>
      </w:tr>
      <w:tr w:rsidR="00B1586C" w:rsidRPr="005E7C3B" w14:paraId="6B64B1EB" w14:textId="77777777" w:rsidTr="005E7C3B">
        <w:tc>
          <w:tcPr>
            <w:tcW w:w="1265" w:type="dxa"/>
            <w:shd w:val="clear" w:color="auto" w:fill="auto"/>
            <w:noWrap/>
          </w:tcPr>
          <w:p w14:paraId="1980177F" w14:textId="77777777" w:rsidR="00B1586C" w:rsidRPr="005E7C3B" w:rsidRDefault="00B1586C" w:rsidP="005E7C3B">
            <w:pPr>
              <w:spacing w:before="40" w:after="120"/>
              <w:ind w:right="113"/>
              <w:rPr>
                <w:lang w:val="es-CO" w:eastAsia="es-CO"/>
              </w:rPr>
            </w:pPr>
            <w:r w:rsidRPr="005E7C3B">
              <w:rPr>
                <w:lang w:val="es-CO" w:eastAsia="es-CO"/>
              </w:rPr>
              <w:t>UEI</w:t>
            </w:r>
          </w:p>
        </w:tc>
        <w:tc>
          <w:tcPr>
            <w:tcW w:w="6105" w:type="dxa"/>
            <w:shd w:val="clear" w:color="auto" w:fill="auto"/>
          </w:tcPr>
          <w:p w14:paraId="62121962" w14:textId="77777777" w:rsidR="00B1586C" w:rsidRPr="005E7C3B" w:rsidRDefault="00B1586C" w:rsidP="005E7C3B">
            <w:pPr>
              <w:spacing w:before="40" w:after="120"/>
              <w:ind w:right="113"/>
              <w:rPr>
                <w:lang w:val="es-CO" w:eastAsia="es-CO"/>
              </w:rPr>
            </w:pPr>
            <w:r w:rsidRPr="005E7C3B">
              <w:rPr>
                <w:lang w:val="es-CO" w:eastAsia="es-CO"/>
              </w:rPr>
              <w:t>Unidad Especial de Investigación</w:t>
            </w:r>
          </w:p>
        </w:tc>
      </w:tr>
      <w:tr w:rsidR="00B1586C" w:rsidRPr="005E7C3B" w14:paraId="4796D045" w14:textId="77777777" w:rsidTr="005E7C3B">
        <w:tc>
          <w:tcPr>
            <w:tcW w:w="1265" w:type="dxa"/>
            <w:shd w:val="clear" w:color="auto" w:fill="auto"/>
            <w:noWrap/>
          </w:tcPr>
          <w:p w14:paraId="110A851A" w14:textId="77777777" w:rsidR="00B1586C" w:rsidRPr="005E7C3B" w:rsidRDefault="00B1586C" w:rsidP="005E7C3B">
            <w:pPr>
              <w:spacing w:before="40" w:after="120"/>
              <w:ind w:right="113"/>
              <w:rPr>
                <w:lang w:val="es-CO" w:eastAsia="es-CO"/>
              </w:rPr>
            </w:pPr>
            <w:r w:rsidRPr="005E7C3B">
              <w:rPr>
                <w:lang w:val="es-CO" w:eastAsia="es-CO"/>
              </w:rPr>
              <w:t>UNP</w:t>
            </w:r>
          </w:p>
        </w:tc>
        <w:tc>
          <w:tcPr>
            <w:tcW w:w="6105" w:type="dxa"/>
            <w:shd w:val="clear" w:color="auto" w:fill="auto"/>
          </w:tcPr>
          <w:p w14:paraId="5BA0EC51" w14:textId="77777777" w:rsidR="00B1586C" w:rsidRPr="005E7C3B" w:rsidRDefault="00B1586C" w:rsidP="005E7C3B">
            <w:pPr>
              <w:spacing w:before="40" w:after="120"/>
              <w:ind w:right="113"/>
              <w:rPr>
                <w:lang w:val="es-CO" w:eastAsia="es-CO"/>
              </w:rPr>
            </w:pPr>
            <w:r w:rsidRPr="005E7C3B">
              <w:rPr>
                <w:lang w:val="es-CO" w:eastAsia="es-CO"/>
              </w:rPr>
              <w:t>Unidad Nacional de Protección</w:t>
            </w:r>
          </w:p>
        </w:tc>
      </w:tr>
    </w:tbl>
    <w:p w14:paraId="15544C14" w14:textId="77777777" w:rsidR="005E7C3B" w:rsidRDefault="005E7C3B">
      <w:pPr>
        <w:spacing w:line="240" w:lineRule="auto"/>
        <w:rPr>
          <w:b/>
          <w:lang w:eastAsia="en-GB"/>
        </w:rPr>
      </w:pPr>
      <w:r>
        <w:rPr>
          <w:lang w:eastAsia="en-GB"/>
        </w:rPr>
        <w:br w:type="page"/>
      </w:r>
    </w:p>
    <w:p w14:paraId="2BB04666" w14:textId="261903F3" w:rsidR="005E7C3B" w:rsidRPr="00FD59B2" w:rsidRDefault="005E7C3B" w:rsidP="00B1586C">
      <w:pPr>
        <w:pStyle w:val="HChG"/>
        <w:rPr>
          <w:rFonts w:eastAsia="Calibri"/>
          <w:lang w:val="es-GT" w:eastAsia="es-GT"/>
        </w:rPr>
      </w:pPr>
      <w:r w:rsidRPr="005E7C3B">
        <w:rPr>
          <w:rFonts w:eastAsia="Calibri"/>
          <w:lang w:val="es-GT" w:eastAsia="es-GT"/>
        </w:rPr>
        <w:lastRenderedPageBreak/>
        <w:tab/>
      </w:r>
      <w:r w:rsidRPr="00FD59B2">
        <w:rPr>
          <w:rFonts w:eastAsia="Calibri"/>
          <w:lang w:val="es-GT" w:eastAsia="es-GT"/>
        </w:rPr>
        <w:t>I.</w:t>
      </w:r>
      <w:r w:rsidRPr="00FD59B2">
        <w:rPr>
          <w:rFonts w:eastAsia="Calibri"/>
          <w:lang w:val="es-GT" w:eastAsia="es-GT"/>
        </w:rPr>
        <w:tab/>
      </w:r>
      <w:r w:rsidRPr="00FD59B2">
        <w:rPr>
          <w:rFonts w:eastAsia="Calibri"/>
          <w:lang w:val="es-GT" w:eastAsia="es-GT"/>
        </w:rPr>
        <w:tab/>
        <w:t>I</w:t>
      </w:r>
      <w:r w:rsidR="00FD59B2" w:rsidRPr="00FD59B2">
        <w:rPr>
          <w:rFonts w:eastAsia="Calibri"/>
          <w:lang w:val="es-GT" w:eastAsia="es-GT"/>
        </w:rPr>
        <w:t xml:space="preserve">ntroducción </w:t>
      </w:r>
    </w:p>
    <w:p w14:paraId="24897147" w14:textId="4FC86332" w:rsidR="005E7C3B" w:rsidRPr="005E7C3B" w:rsidRDefault="005E7C3B" w:rsidP="005E7C3B">
      <w:pPr>
        <w:pStyle w:val="SingleTxtG"/>
        <w:rPr>
          <w:rFonts w:eastAsia="Calibri"/>
          <w:lang w:eastAsia="en-US"/>
        </w:rPr>
      </w:pPr>
      <w:r w:rsidRPr="005E7C3B">
        <w:rPr>
          <w:rFonts w:eastAsia="Calibri"/>
          <w:lang w:eastAsia="en-US"/>
        </w:rPr>
        <w:t>1.</w:t>
      </w:r>
      <w:r w:rsidR="003C18BE">
        <w:rPr>
          <w:rFonts w:eastAsia="Calibri"/>
          <w:lang w:eastAsia="en-US"/>
        </w:rPr>
        <w:tab/>
      </w:r>
      <w:r w:rsidRPr="005E7C3B">
        <w:rPr>
          <w:rFonts w:eastAsia="Calibri"/>
          <w:lang w:eastAsia="en-US"/>
        </w:rPr>
        <w:t xml:space="preserve">Cumpliendo con lo encomendado por el Comité contra la Tortura en el párrafo 38 de sus observaciones finales (CAT/C/COL/CO/6) sobre el sexto informe periódico de Colombia, el Estado colombiano, con el acostumbrado respeto, procede a remitir la información sobre el seguimiento que viene efectuando a las recomendaciones formuladas en los párrafos 19a, 25a, 33 y 37 de las observaciones finales. </w:t>
      </w:r>
    </w:p>
    <w:p w14:paraId="47CB6970" w14:textId="56CDA53C" w:rsidR="005E7C3B" w:rsidRPr="005E7C3B" w:rsidRDefault="005E7C3B" w:rsidP="005E7C3B">
      <w:pPr>
        <w:pStyle w:val="SingleTxtG"/>
        <w:rPr>
          <w:rFonts w:eastAsia="Calibri"/>
          <w:lang w:eastAsia="en-US"/>
        </w:rPr>
      </w:pPr>
      <w:r w:rsidRPr="005E7C3B">
        <w:rPr>
          <w:rFonts w:eastAsia="Calibri"/>
          <w:lang w:eastAsia="en-US"/>
        </w:rPr>
        <w:t>2</w:t>
      </w:r>
      <w:r w:rsidR="00B1586C">
        <w:rPr>
          <w:rFonts w:eastAsia="Calibri"/>
          <w:lang w:eastAsia="en-US"/>
        </w:rPr>
        <w:t>.</w:t>
      </w:r>
      <w:r w:rsidR="003C18BE">
        <w:rPr>
          <w:rFonts w:eastAsia="Calibri"/>
          <w:lang w:eastAsia="en-US"/>
        </w:rPr>
        <w:tab/>
      </w:r>
      <w:r w:rsidRPr="005E7C3B">
        <w:rPr>
          <w:rFonts w:eastAsia="Calibri"/>
          <w:lang w:eastAsia="en-US"/>
        </w:rPr>
        <w:t xml:space="preserve">El presente documento se construyó a partir de un ejercicio de coordinación interinstitucional, en el cual se contó con la participación de las siguientes entidades de nivel nacional: Ministerio del Interior, Ministerio de Defensa, Ministerio de Justicia y del Derecho, Consejería Presidencial para los Derechos Humanos y DIH, Policía Nacional, </w:t>
      </w:r>
      <w:bookmarkStart w:id="2" w:name="_Int_hqAGNHtD"/>
      <w:r w:rsidRPr="005E7C3B">
        <w:rPr>
          <w:rFonts w:eastAsia="Calibri"/>
          <w:lang w:eastAsia="en-US"/>
        </w:rPr>
        <w:t>Fiscalía General</w:t>
      </w:r>
      <w:bookmarkEnd w:id="2"/>
      <w:r w:rsidRPr="005E7C3B">
        <w:rPr>
          <w:rFonts w:eastAsia="Calibri"/>
          <w:lang w:eastAsia="en-US"/>
        </w:rPr>
        <w:t xml:space="preserve"> de la Nación, Instituto Nacional Penitenciario y Carcelario, y la Unidad de Búsqueda de Personas dadas por Desaparecidas.</w:t>
      </w:r>
    </w:p>
    <w:p w14:paraId="3F02C281" w14:textId="275589F0" w:rsidR="005E7C3B" w:rsidRPr="00FD59B2" w:rsidRDefault="005E7C3B" w:rsidP="00B1586C">
      <w:pPr>
        <w:pStyle w:val="HChG"/>
        <w:rPr>
          <w:lang w:eastAsia="en-GB"/>
        </w:rPr>
      </w:pPr>
      <w:r>
        <w:rPr>
          <w:lang w:eastAsia="en-GB"/>
        </w:rPr>
        <w:tab/>
      </w:r>
      <w:r w:rsidRPr="00FD59B2">
        <w:rPr>
          <w:lang w:eastAsia="en-GB"/>
        </w:rPr>
        <w:t>II.</w:t>
      </w:r>
      <w:r w:rsidRPr="00FD59B2">
        <w:rPr>
          <w:lang w:eastAsia="en-GB"/>
        </w:rPr>
        <w:tab/>
      </w:r>
      <w:r w:rsidR="00FD59B2">
        <w:rPr>
          <w:lang w:eastAsia="en-GB"/>
        </w:rPr>
        <w:t xml:space="preserve">Seguimiento de las recomendaciones de las observaciones finales del Comité </w:t>
      </w:r>
    </w:p>
    <w:p w14:paraId="7F32FA7D" w14:textId="65568F6E" w:rsidR="005E7C3B" w:rsidRPr="00FD59B2" w:rsidRDefault="005E7C3B" w:rsidP="00B1586C">
      <w:pPr>
        <w:pStyle w:val="H1G"/>
        <w:rPr>
          <w:rFonts w:eastAsia="Verdana"/>
          <w:lang w:val="es-CO"/>
        </w:rPr>
      </w:pPr>
      <w:r>
        <w:rPr>
          <w:lang w:val="es-CO"/>
        </w:rPr>
        <w:tab/>
      </w:r>
      <w:r w:rsidR="003C18BE" w:rsidRPr="00FD59B2">
        <w:rPr>
          <w:lang w:val="es-CO"/>
        </w:rPr>
        <w:t>A.</w:t>
      </w:r>
      <w:r w:rsidR="003C18BE" w:rsidRPr="00FD59B2">
        <w:rPr>
          <w:lang w:val="es-CO"/>
        </w:rPr>
        <w:tab/>
      </w:r>
      <w:r w:rsidR="000F1574">
        <w:rPr>
          <w:lang w:val="es-CO"/>
        </w:rPr>
        <w:t>Información de s</w:t>
      </w:r>
      <w:r w:rsidR="00FD59B2">
        <w:rPr>
          <w:lang w:val="es-CO"/>
        </w:rPr>
        <w:t>eguimiento</w:t>
      </w:r>
      <w:r w:rsidR="000F1574">
        <w:rPr>
          <w:lang w:val="es-CO"/>
        </w:rPr>
        <w:t xml:space="preserve"> relativa</w:t>
      </w:r>
      <w:r w:rsidR="00FD59B2">
        <w:rPr>
          <w:lang w:val="es-CO"/>
        </w:rPr>
        <w:t xml:space="preserve"> al párrafo 19 a) de las observaciones finales </w:t>
      </w:r>
      <w:r w:rsidR="000F1574">
        <w:rPr>
          <w:lang w:val="es-CO"/>
        </w:rPr>
        <w:t>(CAT/C/COL/CO/6)</w:t>
      </w:r>
    </w:p>
    <w:p w14:paraId="61C07D6D" w14:textId="052EEE5E" w:rsidR="005E7C3B" w:rsidRPr="005E7C3B" w:rsidRDefault="005E7C3B" w:rsidP="005E7C3B">
      <w:pPr>
        <w:pStyle w:val="SingleTxtG"/>
        <w:rPr>
          <w:rFonts w:eastAsia="Calibri"/>
          <w:lang w:eastAsia="en-US"/>
        </w:rPr>
      </w:pPr>
      <w:r w:rsidRPr="005E7C3B">
        <w:rPr>
          <w:rFonts w:eastAsia="Calibri"/>
          <w:lang w:eastAsia="en-US"/>
        </w:rPr>
        <w:t>3.</w:t>
      </w:r>
      <w:r w:rsidR="003C18BE">
        <w:rPr>
          <w:rFonts w:eastAsia="Calibri"/>
          <w:lang w:eastAsia="en-US"/>
        </w:rPr>
        <w:tab/>
      </w:r>
      <w:r w:rsidRPr="005E7C3B">
        <w:rPr>
          <w:rFonts w:eastAsia="Calibri"/>
          <w:lang w:eastAsia="en-US"/>
        </w:rPr>
        <w:t>Los esfuerzos para erradicar la violencia de grupos armados no estatales y organizaciones criminales corresponden a un proceso continuo e integral de parte del Estado colombiano en donde se vincula la gestión de las Ramas del Poder Público, la Fuerza Pública e incluso la sociedad civil que, de la mano del proceso penal, permite contribuir a la verdad, justicia y reparación, aportando también en la construcción de garantías de no repetición. Para este fin el Estado colombiano ha implementado las siguientes acciones:</w:t>
      </w:r>
    </w:p>
    <w:p w14:paraId="3098ADB8" w14:textId="636F8A73" w:rsidR="005E7C3B" w:rsidRPr="00FD59B2" w:rsidRDefault="005E7C3B" w:rsidP="00B1586C">
      <w:pPr>
        <w:pStyle w:val="H23G"/>
        <w:rPr>
          <w:rStyle w:val="normaltextrun"/>
          <w:rFonts w:eastAsiaTheme="majorEastAsia"/>
          <w:b w:val="0"/>
          <w:bCs/>
          <w:i/>
          <w:iCs/>
        </w:rPr>
      </w:pPr>
      <w:r w:rsidRPr="00A87075">
        <w:rPr>
          <w:rStyle w:val="normaltextrun"/>
          <w:rFonts w:eastAsiaTheme="majorEastAsia"/>
          <w:bCs/>
        </w:rPr>
        <w:tab/>
      </w:r>
      <w:r w:rsidRPr="00FD59B2">
        <w:rPr>
          <w:rStyle w:val="normaltextrun"/>
          <w:rFonts w:eastAsiaTheme="majorEastAsia"/>
          <w:bCs/>
          <w:iCs/>
        </w:rPr>
        <w:t>1</w:t>
      </w:r>
      <w:r w:rsidR="00FD59B2" w:rsidRPr="00FD59B2">
        <w:rPr>
          <w:rStyle w:val="normaltextrun"/>
          <w:rFonts w:eastAsiaTheme="majorEastAsia"/>
          <w:bCs/>
          <w:iCs/>
        </w:rPr>
        <w:t>.</w:t>
      </w:r>
      <w:r w:rsidR="003C18BE" w:rsidRPr="00FD59B2">
        <w:rPr>
          <w:rStyle w:val="normaltextrun"/>
          <w:rFonts w:eastAsiaTheme="majorEastAsia"/>
          <w:bCs/>
          <w:iCs/>
        </w:rPr>
        <w:tab/>
      </w:r>
      <w:r w:rsidRPr="00FD59B2">
        <w:rPr>
          <w:rStyle w:val="normaltextrun"/>
          <w:rFonts w:eastAsiaTheme="majorEastAsia"/>
          <w:bCs/>
          <w:iCs/>
        </w:rPr>
        <w:t>Creación de la “Política Pública de Desmantelamiento de Conductas y</w:t>
      </w:r>
      <w:r w:rsidR="00B1586C">
        <w:rPr>
          <w:rStyle w:val="normaltextrun"/>
          <w:rFonts w:eastAsiaTheme="majorEastAsia"/>
          <w:bCs/>
          <w:iCs/>
        </w:rPr>
        <w:br/>
      </w:r>
      <w:r w:rsidRPr="00FD59B2">
        <w:rPr>
          <w:rStyle w:val="normaltextrun"/>
          <w:rFonts w:eastAsiaTheme="majorEastAsia"/>
          <w:bCs/>
          <w:iCs/>
        </w:rPr>
        <w:t>Organizaciones Criminales que Atentan contra la Construcción de la</w:t>
      </w:r>
      <w:r w:rsidR="00B1586C">
        <w:rPr>
          <w:rStyle w:val="normaltextrun"/>
          <w:rFonts w:eastAsiaTheme="majorEastAsia"/>
          <w:bCs/>
          <w:iCs/>
        </w:rPr>
        <w:br/>
      </w:r>
      <w:r w:rsidRPr="00FD59B2">
        <w:rPr>
          <w:rStyle w:val="normaltextrun"/>
          <w:rFonts w:eastAsiaTheme="majorEastAsia"/>
          <w:bCs/>
          <w:iCs/>
        </w:rPr>
        <w:t>Paz, Incluidas las Denominadas Sucesoras del Paramilitarismo y</w:t>
      </w:r>
      <w:r w:rsidR="00B1586C">
        <w:rPr>
          <w:rStyle w:val="normaltextrun"/>
          <w:rFonts w:eastAsiaTheme="majorEastAsia"/>
          <w:bCs/>
          <w:iCs/>
        </w:rPr>
        <w:br/>
      </w:r>
      <w:r w:rsidRPr="00FD59B2">
        <w:rPr>
          <w:rStyle w:val="normaltextrun"/>
          <w:rFonts w:eastAsiaTheme="majorEastAsia"/>
          <w:bCs/>
          <w:iCs/>
        </w:rPr>
        <w:t>sus Redes de Apoyo”</w:t>
      </w:r>
      <w:r w:rsidR="00FD59B2" w:rsidRPr="00FD59B2">
        <w:rPr>
          <w:rStyle w:val="normaltextrun"/>
          <w:rFonts w:eastAsiaTheme="majorEastAsia"/>
          <w:bCs/>
          <w:iCs/>
        </w:rPr>
        <w:t xml:space="preserve"> </w:t>
      </w:r>
    </w:p>
    <w:p w14:paraId="6C4D2DA1" w14:textId="33968E86" w:rsidR="005E7C3B" w:rsidRPr="005E7C3B" w:rsidRDefault="005E7C3B" w:rsidP="005E7C3B">
      <w:pPr>
        <w:pStyle w:val="SingleTxtG"/>
        <w:rPr>
          <w:rFonts w:eastAsia="Calibri"/>
          <w:lang w:eastAsia="en-US"/>
        </w:rPr>
      </w:pPr>
      <w:r w:rsidRPr="005E7C3B">
        <w:rPr>
          <w:rFonts w:eastAsia="Calibri"/>
          <w:lang w:eastAsia="en-US"/>
        </w:rPr>
        <w:t>4.</w:t>
      </w:r>
      <w:r w:rsidR="003C18BE">
        <w:rPr>
          <w:rFonts w:eastAsia="Calibri"/>
          <w:lang w:eastAsia="en-US"/>
        </w:rPr>
        <w:tab/>
      </w:r>
      <w:r w:rsidRPr="005E7C3B">
        <w:rPr>
          <w:rFonts w:eastAsia="Calibri"/>
          <w:lang w:eastAsia="en-US"/>
        </w:rPr>
        <w:t>Con el diseño e implementación de la “Política Pública de Desmantelamiento de Conductas y Organizaciones Criminales que Atentan contra la Construcción de la Paz, Incluidas las Denominadas Sucesoras del Paramilitarismo y sus Redes de Apoyo”, el Estado colombiano busca desarrollar acciones desde un enfoque integral que comprenda e intervenga las múltiples causas estructurales reflejadas en las dimensiones financiera, política-institucional, armada, transnacional, sociocultural y de capacidad institucional, dentro de las cuales se crean y reproducen las organizaciones y conductas criminales que atentan contra la construcción de la paz y las garantías plenas para movimientos sociales y políticos, defensores</w:t>
      </w:r>
      <w:r w:rsidR="001465B9">
        <w:rPr>
          <w:rFonts w:eastAsia="Calibri"/>
          <w:lang w:eastAsia="en-US"/>
        </w:rPr>
        <w:t>(</w:t>
      </w:r>
      <w:r w:rsidRPr="005E7C3B">
        <w:rPr>
          <w:rFonts w:eastAsia="Calibri"/>
          <w:lang w:eastAsia="en-US"/>
        </w:rPr>
        <w:t>as</w:t>
      </w:r>
      <w:r w:rsidR="001465B9">
        <w:rPr>
          <w:rFonts w:eastAsia="Calibri"/>
          <w:lang w:eastAsia="en-US"/>
        </w:rPr>
        <w:t>)</w:t>
      </w:r>
      <w:r w:rsidRPr="005E7C3B">
        <w:rPr>
          <w:rFonts w:eastAsia="Calibri"/>
          <w:lang w:eastAsia="en-US"/>
        </w:rPr>
        <w:t xml:space="preserve"> de </w:t>
      </w:r>
      <w:proofErr w:type="spellStart"/>
      <w:r w:rsidRPr="005E7C3B">
        <w:rPr>
          <w:rFonts w:eastAsia="Calibri"/>
          <w:lang w:eastAsia="en-US"/>
        </w:rPr>
        <w:t>DDHH</w:t>
      </w:r>
      <w:proofErr w:type="spellEnd"/>
      <w:r w:rsidRPr="005E7C3B">
        <w:rPr>
          <w:rFonts w:eastAsia="Calibri"/>
          <w:lang w:eastAsia="en-US"/>
        </w:rPr>
        <w:t xml:space="preserve"> y constructores</w:t>
      </w:r>
      <w:r w:rsidR="001465B9">
        <w:rPr>
          <w:rFonts w:eastAsia="Calibri"/>
          <w:lang w:eastAsia="en-US"/>
        </w:rPr>
        <w:t>(</w:t>
      </w:r>
      <w:r w:rsidRPr="005E7C3B">
        <w:rPr>
          <w:rFonts w:eastAsia="Calibri"/>
          <w:lang w:eastAsia="en-US"/>
        </w:rPr>
        <w:t>as</w:t>
      </w:r>
      <w:r w:rsidR="001465B9">
        <w:rPr>
          <w:rFonts w:eastAsia="Calibri"/>
          <w:lang w:eastAsia="en-US"/>
        </w:rPr>
        <w:t>)</w:t>
      </w:r>
      <w:r w:rsidRPr="005E7C3B">
        <w:rPr>
          <w:rFonts w:eastAsia="Calibri"/>
          <w:lang w:eastAsia="en-US"/>
        </w:rPr>
        <w:t xml:space="preserve"> de paz, y el acceso pleno a los DDHH de toda la población. Esta política pública fue aprobada el 7 de septiembre de 2023, por la Comisión Nacional de Garantías de Seguridad (CNGS), instancia creada en el Acuerdo de Paz de 2016, y tiene como objetivo general: </w:t>
      </w:r>
    </w:p>
    <w:p w14:paraId="67DC65C2" w14:textId="511802D9" w:rsidR="005E7C3B" w:rsidRPr="00E10ABC" w:rsidRDefault="00B1586C" w:rsidP="00B1586C">
      <w:pPr>
        <w:pStyle w:val="SingleTxtG"/>
        <w:rPr>
          <w:rStyle w:val="normaltextrun"/>
          <w:rFonts w:eastAsiaTheme="majorEastAsia"/>
          <w:color w:val="000000"/>
        </w:rPr>
      </w:pPr>
      <w:r>
        <w:rPr>
          <w:rStyle w:val="normaltextrun"/>
          <w:rFonts w:eastAsiaTheme="majorEastAsia"/>
          <w:color w:val="000000"/>
        </w:rPr>
        <w:tab/>
      </w:r>
      <w:r w:rsidR="005E7C3B" w:rsidRPr="00E10ABC">
        <w:rPr>
          <w:rStyle w:val="normaltextrun"/>
          <w:rFonts w:eastAsiaTheme="majorEastAsia"/>
          <w:color w:val="000000"/>
        </w:rPr>
        <w:t>“Contribuir a la no repetición de graves violaciones a los DDHH. e infracciones al DIH contra las personas y comunidades sujetos de protección de la CNGS, afectados por las organizaciones y conductas criminales (incluyendo las denominadas sucesoras del paramilitarismo y sus redes de apoyo), así como por el abandono institucional del Estado, mediante acciones integrales que ataquen las múltiples causas (socioeconómicas, políticas, ideológicas, culturales y otras causas estructurales) que favorecen su creación, fortalecimiento y persistencia.”</w:t>
      </w:r>
      <w:r w:rsidR="005E7C3B" w:rsidRPr="00E10ABC">
        <w:rPr>
          <w:rStyle w:val="Refdenotaalpie"/>
          <w:rFonts w:eastAsiaTheme="majorEastAsia"/>
          <w:color w:val="000000"/>
          <w:sz w:val="20"/>
        </w:rPr>
        <w:footnoteReference w:id="2"/>
      </w:r>
    </w:p>
    <w:p w14:paraId="0D38AF74" w14:textId="60AED55E" w:rsidR="005E7C3B" w:rsidRPr="005E7C3B" w:rsidRDefault="005E7C3B" w:rsidP="00B1586C">
      <w:pPr>
        <w:pStyle w:val="SingleTxtG"/>
        <w:keepNext/>
        <w:keepLines/>
        <w:rPr>
          <w:rFonts w:eastAsia="Calibri"/>
          <w:lang w:eastAsia="en-US"/>
        </w:rPr>
      </w:pPr>
      <w:r w:rsidRPr="005E7C3B">
        <w:rPr>
          <w:rFonts w:eastAsia="Calibri"/>
          <w:lang w:eastAsia="en-US"/>
        </w:rPr>
        <w:lastRenderedPageBreak/>
        <w:t>5.</w:t>
      </w:r>
      <w:r w:rsidR="003C18BE">
        <w:rPr>
          <w:rFonts w:eastAsia="Calibri"/>
          <w:lang w:eastAsia="en-US"/>
        </w:rPr>
        <w:tab/>
      </w:r>
      <w:r w:rsidRPr="005E7C3B">
        <w:rPr>
          <w:rFonts w:eastAsia="Calibri"/>
          <w:lang w:eastAsia="en-US"/>
        </w:rPr>
        <w:t>Los objetivos específicos que se han planteado en la política son:</w:t>
      </w:r>
    </w:p>
    <w:p w14:paraId="52AF9ECD" w14:textId="7F22FC84" w:rsidR="005E7C3B" w:rsidRPr="00272A7E" w:rsidRDefault="005E7C3B" w:rsidP="00B1586C">
      <w:pPr>
        <w:pStyle w:val="SingleTxtG"/>
        <w:ind w:left="1701"/>
        <w:rPr>
          <w:rStyle w:val="normaltextrun"/>
          <w:rFonts w:eastAsiaTheme="majorEastAsia"/>
          <w:color w:val="000000"/>
        </w:rPr>
      </w:pPr>
      <w:r>
        <w:rPr>
          <w:rStyle w:val="normaltextrun"/>
          <w:rFonts w:eastAsiaTheme="majorEastAsia"/>
          <w:color w:val="000000"/>
        </w:rPr>
        <w:t>i</w:t>
      </w:r>
      <w:r w:rsidR="00FD59B2">
        <w:rPr>
          <w:rStyle w:val="normaltextrun"/>
          <w:rFonts w:eastAsiaTheme="majorEastAsia"/>
          <w:color w:val="000000"/>
        </w:rPr>
        <w:t>)</w:t>
      </w:r>
      <w:r w:rsidR="00B1586C">
        <w:rPr>
          <w:rStyle w:val="normaltextrun"/>
          <w:rFonts w:eastAsiaTheme="majorEastAsia"/>
          <w:color w:val="000000"/>
        </w:rPr>
        <w:tab/>
      </w:r>
      <w:r w:rsidRPr="00272A7E">
        <w:rPr>
          <w:rStyle w:val="normaltextrun"/>
          <w:rFonts w:eastAsiaTheme="majorEastAsia"/>
          <w:color w:val="000000"/>
        </w:rPr>
        <w:t>Desmantelar los complejos macrocriminales, las organizaciones y conductas objeto de la</w:t>
      </w:r>
      <w:r>
        <w:rPr>
          <w:rStyle w:val="normaltextrun"/>
          <w:rFonts w:eastAsiaTheme="majorEastAsia"/>
          <w:color w:val="000000"/>
        </w:rPr>
        <w:t xml:space="preserve"> </w:t>
      </w:r>
      <w:r w:rsidRPr="00272A7E">
        <w:rPr>
          <w:rStyle w:val="normaltextrun"/>
          <w:rFonts w:eastAsiaTheme="majorEastAsia"/>
          <w:color w:val="000000"/>
        </w:rPr>
        <w:t>CNGS e impedir su reorganización</w:t>
      </w:r>
      <w:r w:rsidR="00FD59B2">
        <w:rPr>
          <w:rStyle w:val="normaltextrun"/>
          <w:rFonts w:eastAsiaTheme="majorEastAsia"/>
          <w:color w:val="000000"/>
        </w:rPr>
        <w:t>;</w:t>
      </w:r>
    </w:p>
    <w:p w14:paraId="366BF803" w14:textId="6AA7680A" w:rsidR="005E7C3B" w:rsidRPr="00272A7E" w:rsidRDefault="005E7C3B" w:rsidP="00B1586C">
      <w:pPr>
        <w:pStyle w:val="SingleTxtG"/>
        <w:ind w:left="1701"/>
        <w:rPr>
          <w:rStyle w:val="normaltextrun"/>
          <w:rFonts w:eastAsiaTheme="majorEastAsia"/>
          <w:color w:val="000000"/>
        </w:rPr>
      </w:pPr>
      <w:r>
        <w:rPr>
          <w:rStyle w:val="normaltextrun"/>
          <w:rFonts w:eastAsiaTheme="majorEastAsia"/>
          <w:color w:val="000000"/>
        </w:rPr>
        <w:t>ii</w:t>
      </w:r>
      <w:r w:rsidR="00FD59B2">
        <w:rPr>
          <w:rStyle w:val="normaltextrun"/>
          <w:rFonts w:eastAsiaTheme="majorEastAsia"/>
          <w:color w:val="000000"/>
        </w:rPr>
        <w:t>)</w:t>
      </w:r>
      <w:r w:rsidR="00B1586C">
        <w:rPr>
          <w:rStyle w:val="normaltextrun"/>
          <w:rFonts w:eastAsiaTheme="majorEastAsia"/>
          <w:color w:val="000000"/>
        </w:rPr>
        <w:tab/>
      </w:r>
      <w:r w:rsidRPr="00272A7E">
        <w:rPr>
          <w:rStyle w:val="normaltextrun"/>
          <w:rFonts w:eastAsiaTheme="majorEastAsia"/>
          <w:color w:val="000000"/>
        </w:rPr>
        <w:t>Generar acciones orientadas a transformar el Estado en el marco de la seguridad humana,</w:t>
      </w:r>
      <w:r>
        <w:rPr>
          <w:rStyle w:val="normaltextrun"/>
          <w:rFonts w:eastAsiaTheme="majorEastAsia"/>
          <w:color w:val="000000"/>
        </w:rPr>
        <w:t xml:space="preserve"> </w:t>
      </w:r>
      <w:r w:rsidRPr="00272A7E">
        <w:rPr>
          <w:rStyle w:val="normaltextrun"/>
          <w:rFonts w:eastAsiaTheme="majorEastAsia"/>
          <w:color w:val="000000"/>
        </w:rPr>
        <w:t>para el fortalecimiento de la prevención y eliminación de relaciones con organizaciones y</w:t>
      </w:r>
      <w:r>
        <w:rPr>
          <w:rStyle w:val="normaltextrun"/>
          <w:rFonts w:eastAsiaTheme="majorEastAsia"/>
          <w:color w:val="000000"/>
        </w:rPr>
        <w:t xml:space="preserve"> </w:t>
      </w:r>
      <w:r w:rsidRPr="00272A7E">
        <w:rPr>
          <w:rStyle w:val="normaltextrun"/>
          <w:rFonts w:eastAsiaTheme="majorEastAsia"/>
          <w:color w:val="000000"/>
        </w:rPr>
        <w:t>conductas criminales</w:t>
      </w:r>
      <w:r w:rsidR="00E10ABC">
        <w:rPr>
          <w:rStyle w:val="normaltextrun"/>
          <w:rFonts w:eastAsiaTheme="majorEastAsia"/>
          <w:color w:val="000000"/>
        </w:rPr>
        <w:t>;</w:t>
      </w:r>
    </w:p>
    <w:p w14:paraId="67166740" w14:textId="02C03736" w:rsidR="005E7C3B" w:rsidRPr="00272A7E" w:rsidRDefault="005E7C3B" w:rsidP="00B1586C">
      <w:pPr>
        <w:pStyle w:val="SingleTxtG"/>
        <w:ind w:left="1701"/>
        <w:rPr>
          <w:rStyle w:val="normaltextrun"/>
          <w:rFonts w:eastAsiaTheme="majorEastAsia"/>
          <w:color w:val="000000"/>
        </w:rPr>
      </w:pPr>
      <w:r>
        <w:rPr>
          <w:rStyle w:val="normaltextrun"/>
          <w:rFonts w:eastAsiaTheme="majorEastAsia"/>
          <w:color w:val="000000"/>
        </w:rPr>
        <w:t>iii</w:t>
      </w:r>
      <w:r w:rsidR="00FD59B2">
        <w:rPr>
          <w:rStyle w:val="normaltextrun"/>
          <w:rFonts w:eastAsiaTheme="majorEastAsia"/>
          <w:color w:val="000000"/>
        </w:rPr>
        <w:t>)</w:t>
      </w:r>
      <w:r w:rsidR="00B1586C">
        <w:rPr>
          <w:rStyle w:val="normaltextrun"/>
          <w:rFonts w:eastAsiaTheme="majorEastAsia"/>
          <w:color w:val="000000"/>
        </w:rPr>
        <w:tab/>
      </w:r>
      <w:r w:rsidRPr="00272A7E">
        <w:rPr>
          <w:rStyle w:val="normaltextrun"/>
          <w:rFonts w:eastAsiaTheme="majorEastAsia"/>
          <w:color w:val="000000"/>
        </w:rPr>
        <w:t>Brindar garantías para la prevención de la violencia contra la vida e integridad de las</w:t>
      </w:r>
      <w:r>
        <w:rPr>
          <w:rStyle w:val="normaltextrun"/>
          <w:rFonts w:eastAsiaTheme="majorEastAsia"/>
          <w:color w:val="000000"/>
        </w:rPr>
        <w:t xml:space="preserve"> </w:t>
      </w:r>
      <w:r w:rsidRPr="00272A7E">
        <w:rPr>
          <w:rStyle w:val="normaltextrun"/>
          <w:rFonts w:eastAsiaTheme="majorEastAsia"/>
          <w:color w:val="000000"/>
        </w:rPr>
        <w:t>comunidades, organizaciones sociales, líderes y lideresas, defensores y defensoras de DDHH</w:t>
      </w:r>
      <w:r>
        <w:rPr>
          <w:rStyle w:val="normaltextrun"/>
          <w:rFonts w:eastAsiaTheme="majorEastAsia"/>
          <w:color w:val="000000"/>
        </w:rPr>
        <w:t xml:space="preserve"> </w:t>
      </w:r>
      <w:r w:rsidRPr="00272A7E">
        <w:rPr>
          <w:rStyle w:val="normaltextrun"/>
          <w:rFonts w:eastAsiaTheme="majorEastAsia"/>
          <w:color w:val="000000"/>
        </w:rPr>
        <w:t>y firmantes de paz, fortaleciendo su empoderamiento, con enfoque de seguridad humana,</w:t>
      </w:r>
      <w:r>
        <w:rPr>
          <w:rStyle w:val="normaltextrun"/>
          <w:rFonts w:eastAsiaTheme="majorEastAsia"/>
          <w:color w:val="000000"/>
        </w:rPr>
        <w:t xml:space="preserve"> </w:t>
      </w:r>
      <w:r w:rsidRPr="00272A7E">
        <w:rPr>
          <w:rStyle w:val="normaltextrun"/>
          <w:rFonts w:eastAsiaTheme="majorEastAsia"/>
          <w:color w:val="000000"/>
        </w:rPr>
        <w:t>étnico, de género, poblacional, campesino y territorial</w:t>
      </w:r>
      <w:r w:rsidR="00E10ABC">
        <w:rPr>
          <w:rStyle w:val="normaltextrun"/>
          <w:rFonts w:eastAsiaTheme="majorEastAsia"/>
          <w:color w:val="000000"/>
        </w:rPr>
        <w:t>;</w:t>
      </w:r>
    </w:p>
    <w:p w14:paraId="6183EC1F" w14:textId="23F584FF" w:rsidR="005E7C3B" w:rsidRDefault="005E7C3B" w:rsidP="00B1586C">
      <w:pPr>
        <w:pStyle w:val="SingleTxtG"/>
        <w:ind w:left="1701"/>
        <w:rPr>
          <w:rStyle w:val="normaltextrun"/>
          <w:rFonts w:eastAsiaTheme="majorEastAsia"/>
          <w:color w:val="000000"/>
        </w:rPr>
      </w:pPr>
      <w:r>
        <w:rPr>
          <w:rStyle w:val="normaltextrun"/>
          <w:rFonts w:eastAsiaTheme="majorEastAsia"/>
          <w:color w:val="000000"/>
        </w:rPr>
        <w:t>iv</w:t>
      </w:r>
      <w:r w:rsidR="00FD59B2">
        <w:rPr>
          <w:rStyle w:val="normaltextrun"/>
          <w:rFonts w:eastAsiaTheme="majorEastAsia"/>
          <w:color w:val="000000"/>
        </w:rPr>
        <w:t>)</w:t>
      </w:r>
      <w:r w:rsidR="00B1586C">
        <w:rPr>
          <w:rStyle w:val="normaltextrun"/>
          <w:rFonts w:eastAsiaTheme="majorEastAsia"/>
          <w:color w:val="000000"/>
        </w:rPr>
        <w:tab/>
      </w:r>
      <w:r w:rsidRPr="00272A7E">
        <w:rPr>
          <w:rStyle w:val="normaltextrun"/>
          <w:rFonts w:eastAsiaTheme="majorEastAsia"/>
          <w:color w:val="000000"/>
        </w:rPr>
        <w:t>Garantizar la armonización, monitoreo, seguimiento y evaluación de la implementación de</w:t>
      </w:r>
      <w:r>
        <w:rPr>
          <w:rStyle w:val="normaltextrun"/>
          <w:rFonts w:eastAsiaTheme="majorEastAsia"/>
          <w:color w:val="000000"/>
        </w:rPr>
        <w:t xml:space="preserve"> </w:t>
      </w:r>
      <w:r w:rsidRPr="00272A7E">
        <w:rPr>
          <w:rStyle w:val="normaltextrun"/>
          <w:rFonts w:eastAsiaTheme="majorEastAsia"/>
          <w:color w:val="000000"/>
        </w:rPr>
        <w:t>la Política Pública de Desmantelamiento de Organizaciones y Conductas que Atentan contra</w:t>
      </w:r>
      <w:r>
        <w:rPr>
          <w:rStyle w:val="normaltextrun"/>
          <w:rFonts w:eastAsiaTheme="majorEastAsia"/>
          <w:color w:val="000000"/>
        </w:rPr>
        <w:t xml:space="preserve"> </w:t>
      </w:r>
      <w:r w:rsidRPr="00272A7E">
        <w:rPr>
          <w:rStyle w:val="normaltextrun"/>
          <w:rFonts w:eastAsiaTheme="majorEastAsia"/>
          <w:color w:val="000000"/>
        </w:rPr>
        <w:t>la Construcción de la Paz.</w:t>
      </w:r>
    </w:p>
    <w:p w14:paraId="1D06545B" w14:textId="5CE75577" w:rsidR="005E7C3B" w:rsidRPr="005E7C3B" w:rsidRDefault="005E7C3B" w:rsidP="005E7C3B">
      <w:pPr>
        <w:pStyle w:val="SingleTxtG"/>
        <w:rPr>
          <w:rFonts w:eastAsia="Calibri"/>
          <w:lang w:eastAsia="en-US"/>
        </w:rPr>
      </w:pPr>
      <w:r w:rsidRPr="005E7C3B">
        <w:rPr>
          <w:rFonts w:eastAsia="Calibri"/>
          <w:lang w:eastAsia="en-US"/>
        </w:rPr>
        <w:t>6.</w:t>
      </w:r>
      <w:r w:rsidR="003C18BE">
        <w:rPr>
          <w:rFonts w:eastAsia="Calibri"/>
          <w:lang w:eastAsia="en-US"/>
        </w:rPr>
        <w:tab/>
      </w:r>
      <w:r w:rsidRPr="005E7C3B">
        <w:rPr>
          <w:rFonts w:eastAsia="Calibri"/>
          <w:lang w:eastAsia="en-US"/>
        </w:rPr>
        <w:t xml:space="preserve">La Comisión Nacional de Garantías de Seguridad se encargará de liderar el seguimiento a la implementación del Plan de Acción Permanente de la política pública (Anexo 1), el cual establece lineamientos, acciones y responsables de cada uno de los objetivos específicos. </w:t>
      </w:r>
    </w:p>
    <w:p w14:paraId="16DEDA8A" w14:textId="65FEC206" w:rsidR="005E7C3B" w:rsidRPr="005E7C3B" w:rsidRDefault="005E7C3B" w:rsidP="005E7C3B">
      <w:pPr>
        <w:pStyle w:val="SingleTxtG"/>
        <w:rPr>
          <w:rFonts w:eastAsia="Calibri"/>
          <w:lang w:eastAsia="en-US"/>
        </w:rPr>
      </w:pPr>
      <w:r w:rsidRPr="005E7C3B">
        <w:rPr>
          <w:rFonts w:eastAsia="Calibri"/>
          <w:lang w:eastAsia="en-US"/>
        </w:rPr>
        <w:t>7.</w:t>
      </w:r>
      <w:r w:rsidR="003C18BE">
        <w:rPr>
          <w:rFonts w:eastAsia="Calibri"/>
          <w:lang w:eastAsia="en-US"/>
        </w:rPr>
        <w:tab/>
      </w:r>
      <w:r w:rsidRPr="005E7C3B">
        <w:rPr>
          <w:rFonts w:eastAsia="Calibri"/>
          <w:lang w:eastAsia="en-US"/>
        </w:rPr>
        <w:t>Los lineamientos planteados en el Plan de Acción Permanente se desarrollarán a través de componentes interconectados que permitan la acción integrada tanto en seguridad humana, implementación de acuerdos de paz, empoderamiento ciudadano, como en las dimensiones de desmantelamiento por acción directa del Estado contra conductas y organizaciones criminales. En cuanto a la desestructuración de conductas y organizaciones criminales los objetivos específicos incluyen los siguientes componentes</w:t>
      </w:r>
      <w:r w:rsidR="00935369">
        <w:rPr>
          <w:rFonts w:eastAsia="Calibri"/>
          <w:lang w:eastAsia="en-US"/>
        </w:rPr>
        <w:t>.</w:t>
      </w:r>
    </w:p>
    <w:p w14:paraId="57B984D5" w14:textId="083F50C9" w:rsidR="00B86C77" w:rsidRDefault="00B1586C" w:rsidP="00B1586C">
      <w:pPr>
        <w:pStyle w:val="H23G"/>
        <w:rPr>
          <w:rFonts w:eastAsia="Calibri"/>
          <w:lang w:eastAsia="en-US"/>
        </w:rPr>
      </w:pPr>
      <w:r>
        <w:rPr>
          <w:rFonts w:eastAsia="Calibri"/>
          <w:lang w:eastAsia="en-US"/>
        </w:rPr>
        <w:tab/>
      </w:r>
      <w:r>
        <w:rPr>
          <w:rFonts w:eastAsia="Calibri"/>
          <w:lang w:eastAsia="en-US"/>
        </w:rPr>
        <w:tab/>
      </w:r>
      <w:r w:rsidR="005E7C3B" w:rsidRPr="005E7C3B">
        <w:rPr>
          <w:rFonts w:eastAsia="Calibri"/>
          <w:lang w:eastAsia="en-US"/>
        </w:rPr>
        <w:t xml:space="preserve">Desmantelamiento </w:t>
      </w:r>
    </w:p>
    <w:p w14:paraId="7E728B70" w14:textId="60D904F4" w:rsidR="005E7C3B" w:rsidRPr="005E7C3B" w:rsidRDefault="00DF13A7" w:rsidP="005E7C3B">
      <w:pPr>
        <w:pStyle w:val="SingleTxtG"/>
        <w:rPr>
          <w:rFonts w:eastAsia="Calibri"/>
          <w:lang w:eastAsia="en-US"/>
        </w:rPr>
      </w:pPr>
      <w:r>
        <w:rPr>
          <w:rFonts w:eastAsia="Calibri"/>
          <w:lang w:eastAsia="en-US"/>
        </w:rPr>
        <w:t>8.</w:t>
      </w:r>
      <w:r>
        <w:rPr>
          <w:rFonts w:eastAsia="Calibri"/>
          <w:lang w:eastAsia="en-US"/>
        </w:rPr>
        <w:tab/>
        <w:t>E</w:t>
      </w:r>
      <w:r w:rsidR="005E7C3B" w:rsidRPr="005E7C3B">
        <w:rPr>
          <w:rFonts w:eastAsia="Calibri"/>
          <w:lang w:eastAsia="en-US"/>
        </w:rPr>
        <w:t>ste componente agrupa acciones que faciliten, primero, la identificación de las redes utilizadas por las organizaciones criminales para desarrollar sus actividades financieras, políticas, armadas y transnacionales; y, segundo, la investigación, judicialización y sanción de los responsables de los hechos de diferentes grados de participación, incluidos los máximos responsables, determinadores y beneficiarios de sus acciones criminales. El objetivo de este componente es, por lo tanto, desmantelar los complejos macrocriminales, las organizaciones y conductas objeto de la CNGS e impedir su reorganización.</w:t>
      </w:r>
    </w:p>
    <w:p w14:paraId="1445D6E5" w14:textId="3BF65B70" w:rsidR="00DF13A7" w:rsidRDefault="00B1586C" w:rsidP="00B1586C">
      <w:pPr>
        <w:pStyle w:val="H23G"/>
        <w:rPr>
          <w:rFonts w:eastAsia="Calibri"/>
          <w:lang w:eastAsia="en-US"/>
        </w:rPr>
      </w:pPr>
      <w:r>
        <w:rPr>
          <w:rFonts w:eastAsia="Calibri"/>
          <w:lang w:eastAsia="en-US"/>
        </w:rPr>
        <w:tab/>
      </w:r>
      <w:r>
        <w:rPr>
          <w:rFonts w:eastAsia="Calibri"/>
          <w:lang w:eastAsia="en-US"/>
        </w:rPr>
        <w:tab/>
      </w:r>
      <w:r w:rsidR="005E7C3B" w:rsidRPr="005E7C3B">
        <w:rPr>
          <w:rFonts w:eastAsia="Calibri"/>
          <w:lang w:eastAsia="en-US"/>
        </w:rPr>
        <w:t xml:space="preserve">Contribución a la transformación del Estado </w:t>
      </w:r>
    </w:p>
    <w:p w14:paraId="0B5C4772" w14:textId="1E3F7704" w:rsidR="005E7C3B" w:rsidRPr="005E7C3B" w:rsidRDefault="00DF13A7" w:rsidP="005E7C3B">
      <w:pPr>
        <w:pStyle w:val="SingleTxtG"/>
        <w:rPr>
          <w:rFonts w:eastAsia="Calibri"/>
          <w:lang w:eastAsia="en-US"/>
        </w:rPr>
      </w:pPr>
      <w:r>
        <w:rPr>
          <w:rFonts w:eastAsia="Calibri"/>
          <w:lang w:eastAsia="en-US"/>
        </w:rPr>
        <w:t>9.</w:t>
      </w:r>
      <w:r>
        <w:rPr>
          <w:rFonts w:eastAsia="Calibri"/>
          <w:lang w:eastAsia="en-US"/>
        </w:rPr>
        <w:tab/>
        <w:t>E</w:t>
      </w:r>
      <w:r w:rsidR="005E7C3B" w:rsidRPr="005E7C3B">
        <w:rPr>
          <w:rFonts w:eastAsia="Calibri"/>
          <w:lang w:eastAsia="en-US"/>
        </w:rPr>
        <w:t>l objetivo de este componente es el fortalecimiento permanente de las capacidades estatales para eliminar y prevenir cualquier tipo de vínculo entre agentes del Estado con organizaciones y conductas criminales objeto de esta política, enfrentando a las organizaciones criminales en sus cuatro dimensiones de desarrollo: financiera, política, armada y transnacional.</w:t>
      </w:r>
    </w:p>
    <w:p w14:paraId="6E2D8859" w14:textId="4C384009" w:rsidR="005E7C3B" w:rsidRPr="005E7C3B" w:rsidRDefault="005E7C3B" w:rsidP="005E7C3B">
      <w:pPr>
        <w:pStyle w:val="SingleTxtG"/>
        <w:rPr>
          <w:rFonts w:eastAsia="Calibri"/>
          <w:lang w:eastAsia="en-US"/>
        </w:rPr>
      </w:pPr>
      <w:r w:rsidRPr="005E7C3B">
        <w:rPr>
          <w:rFonts w:eastAsia="Calibri"/>
          <w:lang w:eastAsia="en-US"/>
        </w:rPr>
        <w:t>10.</w:t>
      </w:r>
      <w:r w:rsidR="003C18BE">
        <w:rPr>
          <w:rFonts w:eastAsia="Calibri"/>
          <w:lang w:eastAsia="en-US"/>
        </w:rPr>
        <w:tab/>
      </w:r>
      <w:r w:rsidRPr="005E7C3B">
        <w:rPr>
          <w:rFonts w:eastAsia="Calibri"/>
          <w:lang w:eastAsia="en-US"/>
        </w:rPr>
        <w:t>En este componente el lineamiento 2.6 en su acción 2.6.3, indica: “Fortalecer las capacidades técnicas de los equipos de género en la Policía Nacional, con alcance al Cuerpo Élite (…)”; igualmente, la acción 2.6.5. señala “Promover el fortalecimiento del componente de policía judicial de la Policía Nacional, particularmente el Cuerpo Elite, a partir de las necesidades de presencia y articulación con la Fiscalía General de la Nación en línea con lo dispuesto en la estrategia para aportar a la Paz Total, de la Política de Seguridad, Defensa y Convivencia, Garantías para la Vida y la Paz 2023-2026”. En cumplimiento a lo antes descrito, las Fuerzas Militares y la Policía Nacional intensificarán su presencia en el territorio mediante la ejecución del ‘Plan 16.000</w:t>
      </w:r>
      <w:r w:rsidR="00B1586C">
        <w:rPr>
          <w:rFonts w:eastAsia="Calibri"/>
          <w:lang w:eastAsia="en-US"/>
        </w:rPr>
        <w:t>’</w:t>
      </w:r>
      <w:r w:rsidRPr="005E7C3B">
        <w:rPr>
          <w:rFonts w:eastAsia="Calibri"/>
          <w:lang w:eastAsia="en-US"/>
        </w:rPr>
        <w:t xml:space="preserve"> para el Ejército Nacional, el cual contempla un aumento en la cantidad de soldados profesionales, pasando de 86.200 en 2024 a un total de 102.200 para el año 2026. Igualmente, la Policía Nacional pondrá en marcha el </w:t>
      </w:r>
      <w:r w:rsidR="00B1586C">
        <w:rPr>
          <w:rFonts w:eastAsia="Calibri"/>
          <w:lang w:eastAsia="en-US"/>
        </w:rPr>
        <w:t>‘</w:t>
      </w:r>
      <w:r w:rsidRPr="005E7C3B">
        <w:rPr>
          <w:rFonts w:eastAsia="Calibri"/>
          <w:lang w:eastAsia="en-US"/>
        </w:rPr>
        <w:t>Plan 20.000</w:t>
      </w:r>
      <w:r w:rsidR="00B1586C">
        <w:rPr>
          <w:rFonts w:eastAsia="Calibri"/>
          <w:lang w:eastAsia="en-US"/>
        </w:rPr>
        <w:t>’</w:t>
      </w:r>
      <w:r w:rsidRPr="005E7C3B">
        <w:rPr>
          <w:rFonts w:eastAsia="Calibri"/>
          <w:lang w:eastAsia="en-US"/>
        </w:rPr>
        <w:t>, que implica la incorporación gradual de este número de miembros en cuatro etapas que comenzarán en 2024.</w:t>
      </w:r>
    </w:p>
    <w:p w14:paraId="3FED7C9F" w14:textId="376D71C1" w:rsidR="00DF13A7" w:rsidRDefault="00B1586C" w:rsidP="00B1586C">
      <w:pPr>
        <w:pStyle w:val="H23G"/>
        <w:rPr>
          <w:rFonts w:eastAsia="Calibri"/>
          <w:lang w:eastAsia="en-US"/>
        </w:rPr>
      </w:pPr>
      <w:r>
        <w:rPr>
          <w:rFonts w:eastAsia="Calibri"/>
          <w:lang w:eastAsia="en-US"/>
        </w:rPr>
        <w:lastRenderedPageBreak/>
        <w:tab/>
      </w:r>
      <w:r>
        <w:rPr>
          <w:rFonts w:eastAsia="Calibri"/>
          <w:lang w:eastAsia="en-US"/>
        </w:rPr>
        <w:tab/>
      </w:r>
      <w:r w:rsidR="005E7C3B" w:rsidRPr="003C18BE">
        <w:rPr>
          <w:rFonts w:eastAsia="Calibri"/>
          <w:lang w:eastAsia="en-US"/>
        </w:rPr>
        <w:t>Acción integral del Estado</w:t>
      </w:r>
    </w:p>
    <w:p w14:paraId="63D4B76A" w14:textId="0E3BD70C" w:rsidR="005E7C3B" w:rsidRPr="005E7C3B" w:rsidRDefault="00DF13A7" w:rsidP="005E7C3B">
      <w:pPr>
        <w:pStyle w:val="SingleTxtG"/>
        <w:rPr>
          <w:rFonts w:eastAsia="Calibri"/>
          <w:lang w:eastAsia="en-US"/>
        </w:rPr>
      </w:pPr>
      <w:r>
        <w:rPr>
          <w:rFonts w:eastAsia="Calibri"/>
          <w:lang w:eastAsia="en-US"/>
        </w:rPr>
        <w:t>11.</w:t>
      </w:r>
      <w:r>
        <w:rPr>
          <w:rFonts w:eastAsia="Calibri"/>
          <w:lang w:eastAsia="en-US"/>
        </w:rPr>
        <w:tab/>
        <w:t>E</w:t>
      </w:r>
      <w:r w:rsidR="005E7C3B" w:rsidRPr="005E7C3B">
        <w:rPr>
          <w:rFonts w:eastAsia="Calibri"/>
          <w:lang w:eastAsia="en-US"/>
        </w:rPr>
        <w:t>ste componente agrupa una serie de medidas base para el direccionamiento estratégico e integral del Estado hacia la eliminación de los factores socioculturales que favorecen la emergencia y reproducción de la criminalidad organizada en los territorios. El objetivo de este componente es, por lo tanto, brindar garantías para la prevención de la violencia contra la vida e integridad de las comunidades, organizaciones sociales, líderes y lideresas, defensores y defensoras de DDHH y firmantes de paz, fortaleciendo su empoderamiento mediante un enfoque de seguridad humana, étnico, de género, poblacional, campesino y territorial.</w:t>
      </w:r>
    </w:p>
    <w:p w14:paraId="5A15F482" w14:textId="2C8BAFF2" w:rsidR="00DF13A7" w:rsidRDefault="00B1586C" w:rsidP="00B1586C">
      <w:pPr>
        <w:pStyle w:val="H23G"/>
        <w:rPr>
          <w:rFonts w:eastAsia="Calibri"/>
          <w:lang w:eastAsia="en-US"/>
        </w:rPr>
      </w:pPr>
      <w:r>
        <w:rPr>
          <w:rFonts w:eastAsia="Calibri"/>
          <w:lang w:eastAsia="en-US"/>
        </w:rPr>
        <w:tab/>
      </w:r>
      <w:r>
        <w:rPr>
          <w:rFonts w:eastAsia="Calibri"/>
          <w:lang w:eastAsia="en-US"/>
        </w:rPr>
        <w:tab/>
      </w:r>
      <w:r w:rsidR="005E7C3B" w:rsidRPr="003C18BE">
        <w:rPr>
          <w:rFonts w:eastAsia="Calibri"/>
          <w:lang w:eastAsia="en-US"/>
        </w:rPr>
        <w:t>Monitoreo y evaluación</w:t>
      </w:r>
      <w:r w:rsidR="005E7C3B" w:rsidRPr="005E7C3B">
        <w:rPr>
          <w:rFonts w:eastAsia="Calibri"/>
          <w:lang w:eastAsia="en-US"/>
        </w:rPr>
        <w:t xml:space="preserve"> </w:t>
      </w:r>
    </w:p>
    <w:p w14:paraId="728D4BB9" w14:textId="7A0E855D" w:rsidR="005E7C3B" w:rsidRPr="005E7C3B" w:rsidRDefault="00DF13A7" w:rsidP="005E7C3B">
      <w:pPr>
        <w:pStyle w:val="SingleTxtG"/>
        <w:rPr>
          <w:rFonts w:eastAsia="Calibri"/>
          <w:lang w:eastAsia="en-US"/>
        </w:rPr>
      </w:pPr>
      <w:r>
        <w:rPr>
          <w:rFonts w:eastAsia="Calibri"/>
          <w:lang w:eastAsia="en-US"/>
        </w:rPr>
        <w:t>12.</w:t>
      </w:r>
      <w:r>
        <w:rPr>
          <w:rFonts w:eastAsia="Calibri"/>
          <w:lang w:eastAsia="en-US"/>
        </w:rPr>
        <w:tab/>
        <w:t>E</w:t>
      </w:r>
      <w:r w:rsidR="005E7C3B" w:rsidRPr="005E7C3B">
        <w:rPr>
          <w:rFonts w:eastAsia="Calibri"/>
          <w:lang w:eastAsia="en-US"/>
        </w:rPr>
        <w:t>ste componente posee un carácter transversal, en la medida en que las acciones que recoge permiten generar condiciones para la ejecución de la política, al mismo tiempo que le otorga un carácter dinámico, en consonancia con la capacidad de adaptación continua de la criminalidad organizada. Por tanto, el objetivo de esta política es garantizar la armonización, monitoreo, seguimiento y evaluación de la política pública de desmantelamiento de organizaciones criminales que atentan contra la construcción de la paz.</w:t>
      </w:r>
    </w:p>
    <w:p w14:paraId="319EFFD4" w14:textId="5D7AF2A3" w:rsidR="005E7C3B" w:rsidRPr="005E7C3B" w:rsidRDefault="005E7C3B" w:rsidP="005E7C3B">
      <w:pPr>
        <w:pStyle w:val="SingleTxtG"/>
        <w:rPr>
          <w:rFonts w:eastAsia="Calibri"/>
          <w:lang w:eastAsia="en-US"/>
        </w:rPr>
      </w:pPr>
      <w:r w:rsidRPr="005E7C3B">
        <w:rPr>
          <w:rFonts w:eastAsia="Calibri"/>
          <w:lang w:eastAsia="en-US"/>
        </w:rPr>
        <w:t>13.</w:t>
      </w:r>
      <w:r w:rsidR="003C18BE">
        <w:rPr>
          <w:rFonts w:eastAsia="Calibri"/>
          <w:lang w:eastAsia="en-US"/>
        </w:rPr>
        <w:tab/>
      </w:r>
      <w:r w:rsidRPr="005E7C3B">
        <w:rPr>
          <w:rFonts w:eastAsia="Calibri"/>
          <w:lang w:eastAsia="en-US"/>
        </w:rPr>
        <w:t>Se adjunta a la presenta comunicación el Anexo 1 titulado “Plan de Acción Permanente para el desmantelamiento de organizaciones criminales que atentan contra la construcción de la paz, incluidas las denominadas sucesoras del paramilitarismo y sus redes de apoyo”, en donde se encuentran los detalles de las acciones que la Política Pública implementará.</w:t>
      </w:r>
    </w:p>
    <w:p w14:paraId="31A2CF3C" w14:textId="6F238552" w:rsidR="005E7C3B" w:rsidRPr="00FD59B2" w:rsidRDefault="003C18BE" w:rsidP="00B1586C">
      <w:pPr>
        <w:pStyle w:val="H23G"/>
        <w:rPr>
          <w:i/>
          <w:lang w:val="es-CO"/>
        </w:rPr>
      </w:pPr>
      <w:r>
        <w:rPr>
          <w:lang w:val="es-CO"/>
        </w:rPr>
        <w:tab/>
      </w:r>
      <w:r w:rsidR="005E7C3B" w:rsidRPr="00FD59B2">
        <w:rPr>
          <w:lang w:val="es-CO"/>
        </w:rPr>
        <w:t>2</w:t>
      </w:r>
      <w:r w:rsidR="00FD59B2" w:rsidRPr="00FD59B2">
        <w:rPr>
          <w:lang w:val="es-CO"/>
        </w:rPr>
        <w:t>.</w:t>
      </w:r>
      <w:r w:rsidRPr="00FD59B2">
        <w:rPr>
          <w:lang w:val="es-CO"/>
        </w:rPr>
        <w:tab/>
      </w:r>
      <w:r w:rsidRPr="00FD59B2">
        <w:rPr>
          <w:lang w:val="es-CO"/>
        </w:rPr>
        <w:tab/>
      </w:r>
      <w:r w:rsidR="005E7C3B" w:rsidRPr="00FD59B2">
        <w:rPr>
          <w:lang w:val="es-CO"/>
        </w:rPr>
        <w:t>“Política de Seguridad, Defensa y Convivencia Ciudadana. Garantías</w:t>
      </w:r>
      <w:r w:rsidR="00B1586C">
        <w:rPr>
          <w:lang w:val="es-CO"/>
        </w:rPr>
        <w:br/>
      </w:r>
      <w:r w:rsidR="005E7C3B" w:rsidRPr="00FD59B2">
        <w:rPr>
          <w:lang w:val="es-CO"/>
        </w:rPr>
        <w:t xml:space="preserve">para la vida y la paz 2022-2026” </w:t>
      </w:r>
    </w:p>
    <w:p w14:paraId="4DF4F581" w14:textId="548505FA" w:rsidR="005E7C3B" w:rsidRPr="003C18BE" w:rsidRDefault="005E7C3B" w:rsidP="003C18BE">
      <w:pPr>
        <w:pStyle w:val="SingleTxtG"/>
        <w:rPr>
          <w:rFonts w:eastAsia="Calibri"/>
          <w:lang w:eastAsia="en-US"/>
        </w:rPr>
      </w:pPr>
      <w:r w:rsidRPr="003C18BE">
        <w:rPr>
          <w:rFonts w:eastAsia="Calibri"/>
          <w:lang w:eastAsia="en-US"/>
        </w:rPr>
        <w:t>14.</w:t>
      </w:r>
      <w:r w:rsidR="003C18BE">
        <w:rPr>
          <w:rFonts w:eastAsia="Calibri"/>
          <w:lang w:eastAsia="en-US"/>
        </w:rPr>
        <w:tab/>
      </w:r>
      <w:r w:rsidRPr="003C18BE">
        <w:rPr>
          <w:rFonts w:eastAsia="Calibri"/>
          <w:lang w:eastAsia="en-US"/>
        </w:rPr>
        <w:t>El Estado colombiano a través del Ministerio de Defensa Nacional expidió la “Política de Seguridad, Defensa y Convivencia Ciudadana. Garantías para la vida y la paz 2022-2026”, la cual funda su razón de ser en el concepto de seguridad humana y tiene como propósito principal la protección de la vida. Para ello, esta política se plantea como objetivo general “Proteger la vida de todos los habitantes del país, mediante la generación de condiciones de seguridad en los entornos urbanos y particularmente rurales, y la recuperación del control del territorio para liberar a la sociedad de las violencias”, es así como se proyectan estrategias y acciones que permitirán su cumplimiento y serán promovidas por el sector de Seguridad y Defensa. </w:t>
      </w:r>
    </w:p>
    <w:p w14:paraId="497B455B" w14:textId="2F49C703" w:rsidR="005E7C3B" w:rsidRPr="003C18BE" w:rsidRDefault="005E7C3B" w:rsidP="003C18BE">
      <w:pPr>
        <w:pStyle w:val="SingleTxtG"/>
        <w:rPr>
          <w:rFonts w:eastAsia="Calibri"/>
          <w:lang w:eastAsia="en-US"/>
        </w:rPr>
      </w:pPr>
      <w:r w:rsidRPr="003C18BE">
        <w:rPr>
          <w:rFonts w:eastAsia="Calibri"/>
          <w:lang w:eastAsia="en-US"/>
        </w:rPr>
        <w:t>15.</w:t>
      </w:r>
      <w:r w:rsidR="003C18BE">
        <w:rPr>
          <w:rFonts w:eastAsia="Calibri"/>
          <w:lang w:eastAsia="en-US"/>
        </w:rPr>
        <w:tab/>
      </w:r>
      <w:r w:rsidRPr="003C18BE">
        <w:rPr>
          <w:rFonts w:eastAsia="Calibri"/>
          <w:lang w:eastAsia="en-US"/>
        </w:rPr>
        <w:t>Desde el objetivo de la política, se formularon estrategias y acciones asociadas a cada objetivo específico para su logro.  Precisamente, el objetivo específico No. 1 orientado a proveer condiciones de seguridad y protección para la vida, la integridad personal y el patrimonio, con especial énfasis en los territorios bajo disputa de organizaciones criminales, plantea la estrategia No. 2 “para desarticular las organizaciones armadas ilegales”, en la cual dispone entre otras cosas, fortalecer la cooperación con el poder judicial para la desarticulación del multicrimen, mediante estrategias de investigaciones macro, sistémicas, regionalizadas, a partir de procesos de fusión y de protección de información, mejorando la capacidad de análisis interdisciplinaria, en coordinación con la Fiscalía General de la Nación.</w:t>
      </w:r>
    </w:p>
    <w:p w14:paraId="128E6F9B" w14:textId="0F5F1C5E" w:rsidR="005E7C3B" w:rsidRPr="00FD59B2" w:rsidRDefault="003C18BE" w:rsidP="00B1586C">
      <w:pPr>
        <w:pStyle w:val="H23G"/>
        <w:rPr>
          <w:rStyle w:val="normaltextrun"/>
          <w:b w:val="0"/>
          <w:bCs/>
          <w:i/>
          <w:iCs/>
        </w:rPr>
      </w:pPr>
      <w:r>
        <w:rPr>
          <w:rStyle w:val="normaltextrun"/>
          <w:rFonts w:eastAsiaTheme="majorEastAsia"/>
          <w:bCs/>
          <w:color w:val="000000"/>
        </w:rPr>
        <w:tab/>
      </w:r>
      <w:r w:rsidR="005E7C3B" w:rsidRPr="00FD59B2">
        <w:rPr>
          <w:rStyle w:val="normaltextrun"/>
          <w:rFonts w:eastAsiaTheme="majorEastAsia"/>
          <w:bCs/>
          <w:iCs/>
          <w:color w:val="000000"/>
        </w:rPr>
        <w:t>3</w:t>
      </w:r>
      <w:r w:rsidR="00FD59B2" w:rsidRPr="00FD59B2">
        <w:rPr>
          <w:rStyle w:val="normaltextrun"/>
          <w:rFonts w:eastAsiaTheme="majorEastAsia"/>
          <w:bCs/>
          <w:iCs/>
          <w:color w:val="000000"/>
        </w:rPr>
        <w:t>.</w:t>
      </w:r>
      <w:r w:rsidRPr="00FD59B2">
        <w:rPr>
          <w:rStyle w:val="normaltextrun"/>
          <w:rFonts w:eastAsiaTheme="majorEastAsia"/>
          <w:bCs/>
          <w:iCs/>
          <w:color w:val="000000"/>
        </w:rPr>
        <w:tab/>
      </w:r>
      <w:r w:rsidR="005E7C3B" w:rsidRPr="00FD59B2">
        <w:rPr>
          <w:rStyle w:val="normaltextrun"/>
          <w:rFonts w:eastAsiaTheme="majorEastAsia"/>
          <w:bCs/>
          <w:iCs/>
          <w:color w:val="000000"/>
        </w:rPr>
        <w:t>Fortalecimiento del accionar de la Fiscalía General de la Nación</w:t>
      </w:r>
    </w:p>
    <w:p w14:paraId="7D5C54B6" w14:textId="61DDE2B6" w:rsidR="005E7C3B" w:rsidRPr="003C18BE" w:rsidRDefault="005E7C3B" w:rsidP="00935369">
      <w:pPr>
        <w:pStyle w:val="SingleTxtG"/>
        <w:rPr>
          <w:rFonts w:eastAsia="Calibri"/>
          <w:lang w:eastAsia="en-US"/>
        </w:rPr>
      </w:pPr>
      <w:r w:rsidRPr="003C18BE">
        <w:rPr>
          <w:rFonts w:eastAsia="Calibri"/>
          <w:lang w:eastAsia="en-US"/>
        </w:rPr>
        <w:t>16.</w:t>
      </w:r>
      <w:r w:rsidR="003C18BE">
        <w:rPr>
          <w:rFonts w:eastAsia="Calibri"/>
          <w:lang w:eastAsia="en-US"/>
        </w:rPr>
        <w:tab/>
      </w:r>
      <w:r w:rsidRPr="003C18BE">
        <w:rPr>
          <w:rFonts w:eastAsia="Calibri"/>
          <w:lang w:eastAsia="en-US"/>
        </w:rPr>
        <w:t>La acción penal efectiva contra las principales estructuras criminales que afectan la implementación del Acuerdo Final de Paz a través de la victimización de población firmante y defensores de derechos humanos han sido fortalecida a través de la metodología implementada por la Unidad Especial de Investigación -UEI en los trece (13) proyectos investigativos que allí cursan.  </w:t>
      </w:r>
    </w:p>
    <w:p w14:paraId="5A2ACE4A" w14:textId="4642ABB9" w:rsidR="005E7C3B" w:rsidRPr="003C18BE" w:rsidRDefault="005E7C3B" w:rsidP="003C18BE">
      <w:pPr>
        <w:pStyle w:val="SingleTxtG"/>
        <w:rPr>
          <w:rFonts w:eastAsia="Calibri"/>
          <w:lang w:eastAsia="en-US"/>
        </w:rPr>
      </w:pPr>
      <w:r w:rsidRPr="003C18BE">
        <w:rPr>
          <w:rFonts w:eastAsia="Calibri"/>
          <w:lang w:eastAsia="en-US"/>
        </w:rPr>
        <w:t>17.</w:t>
      </w:r>
      <w:r w:rsidR="003C18BE">
        <w:rPr>
          <w:rFonts w:eastAsia="Calibri"/>
          <w:lang w:eastAsia="en-US"/>
        </w:rPr>
        <w:tab/>
      </w:r>
      <w:r w:rsidRPr="003C18BE">
        <w:rPr>
          <w:rFonts w:eastAsia="Calibri"/>
          <w:lang w:eastAsia="en-US"/>
        </w:rPr>
        <w:t xml:space="preserve">La </w:t>
      </w:r>
      <w:proofErr w:type="gramStart"/>
      <w:r w:rsidRPr="003C18BE">
        <w:rPr>
          <w:rFonts w:eastAsia="Calibri"/>
          <w:lang w:eastAsia="en-US"/>
        </w:rPr>
        <w:t>Fiscalía General</w:t>
      </w:r>
      <w:proofErr w:type="gramEnd"/>
      <w:r w:rsidRPr="003C18BE">
        <w:rPr>
          <w:rFonts w:eastAsia="Calibri"/>
          <w:lang w:eastAsia="en-US"/>
        </w:rPr>
        <w:t xml:space="preserve"> de la Nación ha efectuado un proceso de fortalecimiento para la implementación de la estrategia “Regionalización”, que tiene por objeto incrementar la presencia de servidores </w:t>
      </w:r>
      <w:r w:rsidRPr="00B1586C">
        <w:rPr>
          <w:rFonts w:eastAsia="Calibri"/>
          <w:i/>
          <w:iCs/>
          <w:lang w:eastAsia="en-US"/>
        </w:rPr>
        <w:t>“in situ”</w:t>
      </w:r>
      <w:r w:rsidRPr="003C18BE">
        <w:rPr>
          <w:rFonts w:eastAsia="Calibri"/>
          <w:lang w:eastAsia="en-US"/>
        </w:rPr>
        <w:t xml:space="preserve">, buscando profundizar en la investigación integral sobre el conocimiento probatorio de las dinámicas de violencia diferenciales, desplegando la capacidad de investigación y análisis de manera estratégica. </w:t>
      </w:r>
    </w:p>
    <w:p w14:paraId="1A8DDD77" w14:textId="4288BF99" w:rsidR="005E7C3B" w:rsidRPr="00FD59B2" w:rsidRDefault="003C18BE" w:rsidP="00B1586C">
      <w:pPr>
        <w:pStyle w:val="H23G"/>
        <w:rPr>
          <w:i/>
          <w:lang w:val="es-CO"/>
        </w:rPr>
      </w:pPr>
      <w:r>
        <w:rPr>
          <w:rStyle w:val="normaltextrun"/>
          <w:bCs/>
          <w:color w:val="000000"/>
        </w:rPr>
        <w:lastRenderedPageBreak/>
        <w:tab/>
      </w:r>
      <w:r w:rsidR="005E7C3B" w:rsidRPr="00FD59B2">
        <w:rPr>
          <w:rStyle w:val="normaltextrun"/>
          <w:bCs/>
          <w:iCs/>
          <w:color w:val="000000"/>
        </w:rPr>
        <w:t>4</w:t>
      </w:r>
      <w:r w:rsidR="00FD59B2" w:rsidRPr="00FD59B2">
        <w:rPr>
          <w:rStyle w:val="normaltextrun"/>
          <w:bCs/>
          <w:iCs/>
          <w:color w:val="000000"/>
        </w:rPr>
        <w:t>.</w:t>
      </w:r>
      <w:r w:rsidRPr="00FD59B2">
        <w:rPr>
          <w:rStyle w:val="normaltextrun"/>
          <w:bCs/>
          <w:iCs/>
          <w:color w:val="000000"/>
        </w:rPr>
        <w:tab/>
      </w:r>
      <w:r w:rsidR="005E7C3B" w:rsidRPr="00FD59B2">
        <w:rPr>
          <w:lang w:val="es-CO"/>
        </w:rPr>
        <w:t>Despliegue del Cuerpo Élite Policial</w:t>
      </w:r>
    </w:p>
    <w:p w14:paraId="4F75D9F3" w14:textId="75F61656" w:rsidR="005E7C3B" w:rsidRPr="003C18BE" w:rsidRDefault="005E7C3B" w:rsidP="003C18BE">
      <w:pPr>
        <w:pStyle w:val="SingleTxtG"/>
        <w:rPr>
          <w:rFonts w:eastAsia="Calibri"/>
          <w:lang w:eastAsia="en-US"/>
        </w:rPr>
      </w:pPr>
      <w:r w:rsidRPr="003C18BE">
        <w:rPr>
          <w:rFonts w:eastAsia="Calibri"/>
          <w:lang w:eastAsia="en-US"/>
        </w:rPr>
        <w:t>18.</w:t>
      </w:r>
      <w:r w:rsidR="003C18BE">
        <w:rPr>
          <w:rFonts w:eastAsia="Calibri"/>
          <w:lang w:eastAsia="en-US"/>
        </w:rPr>
        <w:tab/>
      </w:r>
      <w:r w:rsidRPr="003C18BE">
        <w:rPr>
          <w:rFonts w:eastAsia="Calibri"/>
          <w:lang w:eastAsia="en-US"/>
        </w:rPr>
        <w:t xml:space="preserve">El Estado colombiano en cumplimiento de lo dispuesto en el Acuerdo de Paz, que en el punto 3.4.5 establece “Como garantía de una acción inmediata del Estado contra las organizaciones y conductas objeto de este acuerdo y su desmantelamiento, se integrará un Cuerpo Élite en la Policía Nacional con enfoque multidimensional. Los integrantes que conformen el Cuerpo Élite serán seleccionados bajo un modelo especial que certifique altos estándares de idoneidad, transparencia y efectividad.”, conforma el Cuerpo Élite el 15 de junio de 2017 a través de la Directiva Operativa Transitoria 021 DIPON DIJIN; y posteriormente, es integrado a la estructura orgánica de la Dirección de Investigación Criminal e INTERPOL mediante la Resolución 0760 de 2019. </w:t>
      </w:r>
    </w:p>
    <w:p w14:paraId="77371032" w14:textId="027E7AA6" w:rsidR="005E7C3B" w:rsidRPr="003C18BE" w:rsidRDefault="005E7C3B" w:rsidP="003C18BE">
      <w:pPr>
        <w:pStyle w:val="SingleTxtG"/>
        <w:rPr>
          <w:rFonts w:eastAsia="Calibri"/>
          <w:lang w:eastAsia="en-US"/>
        </w:rPr>
      </w:pPr>
      <w:r w:rsidRPr="003C18BE">
        <w:rPr>
          <w:rFonts w:eastAsia="Calibri"/>
          <w:lang w:eastAsia="en-US"/>
        </w:rPr>
        <w:t>19.</w:t>
      </w:r>
      <w:r w:rsidR="003C18BE">
        <w:rPr>
          <w:rFonts w:eastAsia="Calibri"/>
          <w:lang w:eastAsia="en-US"/>
        </w:rPr>
        <w:tab/>
      </w:r>
      <w:r w:rsidRPr="003C18BE">
        <w:rPr>
          <w:rFonts w:eastAsia="Calibri"/>
          <w:lang w:eastAsia="en-US"/>
        </w:rPr>
        <w:t xml:space="preserve">El eje misional se enmarca en la investigación de hechos de afectación contra Defensores de Derechos Humanos, Personas en Reincorporación FARC y sus familiares, a partir de la articulación de capacidades y presencia con la Unidad Especial de Investigación de la Fiscalía General de la Nación. </w:t>
      </w:r>
    </w:p>
    <w:p w14:paraId="167554F7" w14:textId="67DD7180" w:rsidR="005E7C3B" w:rsidRPr="003C18BE" w:rsidRDefault="005E7C3B" w:rsidP="003C18BE">
      <w:pPr>
        <w:pStyle w:val="SingleTxtG"/>
        <w:rPr>
          <w:rFonts w:eastAsia="Calibri"/>
          <w:lang w:eastAsia="en-US"/>
        </w:rPr>
      </w:pPr>
      <w:r w:rsidRPr="003C18BE">
        <w:rPr>
          <w:rFonts w:eastAsia="Calibri"/>
          <w:lang w:eastAsia="en-US"/>
        </w:rPr>
        <w:t>20.</w:t>
      </w:r>
      <w:r w:rsidR="003C18BE">
        <w:rPr>
          <w:rFonts w:eastAsia="Calibri"/>
          <w:lang w:eastAsia="en-US"/>
        </w:rPr>
        <w:tab/>
      </w:r>
      <w:r w:rsidRPr="003C18BE">
        <w:rPr>
          <w:rFonts w:eastAsia="Calibri"/>
          <w:lang w:eastAsia="en-US"/>
        </w:rPr>
        <w:t xml:space="preserve">Para el cumplimiento de la misionalidad investigativa, el Cuerpo Élite se encuentra desplegado en el territorio nacional a través de las 52 Seccionales de Investigación Criminal y 14 comisiones investigativas en zonas de mayor criticidad (Huila, Caquetá, Putumayo, Cauca, Nariño, Valle del Cauca, Norte de Santander, Arauca, Magdalena Medio, Antioquia, Chocó, Urabá, Meta, Magdalena), con una fuerza efectiva de 302 funcionarios. </w:t>
      </w:r>
    </w:p>
    <w:p w14:paraId="2E493284" w14:textId="11A74037" w:rsidR="005E7C3B" w:rsidRPr="003C18BE" w:rsidRDefault="005E7C3B" w:rsidP="003C18BE">
      <w:pPr>
        <w:pStyle w:val="SingleTxtG"/>
        <w:rPr>
          <w:rFonts w:eastAsia="Calibri"/>
          <w:lang w:eastAsia="en-US"/>
        </w:rPr>
      </w:pPr>
      <w:r w:rsidRPr="003C18BE">
        <w:rPr>
          <w:rFonts w:eastAsia="Calibri"/>
          <w:lang w:eastAsia="en-US"/>
        </w:rPr>
        <w:t>21.</w:t>
      </w:r>
      <w:r w:rsidR="003C18BE">
        <w:rPr>
          <w:rFonts w:eastAsia="Calibri"/>
          <w:lang w:eastAsia="en-US"/>
        </w:rPr>
        <w:tab/>
      </w:r>
      <w:r w:rsidRPr="003C18BE">
        <w:rPr>
          <w:rFonts w:eastAsia="Calibri"/>
          <w:lang w:eastAsia="en-US"/>
        </w:rPr>
        <w:t>Con el fin de realizar actividades de supervisión, seguimiento y control, fueron asignados 7 oficiales en las jurisdicciones de las regiones de policía, quienes dinamizan y atienden de manera prioritaria las afectaciones a esa población. Asimismo, se cuenta con 2 grupos itinerantes fortaleciendo las investigaciones por amenazas contra Personas en Reincorporación FARC y la materialización de capturas por afectaciones contra la población objeto.</w:t>
      </w:r>
    </w:p>
    <w:p w14:paraId="4923C0ED" w14:textId="27F69A4D" w:rsidR="005E7C3B" w:rsidRPr="003C18BE" w:rsidRDefault="005E7C3B" w:rsidP="003C18BE">
      <w:pPr>
        <w:pStyle w:val="SingleTxtG"/>
        <w:rPr>
          <w:rFonts w:eastAsia="Calibri"/>
          <w:lang w:eastAsia="en-US"/>
        </w:rPr>
      </w:pPr>
      <w:r w:rsidRPr="003C18BE">
        <w:rPr>
          <w:rFonts w:eastAsia="Calibri"/>
          <w:lang w:eastAsia="en-US"/>
        </w:rPr>
        <w:t>22.</w:t>
      </w:r>
      <w:r w:rsidR="003C18BE">
        <w:rPr>
          <w:rFonts w:eastAsia="Calibri"/>
          <w:lang w:eastAsia="en-US"/>
        </w:rPr>
        <w:tab/>
      </w:r>
      <w:r w:rsidRPr="003C18BE">
        <w:rPr>
          <w:rFonts w:eastAsia="Calibri"/>
          <w:lang w:eastAsia="en-US"/>
        </w:rPr>
        <w:t>Como respuesta a esas afectaciones, entre el 1 de enero y el 31 de diciembre de 2023, el Cuerpo Élite en coordinación con la Fiscalía General de la Nación, han logrado materializar 140 capturas, 2 aprehensiones y 44 imputaciones de cargos por afectaciones contra la población objeto del Acuerdo de Paz. Los anteriores resultados, han permitido afectar 82 estructuras de crimen organizado, así:</w:t>
      </w:r>
    </w:p>
    <w:p w14:paraId="7BAD2F2B" w14:textId="1142BE47" w:rsidR="005E7C3B" w:rsidRPr="005E3F2C" w:rsidRDefault="005E7C3B" w:rsidP="00B1586C">
      <w:pPr>
        <w:pStyle w:val="Bullet1G"/>
        <w:rPr>
          <w:lang w:val="es-CO"/>
        </w:rPr>
      </w:pPr>
      <w:r w:rsidRPr="005E3F2C">
        <w:rPr>
          <w:lang w:val="es-CO"/>
        </w:rPr>
        <w:t xml:space="preserve">13 disidencias </w:t>
      </w:r>
      <w:r w:rsidRPr="00B1586C">
        <w:t>del</w:t>
      </w:r>
      <w:r w:rsidRPr="005E3F2C">
        <w:rPr>
          <w:lang w:val="es-CO"/>
        </w:rPr>
        <w:t xml:space="preserve"> Estado Mayor Central </w:t>
      </w:r>
    </w:p>
    <w:p w14:paraId="3DF7741D" w14:textId="488A662F" w:rsidR="005E7C3B" w:rsidRPr="005E3F2C" w:rsidRDefault="005E7C3B" w:rsidP="003C18BE">
      <w:pPr>
        <w:pStyle w:val="Bullet1G"/>
        <w:rPr>
          <w:lang w:val="es-CO"/>
        </w:rPr>
      </w:pPr>
      <w:r w:rsidRPr="005E3F2C">
        <w:rPr>
          <w:lang w:val="es-CO"/>
        </w:rPr>
        <w:t xml:space="preserve">29 disidencias de la Segunda Marquetalia </w:t>
      </w:r>
    </w:p>
    <w:p w14:paraId="592E612A" w14:textId="007F025A" w:rsidR="005E7C3B" w:rsidRPr="005E3F2C" w:rsidRDefault="005E7C3B" w:rsidP="003C18BE">
      <w:pPr>
        <w:pStyle w:val="Bullet1G"/>
        <w:rPr>
          <w:lang w:val="es-CO"/>
        </w:rPr>
      </w:pPr>
      <w:r w:rsidRPr="005E3F2C">
        <w:rPr>
          <w:lang w:val="es-CO"/>
        </w:rPr>
        <w:t xml:space="preserve">3 componentes armados del GAO ELN (2 frentes y 1 compañía) </w:t>
      </w:r>
    </w:p>
    <w:p w14:paraId="63525FEC" w14:textId="2389F20A" w:rsidR="005E7C3B" w:rsidRPr="005E3F2C" w:rsidRDefault="005E7C3B" w:rsidP="003C18BE">
      <w:pPr>
        <w:pStyle w:val="Bullet1G"/>
        <w:rPr>
          <w:lang w:val="es-CO"/>
        </w:rPr>
      </w:pPr>
      <w:r w:rsidRPr="005E3F2C">
        <w:rPr>
          <w:lang w:val="es-CO"/>
        </w:rPr>
        <w:t xml:space="preserve">15 subestructuras del GAO Clan del Golfo </w:t>
      </w:r>
    </w:p>
    <w:p w14:paraId="6A36CE81" w14:textId="7E173E13" w:rsidR="005E7C3B" w:rsidRPr="005E3F2C" w:rsidRDefault="005E7C3B" w:rsidP="003C18BE">
      <w:pPr>
        <w:pStyle w:val="Bullet1G"/>
        <w:rPr>
          <w:lang w:val="es-CO"/>
        </w:rPr>
      </w:pPr>
      <w:r w:rsidRPr="005E3F2C">
        <w:rPr>
          <w:lang w:val="es-CO"/>
        </w:rPr>
        <w:t xml:space="preserve">5 </w:t>
      </w:r>
      <w:r w:rsidR="00323F4B">
        <w:rPr>
          <w:lang w:val="es-CO"/>
        </w:rPr>
        <w:t>g</w:t>
      </w:r>
      <w:r w:rsidRPr="005E3F2C">
        <w:rPr>
          <w:lang w:val="es-CO"/>
        </w:rPr>
        <w:t xml:space="preserve">rupos Delictivos Organizados – GDO </w:t>
      </w:r>
    </w:p>
    <w:p w14:paraId="539D08AC" w14:textId="5CB55F71" w:rsidR="005E7C3B" w:rsidRPr="005E3F2C" w:rsidRDefault="005E7C3B" w:rsidP="003C18BE">
      <w:pPr>
        <w:pStyle w:val="Bullet1G"/>
        <w:rPr>
          <w:lang w:val="es-CO"/>
        </w:rPr>
      </w:pPr>
      <w:r w:rsidRPr="005E3F2C">
        <w:rPr>
          <w:lang w:val="es-CO"/>
        </w:rPr>
        <w:t xml:space="preserve">17 </w:t>
      </w:r>
      <w:r w:rsidR="00323F4B">
        <w:rPr>
          <w:lang w:val="es-CO"/>
        </w:rPr>
        <w:t>g</w:t>
      </w:r>
      <w:r w:rsidRPr="005E3F2C">
        <w:rPr>
          <w:lang w:val="es-CO"/>
        </w:rPr>
        <w:t xml:space="preserve">rupos de Delincuencia Común Organizada – GDCO (1 desmantelado) </w:t>
      </w:r>
    </w:p>
    <w:p w14:paraId="4A629835" w14:textId="5C43B137" w:rsidR="005E7C3B" w:rsidRPr="003C18BE" w:rsidRDefault="005E7C3B" w:rsidP="00B1586C">
      <w:pPr>
        <w:pStyle w:val="SingleTxtG"/>
        <w:rPr>
          <w:rFonts w:eastAsia="Calibri"/>
          <w:lang w:eastAsia="en-US"/>
        </w:rPr>
      </w:pPr>
      <w:r w:rsidRPr="003C18BE">
        <w:rPr>
          <w:rFonts w:eastAsia="Calibri"/>
          <w:lang w:eastAsia="en-US"/>
        </w:rPr>
        <w:t>Las 140 capturas representan un aumento del 29,6%; 32 más que en 2022 (108 capturas).</w:t>
      </w:r>
    </w:p>
    <w:p w14:paraId="23138DDD" w14:textId="6AF9A04D" w:rsidR="005E7C3B" w:rsidRPr="00FD59B2" w:rsidRDefault="003C18BE" w:rsidP="00B1586C">
      <w:pPr>
        <w:pStyle w:val="H1G"/>
        <w:rPr>
          <w:rFonts w:eastAsia="Verdana"/>
          <w:lang w:val="es-CO"/>
        </w:rPr>
      </w:pPr>
      <w:r>
        <w:rPr>
          <w:lang w:val="es-CO"/>
        </w:rPr>
        <w:tab/>
      </w:r>
      <w:r w:rsidR="005E7C3B" w:rsidRPr="00FD59B2">
        <w:rPr>
          <w:lang w:val="es-CO"/>
        </w:rPr>
        <w:t>B.</w:t>
      </w:r>
      <w:r w:rsidRPr="00FD59B2">
        <w:rPr>
          <w:lang w:val="es-CO"/>
        </w:rPr>
        <w:tab/>
      </w:r>
      <w:r w:rsidR="000F1574">
        <w:rPr>
          <w:lang w:val="es-CO"/>
        </w:rPr>
        <w:t>Información de seguimiento relativa</w:t>
      </w:r>
      <w:r w:rsidR="00FD59B2">
        <w:rPr>
          <w:lang w:val="es-CO"/>
        </w:rPr>
        <w:t xml:space="preserve"> al párrafo 25 a) de las observaciones finales </w:t>
      </w:r>
    </w:p>
    <w:p w14:paraId="40362835" w14:textId="41709206" w:rsidR="005E7C3B" w:rsidRPr="003C18BE" w:rsidRDefault="005E7C3B" w:rsidP="003C18BE">
      <w:pPr>
        <w:pStyle w:val="SingleTxtG"/>
        <w:rPr>
          <w:rFonts w:eastAsia="Calibri"/>
          <w:lang w:eastAsia="en-US"/>
        </w:rPr>
      </w:pPr>
      <w:r w:rsidRPr="003C18BE">
        <w:rPr>
          <w:rFonts w:eastAsia="Calibri"/>
          <w:lang w:eastAsia="en-US"/>
        </w:rPr>
        <w:t>23.</w:t>
      </w:r>
      <w:r w:rsidR="003C18BE">
        <w:rPr>
          <w:rFonts w:eastAsia="Calibri"/>
          <w:lang w:eastAsia="en-US"/>
        </w:rPr>
        <w:tab/>
      </w:r>
      <w:r w:rsidRPr="003C18BE">
        <w:rPr>
          <w:rFonts w:eastAsia="Calibri"/>
          <w:lang w:eastAsia="en-US"/>
        </w:rPr>
        <w:t>En el año 2021 el Estado colombiano, a través del Consejo Superior de Política Criminal, emitió el Plan Nacional de Política Criminal (2021-2025), documento que comprende todos los lineamientos, acciones, productos y actividades articuladas para lograr los objetivos del Gobierno Nacional en materia de política criminal para este per</w:t>
      </w:r>
      <w:r w:rsidR="005D6F66">
        <w:rPr>
          <w:rFonts w:eastAsia="Calibri"/>
          <w:lang w:eastAsia="en-US"/>
        </w:rPr>
        <w:t>í</w:t>
      </w:r>
      <w:r w:rsidRPr="003C18BE">
        <w:rPr>
          <w:rFonts w:eastAsia="Calibri"/>
          <w:lang w:eastAsia="en-US"/>
        </w:rPr>
        <w:t xml:space="preserve">odo de tiempo. En consecuencia, entre las prioridades definidas por el Plan Nacional se encuentra la prioridad 4, que tiene como finalidad humanizar el sistema penitenciario, fortalecer la resocialización y disminuir la reincidencia criminal. </w:t>
      </w:r>
    </w:p>
    <w:p w14:paraId="78B159AF" w14:textId="75AFF004" w:rsidR="005E7C3B" w:rsidRPr="003C18BE" w:rsidRDefault="005E7C3B" w:rsidP="003C18BE">
      <w:pPr>
        <w:pStyle w:val="SingleTxtG"/>
        <w:rPr>
          <w:rFonts w:eastAsia="Calibri"/>
          <w:lang w:eastAsia="en-US"/>
        </w:rPr>
      </w:pPr>
      <w:r w:rsidRPr="003C18BE">
        <w:rPr>
          <w:rFonts w:eastAsia="Calibri"/>
          <w:lang w:eastAsia="en-US"/>
        </w:rPr>
        <w:t>24.</w:t>
      </w:r>
      <w:r w:rsidR="003C18BE">
        <w:rPr>
          <w:rFonts w:eastAsia="Calibri"/>
          <w:lang w:eastAsia="en-US"/>
        </w:rPr>
        <w:tab/>
      </w:r>
      <w:r w:rsidRPr="003C18BE">
        <w:rPr>
          <w:rFonts w:eastAsia="Calibri"/>
          <w:lang w:eastAsia="en-US"/>
        </w:rPr>
        <w:t xml:space="preserve">En concordancia con lo anterior, se destaca que el sistema colombiano cuenta con un régimen de medidas alternativas a la privación de la libertad, el cual no ha tenido el impacto esperado para combatir el hacinamiento carcelario y la actual situación de cosas inconstitucionales decretada por la Corte Constitucional. Sin embargo, el Estado colombiano </w:t>
      </w:r>
      <w:r w:rsidRPr="003C18BE">
        <w:rPr>
          <w:rFonts w:eastAsia="Calibri"/>
          <w:lang w:eastAsia="en-US"/>
        </w:rPr>
        <w:lastRenderedPageBreak/>
        <w:t xml:space="preserve">no ha escatimado esfuerzos en robustecer ese régimen, proponer ampliar ese catálogo de medidas alternas y propender por un uso razonable y proporcional de la privación de la libertad. </w:t>
      </w:r>
    </w:p>
    <w:p w14:paraId="46CA8603" w14:textId="6D18885A" w:rsidR="005E7C3B" w:rsidRPr="003C18BE" w:rsidRDefault="005E7C3B" w:rsidP="003C18BE">
      <w:pPr>
        <w:pStyle w:val="SingleTxtG"/>
        <w:rPr>
          <w:rFonts w:eastAsia="Calibri"/>
          <w:lang w:eastAsia="en-US"/>
        </w:rPr>
      </w:pPr>
      <w:r w:rsidRPr="003C18BE">
        <w:rPr>
          <w:rFonts w:eastAsia="Calibri"/>
          <w:lang w:eastAsia="en-US"/>
        </w:rPr>
        <w:t>25.</w:t>
      </w:r>
      <w:r w:rsidR="003C18BE">
        <w:rPr>
          <w:rFonts w:eastAsia="Calibri"/>
          <w:lang w:eastAsia="en-US"/>
        </w:rPr>
        <w:tab/>
      </w:r>
      <w:r w:rsidRPr="003C18BE">
        <w:rPr>
          <w:rFonts w:eastAsia="Calibri"/>
          <w:lang w:eastAsia="en-US"/>
        </w:rPr>
        <w:t xml:space="preserve">Respecto a las medidas alternativas a la privación de la libertad, el catálogo de estas se divide en tres fases: i) </w:t>
      </w:r>
      <w:r w:rsidR="00935369">
        <w:rPr>
          <w:rFonts w:eastAsia="Calibri"/>
          <w:lang w:eastAsia="en-US"/>
        </w:rPr>
        <w:t>a</w:t>
      </w:r>
      <w:r w:rsidRPr="003C18BE">
        <w:rPr>
          <w:rFonts w:eastAsia="Calibri"/>
          <w:lang w:eastAsia="en-US"/>
        </w:rPr>
        <w:t>quellas medidas que son aplicables en el desarrollo del proceso penal y antes de que se emita un juicio de responsabilidad penal</w:t>
      </w:r>
      <w:r w:rsidR="00E10ABC">
        <w:rPr>
          <w:rFonts w:eastAsia="Calibri"/>
          <w:lang w:eastAsia="en-US"/>
        </w:rPr>
        <w:t>;</w:t>
      </w:r>
      <w:r w:rsidRPr="003C18BE">
        <w:rPr>
          <w:rFonts w:eastAsia="Calibri"/>
          <w:lang w:eastAsia="en-US"/>
        </w:rPr>
        <w:t xml:space="preserve"> ii) </w:t>
      </w:r>
      <w:r w:rsidR="00935369">
        <w:rPr>
          <w:rFonts w:eastAsia="Calibri"/>
          <w:lang w:eastAsia="en-US"/>
        </w:rPr>
        <w:t>a</w:t>
      </w:r>
      <w:r w:rsidRPr="003C18BE">
        <w:rPr>
          <w:rFonts w:eastAsia="Calibri"/>
          <w:lang w:eastAsia="en-US"/>
        </w:rPr>
        <w:t>quellas medidas que se pueden imponer al momento de condenar a la persona</w:t>
      </w:r>
      <w:r w:rsidR="00E10ABC">
        <w:rPr>
          <w:rFonts w:eastAsia="Calibri"/>
          <w:lang w:eastAsia="en-US"/>
        </w:rPr>
        <w:t>;</w:t>
      </w:r>
      <w:r w:rsidRPr="003C18BE">
        <w:rPr>
          <w:rFonts w:eastAsia="Calibri"/>
          <w:lang w:eastAsia="en-US"/>
        </w:rPr>
        <w:t xml:space="preserve"> </w:t>
      </w:r>
      <w:proofErr w:type="spellStart"/>
      <w:r w:rsidRPr="003C18BE">
        <w:rPr>
          <w:rFonts w:eastAsia="Calibri"/>
          <w:lang w:eastAsia="en-US"/>
        </w:rPr>
        <w:t>iii</w:t>
      </w:r>
      <w:proofErr w:type="spellEnd"/>
      <w:r w:rsidRPr="003C18BE">
        <w:rPr>
          <w:rFonts w:eastAsia="Calibri"/>
          <w:lang w:eastAsia="en-US"/>
        </w:rPr>
        <w:t xml:space="preserve">) </w:t>
      </w:r>
      <w:r w:rsidR="00935369">
        <w:rPr>
          <w:rFonts w:eastAsia="Calibri"/>
          <w:lang w:eastAsia="en-US"/>
        </w:rPr>
        <w:t>a</w:t>
      </w:r>
      <w:r w:rsidRPr="003C18BE">
        <w:rPr>
          <w:rFonts w:eastAsia="Calibri"/>
          <w:lang w:eastAsia="en-US"/>
        </w:rPr>
        <w:t>quellas que aplican en la fase de ejecución de la pena una vez la persona se encuentra cumpliendo la condena. A continuación, se presentan los principales avances en las iniciativas de uso de medidas alternativas a las penas privativas de la libertad</w:t>
      </w:r>
      <w:r w:rsidR="00E10ABC">
        <w:rPr>
          <w:rFonts w:eastAsia="Calibri"/>
          <w:lang w:eastAsia="en-US"/>
        </w:rPr>
        <w:t>.</w:t>
      </w:r>
    </w:p>
    <w:p w14:paraId="6283E93E" w14:textId="20478A0F" w:rsidR="005E7C3B" w:rsidRPr="00323F4B" w:rsidRDefault="003C18BE" w:rsidP="00B1586C">
      <w:pPr>
        <w:pStyle w:val="H23G"/>
        <w:rPr>
          <w:i/>
          <w:lang w:val="es-CO"/>
        </w:rPr>
      </w:pPr>
      <w:r>
        <w:rPr>
          <w:lang w:val="es-CO"/>
        </w:rPr>
        <w:tab/>
      </w:r>
      <w:r w:rsidR="005E7C3B" w:rsidRPr="00323F4B">
        <w:rPr>
          <w:lang w:val="es-CO"/>
        </w:rPr>
        <w:t>1</w:t>
      </w:r>
      <w:r w:rsidR="00323F4B" w:rsidRPr="00323F4B">
        <w:rPr>
          <w:lang w:val="es-CO"/>
        </w:rPr>
        <w:t>.</w:t>
      </w:r>
      <w:r w:rsidRPr="00323F4B">
        <w:rPr>
          <w:lang w:val="es-CO"/>
        </w:rPr>
        <w:tab/>
      </w:r>
      <w:r w:rsidR="005E7C3B" w:rsidRPr="00323F4B">
        <w:rPr>
          <w:lang w:val="es-CO"/>
        </w:rPr>
        <w:t>Proyecto de Ley “Por medio de la cual se humaniza la política criminal y</w:t>
      </w:r>
      <w:r w:rsidR="00B1586C">
        <w:rPr>
          <w:lang w:val="es-CO"/>
        </w:rPr>
        <w:br/>
      </w:r>
      <w:r w:rsidR="005E7C3B" w:rsidRPr="00323F4B">
        <w:rPr>
          <w:lang w:val="es-CO"/>
        </w:rPr>
        <w:t>penitenciaria para contribuir a la superación del estado de cosas</w:t>
      </w:r>
      <w:r w:rsidR="00B1586C">
        <w:rPr>
          <w:lang w:val="es-CO"/>
        </w:rPr>
        <w:br/>
      </w:r>
      <w:r w:rsidR="005E7C3B" w:rsidRPr="00323F4B">
        <w:rPr>
          <w:lang w:val="es-CO"/>
        </w:rPr>
        <w:t xml:space="preserve">inconstitucional y se dictan otras disposiciones” </w:t>
      </w:r>
    </w:p>
    <w:p w14:paraId="7997ECA7" w14:textId="4332CABB" w:rsidR="005E7C3B" w:rsidRPr="003C18BE" w:rsidRDefault="005E7C3B" w:rsidP="003C18BE">
      <w:pPr>
        <w:pStyle w:val="SingleTxtG"/>
        <w:rPr>
          <w:rFonts w:eastAsia="Calibri"/>
          <w:lang w:eastAsia="en-US"/>
        </w:rPr>
      </w:pPr>
      <w:r w:rsidRPr="003C18BE">
        <w:rPr>
          <w:rFonts w:eastAsia="Calibri"/>
          <w:lang w:eastAsia="en-US"/>
        </w:rPr>
        <w:t>26.</w:t>
      </w:r>
      <w:r w:rsidR="003C18BE">
        <w:rPr>
          <w:rFonts w:eastAsia="Calibri"/>
          <w:lang w:eastAsia="en-US"/>
        </w:rPr>
        <w:tab/>
      </w:r>
      <w:r w:rsidRPr="003C18BE">
        <w:rPr>
          <w:rFonts w:eastAsia="Calibri"/>
          <w:lang w:eastAsia="en-US"/>
        </w:rPr>
        <w:t>El Proyecto de Ley fue radicado por el Ministerio de Justicia y del Derecho ante e</w:t>
      </w:r>
      <w:r w:rsidR="00392A4E">
        <w:rPr>
          <w:rFonts w:eastAsia="Calibri"/>
          <w:lang w:eastAsia="en-US"/>
        </w:rPr>
        <w:t>l</w:t>
      </w:r>
      <w:r w:rsidRPr="003C18BE">
        <w:rPr>
          <w:rFonts w:eastAsia="Calibri"/>
          <w:lang w:eastAsia="en-US"/>
        </w:rPr>
        <w:t xml:space="preserve"> Congreso de la República el 20 de julio de 2023. Este Proyecto de Ley es el resultado de un sopesado intercambio con actores del sistema penal, mesas de derechos humanos realizadas con personas privadas de libertad y una evaluación a profundidad del desempeño institucional de la política criminal y penitenciaria en Colombia. La iniciativa persigue cuatro objetivos fundamentales:</w:t>
      </w:r>
    </w:p>
    <w:p w14:paraId="545EA98B" w14:textId="765E2659" w:rsidR="005E7C3B" w:rsidRPr="008C740B" w:rsidRDefault="005E7C3B" w:rsidP="00B1586C">
      <w:pPr>
        <w:pStyle w:val="SingleTxtG"/>
        <w:ind w:left="1701"/>
        <w:rPr>
          <w:lang w:val="es-CO"/>
        </w:rPr>
      </w:pPr>
      <w:r>
        <w:rPr>
          <w:lang w:val="es-CO"/>
        </w:rPr>
        <w:t>i</w:t>
      </w:r>
      <w:r w:rsidR="00323F4B">
        <w:rPr>
          <w:lang w:val="es-CO"/>
        </w:rPr>
        <w:t>)</w:t>
      </w:r>
      <w:r w:rsidR="00B1586C">
        <w:rPr>
          <w:lang w:val="es-CO"/>
        </w:rPr>
        <w:tab/>
      </w:r>
      <w:r>
        <w:rPr>
          <w:lang w:val="es-CO"/>
        </w:rPr>
        <w:t>E</w:t>
      </w:r>
      <w:r w:rsidRPr="008C740B">
        <w:rPr>
          <w:lang w:val="es-CO"/>
        </w:rPr>
        <w:t>nfrentar el afán punitivo con que se ha legislado en las últimas décadas, que la Corte Constitucional ha señalado como un defecto del sistema</w:t>
      </w:r>
      <w:r w:rsidR="00323F4B">
        <w:rPr>
          <w:lang w:val="es-CO"/>
        </w:rPr>
        <w:t>;</w:t>
      </w:r>
    </w:p>
    <w:p w14:paraId="4E9B2278" w14:textId="26768448" w:rsidR="005E7C3B" w:rsidRDefault="005E7C3B" w:rsidP="00B1586C">
      <w:pPr>
        <w:pStyle w:val="SingleTxtG"/>
        <w:ind w:left="1701"/>
        <w:rPr>
          <w:lang w:val="es-CO"/>
        </w:rPr>
      </w:pPr>
      <w:r>
        <w:rPr>
          <w:lang w:val="es-CO"/>
        </w:rPr>
        <w:t>ii</w:t>
      </w:r>
      <w:r w:rsidR="00323F4B">
        <w:rPr>
          <w:lang w:val="es-CO"/>
        </w:rPr>
        <w:t>)</w:t>
      </w:r>
      <w:r w:rsidR="00B1586C">
        <w:rPr>
          <w:lang w:val="es-CO"/>
        </w:rPr>
        <w:tab/>
      </w:r>
      <w:r>
        <w:rPr>
          <w:lang w:val="es-CO"/>
        </w:rPr>
        <w:t>Respaldar</w:t>
      </w:r>
      <w:r w:rsidRPr="0039732C">
        <w:rPr>
          <w:lang w:val="es-CO"/>
        </w:rPr>
        <w:t xml:space="preserve"> la justicia restaurativa como</w:t>
      </w:r>
      <w:r>
        <w:rPr>
          <w:lang w:val="es-CO"/>
        </w:rPr>
        <w:t xml:space="preserve"> </w:t>
      </w:r>
      <w:r w:rsidRPr="0039732C">
        <w:rPr>
          <w:lang w:val="es-CO"/>
        </w:rPr>
        <w:t>mecanismo útil y expedito de resolución de diversos conflictos sociales que se</w:t>
      </w:r>
      <w:r>
        <w:rPr>
          <w:lang w:val="es-CO"/>
        </w:rPr>
        <w:t xml:space="preserve"> </w:t>
      </w:r>
      <w:r w:rsidRPr="0039732C">
        <w:rPr>
          <w:lang w:val="es-CO"/>
        </w:rPr>
        <w:t>suelen tramitar por la vía penal de forma menos efectiva. Este enfoque busca</w:t>
      </w:r>
      <w:r>
        <w:rPr>
          <w:lang w:val="es-CO"/>
        </w:rPr>
        <w:t xml:space="preserve"> </w:t>
      </w:r>
      <w:r w:rsidRPr="0039732C">
        <w:rPr>
          <w:lang w:val="es-CO"/>
        </w:rPr>
        <w:t>maximizar los derechos de las víctimas, las cuales tendrán justicia pronta, con</w:t>
      </w:r>
      <w:r>
        <w:rPr>
          <w:lang w:val="es-CO"/>
        </w:rPr>
        <w:t xml:space="preserve"> </w:t>
      </w:r>
      <w:r w:rsidRPr="0039732C">
        <w:rPr>
          <w:lang w:val="es-CO"/>
        </w:rPr>
        <w:t>garantías para evitar su revictimización, y con reparación efectiva del daño causado.</w:t>
      </w:r>
      <w:r>
        <w:rPr>
          <w:lang w:val="es-CO"/>
        </w:rPr>
        <w:t xml:space="preserve"> </w:t>
      </w:r>
      <w:r w:rsidRPr="0039732C">
        <w:rPr>
          <w:lang w:val="es-CO"/>
        </w:rPr>
        <w:t>La justicia restaurativa permitirá igualmente que el infractor penal se responsabilice</w:t>
      </w:r>
      <w:r>
        <w:rPr>
          <w:lang w:val="es-CO"/>
        </w:rPr>
        <w:t xml:space="preserve"> </w:t>
      </w:r>
      <w:r w:rsidRPr="0039732C">
        <w:rPr>
          <w:lang w:val="es-CO"/>
        </w:rPr>
        <w:t>del delito y se inserte en dinámicas de recuperación del tejido social afectado por la</w:t>
      </w:r>
      <w:r>
        <w:rPr>
          <w:lang w:val="es-CO"/>
        </w:rPr>
        <w:t xml:space="preserve"> </w:t>
      </w:r>
      <w:r w:rsidRPr="0039732C">
        <w:rPr>
          <w:lang w:val="es-CO"/>
        </w:rPr>
        <w:t>criminalidad para mitigar su reincidencia</w:t>
      </w:r>
      <w:r w:rsidR="00323F4B">
        <w:rPr>
          <w:lang w:val="es-CO"/>
        </w:rPr>
        <w:t>;</w:t>
      </w:r>
    </w:p>
    <w:p w14:paraId="308641CB" w14:textId="1E2D407B" w:rsidR="005E7C3B" w:rsidRDefault="005E7C3B" w:rsidP="00B1586C">
      <w:pPr>
        <w:pStyle w:val="SingleTxtG"/>
        <w:ind w:left="1701"/>
        <w:rPr>
          <w:lang w:val="es-CO"/>
        </w:rPr>
      </w:pPr>
      <w:r>
        <w:rPr>
          <w:lang w:val="es-CO"/>
        </w:rPr>
        <w:t>iii</w:t>
      </w:r>
      <w:r w:rsidR="00323F4B">
        <w:rPr>
          <w:lang w:val="es-CO"/>
        </w:rPr>
        <w:t>)</w:t>
      </w:r>
      <w:r w:rsidR="00B1586C">
        <w:rPr>
          <w:lang w:val="es-CO"/>
        </w:rPr>
        <w:tab/>
      </w:r>
      <w:r>
        <w:rPr>
          <w:lang w:val="es-CO"/>
        </w:rPr>
        <w:t xml:space="preserve">Cumplir con la </w:t>
      </w:r>
      <w:r w:rsidRPr="0039732C">
        <w:rPr>
          <w:lang w:val="es-CO"/>
        </w:rPr>
        <w:t>finalidad constitucional</w:t>
      </w:r>
      <w:r>
        <w:rPr>
          <w:lang w:val="es-CO"/>
        </w:rPr>
        <w:t xml:space="preserve"> y logre superar </w:t>
      </w:r>
      <w:r w:rsidRPr="0039732C">
        <w:rPr>
          <w:lang w:val="es-CO"/>
        </w:rPr>
        <w:t>“estado de cosas</w:t>
      </w:r>
      <w:r>
        <w:rPr>
          <w:lang w:val="es-CO"/>
        </w:rPr>
        <w:t xml:space="preserve"> </w:t>
      </w:r>
      <w:r w:rsidRPr="0039732C">
        <w:rPr>
          <w:lang w:val="es-CO"/>
        </w:rPr>
        <w:t>inconstitucional” como lo ha establecido la Corte Constitucional desde mediado de</w:t>
      </w:r>
      <w:r>
        <w:rPr>
          <w:lang w:val="es-CO"/>
        </w:rPr>
        <w:t xml:space="preserve"> </w:t>
      </w:r>
      <w:r w:rsidRPr="0039732C">
        <w:rPr>
          <w:lang w:val="es-CO"/>
        </w:rPr>
        <w:t>los años noventa</w:t>
      </w:r>
      <w:r w:rsidR="00323F4B">
        <w:rPr>
          <w:lang w:val="es-CO"/>
        </w:rPr>
        <w:t>;</w:t>
      </w:r>
    </w:p>
    <w:p w14:paraId="2996C750" w14:textId="72CD3BAB" w:rsidR="005E7C3B" w:rsidRDefault="005E7C3B" w:rsidP="00B1586C">
      <w:pPr>
        <w:pStyle w:val="SingleTxtG"/>
        <w:ind w:left="1701"/>
        <w:rPr>
          <w:lang w:val="es-CO"/>
        </w:rPr>
      </w:pPr>
      <w:r>
        <w:rPr>
          <w:lang w:val="es-CO"/>
        </w:rPr>
        <w:t>iv</w:t>
      </w:r>
      <w:r w:rsidR="00323F4B">
        <w:rPr>
          <w:lang w:val="es-CO"/>
        </w:rPr>
        <w:t>)</w:t>
      </w:r>
      <w:r w:rsidR="00B1586C">
        <w:rPr>
          <w:lang w:val="es-CO"/>
        </w:rPr>
        <w:tab/>
      </w:r>
      <w:r>
        <w:rPr>
          <w:lang w:val="es-CO"/>
        </w:rPr>
        <w:t>Racionalizar</w:t>
      </w:r>
      <w:r w:rsidRPr="0039732C">
        <w:rPr>
          <w:lang w:val="es-CO"/>
        </w:rPr>
        <w:t xml:space="preserve"> el derecho</w:t>
      </w:r>
      <w:r>
        <w:rPr>
          <w:lang w:val="es-CO"/>
        </w:rPr>
        <w:t xml:space="preserve"> </w:t>
      </w:r>
      <w:r w:rsidRPr="0039732C">
        <w:rPr>
          <w:lang w:val="es-CO"/>
        </w:rPr>
        <w:t xml:space="preserve">penal para focalizar esfuerzos institucionales </w:t>
      </w:r>
      <w:r>
        <w:rPr>
          <w:lang w:val="es-CO"/>
        </w:rPr>
        <w:t xml:space="preserve">orientados </w:t>
      </w:r>
      <w:r w:rsidRPr="0039732C">
        <w:rPr>
          <w:lang w:val="es-CO"/>
        </w:rPr>
        <w:t>a perseguir efectivamente</w:t>
      </w:r>
      <w:r>
        <w:rPr>
          <w:lang w:val="es-CO"/>
        </w:rPr>
        <w:t xml:space="preserve"> </w:t>
      </w:r>
      <w:r w:rsidRPr="0039732C">
        <w:rPr>
          <w:lang w:val="es-CO"/>
        </w:rPr>
        <w:t xml:space="preserve">la criminalidad </w:t>
      </w:r>
      <w:r>
        <w:rPr>
          <w:lang w:val="es-CO"/>
        </w:rPr>
        <w:t xml:space="preserve">y contribuir con </w:t>
      </w:r>
      <w:r w:rsidRPr="0039732C">
        <w:rPr>
          <w:lang w:val="es-CO"/>
        </w:rPr>
        <w:t xml:space="preserve">los procesos de resocialización </w:t>
      </w:r>
      <w:r>
        <w:rPr>
          <w:lang w:val="es-CO"/>
        </w:rPr>
        <w:t xml:space="preserve">dirigidos a </w:t>
      </w:r>
      <w:r w:rsidRPr="0039732C">
        <w:rPr>
          <w:lang w:val="es-CO"/>
        </w:rPr>
        <w:t>reducir la reincidencia</w:t>
      </w:r>
      <w:r w:rsidR="00323F4B">
        <w:rPr>
          <w:lang w:val="es-CO"/>
        </w:rPr>
        <w:t>.</w:t>
      </w:r>
    </w:p>
    <w:p w14:paraId="1869153E" w14:textId="46771159" w:rsidR="005E7C3B" w:rsidRPr="00323F4B" w:rsidRDefault="003C18BE" w:rsidP="00B1586C">
      <w:pPr>
        <w:pStyle w:val="H23G"/>
        <w:rPr>
          <w:i/>
          <w:lang w:val="es-CO"/>
        </w:rPr>
      </w:pPr>
      <w:r>
        <w:rPr>
          <w:lang w:val="es-CO"/>
        </w:rPr>
        <w:tab/>
      </w:r>
      <w:r w:rsidR="005E7C3B" w:rsidRPr="00323F4B">
        <w:rPr>
          <w:lang w:val="es-CO"/>
        </w:rPr>
        <w:t>2</w:t>
      </w:r>
      <w:r w:rsidR="00323F4B" w:rsidRPr="00323F4B">
        <w:rPr>
          <w:lang w:val="es-CO"/>
        </w:rPr>
        <w:t>.</w:t>
      </w:r>
      <w:r w:rsidRPr="00323F4B">
        <w:rPr>
          <w:lang w:val="es-CO"/>
        </w:rPr>
        <w:tab/>
      </w:r>
      <w:r w:rsidR="005E7C3B" w:rsidRPr="00323F4B">
        <w:rPr>
          <w:lang w:val="es-CO"/>
        </w:rPr>
        <w:t xml:space="preserve">Creación de la Ley 2292 de 2023 </w:t>
      </w:r>
    </w:p>
    <w:p w14:paraId="1260A273" w14:textId="27A0E7D4" w:rsidR="005E7C3B" w:rsidRPr="003C18BE" w:rsidRDefault="005E7C3B" w:rsidP="003C18BE">
      <w:pPr>
        <w:pStyle w:val="SingleTxtG"/>
        <w:rPr>
          <w:rFonts w:eastAsia="Calibri"/>
          <w:lang w:eastAsia="en-US"/>
        </w:rPr>
      </w:pPr>
      <w:r w:rsidRPr="003C18BE">
        <w:rPr>
          <w:rFonts w:eastAsia="Calibri"/>
          <w:lang w:eastAsia="en-US"/>
        </w:rPr>
        <w:t>27.</w:t>
      </w:r>
      <w:r w:rsidR="003C18BE">
        <w:rPr>
          <w:rFonts w:eastAsia="Calibri"/>
          <w:lang w:eastAsia="en-US"/>
        </w:rPr>
        <w:tab/>
      </w:r>
      <w:r w:rsidRPr="003C18BE">
        <w:rPr>
          <w:rFonts w:eastAsia="Calibri"/>
          <w:lang w:eastAsia="en-US"/>
        </w:rPr>
        <w:t xml:space="preserve">La ley “Por medio de la cual se adoptan acciones afirmativas para mujeres cabeza de familia en materias de política criminal y penitenciaria, se modifica y adiciona el Código Penal, la Ley 750 de 2002 y el Código de Procedimiento Penal y se dictan otras disposiciones” es un avance en la implementación de una política criminal con enfoque de género y alternatividad penal. Esta norma creó una medida de sustitución de la pena de prisión para mujeres condenadas que sean cabeza de familia y contempla la posibilidad de ejecutar una sanción penal de manera restaurativa, en donde la pena se traduce en actividades de impacto social para resarcir el daño. Estos servicios tienen la vocación de generar un impacto en las comunidades como forma de restauración del daño ocasionado por el delito. Al mismo tiempo, las mujeres tienen la oportunidad de trabajar, estudiar y realizar sus labores de cuidado como cabeza de familia. </w:t>
      </w:r>
    </w:p>
    <w:p w14:paraId="2044CEBA" w14:textId="6133DC5B" w:rsidR="005E7C3B" w:rsidRPr="003C18BE" w:rsidRDefault="005E7C3B" w:rsidP="003C18BE">
      <w:pPr>
        <w:pStyle w:val="SingleTxtG"/>
        <w:rPr>
          <w:rFonts w:eastAsia="Calibri"/>
          <w:lang w:eastAsia="en-US"/>
        </w:rPr>
      </w:pPr>
      <w:r w:rsidRPr="003C18BE">
        <w:rPr>
          <w:rFonts w:eastAsia="Calibri"/>
          <w:lang w:eastAsia="en-US"/>
        </w:rPr>
        <w:t>28.</w:t>
      </w:r>
      <w:r w:rsidR="003C18BE">
        <w:rPr>
          <w:rFonts w:eastAsia="Calibri"/>
          <w:lang w:eastAsia="en-US"/>
        </w:rPr>
        <w:tab/>
      </w:r>
      <w:r w:rsidRPr="003C18BE">
        <w:rPr>
          <w:rFonts w:eastAsia="Calibri"/>
          <w:lang w:eastAsia="en-US"/>
        </w:rPr>
        <w:t xml:space="preserve">En una primera etapa de alistamiento para la implementación, el Ministerio de Justicia y del Derecho, con apoyo de agencias internacionales, ha realizado jornadas de socialización con más 1.500 mujeres privadas de la libertad en el país, funcionarios penitenciarios, funcionarios judiciales (en alianza con el Consejo Superior de la Judicatura – administración de la Rama Judicial), la defensoría pública (en alianza con la Defensoría del Pueblo) y organizaciones de la sociedad civil interesadas en apoyar la implementación de la ley. </w:t>
      </w:r>
      <w:r w:rsidRPr="003C18BE">
        <w:rPr>
          <w:rFonts w:eastAsia="Calibri"/>
          <w:lang w:eastAsia="en-US"/>
        </w:rPr>
        <w:lastRenderedPageBreak/>
        <w:t>También se ha desarrollado una campaña de sensibilización sobre esta ley en redes sociales y diferentes estrategias de divulgación con una agencia con experticia en enfoque de género.</w:t>
      </w:r>
    </w:p>
    <w:p w14:paraId="0ABB6AD9" w14:textId="11CDCB6C" w:rsidR="005E7C3B" w:rsidRPr="003C18BE" w:rsidRDefault="005E7C3B" w:rsidP="003C18BE">
      <w:pPr>
        <w:pStyle w:val="SingleTxtG"/>
        <w:rPr>
          <w:rFonts w:eastAsia="Calibri"/>
          <w:lang w:eastAsia="en-US"/>
        </w:rPr>
      </w:pPr>
      <w:r w:rsidRPr="003C18BE">
        <w:rPr>
          <w:rFonts w:eastAsia="Calibri"/>
          <w:lang w:eastAsia="en-US"/>
        </w:rPr>
        <w:t>29.</w:t>
      </w:r>
      <w:r w:rsidR="003C18BE">
        <w:rPr>
          <w:rFonts w:eastAsia="Calibri"/>
          <w:lang w:eastAsia="en-US"/>
        </w:rPr>
        <w:tab/>
      </w:r>
      <w:r w:rsidRPr="003C18BE">
        <w:rPr>
          <w:rFonts w:eastAsia="Calibri"/>
          <w:lang w:eastAsia="en-US"/>
        </w:rPr>
        <w:t>Para la habilitación de plazas en las que las mujeres presten el servicio, se han suscrito 11 convenios y se cuenta con 2.350 espacios para que ellas presten los servicios. Adicionalmente, se han realizado brigadas jurídicas en las que estudiantes de derecho y profesionales de la defensoría pública atienden a las mujeres previamente seleccionadas con base en la verificación de cumplimiento de algunos de los requisitos previstos en la ley y a partir de ese ejercicio se han realizado solicitudes a las mujeres.</w:t>
      </w:r>
    </w:p>
    <w:p w14:paraId="1215D0AD" w14:textId="364AD60F" w:rsidR="005E7C3B" w:rsidRPr="00323F4B" w:rsidRDefault="00EA0E3C" w:rsidP="00B1586C">
      <w:pPr>
        <w:pStyle w:val="H23G"/>
        <w:rPr>
          <w:i/>
          <w:lang w:val="es-CO"/>
        </w:rPr>
      </w:pPr>
      <w:r>
        <w:rPr>
          <w:lang w:val="es-CO"/>
        </w:rPr>
        <w:tab/>
      </w:r>
      <w:r w:rsidR="005E7C3B" w:rsidRPr="00323F4B">
        <w:rPr>
          <w:lang w:val="es-CO"/>
        </w:rPr>
        <w:t>3</w:t>
      </w:r>
      <w:r w:rsidR="00323F4B" w:rsidRPr="00323F4B">
        <w:rPr>
          <w:lang w:val="es-CO"/>
        </w:rPr>
        <w:t>.</w:t>
      </w:r>
      <w:r w:rsidRPr="00323F4B">
        <w:rPr>
          <w:lang w:val="es-CO"/>
        </w:rPr>
        <w:tab/>
      </w:r>
      <w:r w:rsidR="005E7C3B" w:rsidRPr="00323F4B">
        <w:rPr>
          <w:lang w:val="es-CO"/>
        </w:rPr>
        <w:t>Plan de Implementación para recomendaciones dadas por el Comité</w:t>
      </w:r>
      <w:r w:rsidR="00B1586C">
        <w:rPr>
          <w:lang w:val="es-CO"/>
        </w:rPr>
        <w:br/>
      </w:r>
      <w:r w:rsidR="005E7C3B" w:rsidRPr="00323F4B">
        <w:rPr>
          <w:lang w:val="es-CO"/>
        </w:rPr>
        <w:t>contra la Tortura para el per</w:t>
      </w:r>
      <w:r w:rsidR="00B1586C">
        <w:rPr>
          <w:lang w:val="es-CO"/>
        </w:rPr>
        <w:t>í</w:t>
      </w:r>
      <w:r w:rsidR="005E7C3B" w:rsidRPr="00323F4B">
        <w:rPr>
          <w:lang w:val="es-CO"/>
        </w:rPr>
        <w:t xml:space="preserve">odo 2024-2027 </w:t>
      </w:r>
    </w:p>
    <w:p w14:paraId="69F32DB3" w14:textId="35662832" w:rsidR="005E7C3B" w:rsidRPr="00EA0E3C" w:rsidRDefault="005E7C3B" w:rsidP="00EA0E3C">
      <w:pPr>
        <w:pStyle w:val="SingleTxtG"/>
        <w:rPr>
          <w:rFonts w:eastAsia="Calibri"/>
          <w:lang w:eastAsia="en-US"/>
        </w:rPr>
      </w:pPr>
      <w:r w:rsidRPr="00EA0E3C">
        <w:rPr>
          <w:rFonts w:eastAsia="Calibri"/>
          <w:lang w:eastAsia="en-US"/>
        </w:rPr>
        <w:t>30.</w:t>
      </w:r>
      <w:r w:rsidR="00EA0E3C">
        <w:rPr>
          <w:rFonts w:eastAsia="Calibri"/>
          <w:lang w:eastAsia="en-US"/>
        </w:rPr>
        <w:tab/>
      </w:r>
      <w:r w:rsidRPr="00EA0E3C">
        <w:rPr>
          <w:rFonts w:eastAsia="Calibri"/>
          <w:lang w:eastAsia="en-US"/>
        </w:rPr>
        <w:t xml:space="preserve">El Estado colombiano a través del Ministerio de Justicia y del Derecho, en cumplimiento de su compromiso con el uso razonable y prioritario de las medidas alternativas a la privación de la libertad, la humanización de la justicia y el cumplimiento de las recomendaciones dadas por el Comité contra la Tortura tendrá como prioridad los siguientes puntos: </w:t>
      </w:r>
    </w:p>
    <w:p w14:paraId="312D165A" w14:textId="34BFC973" w:rsidR="005E7C3B" w:rsidRPr="00306C19" w:rsidRDefault="005E7C3B" w:rsidP="00B1586C">
      <w:pPr>
        <w:pStyle w:val="SingleTxtG"/>
        <w:ind w:left="1701"/>
        <w:rPr>
          <w:lang w:val="es-CO"/>
        </w:rPr>
      </w:pPr>
      <w:r>
        <w:rPr>
          <w:lang w:val="es-CO"/>
        </w:rPr>
        <w:t>i</w:t>
      </w:r>
      <w:r w:rsidR="00323F4B">
        <w:rPr>
          <w:lang w:val="es-CO"/>
        </w:rPr>
        <w:t>)</w:t>
      </w:r>
      <w:r w:rsidR="00B1586C">
        <w:rPr>
          <w:lang w:val="es-CO"/>
        </w:rPr>
        <w:tab/>
      </w:r>
      <w:r w:rsidRPr="00306C19">
        <w:rPr>
          <w:lang w:val="es-CO"/>
        </w:rPr>
        <w:t>Adoptar medidas orientadas a eliminar el hacinamiento de las cárceles y otros centros de reclusión, incluidos los centros de detención transitoria, principalmente mediante el recurso a las medidas alternativas a las penas privativas de libertad</w:t>
      </w:r>
      <w:r w:rsidR="00323F4B">
        <w:rPr>
          <w:lang w:val="es-CO"/>
        </w:rPr>
        <w:t>;</w:t>
      </w:r>
      <w:r w:rsidRPr="00306C19">
        <w:rPr>
          <w:lang w:val="es-CO"/>
        </w:rPr>
        <w:t xml:space="preserve"> </w:t>
      </w:r>
    </w:p>
    <w:p w14:paraId="29BF4ADF" w14:textId="62165481" w:rsidR="005E7C3B" w:rsidRPr="00306C19" w:rsidRDefault="005E7C3B" w:rsidP="00B1586C">
      <w:pPr>
        <w:pStyle w:val="SingleTxtG"/>
        <w:ind w:left="1701"/>
        <w:rPr>
          <w:lang w:val="es-CO"/>
        </w:rPr>
      </w:pPr>
      <w:r w:rsidRPr="00306C19">
        <w:rPr>
          <w:lang w:val="es-CO"/>
        </w:rPr>
        <w:t>ii</w:t>
      </w:r>
      <w:r w:rsidR="00323F4B">
        <w:rPr>
          <w:lang w:val="es-CO"/>
        </w:rPr>
        <w:t>)</w:t>
      </w:r>
      <w:r w:rsidR="00B1586C">
        <w:rPr>
          <w:lang w:val="es-CO"/>
        </w:rPr>
        <w:tab/>
      </w:r>
      <w:r w:rsidRPr="00306C19">
        <w:rPr>
          <w:lang w:val="es-CO"/>
        </w:rPr>
        <w:t>Asegurar, en la ley y en la práctica, que la medida de prisión preventiva no se aplique o prolongue en exceso</w:t>
      </w:r>
      <w:r w:rsidR="00323F4B">
        <w:rPr>
          <w:lang w:val="es-CO"/>
        </w:rPr>
        <w:t>;</w:t>
      </w:r>
      <w:r w:rsidRPr="00306C19">
        <w:rPr>
          <w:lang w:val="es-CO"/>
        </w:rPr>
        <w:t xml:space="preserve"> </w:t>
      </w:r>
    </w:p>
    <w:p w14:paraId="2AA80E20" w14:textId="6AA55920" w:rsidR="005E7C3B" w:rsidRPr="00306C19" w:rsidRDefault="005E7C3B" w:rsidP="00B1586C">
      <w:pPr>
        <w:pStyle w:val="SingleTxtG"/>
        <w:ind w:left="1701"/>
        <w:rPr>
          <w:lang w:val="es-CO"/>
        </w:rPr>
      </w:pPr>
      <w:r w:rsidRPr="00306C19">
        <w:rPr>
          <w:lang w:val="es-CO"/>
        </w:rPr>
        <w:t>iii</w:t>
      </w:r>
      <w:r w:rsidR="00323F4B">
        <w:rPr>
          <w:lang w:val="es-CO"/>
        </w:rPr>
        <w:t>)</w:t>
      </w:r>
      <w:r w:rsidR="00B1586C">
        <w:rPr>
          <w:lang w:val="es-CO"/>
        </w:rPr>
        <w:tab/>
      </w:r>
      <w:r w:rsidRPr="00306C19">
        <w:rPr>
          <w:lang w:val="es-CO"/>
        </w:rPr>
        <w:t>Continuar reforzando la atención médica, psicológica y sanitaria en todos los centros de detención</w:t>
      </w:r>
      <w:r w:rsidR="00323F4B">
        <w:rPr>
          <w:lang w:val="es-CO"/>
        </w:rPr>
        <w:t>;</w:t>
      </w:r>
      <w:r w:rsidRPr="00306C19">
        <w:rPr>
          <w:lang w:val="es-CO"/>
        </w:rPr>
        <w:t xml:space="preserve"> </w:t>
      </w:r>
    </w:p>
    <w:p w14:paraId="0C32B58C" w14:textId="491104EA" w:rsidR="005E7C3B" w:rsidRPr="00306C19" w:rsidRDefault="005E7C3B" w:rsidP="00B1586C">
      <w:pPr>
        <w:pStyle w:val="SingleTxtG"/>
        <w:ind w:left="1701"/>
        <w:rPr>
          <w:lang w:val="es-CO"/>
        </w:rPr>
      </w:pPr>
      <w:r w:rsidRPr="00306C19">
        <w:rPr>
          <w:lang w:val="es-CO"/>
        </w:rPr>
        <w:t>iv</w:t>
      </w:r>
      <w:r w:rsidR="00323F4B">
        <w:rPr>
          <w:lang w:val="es-CO"/>
        </w:rPr>
        <w:t>)</w:t>
      </w:r>
      <w:r w:rsidR="00B1586C">
        <w:rPr>
          <w:lang w:val="es-CO"/>
        </w:rPr>
        <w:tab/>
      </w:r>
      <w:r w:rsidRPr="00306C19">
        <w:rPr>
          <w:lang w:val="es-CO"/>
        </w:rPr>
        <w:t>Velar porque se satisfagan las necesidades específicas de las mujeres y las personas con discapacidad que se encuentren recluidas, teniendo también en cuenta su situación particular</w:t>
      </w:r>
      <w:r w:rsidR="00323F4B">
        <w:rPr>
          <w:lang w:val="es-CO"/>
        </w:rPr>
        <w:t>;</w:t>
      </w:r>
      <w:r w:rsidRPr="00306C19">
        <w:rPr>
          <w:lang w:val="es-CO"/>
        </w:rPr>
        <w:t xml:space="preserve"> </w:t>
      </w:r>
    </w:p>
    <w:p w14:paraId="106B801F" w14:textId="01820971" w:rsidR="005E7C3B" w:rsidRPr="00306C19" w:rsidRDefault="005E7C3B" w:rsidP="00B1586C">
      <w:pPr>
        <w:pStyle w:val="SingleTxtG"/>
        <w:ind w:left="1701"/>
        <w:rPr>
          <w:lang w:val="es-CO"/>
        </w:rPr>
      </w:pPr>
      <w:r w:rsidRPr="00306C19">
        <w:rPr>
          <w:lang w:val="es-CO"/>
        </w:rPr>
        <w:t>v</w:t>
      </w:r>
      <w:r w:rsidR="00323F4B">
        <w:rPr>
          <w:lang w:val="es-CO"/>
        </w:rPr>
        <w:t>)</w:t>
      </w:r>
      <w:r w:rsidR="00B1586C">
        <w:rPr>
          <w:lang w:val="es-CO"/>
        </w:rPr>
        <w:tab/>
      </w:r>
      <w:r w:rsidRPr="00306C19">
        <w:rPr>
          <w:lang w:val="es-CO"/>
        </w:rPr>
        <w:t xml:space="preserve">Seguir avanzando en la reforma del sistema penitenciario y en la elaboración de políticas integrales de reinserción social en las que se garantice el acceso de la población reclusa a la educación, a la formación profesional y a actividades recreativas y culturales. </w:t>
      </w:r>
    </w:p>
    <w:p w14:paraId="071EEAF3" w14:textId="27D0CDEA" w:rsidR="005E7C3B" w:rsidRPr="00EA0E3C" w:rsidRDefault="005E7C3B" w:rsidP="00EA0E3C">
      <w:pPr>
        <w:pStyle w:val="SingleTxtG"/>
        <w:rPr>
          <w:rFonts w:eastAsia="Calibri"/>
          <w:lang w:eastAsia="en-US"/>
        </w:rPr>
      </w:pPr>
      <w:r w:rsidRPr="00EA0E3C">
        <w:rPr>
          <w:rFonts w:eastAsia="Calibri"/>
          <w:lang w:eastAsia="en-US"/>
        </w:rPr>
        <w:t>31.</w:t>
      </w:r>
      <w:r w:rsidR="00EA0E3C">
        <w:rPr>
          <w:rFonts w:eastAsia="Calibri"/>
          <w:lang w:eastAsia="en-US"/>
        </w:rPr>
        <w:tab/>
      </w:r>
      <w:r w:rsidRPr="00EA0E3C">
        <w:rPr>
          <w:rFonts w:eastAsia="Calibri"/>
          <w:lang w:eastAsia="en-US"/>
        </w:rPr>
        <w:t xml:space="preserve">El Gobierno de Colombia trabajará activamente para mitigar los problemas identificados por la Corte Constitucional en el estado de cosas inconstitucional del Sistema Penitenciario y Carcelario, logrando también una menor reincidencia y una mejor vigilancia de las personas privadas de la libertad de alto riesgo. </w:t>
      </w:r>
    </w:p>
    <w:p w14:paraId="45E9C5B3" w14:textId="7BDDDF36" w:rsidR="005E7C3B" w:rsidRPr="00323F4B" w:rsidRDefault="00EA0E3C" w:rsidP="002C612C">
      <w:pPr>
        <w:pStyle w:val="H1G"/>
        <w:rPr>
          <w:rFonts w:eastAsia="Verdana"/>
          <w:lang w:val="es-CO"/>
        </w:rPr>
      </w:pPr>
      <w:r>
        <w:rPr>
          <w:lang w:val="es-CO"/>
        </w:rPr>
        <w:tab/>
      </w:r>
      <w:r w:rsidR="005E7C3B" w:rsidRPr="00323F4B">
        <w:rPr>
          <w:lang w:val="es-CO"/>
        </w:rPr>
        <w:t>C.</w:t>
      </w:r>
      <w:r w:rsidRPr="00323F4B">
        <w:rPr>
          <w:lang w:val="es-CO"/>
        </w:rPr>
        <w:tab/>
      </w:r>
      <w:r w:rsidR="000F1574">
        <w:rPr>
          <w:lang w:val="es-CO"/>
        </w:rPr>
        <w:t>Información de seguimiento relativa</w:t>
      </w:r>
      <w:r w:rsidR="00323F4B">
        <w:rPr>
          <w:lang w:val="es-CO"/>
        </w:rPr>
        <w:t xml:space="preserve"> al párrafo 33 de</w:t>
      </w:r>
      <w:r w:rsidR="00B1586C">
        <w:rPr>
          <w:lang w:val="es-CO"/>
        </w:rPr>
        <w:br/>
      </w:r>
      <w:r w:rsidR="00323F4B">
        <w:rPr>
          <w:lang w:val="es-CO"/>
        </w:rPr>
        <w:t>las</w:t>
      </w:r>
      <w:r w:rsidR="00B1586C">
        <w:rPr>
          <w:lang w:val="es-CO"/>
        </w:rPr>
        <w:t xml:space="preserve"> </w:t>
      </w:r>
      <w:r w:rsidR="00323F4B">
        <w:rPr>
          <w:lang w:val="es-CO"/>
        </w:rPr>
        <w:t xml:space="preserve">observaciones finales </w:t>
      </w:r>
    </w:p>
    <w:p w14:paraId="34524091" w14:textId="7C6E3EA3" w:rsidR="005E7C3B" w:rsidRPr="00EA0E3C" w:rsidRDefault="005E7C3B" w:rsidP="00EA0E3C">
      <w:pPr>
        <w:pStyle w:val="SingleTxtG"/>
        <w:rPr>
          <w:rFonts w:eastAsia="Calibri"/>
          <w:lang w:eastAsia="en-US"/>
        </w:rPr>
      </w:pPr>
      <w:r w:rsidRPr="00EA0E3C">
        <w:rPr>
          <w:rFonts w:eastAsia="Calibri"/>
          <w:lang w:eastAsia="en-US"/>
        </w:rPr>
        <w:t>32.</w:t>
      </w:r>
      <w:r w:rsidR="00EA0E3C">
        <w:rPr>
          <w:rFonts w:eastAsia="Calibri"/>
          <w:lang w:eastAsia="en-US"/>
        </w:rPr>
        <w:tab/>
      </w:r>
      <w:r w:rsidRPr="00EA0E3C">
        <w:rPr>
          <w:rFonts w:eastAsia="Calibri"/>
          <w:lang w:eastAsia="en-US"/>
        </w:rPr>
        <w:t>El Gobierno colombiano a través del Ministerio de Justicia y del Derecho y del Ministerio de Relaciones Exteriores dieron inicio al proceso legislativo que permitirá adoptar el Protocolo Facultativo de la Convención contra la Tortura y otros Tratos o Penas Crueles, Inhumanos o Degradantes- OPCAT. A continuación, se presenta el proceso legislativo que ha surtido el OPCAT en el Congreso de la República:</w:t>
      </w:r>
    </w:p>
    <w:p w14:paraId="5283BAAA" w14:textId="355FA957" w:rsidR="005E7C3B" w:rsidRPr="005E3F2C" w:rsidRDefault="005E7C3B" w:rsidP="00EA0E3C">
      <w:pPr>
        <w:pStyle w:val="Bullet1G"/>
        <w:rPr>
          <w:lang w:val="es-CO"/>
        </w:rPr>
      </w:pPr>
      <w:r w:rsidRPr="005E3F2C">
        <w:rPr>
          <w:lang w:val="es-CO"/>
        </w:rPr>
        <w:t>El Proyecto de Ley número 364 de 2023 Cámara, 276 de 2023 Senado, de iniciativa del Minist</w:t>
      </w:r>
      <w:r>
        <w:rPr>
          <w:lang w:val="es-CO"/>
        </w:rPr>
        <w:t>erio</w:t>
      </w:r>
      <w:r w:rsidRPr="005E3F2C">
        <w:rPr>
          <w:lang w:val="es-CO"/>
        </w:rPr>
        <w:t xml:space="preserve"> de Relaciones Exteriores</w:t>
      </w:r>
      <w:r>
        <w:rPr>
          <w:lang w:val="es-CO"/>
        </w:rPr>
        <w:t xml:space="preserve"> </w:t>
      </w:r>
      <w:r w:rsidRPr="005E3F2C">
        <w:rPr>
          <w:lang w:val="es-CO"/>
        </w:rPr>
        <w:t>y el Minist</w:t>
      </w:r>
      <w:r>
        <w:rPr>
          <w:lang w:val="es-CO"/>
        </w:rPr>
        <w:t>erio</w:t>
      </w:r>
      <w:r w:rsidRPr="005E3F2C">
        <w:rPr>
          <w:lang w:val="es-CO"/>
        </w:rPr>
        <w:t xml:space="preserve"> de Justicia y del Derecho, fue radicado en la Secretaría General del Senado de la República el día 27 de febrero de</w:t>
      </w:r>
      <w:r w:rsidRPr="005E3F2C">
        <w:t xml:space="preserve"> </w:t>
      </w:r>
      <w:r w:rsidRPr="005E3F2C">
        <w:rPr>
          <w:lang w:val="es-CO"/>
        </w:rPr>
        <w:t>2023, siendo publicado en la Gaceta del Congreso número 12 de 2023</w:t>
      </w:r>
      <w:r w:rsidR="00B1586C">
        <w:rPr>
          <w:lang w:val="es-CO"/>
        </w:rPr>
        <w:t>.</w:t>
      </w:r>
    </w:p>
    <w:p w14:paraId="229CEA3F" w14:textId="68B39F1F" w:rsidR="005E7C3B" w:rsidRPr="005E3F2C" w:rsidRDefault="005E7C3B" w:rsidP="00EA0E3C">
      <w:pPr>
        <w:pStyle w:val="Bullet1G"/>
        <w:rPr>
          <w:lang w:val="es-CO"/>
        </w:rPr>
      </w:pPr>
      <w:r w:rsidRPr="005E3F2C">
        <w:rPr>
          <w:lang w:val="es-CO"/>
        </w:rPr>
        <w:t>El día 20 de junio de 2023 fue discutido y aprobado en la Comisión Segunda del Senado de la República, con ponencia positiva presentada por los honorables Senadores Iván Cepeda Castro, Gloria Flórez Schneider y Jael Quiroga Carrillo, publicada en la Gaceta del Congreso número 686 de 2023</w:t>
      </w:r>
      <w:r w:rsidR="00B1586C">
        <w:rPr>
          <w:lang w:val="es-CO"/>
        </w:rPr>
        <w:t>.</w:t>
      </w:r>
    </w:p>
    <w:p w14:paraId="78D3283C" w14:textId="7D76DCAE" w:rsidR="005E7C3B" w:rsidRPr="005E3F2C" w:rsidRDefault="005E7C3B" w:rsidP="00EA0E3C">
      <w:pPr>
        <w:pStyle w:val="Bullet1G"/>
        <w:rPr>
          <w:lang w:val="es-CO"/>
        </w:rPr>
      </w:pPr>
      <w:r w:rsidRPr="005E3F2C">
        <w:rPr>
          <w:lang w:val="es-CO"/>
        </w:rPr>
        <w:t xml:space="preserve">Una vez aprobado en primer debate, el proyecto de ley siguió su trámite en la Plenaria del Senado, en donde los honorables Senadores Jael Quiroga Carrillo, Gloria Flórez </w:t>
      </w:r>
      <w:r w:rsidRPr="005E3F2C">
        <w:rPr>
          <w:lang w:val="es-CO"/>
        </w:rPr>
        <w:lastRenderedPageBreak/>
        <w:t>Schneider e Iván Cepeda Castro rindieron ponencia positiva, publicada en la Gaceta del Congreso número 1014 de 2023</w:t>
      </w:r>
      <w:r w:rsidR="00B1586C">
        <w:rPr>
          <w:lang w:val="es-CO"/>
        </w:rPr>
        <w:t>.</w:t>
      </w:r>
      <w:r w:rsidRPr="005E3F2C">
        <w:rPr>
          <w:lang w:val="es-CO"/>
        </w:rPr>
        <w:t xml:space="preserve"> </w:t>
      </w:r>
    </w:p>
    <w:p w14:paraId="57BB6C39" w14:textId="2BF65639" w:rsidR="005E7C3B" w:rsidRPr="005E3F2C" w:rsidRDefault="005E7C3B" w:rsidP="00EA0E3C">
      <w:pPr>
        <w:pStyle w:val="Bullet1G"/>
        <w:rPr>
          <w:lang w:val="es-CO"/>
        </w:rPr>
      </w:pPr>
      <w:r w:rsidRPr="005E3F2C">
        <w:rPr>
          <w:lang w:val="es-CO"/>
        </w:rPr>
        <w:t>El proyecto fue debatido y aprobado por la Plenaria del Senado de la República el día 14 de diciembre de 2023</w:t>
      </w:r>
      <w:r w:rsidR="00B1586C">
        <w:rPr>
          <w:lang w:val="es-CO"/>
        </w:rPr>
        <w:t>.</w:t>
      </w:r>
    </w:p>
    <w:p w14:paraId="4C33AC3C" w14:textId="26AFF42F" w:rsidR="005E7C3B" w:rsidRPr="005E3F2C" w:rsidRDefault="005E7C3B" w:rsidP="00EA0E3C">
      <w:pPr>
        <w:pStyle w:val="Bullet1G"/>
        <w:rPr>
          <w:lang w:val="es-CO"/>
        </w:rPr>
      </w:pPr>
      <w:r w:rsidRPr="005E3F2C">
        <w:rPr>
          <w:lang w:val="es-CO"/>
        </w:rPr>
        <w:t>El día 17 de abril fue discutido y aprobado el proyecto de ley en la Comisión Segunda de la Cámara de Representantes, con ponencia positiva presentada por los honorables Representantes David Alejandro Toro Ramírez (coordinador ponente), Jhon Jairo Berrío López y Luis Miguel López Aristizábal, publicada en la Gaceta del Congreso número 308 de 2024</w:t>
      </w:r>
      <w:r w:rsidR="00B1586C">
        <w:rPr>
          <w:lang w:val="es-CO"/>
        </w:rPr>
        <w:t>.</w:t>
      </w:r>
    </w:p>
    <w:p w14:paraId="7563585A" w14:textId="380530C2" w:rsidR="005E7C3B" w:rsidRPr="00FC301F" w:rsidRDefault="005E7C3B" w:rsidP="00EA0E3C">
      <w:pPr>
        <w:pStyle w:val="Bullet1G"/>
        <w:rPr>
          <w:lang w:val="es-CO"/>
        </w:rPr>
      </w:pPr>
      <w:r w:rsidRPr="005E3F2C">
        <w:rPr>
          <w:lang w:val="es-CO"/>
        </w:rPr>
        <w:t>Los honorables Representantes David Alejandro Toro Ramírez, Jhon Jairo Berrío López y Luis Miguel López Aristizábal rinden ponencia positiva para para segundo debate ante la Plenaria de la Cámara de Representantes. Este debate está pendiente por realizarse</w:t>
      </w:r>
      <w:r w:rsidRPr="005E3F2C">
        <w:rPr>
          <w:rStyle w:val="Refdenotaalpie"/>
          <w:lang w:val="es-CO"/>
        </w:rPr>
        <w:footnoteReference w:id="3"/>
      </w:r>
      <w:r w:rsidR="00B1586C">
        <w:rPr>
          <w:lang w:val="es-CO"/>
        </w:rPr>
        <w:t>.</w:t>
      </w:r>
    </w:p>
    <w:p w14:paraId="7F417DBC" w14:textId="014A9C76" w:rsidR="005E7C3B" w:rsidRPr="00EA0E3C" w:rsidRDefault="005E7C3B" w:rsidP="00EA0E3C">
      <w:pPr>
        <w:pStyle w:val="SingleTxtG"/>
        <w:rPr>
          <w:rFonts w:eastAsia="Calibri"/>
          <w:lang w:eastAsia="en-US"/>
        </w:rPr>
      </w:pPr>
      <w:r w:rsidRPr="00EA0E3C">
        <w:rPr>
          <w:rFonts w:eastAsia="Calibri"/>
          <w:lang w:eastAsia="en-US"/>
        </w:rPr>
        <w:t>33.</w:t>
      </w:r>
      <w:r w:rsidR="00EA0E3C">
        <w:rPr>
          <w:rFonts w:eastAsia="Calibri"/>
          <w:lang w:eastAsia="en-US"/>
        </w:rPr>
        <w:tab/>
      </w:r>
      <w:r w:rsidRPr="00EA0E3C">
        <w:rPr>
          <w:rFonts w:eastAsia="Calibri"/>
          <w:lang w:eastAsia="en-US"/>
        </w:rPr>
        <w:t>Una vez el OPCAT haya superado el último debate en la Cámara de Representantes, será remitido al Presidente de la República para su revisión y sanción. El proceso de implementación del OPCAT en Colombia estará liderado por el Ministerio de Justicia y del Derecho.</w:t>
      </w:r>
    </w:p>
    <w:p w14:paraId="1D98D282" w14:textId="5314FEA4" w:rsidR="005E7C3B" w:rsidRPr="00323F4B" w:rsidRDefault="00EA0E3C" w:rsidP="00B1586C">
      <w:pPr>
        <w:pStyle w:val="H1G"/>
        <w:rPr>
          <w:rFonts w:eastAsia="Verdana"/>
          <w:lang w:val="es-CO"/>
        </w:rPr>
      </w:pPr>
      <w:r>
        <w:tab/>
      </w:r>
      <w:r w:rsidRPr="00323F4B">
        <w:rPr>
          <w:lang w:val="es-CO"/>
        </w:rPr>
        <w:t>D.</w:t>
      </w:r>
      <w:r w:rsidRPr="00323F4B">
        <w:rPr>
          <w:lang w:val="es-CO"/>
        </w:rPr>
        <w:tab/>
      </w:r>
      <w:r w:rsidR="000F1574">
        <w:rPr>
          <w:lang w:val="es-CO"/>
        </w:rPr>
        <w:t>Información de seguimiento relativa</w:t>
      </w:r>
      <w:r w:rsidR="00323F4B">
        <w:rPr>
          <w:lang w:val="es-CO"/>
        </w:rPr>
        <w:t xml:space="preserve"> al párrafo 37 de</w:t>
      </w:r>
      <w:r w:rsidR="00B1586C">
        <w:rPr>
          <w:lang w:val="es-CO"/>
        </w:rPr>
        <w:br/>
      </w:r>
      <w:r w:rsidR="00323F4B">
        <w:rPr>
          <w:lang w:val="es-CO"/>
        </w:rPr>
        <w:t xml:space="preserve">las observaciones finales </w:t>
      </w:r>
    </w:p>
    <w:p w14:paraId="0AD075C9" w14:textId="1D996C0C" w:rsidR="005E7C3B" w:rsidRPr="00EA0E3C" w:rsidRDefault="005E7C3B" w:rsidP="00EA0E3C">
      <w:pPr>
        <w:pStyle w:val="SingleTxtG"/>
        <w:rPr>
          <w:rFonts w:eastAsia="Calibri"/>
          <w:lang w:eastAsia="en-US"/>
        </w:rPr>
      </w:pPr>
      <w:r w:rsidRPr="00EA0E3C">
        <w:rPr>
          <w:rFonts w:eastAsia="Calibri"/>
          <w:lang w:eastAsia="en-US"/>
        </w:rPr>
        <w:t>34.</w:t>
      </w:r>
      <w:r w:rsidR="00EA0E3C">
        <w:rPr>
          <w:rFonts w:eastAsia="Calibri"/>
          <w:lang w:eastAsia="en-US"/>
        </w:rPr>
        <w:tab/>
      </w:r>
      <w:r w:rsidRPr="00EA0E3C">
        <w:rPr>
          <w:rFonts w:eastAsia="Calibri"/>
          <w:lang w:eastAsia="en-US"/>
        </w:rPr>
        <w:t>El artículo 109 de la Ley 2294 de 2023 “Por la cual se adopta el Plan Nacional de Desarrollo 2022-2026: ‘Colombia Potencia Mundial de la Vida’”, señala que “El Ministerio del Interior, articulará la formulación, adopción, ejecución y evaluación de la política pública de Derechos Humanos para el logro de La Paz Total, con las demás entidades competentes, con un enfoque integral, territorial, diferencial, social y de género (…)”. Esta disposición tiene como fundamentos jurídicos entre otros, los diferentes compromisos internacionales del Estado (así como el cumplimiento de las obligaciones internacionales contenidas en tratados sobre Derechos Humanos); las decisiones de la Corte Constitucional, especialmente aquellas en el marco del seguimiento a la Sentencia T-025 de 2004 (Auto 894 de 2022); el cumplimiento del Acuerdo Final de Paz (especialmente lo relacionado con las garantías para la defensa de los DDHH) y la Ley de Paz Total (Gabinete de Paz).</w:t>
      </w:r>
    </w:p>
    <w:p w14:paraId="7A43481A" w14:textId="5322AD42" w:rsidR="005E7C3B" w:rsidRPr="00EA0E3C" w:rsidRDefault="005E7C3B" w:rsidP="00EA0E3C">
      <w:pPr>
        <w:pStyle w:val="SingleTxtG"/>
        <w:rPr>
          <w:rFonts w:eastAsia="Calibri"/>
          <w:lang w:eastAsia="en-US"/>
        </w:rPr>
      </w:pPr>
      <w:r w:rsidRPr="00EA0E3C">
        <w:rPr>
          <w:rFonts w:eastAsia="Calibri"/>
          <w:lang w:eastAsia="en-US"/>
        </w:rPr>
        <w:t>35.</w:t>
      </w:r>
      <w:r w:rsidR="00EA0E3C">
        <w:rPr>
          <w:rFonts w:eastAsia="Calibri"/>
          <w:lang w:eastAsia="en-US"/>
        </w:rPr>
        <w:tab/>
      </w:r>
      <w:r w:rsidRPr="00EA0E3C">
        <w:rPr>
          <w:rFonts w:eastAsia="Calibri"/>
          <w:lang w:eastAsia="en-US"/>
        </w:rPr>
        <w:t>Durante la promulgación de las bases del Plan Nacional de Desarrollo -PND, concretamente del capítulo de Seguridad Humana y Justicia Social, se estableció que se deberá actualizar la política pública de prevención, seguridad y protección individual y colectiva; y fortalecer y modernizar la Unidad Nacional de Protección (UNP), dentro de las funciones asignadas por las normas, para lograr eficaz y eficientemente la protección de personas y comunidades, y superar vulnerabilidades de riesgo con un enfoque diferencial.</w:t>
      </w:r>
      <w:r w:rsidR="00B1586C">
        <w:rPr>
          <w:rFonts w:eastAsia="Calibri"/>
          <w:lang w:eastAsia="en-US"/>
        </w:rPr>
        <w:t xml:space="preserve"> </w:t>
      </w:r>
      <w:r w:rsidRPr="00EA0E3C">
        <w:rPr>
          <w:rFonts w:eastAsia="Calibri"/>
          <w:lang w:eastAsia="en-US"/>
        </w:rPr>
        <w:t>Asimismo, se priorizará el fortalecimiento de capacidades organizativas para la autoprotección y denuncia de las comunidades. Estos esfuerzos, además de deberán sustentarse en el diálogo y la participación permanente entre autoridades, comunidades y liderazgos sociales.</w:t>
      </w:r>
      <w:r w:rsidR="00B1586C">
        <w:rPr>
          <w:rFonts w:eastAsia="Calibri"/>
          <w:lang w:eastAsia="en-US"/>
        </w:rPr>
        <w:t xml:space="preserve"> </w:t>
      </w:r>
      <w:r w:rsidRPr="00EA0E3C">
        <w:rPr>
          <w:rFonts w:eastAsia="Calibri"/>
          <w:lang w:eastAsia="en-US"/>
        </w:rPr>
        <w:t>A continuación, se presentan las principales medidas lideradas por el Estado colombiano para garantizar la labor de personas defensoras de derechos humanos, líderes y lideresas sociales y periodistas</w:t>
      </w:r>
      <w:r w:rsidR="000F1574">
        <w:rPr>
          <w:rFonts w:eastAsia="Calibri"/>
          <w:lang w:eastAsia="en-US"/>
        </w:rPr>
        <w:t>.</w:t>
      </w:r>
    </w:p>
    <w:p w14:paraId="5647FF5B" w14:textId="47BCE716" w:rsidR="005E7C3B" w:rsidRPr="00323F4B" w:rsidRDefault="00EA0E3C" w:rsidP="00B1586C">
      <w:pPr>
        <w:pStyle w:val="H23G"/>
        <w:rPr>
          <w:rStyle w:val="normaltextrun"/>
          <w:rFonts w:eastAsiaTheme="majorEastAsia"/>
          <w:b w:val="0"/>
          <w:bCs/>
          <w:i/>
          <w:iCs/>
        </w:rPr>
      </w:pPr>
      <w:r>
        <w:rPr>
          <w:rStyle w:val="normaltextrun"/>
          <w:rFonts w:eastAsiaTheme="majorEastAsia"/>
          <w:bCs/>
        </w:rPr>
        <w:tab/>
      </w:r>
      <w:r w:rsidR="005E7C3B" w:rsidRPr="00323F4B">
        <w:rPr>
          <w:rStyle w:val="normaltextrun"/>
          <w:rFonts w:eastAsiaTheme="majorEastAsia"/>
          <w:bCs/>
          <w:iCs/>
        </w:rPr>
        <w:t>1</w:t>
      </w:r>
      <w:r w:rsidR="00323F4B" w:rsidRPr="00323F4B">
        <w:rPr>
          <w:rStyle w:val="normaltextrun"/>
          <w:rFonts w:eastAsiaTheme="majorEastAsia"/>
          <w:bCs/>
          <w:iCs/>
        </w:rPr>
        <w:t>.</w:t>
      </w:r>
      <w:r w:rsidRPr="00323F4B">
        <w:rPr>
          <w:rStyle w:val="normaltextrun"/>
          <w:rFonts w:eastAsiaTheme="majorEastAsia"/>
          <w:bCs/>
          <w:iCs/>
        </w:rPr>
        <w:tab/>
      </w:r>
      <w:r w:rsidR="005E7C3B" w:rsidRPr="00323F4B">
        <w:rPr>
          <w:rStyle w:val="normaltextrun"/>
          <w:rFonts w:eastAsiaTheme="majorEastAsia"/>
          <w:bCs/>
          <w:iCs/>
        </w:rPr>
        <w:t>Proyecto de Política Pública de Garantías a la Labor de Defensa de</w:t>
      </w:r>
      <w:r w:rsidR="00B1586C">
        <w:rPr>
          <w:rStyle w:val="normaltextrun"/>
          <w:rFonts w:eastAsiaTheme="majorEastAsia"/>
          <w:bCs/>
          <w:iCs/>
        </w:rPr>
        <w:br/>
      </w:r>
      <w:r w:rsidR="005E7C3B" w:rsidRPr="00323F4B">
        <w:rPr>
          <w:rStyle w:val="normaltextrun"/>
          <w:rFonts w:eastAsiaTheme="majorEastAsia"/>
          <w:bCs/>
          <w:iCs/>
        </w:rPr>
        <w:t>Derechos Humanos</w:t>
      </w:r>
    </w:p>
    <w:p w14:paraId="231C3602" w14:textId="337EC623" w:rsidR="005E7C3B" w:rsidRPr="00EA0E3C" w:rsidRDefault="005E7C3B" w:rsidP="00EA0E3C">
      <w:pPr>
        <w:pStyle w:val="SingleTxtG"/>
        <w:rPr>
          <w:rFonts w:eastAsia="Calibri"/>
          <w:lang w:eastAsia="en-US"/>
        </w:rPr>
      </w:pPr>
      <w:r w:rsidRPr="00EA0E3C">
        <w:rPr>
          <w:rFonts w:eastAsia="Calibri"/>
          <w:lang w:eastAsia="en-US"/>
        </w:rPr>
        <w:t>36.</w:t>
      </w:r>
      <w:r w:rsidR="00EA0E3C">
        <w:rPr>
          <w:rFonts w:eastAsia="Calibri"/>
          <w:lang w:eastAsia="en-US"/>
        </w:rPr>
        <w:tab/>
      </w:r>
      <w:r w:rsidRPr="00EA0E3C">
        <w:rPr>
          <w:rFonts w:eastAsia="Calibri"/>
          <w:lang w:eastAsia="en-US"/>
        </w:rPr>
        <w:t xml:space="preserve">En el marco de la elaboración de la Política Pública de Garantías a la Labor de Defensa de Derechos Humanos, surgió el Proceso Nacional de Garantías (2009) como un espacio de interlocución de carácter tripartito, entre el Estado, la sociedad civil y la comunidad internacional que tiene por objeto “establecer un diálogo sobre la necesidad de garantías para las organizaciones sociales y de derechos humanos”, así como “avanzar en la construcción </w:t>
      </w:r>
      <w:r w:rsidRPr="00EA0E3C">
        <w:rPr>
          <w:rFonts w:eastAsia="Calibri"/>
          <w:lang w:eastAsia="en-US"/>
        </w:rPr>
        <w:lastRenderedPageBreak/>
        <w:t>de acuerdos, compromisos y rutas para generar medidas que creen un ambiente propicio para las actividades de defensa de los derechos humanos”. </w:t>
      </w:r>
    </w:p>
    <w:p w14:paraId="0C509D15" w14:textId="5DC90C1D" w:rsidR="005E7C3B" w:rsidRPr="00EA0E3C" w:rsidRDefault="005E7C3B" w:rsidP="00EA0E3C">
      <w:pPr>
        <w:pStyle w:val="SingleTxtG"/>
        <w:rPr>
          <w:rFonts w:eastAsia="Calibri"/>
          <w:lang w:eastAsia="en-US"/>
        </w:rPr>
      </w:pPr>
      <w:r w:rsidRPr="00EA0E3C">
        <w:rPr>
          <w:rFonts w:eastAsia="Calibri"/>
          <w:lang w:eastAsia="en-US"/>
        </w:rPr>
        <w:t>37.</w:t>
      </w:r>
      <w:r w:rsidR="00EA0E3C">
        <w:rPr>
          <w:rFonts w:eastAsia="Calibri"/>
          <w:lang w:eastAsia="en-US"/>
        </w:rPr>
        <w:tab/>
      </w:r>
      <w:r w:rsidRPr="00EA0E3C">
        <w:rPr>
          <w:rFonts w:eastAsia="Calibri"/>
          <w:lang w:eastAsia="en-US"/>
        </w:rPr>
        <w:t>El Proceso Nacional cuenta con una estructura conformada por la Mesa Nacional de Garantías, definida como “una instancia de alto nivel en el cual voceros de la sociedad civil se reúnen con las cabezas de las instituciones gubernamentales para acordar estrategias, acciones y medidas que contribuyan a solucionar la grave situación nacional sobre las violaciones a los derechos humanos de las personas defensoras”; igualmente, se cuenta con Mesas Territoriales de Garantías que revisa la situación de DDHH propia de cada región. </w:t>
      </w:r>
    </w:p>
    <w:p w14:paraId="0BA6E482" w14:textId="0085F402" w:rsidR="005E7C3B" w:rsidRDefault="005E7C3B" w:rsidP="00EA0E3C">
      <w:pPr>
        <w:pStyle w:val="SingleTxtG"/>
        <w:rPr>
          <w:rFonts w:eastAsia="Calibri"/>
          <w:lang w:eastAsia="en-US"/>
        </w:rPr>
      </w:pPr>
      <w:r w:rsidRPr="00EA0E3C">
        <w:rPr>
          <w:rFonts w:eastAsia="Calibri"/>
          <w:lang w:eastAsia="en-US"/>
        </w:rPr>
        <w:t>38.</w:t>
      </w:r>
      <w:r w:rsidR="00EA0E3C">
        <w:rPr>
          <w:rFonts w:eastAsia="Calibri"/>
          <w:lang w:eastAsia="en-US"/>
        </w:rPr>
        <w:tab/>
      </w:r>
      <w:r w:rsidRPr="00EA0E3C">
        <w:rPr>
          <w:rFonts w:eastAsia="Calibri"/>
          <w:lang w:eastAsia="en-US"/>
        </w:rPr>
        <w:t>En ese escenario, el Estado colombiano representado por el Ministerio del Interior reactivó el Proceso Nacional de Garantías el día 17 de agosto de 2023, así como de la Instancia de Concertación de la Política Integral de Garantías a la Labor de Defensa de Derechos Humanos con plataformas de DDHH relevantes del país, con acompañamiento de la comunidad internacional y órganos de control. De este ejercicio, las plataformas de Derechos Humanos formularon el documento denominado “Lineamientos para una Política Pública Integral de Respeto y Garantías a la Labor de Defensa de Derechos Humanos”, el cual recoge una serie de consideraciones para la formulación de esta política pública. Este lineamiento se ha puesto en conocimiento de diferentes entidades del Estado, para la presentación de observaciones y contribuciones que permitan una construcción concertada de medidas que garanticen la defensa de Derechos Humanos en Colombia.</w:t>
      </w:r>
      <w:r w:rsidR="00935369">
        <w:rPr>
          <w:rFonts w:eastAsia="Calibri"/>
          <w:lang w:eastAsia="en-US"/>
        </w:rPr>
        <w:t xml:space="preserve"> </w:t>
      </w:r>
      <w:r w:rsidRPr="00EA0E3C">
        <w:rPr>
          <w:rFonts w:eastAsia="Calibri"/>
          <w:lang w:eastAsia="en-US"/>
        </w:rPr>
        <w:t>A continuación, se exponen las estrategias propuestas, así como sus medidas de desarrollo</w:t>
      </w:r>
      <w:r w:rsidR="00935369">
        <w:rPr>
          <w:rFonts w:eastAsia="Calibri"/>
          <w:lang w:eastAsia="en-US"/>
        </w:rPr>
        <w:t>.</w:t>
      </w:r>
    </w:p>
    <w:p w14:paraId="601D66DC" w14:textId="77777777" w:rsidR="00B1586C" w:rsidRDefault="00F14496" w:rsidP="00B1586C">
      <w:pPr>
        <w:pStyle w:val="Ttulo1"/>
        <w:rPr>
          <w:rStyle w:val="normaltextrun"/>
        </w:rPr>
      </w:pPr>
      <w:r w:rsidRPr="00DF13A7">
        <w:rPr>
          <w:rStyle w:val="normaltextrun"/>
        </w:rPr>
        <w:t>Tabla 1</w:t>
      </w:r>
    </w:p>
    <w:p w14:paraId="2E777E17" w14:textId="78368F1E" w:rsidR="00F14496" w:rsidRPr="00B1586C" w:rsidRDefault="00F14496" w:rsidP="00B1586C">
      <w:pPr>
        <w:pStyle w:val="SingleTxtG"/>
        <w:rPr>
          <w:rStyle w:val="normaltextrun"/>
          <w:rFonts w:eastAsiaTheme="majorEastAsia"/>
          <w:b/>
          <w:bCs/>
        </w:rPr>
      </w:pPr>
      <w:r w:rsidRPr="00B1586C">
        <w:rPr>
          <w:rStyle w:val="normaltextrun"/>
          <w:rFonts w:eastAsiaTheme="majorEastAsia"/>
          <w:b/>
          <w:bCs/>
        </w:rPr>
        <w:t>Estrategias de la Política Pública y medidas de desarrollo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5102"/>
      </w:tblGrid>
      <w:tr w:rsidR="00F14496" w:rsidRPr="00F14496" w14:paraId="6B5C1E64" w14:textId="77777777" w:rsidTr="00B1586C">
        <w:trPr>
          <w:cantSplit/>
          <w:tblHeader/>
        </w:trPr>
        <w:tc>
          <w:tcPr>
            <w:tcW w:w="1539" w:type="pct"/>
            <w:tcBorders>
              <w:top w:val="single" w:sz="4" w:space="0" w:color="auto"/>
              <w:bottom w:val="single" w:sz="12" w:space="0" w:color="auto"/>
            </w:tcBorders>
            <w:shd w:val="clear" w:color="auto" w:fill="auto"/>
            <w:vAlign w:val="bottom"/>
          </w:tcPr>
          <w:p w14:paraId="0D2087E1" w14:textId="77777777" w:rsidR="00F14496" w:rsidRPr="00F14496" w:rsidRDefault="00F14496" w:rsidP="00F14496">
            <w:pPr>
              <w:spacing w:before="80" w:after="80" w:line="200" w:lineRule="exact"/>
              <w:ind w:right="113"/>
              <w:rPr>
                <w:i/>
                <w:sz w:val="16"/>
                <w:lang w:val="es-CO"/>
              </w:rPr>
            </w:pPr>
            <w:r w:rsidRPr="00F14496">
              <w:rPr>
                <w:i/>
                <w:sz w:val="16"/>
                <w:lang w:val="es-CO"/>
              </w:rPr>
              <w:t>Estrategia</w:t>
            </w:r>
          </w:p>
        </w:tc>
        <w:tc>
          <w:tcPr>
            <w:tcW w:w="3461" w:type="pct"/>
            <w:tcBorders>
              <w:top w:val="single" w:sz="4" w:space="0" w:color="auto"/>
              <w:bottom w:val="single" w:sz="12" w:space="0" w:color="auto"/>
            </w:tcBorders>
            <w:shd w:val="clear" w:color="auto" w:fill="auto"/>
            <w:vAlign w:val="bottom"/>
          </w:tcPr>
          <w:p w14:paraId="34097F0E" w14:textId="77777777" w:rsidR="00F14496" w:rsidRPr="00F14496" w:rsidRDefault="00F14496" w:rsidP="00F14496">
            <w:pPr>
              <w:spacing w:before="80" w:after="80" w:line="200" w:lineRule="exact"/>
              <w:ind w:right="113"/>
              <w:rPr>
                <w:i/>
                <w:sz w:val="16"/>
                <w:lang w:val="es-CO"/>
              </w:rPr>
            </w:pPr>
            <w:r w:rsidRPr="00F14496">
              <w:rPr>
                <w:i/>
                <w:sz w:val="16"/>
                <w:lang w:val="es-CO"/>
              </w:rPr>
              <w:t>Medidas de desarrollo</w:t>
            </w:r>
          </w:p>
        </w:tc>
      </w:tr>
      <w:tr w:rsidR="00F14496" w:rsidRPr="00F14496" w14:paraId="779EECC6" w14:textId="77777777" w:rsidTr="00B1586C">
        <w:trPr>
          <w:cantSplit/>
          <w:trHeight w:hRule="exact" w:val="113"/>
        </w:trPr>
        <w:tc>
          <w:tcPr>
            <w:tcW w:w="1539" w:type="pct"/>
            <w:tcBorders>
              <w:top w:val="single" w:sz="12" w:space="0" w:color="auto"/>
            </w:tcBorders>
            <w:shd w:val="clear" w:color="auto" w:fill="auto"/>
          </w:tcPr>
          <w:p w14:paraId="7778C2F1" w14:textId="77777777" w:rsidR="00F14496" w:rsidRPr="00F14496" w:rsidRDefault="00F14496" w:rsidP="00F14496">
            <w:pPr>
              <w:spacing w:before="40" w:after="120"/>
              <w:ind w:right="113"/>
              <w:rPr>
                <w:lang w:val="es-CO"/>
              </w:rPr>
            </w:pPr>
          </w:p>
        </w:tc>
        <w:tc>
          <w:tcPr>
            <w:tcW w:w="3461" w:type="pct"/>
            <w:tcBorders>
              <w:top w:val="single" w:sz="12" w:space="0" w:color="auto"/>
            </w:tcBorders>
            <w:shd w:val="clear" w:color="auto" w:fill="auto"/>
          </w:tcPr>
          <w:p w14:paraId="6EDB8C36" w14:textId="77777777" w:rsidR="00F14496" w:rsidRPr="00F14496" w:rsidRDefault="00F14496" w:rsidP="00F14496">
            <w:pPr>
              <w:spacing w:before="40" w:after="120"/>
              <w:ind w:right="113"/>
              <w:rPr>
                <w:lang w:val="es-CO"/>
              </w:rPr>
            </w:pPr>
          </w:p>
        </w:tc>
      </w:tr>
      <w:tr w:rsidR="00F14496" w:rsidRPr="00F14496" w14:paraId="03241804" w14:textId="77777777" w:rsidTr="00B1586C">
        <w:tc>
          <w:tcPr>
            <w:tcW w:w="1539" w:type="pct"/>
            <w:vMerge w:val="restart"/>
            <w:shd w:val="clear" w:color="auto" w:fill="auto"/>
          </w:tcPr>
          <w:p w14:paraId="4806C828" w14:textId="77777777" w:rsidR="00F14496" w:rsidRPr="00F14496" w:rsidRDefault="00F14496" w:rsidP="00F14496">
            <w:pPr>
              <w:spacing w:before="40" w:after="120"/>
              <w:ind w:right="113"/>
              <w:rPr>
                <w:lang w:val="es-CO"/>
              </w:rPr>
            </w:pPr>
            <w:r w:rsidRPr="00F14496">
              <w:rPr>
                <w:lang w:val="es-CO"/>
              </w:rPr>
              <w:t>Respeto</w:t>
            </w:r>
          </w:p>
        </w:tc>
        <w:tc>
          <w:tcPr>
            <w:tcW w:w="3461" w:type="pct"/>
            <w:shd w:val="clear" w:color="auto" w:fill="auto"/>
          </w:tcPr>
          <w:p w14:paraId="47397AAD" w14:textId="77777777" w:rsidR="00F14496" w:rsidRPr="00F14496" w:rsidRDefault="00F14496" w:rsidP="00F14496">
            <w:pPr>
              <w:spacing w:before="40" w:after="120"/>
              <w:ind w:right="113"/>
              <w:rPr>
                <w:lang w:val="es-CO"/>
              </w:rPr>
            </w:pPr>
            <w:r w:rsidRPr="00F14496">
              <w:rPr>
                <w:lang w:val="es-CO"/>
              </w:rPr>
              <w:t>Reconocimiento</w:t>
            </w:r>
          </w:p>
        </w:tc>
      </w:tr>
      <w:tr w:rsidR="00F14496" w:rsidRPr="00F14496" w14:paraId="148C7C38" w14:textId="77777777" w:rsidTr="00B1586C">
        <w:tc>
          <w:tcPr>
            <w:tcW w:w="1539" w:type="pct"/>
            <w:vMerge/>
            <w:shd w:val="clear" w:color="auto" w:fill="auto"/>
          </w:tcPr>
          <w:p w14:paraId="1ABA0AC7" w14:textId="77777777" w:rsidR="00F14496" w:rsidRPr="00F14496" w:rsidRDefault="00F14496" w:rsidP="00F14496">
            <w:pPr>
              <w:spacing w:before="40" w:after="120"/>
              <w:ind w:right="113"/>
              <w:rPr>
                <w:lang w:val="es-CO"/>
              </w:rPr>
            </w:pPr>
          </w:p>
        </w:tc>
        <w:tc>
          <w:tcPr>
            <w:tcW w:w="3461" w:type="pct"/>
            <w:shd w:val="clear" w:color="auto" w:fill="auto"/>
          </w:tcPr>
          <w:p w14:paraId="6E3C260C" w14:textId="77777777" w:rsidR="00F14496" w:rsidRPr="00F14496" w:rsidRDefault="00F14496" w:rsidP="00F14496">
            <w:pPr>
              <w:spacing w:before="40" w:after="120"/>
              <w:ind w:right="113"/>
              <w:rPr>
                <w:lang w:val="es-CO"/>
              </w:rPr>
            </w:pPr>
            <w:r w:rsidRPr="00F14496">
              <w:rPr>
                <w:lang w:val="es-CO"/>
              </w:rPr>
              <w:t>Fortalecer el marco normativo de reconocimiento y protección a las personas Defensoras de Derechos Humanos</w:t>
            </w:r>
          </w:p>
        </w:tc>
      </w:tr>
      <w:tr w:rsidR="00F14496" w:rsidRPr="00F14496" w14:paraId="5F2EB239" w14:textId="77777777" w:rsidTr="00B1586C">
        <w:tc>
          <w:tcPr>
            <w:tcW w:w="1539" w:type="pct"/>
            <w:vMerge/>
            <w:shd w:val="clear" w:color="auto" w:fill="auto"/>
          </w:tcPr>
          <w:p w14:paraId="6C862C82" w14:textId="77777777" w:rsidR="00F14496" w:rsidRPr="00F14496" w:rsidRDefault="00F14496" w:rsidP="00F14496">
            <w:pPr>
              <w:spacing w:before="40" w:after="120"/>
              <w:ind w:right="113"/>
              <w:rPr>
                <w:lang w:val="es-CO"/>
              </w:rPr>
            </w:pPr>
          </w:p>
        </w:tc>
        <w:tc>
          <w:tcPr>
            <w:tcW w:w="3461" w:type="pct"/>
            <w:shd w:val="clear" w:color="auto" w:fill="auto"/>
          </w:tcPr>
          <w:p w14:paraId="726671F5" w14:textId="77777777" w:rsidR="00F14496" w:rsidRPr="00F14496" w:rsidRDefault="00F14496" w:rsidP="00F14496">
            <w:pPr>
              <w:spacing w:before="40" w:after="120"/>
              <w:ind w:right="113"/>
              <w:rPr>
                <w:lang w:val="es-CO"/>
              </w:rPr>
            </w:pPr>
            <w:r w:rsidRPr="00F14496">
              <w:rPr>
                <w:lang w:val="es-CO"/>
              </w:rPr>
              <w:t>Formación de funcionarios y funcionarias públicas</w:t>
            </w:r>
          </w:p>
        </w:tc>
      </w:tr>
      <w:tr w:rsidR="00F14496" w:rsidRPr="00F14496" w14:paraId="45CAB1DD" w14:textId="77777777" w:rsidTr="00B1586C">
        <w:tc>
          <w:tcPr>
            <w:tcW w:w="1539" w:type="pct"/>
            <w:vMerge/>
            <w:shd w:val="clear" w:color="auto" w:fill="auto"/>
          </w:tcPr>
          <w:p w14:paraId="1D78160B" w14:textId="77777777" w:rsidR="00F14496" w:rsidRPr="00F14496" w:rsidRDefault="00F14496" w:rsidP="00F14496">
            <w:pPr>
              <w:spacing w:before="40" w:after="120"/>
              <w:ind w:right="113"/>
              <w:rPr>
                <w:lang w:val="es-CO"/>
              </w:rPr>
            </w:pPr>
          </w:p>
        </w:tc>
        <w:tc>
          <w:tcPr>
            <w:tcW w:w="3461" w:type="pct"/>
            <w:shd w:val="clear" w:color="auto" w:fill="auto"/>
          </w:tcPr>
          <w:p w14:paraId="22F2559A" w14:textId="77777777" w:rsidR="00F14496" w:rsidRPr="00F14496" w:rsidRDefault="00F14496" w:rsidP="00F14496">
            <w:pPr>
              <w:spacing w:before="40" w:after="120"/>
              <w:ind w:right="113"/>
              <w:rPr>
                <w:lang w:val="es-CO"/>
              </w:rPr>
            </w:pPr>
            <w:r w:rsidRPr="00F14496">
              <w:rPr>
                <w:lang w:val="es-CO"/>
              </w:rPr>
              <w:t>Respeto a la labor de defensa de Derechos Humanos, misión médica y periodistas en el marco de la protesta social</w:t>
            </w:r>
          </w:p>
        </w:tc>
      </w:tr>
      <w:tr w:rsidR="00F14496" w:rsidRPr="00F14496" w14:paraId="074A5F43" w14:textId="77777777" w:rsidTr="00B1586C">
        <w:tc>
          <w:tcPr>
            <w:tcW w:w="1539" w:type="pct"/>
            <w:vMerge/>
            <w:shd w:val="clear" w:color="auto" w:fill="auto"/>
          </w:tcPr>
          <w:p w14:paraId="0C16389D" w14:textId="77777777" w:rsidR="00F14496" w:rsidRPr="00F14496" w:rsidRDefault="00F14496" w:rsidP="00F14496">
            <w:pPr>
              <w:spacing w:before="40" w:after="120"/>
              <w:ind w:right="113"/>
              <w:rPr>
                <w:lang w:val="es-CO"/>
              </w:rPr>
            </w:pPr>
          </w:p>
        </w:tc>
        <w:tc>
          <w:tcPr>
            <w:tcW w:w="3461" w:type="pct"/>
            <w:shd w:val="clear" w:color="auto" w:fill="auto"/>
          </w:tcPr>
          <w:p w14:paraId="4B86A3E5" w14:textId="77777777" w:rsidR="00F14496" w:rsidRPr="00F14496" w:rsidRDefault="00F14496" w:rsidP="00F14496">
            <w:pPr>
              <w:spacing w:before="40" w:after="120"/>
              <w:ind w:right="113"/>
              <w:rPr>
                <w:lang w:val="es-CO"/>
              </w:rPr>
            </w:pPr>
            <w:r w:rsidRPr="00F14496">
              <w:rPr>
                <w:lang w:val="es-CO"/>
              </w:rPr>
              <w:t>Construcción de una cultura de no violencia hacia las mujeres defensoras y liderazgos LGBTIQ+</w:t>
            </w:r>
          </w:p>
        </w:tc>
      </w:tr>
      <w:tr w:rsidR="00F14496" w:rsidRPr="00F14496" w14:paraId="49C7CE41" w14:textId="77777777" w:rsidTr="00B1586C">
        <w:tc>
          <w:tcPr>
            <w:tcW w:w="1539" w:type="pct"/>
            <w:vMerge/>
            <w:shd w:val="clear" w:color="auto" w:fill="auto"/>
          </w:tcPr>
          <w:p w14:paraId="4B35435D" w14:textId="77777777" w:rsidR="00F14496" w:rsidRPr="00F14496" w:rsidRDefault="00F14496" w:rsidP="00F14496">
            <w:pPr>
              <w:spacing w:before="40" w:after="120"/>
              <w:ind w:right="113"/>
              <w:rPr>
                <w:lang w:val="es-CO"/>
              </w:rPr>
            </w:pPr>
          </w:p>
        </w:tc>
        <w:tc>
          <w:tcPr>
            <w:tcW w:w="3461" w:type="pct"/>
            <w:shd w:val="clear" w:color="auto" w:fill="auto"/>
          </w:tcPr>
          <w:p w14:paraId="55661F33" w14:textId="77777777" w:rsidR="00F14496" w:rsidRPr="00F14496" w:rsidRDefault="00F14496" w:rsidP="00F14496">
            <w:pPr>
              <w:spacing w:before="40" w:after="120"/>
              <w:ind w:right="113"/>
              <w:rPr>
                <w:lang w:val="es-CO"/>
              </w:rPr>
            </w:pPr>
            <w:r w:rsidRPr="00F14496">
              <w:rPr>
                <w:lang w:val="es-CO"/>
              </w:rPr>
              <w:t>Trabajo con empresas y sector privado</w:t>
            </w:r>
          </w:p>
        </w:tc>
      </w:tr>
      <w:tr w:rsidR="00F14496" w:rsidRPr="00F14496" w14:paraId="55E55550" w14:textId="77777777" w:rsidTr="00B1586C">
        <w:tc>
          <w:tcPr>
            <w:tcW w:w="1539" w:type="pct"/>
            <w:vMerge w:val="restart"/>
            <w:shd w:val="clear" w:color="auto" w:fill="auto"/>
          </w:tcPr>
          <w:p w14:paraId="11406E94" w14:textId="77777777" w:rsidR="00F14496" w:rsidRPr="00F14496" w:rsidRDefault="00F14496" w:rsidP="00F14496">
            <w:pPr>
              <w:spacing w:before="40" w:after="120"/>
              <w:ind w:right="113"/>
              <w:rPr>
                <w:lang w:val="es-CO"/>
              </w:rPr>
            </w:pPr>
            <w:r w:rsidRPr="00F14496">
              <w:rPr>
                <w:lang w:val="es-CO"/>
              </w:rPr>
              <w:t>Prevención</w:t>
            </w:r>
          </w:p>
        </w:tc>
        <w:tc>
          <w:tcPr>
            <w:tcW w:w="3461" w:type="pct"/>
            <w:shd w:val="clear" w:color="auto" w:fill="auto"/>
          </w:tcPr>
          <w:p w14:paraId="6FDEEADF" w14:textId="77777777" w:rsidR="00F14496" w:rsidRPr="00F14496" w:rsidRDefault="00F14496" w:rsidP="00F14496">
            <w:pPr>
              <w:spacing w:before="40" w:after="120"/>
              <w:ind w:right="113"/>
              <w:rPr>
                <w:lang w:val="es-CO"/>
              </w:rPr>
            </w:pPr>
            <w:r w:rsidRPr="00F14496">
              <w:rPr>
                <w:lang w:val="es-CO"/>
              </w:rPr>
              <w:t>Adecuación y fortalecimiento institucional</w:t>
            </w:r>
          </w:p>
        </w:tc>
      </w:tr>
      <w:tr w:rsidR="00F14496" w:rsidRPr="00F14496" w14:paraId="3D3864FE" w14:textId="77777777" w:rsidTr="00B1586C">
        <w:tc>
          <w:tcPr>
            <w:tcW w:w="1539" w:type="pct"/>
            <w:vMerge/>
            <w:shd w:val="clear" w:color="auto" w:fill="auto"/>
          </w:tcPr>
          <w:p w14:paraId="5A06B1E8" w14:textId="77777777" w:rsidR="00F14496" w:rsidRPr="00F14496" w:rsidRDefault="00F14496" w:rsidP="00F14496">
            <w:pPr>
              <w:spacing w:before="40" w:after="120"/>
              <w:ind w:right="113"/>
              <w:rPr>
                <w:lang w:val="es-CO"/>
              </w:rPr>
            </w:pPr>
          </w:p>
        </w:tc>
        <w:tc>
          <w:tcPr>
            <w:tcW w:w="3461" w:type="pct"/>
            <w:shd w:val="clear" w:color="auto" w:fill="auto"/>
          </w:tcPr>
          <w:p w14:paraId="4DE3F4EF" w14:textId="77777777" w:rsidR="00F14496" w:rsidRPr="00F14496" w:rsidRDefault="00F14496" w:rsidP="00F14496">
            <w:pPr>
              <w:spacing w:before="40" w:after="120"/>
              <w:ind w:right="113"/>
              <w:rPr>
                <w:lang w:val="es-CO"/>
              </w:rPr>
            </w:pPr>
            <w:r w:rsidRPr="00F14496">
              <w:rPr>
                <w:lang w:val="es-CO"/>
              </w:rPr>
              <w:t>Fortalecimiento del tejido social y organizativo</w:t>
            </w:r>
          </w:p>
        </w:tc>
      </w:tr>
      <w:tr w:rsidR="00F14496" w:rsidRPr="00F14496" w14:paraId="2AAEF159" w14:textId="77777777" w:rsidTr="00B1586C">
        <w:tc>
          <w:tcPr>
            <w:tcW w:w="1539" w:type="pct"/>
            <w:vMerge/>
            <w:shd w:val="clear" w:color="auto" w:fill="auto"/>
          </w:tcPr>
          <w:p w14:paraId="37873AE4" w14:textId="77777777" w:rsidR="00F14496" w:rsidRPr="00F14496" w:rsidRDefault="00F14496" w:rsidP="00F14496">
            <w:pPr>
              <w:spacing w:before="40" w:after="120"/>
              <w:ind w:right="113"/>
              <w:rPr>
                <w:lang w:val="es-CO"/>
              </w:rPr>
            </w:pPr>
          </w:p>
        </w:tc>
        <w:tc>
          <w:tcPr>
            <w:tcW w:w="3461" w:type="pct"/>
            <w:shd w:val="clear" w:color="auto" w:fill="auto"/>
          </w:tcPr>
          <w:p w14:paraId="59EB15C4" w14:textId="77777777" w:rsidR="00F14496" w:rsidRPr="00F14496" w:rsidRDefault="00F14496" w:rsidP="00F14496">
            <w:pPr>
              <w:spacing w:before="40" w:after="120"/>
              <w:ind w:right="113"/>
              <w:rPr>
                <w:lang w:val="es-CO"/>
              </w:rPr>
            </w:pPr>
            <w:r w:rsidRPr="00F14496">
              <w:rPr>
                <w:lang w:val="es-CO"/>
              </w:rPr>
              <w:t>Fortalecimiento del diagnóstico, monitoreo y seguimiento permanente a la situación de derechos humanos e identificación temprana de riesgos.</w:t>
            </w:r>
          </w:p>
        </w:tc>
      </w:tr>
      <w:tr w:rsidR="00F14496" w:rsidRPr="00F14496" w14:paraId="02B684E1" w14:textId="77777777" w:rsidTr="00B1586C">
        <w:tc>
          <w:tcPr>
            <w:tcW w:w="1539" w:type="pct"/>
            <w:vMerge w:val="restart"/>
            <w:shd w:val="clear" w:color="auto" w:fill="auto"/>
          </w:tcPr>
          <w:p w14:paraId="146DA173" w14:textId="77777777" w:rsidR="00F14496" w:rsidRPr="00F14496" w:rsidRDefault="00F14496" w:rsidP="00F14496">
            <w:pPr>
              <w:spacing w:before="40" w:after="120"/>
              <w:ind w:right="113"/>
              <w:rPr>
                <w:lang w:val="es-CO"/>
              </w:rPr>
            </w:pPr>
            <w:r w:rsidRPr="00F14496">
              <w:rPr>
                <w:lang w:val="es-CO"/>
              </w:rPr>
              <w:t>Protección</w:t>
            </w:r>
          </w:p>
        </w:tc>
        <w:tc>
          <w:tcPr>
            <w:tcW w:w="3461" w:type="pct"/>
            <w:shd w:val="clear" w:color="auto" w:fill="auto"/>
          </w:tcPr>
          <w:p w14:paraId="4CD78282" w14:textId="77777777" w:rsidR="00F14496" w:rsidRPr="00F14496" w:rsidRDefault="00F14496" w:rsidP="00F14496">
            <w:pPr>
              <w:spacing w:before="40" w:after="120"/>
              <w:ind w:right="113"/>
              <w:rPr>
                <w:lang w:val="es-CO"/>
              </w:rPr>
            </w:pPr>
            <w:r w:rsidRPr="00F14496">
              <w:rPr>
                <w:lang w:val="es-CO"/>
              </w:rPr>
              <w:t>Respuesta inmediata a situaciones de riesgo</w:t>
            </w:r>
          </w:p>
        </w:tc>
      </w:tr>
      <w:tr w:rsidR="00F14496" w:rsidRPr="00F14496" w14:paraId="79FBCA5B" w14:textId="77777777" w:rsidTr="00B1586C">
        <w:tc>
          <w:tcPr>
            <w:tcW w:w="1539" w:type="pct"/>
            <w:vMerge/>
            <w:shd w:val="clear" w:color="auto" w:fill="auto"/>
          </w:tcPr>
          <w:p w14:paraId="2F146270" w14:textId="77777777" w:rsidR="00F14496" w:rsidRPr="00F14496" w:rsidRDefault="00F14496" w:rsidP="00F14496">
            <w:pPr>
              <w:spacing w:before="40" w:after="120"/>
              <w:ind w:right="113"/>
              <w:rPr>
                <w:lang w:val="es-CO"/>
              </w:rPr>
            </w:pPr>
          </w:p>
        </w:tc>
        <w:tc>
          <w:tcPr>
            <w:tcW w:w="3461" w:type="pct"/>
            <w:shd w:val="clear" w:color="auto" w:fill="auto"/>
          </w:tcPr>
          <w:p w14:paraId="3C112D18" w14:textId="77777777" w:rsidR="00F14496" w:rsidRPr="00F14496" w:rsidRDefault="00F14496" w:rsidP="00F14496">
            <w:pPr>
              <w:spacing w:before="40" w:after="120"/>
              <w:ind w:right="113"/>
              <w:rPr>
                <w:lang w:val="es-CO"/>
              </w:rPr>
            </w:pPr>
            <w:r w:rsidRPr="00F14496">
              <w:rPr>
                <w:lang w:val="es-CO"/>
              </w:rPr>
              <w:t>Instrumentos adecuados de análisis y valoración del riesgo.</w:t>
            </w:r>
          </w:p>
        </w:tc>
      </w:tr>
      <w:tr w:rsidR="00F14496" w:rsidRPr="00F14496" w14:paraId="353DA9E4" w14:textId="77777777" w:rsidTr="00B1586C">
        <w:tc>
          <w:tcPr>
            <w:tcW w:w="1539" w:type="pct"/>
            <w:vMerge/>
            <w:shd w:val="clear" w:color="auto" w:fill="auto"/>
          </w:tcPr>
          <w:p w14:paraId="4B8F00B1" w14:textId="77777777" w:rsidR="00F14496" w:rsidRPr="00F14496" w:rsidRDefault="00F14496" w:rsidP="00F14496">
            <w:pPr>
              <w:spacing w:before="40" w:after="120"/>
              <w:ind w:right="113"/>
              <w:rPr>
                <w:lang w:val="es-CO"/>
              </w:rPr>
            </w:pPr>
          </w:p>
        </w:tc>
        <w:tc>
          <w:tcPr>
            <w:tcW w:w="3461" w:type="pct"/>
            <w:shd w:val="clear" w:color="auto" w:fill="auto"/>
          </w:tcPr>
          <w:p w14:paraId="481A550D" w14:textId="77777777" w:rsidR="00F14496" w:rsidRPr="00F14496" w:rsidRDefault="00F14496" w:rsidP="00F14496">
            <w:pPr>
              <w:spacing w:before="40" w:after="120"/>
              <w:ind w:right="113"/>
              <w:rPr>
                <w:lang w:val="es-CO"/>
              </w:rPr>
            </w:pPr>
            <w:r w:rsidRPr="00F14496">
              <w:rPr>
                <w:lang w:val="es-CO"/>
              </w:rPr>
              <w:t>Medidas colectivas y de autoprotección.</w:t>
            </w:r>
          </w:p>
        </w:tc>
      </w:tr>
      <w:tr w:rsidR="00F14496" w:rsidRPr="00F14496" w14:paraId="3C0EC57A" w14:textId="77777777" w:rsidTr="00B1586C">
        <w:tc>
          <w:tcPr>
            <w:tcW w:w="1539" w:type="pct"/>
            <w:vMerge/>
            <w:shd w:val="clear" w:color="auto" w:fill="auto"/>
          </w:tcPr>
          <w:p w14:paraId="19AB6553" w14:textId="77777777" w:rsidR="00F14496" w:rsidRPr="00F14496" w:rsidRDefault="00F14496" w:rsidP="00F14496">
            <w:pPr>
              <w:spacing w:before="40" w:after="120"/>
              <w:ind w:right="113"/>
              <w:rPr>
                <w:lang w:val="es-CO"/>
              </w:rPr>
            </w:pPr>
          </w:p>
        </w:tc>
        <w:tc>
          <w:tcPr>
            <w:tcW w:w="3461" w:type="pct"/>
            <w:shd w:val="clear" w:color="auto" w:fill="auto"/>
          </w:tcPr>
          <w:p w14:paraId="5F5ADE4B" w14:textId="77777777" w:rsidR="00F14496" w:rsidRPr="00F14496" w:rsidRDefault="00F14496" w:rsidP="00F14496">
            <w:pPr>
              <w:spacing w:before="40" w:after="120"/>
              <w:ind w:right="113"/>
              <w:rPr>
                <w:lang w:val="es-CO"/>
              </w:rPr>
            </w:pPr>
            <w:r w:rsidRPr="00F14496">
              <w:rPr>
                <w:lang w:val="es-CO"/>
              </w:rPr>
              <w:t>Medidas físicas de protección.</w:t>
            </w:r>
          </w:p>
        </w:tc>
      </w:tr>
      <w:tr w:rsidR="00F14496" w:rsidRPr="00F14496" w14:paraId="58B533BD" w14:textId="77777777" w:rsidTr="00B1586C">
        <w:tc>
          <w:tcPr>
            <w:tcW w:w="1539" w:type="pct"/>
            <w:vMerge/>
            <w:shd w:val="clear" w:color="auto" w:fill="auto"/>
          </w:tcPr>
          <w:p w14:paraId="1DBAB82F" w14:textId="77777777" w:rsidR="00F14496" w:rsidRPr="00F14496" w:rsidRDefault="00F14496" w:rsidP="00F14496">
            <w:pPr>
              <w:spacing w:before="40" w:after="120"/>
              <w:ind w:right="113"/>
              <w:rPr>
                <w:lang w:val="es-CO"/>
              </w:rPr>
            </w:pPr>
          </w:p>
        </w:tc>
        <w:tc>
          <w:tcPr>
            <w:tcW w:w="3461" w:type="pct"/>
            <w:shd w:val="clear" w:color="auto" w:fill="auto"/>
          </w:tcPr>
          <w:p w14:paraId="1F3894E7" w14:textId="77777777" w:rsidR="00F14496" w:rsidRPr="00F14496" w:rsidRDefault="00F14496" w:rsidP="00F14496">
            <w:pPr>
              <w:spacing w:before="40" w:after="120"/>
              <w:ind w:right="113"/>
              <w:rPr>
                <w:lang w:val="es-CO"/>
              </w:rPr>
            </w:pPr>
            <w:r w:rsidRPr="00F14496">
              <w:rPr>
                <w:lang w:val="es-CO"/>
              </w:rPr>
              <w:t>Implementación de medidas cautelares y provisionales otorgadas por la Comisión y Corte Interamericana de Derechos Humanos.</w:t>
            </w:r>
          </w:p>
        </w:tc>
      </w:tr>
      <w:tr w:rsidR="00F14496" w:rsidRPr="00F14496" w14:paraId="206770B2" w14:textId="77777777" w:rsidTr="00B1586C">
        <w:trPr>
          <w:cantSplit/>
        </w:trPr>
        <w:tc>
          <w:tcPr>
            <w:tcW w:w="1539" w:type="pct"/>
            <w:shd w:val="clear" w:color="auto" w:fill="auto"/>
          </w:tcPr>
          <w:p w14:paraId="3A8EC0FD" w14:textId="77777777" w:rsidR="00F14496" w:rsidRPr="00F14496" w:rsidRDefault="00F14496" w:rsidP="00F14496">
            <w:pPr>
              <w:spacing w:before="40" w:after="120"/>
              <w:ind w:right="113"/>
              <w:rPr>
                <w:lang w:val="es-CO"/>
              </w:rPr>
            </w:pPr>
            <w:r w:rsidRPr="00F14496">
              <w:rPr>
                <w:lang w:val="es-CO"/>
              </w:rPr>
              <w:lastRenderedPageBreak/>
              <w:t>Lucha contra la impunidad</w:t>
            </w:r>
          </w:p>
        </w:tc>
        <w:tc>
          <w:tcPr>
            <w:tcW w:w="3461" w:type="pct"/>
            <w:shd w:val="clear" w:color="auto" w:fill="auto"/>
          </w:tcPr>
          <w:p w14:paraId="118E6FE5" w14:textId="77777777" w:rsidR="00F14496" w:rsidRPr="00F14496" w:rsidRDefault="00F14496" w:rsidP="00F14496">
            <w:pPr>
              <w:spacing w:before="40" w:after="120"/>
              <w:ind w:right="113"/>
              <w:rPr>
                <w:lang w:val="es-CO"/>
              </w:rPr>
            </w:pPr>
            <w:r w:rsidRPr="00F14496">
              <w:rPr>
                <w:lang w:val="es-CO"/>
              </w:rPr>
              <w:t>Medidas para garantizar la obligación internacional de investigar, juzgar y sancionar los delitos cometidos contra defensores y defensoras de derechos humanos.</w:t>
            </w:r>
          </w:p>
        </w:tc>
      </w:tr>
      <w:tr w:rsidR="00F14496" w:rsidRPr="00F14496" w14:paraId="48312DAA" w14:textId="77777777" w:rsidTr="00B1586C">
        <w:tc>
          <w:tcPr>
            <w:tcW w:w="1539" w:type="pct"/>
            <w:vMerge w:val="restart"/>
            <w:shd w:val="clear" w:color="auto" w:fill="auto"/>
          </w:tcPr>
          <w:p w14:paraId="3B5B2199" w14:textId="77777777" w:rsidR="00F14496" w:rsidRPr="00F14496" w:rsidRDefault="00F14496" w:rsidP="00F14496">
            <w:pPr>
              <w:spacing w:before="40" w:after="120"/>
              <w:ind w:right="113"/>
              <w:rPr>
                <w:lang w:val="es-CO"/>
              </w:rPr>
            </w:pPr>
            <w:r w:rsidRPr="00F14496">
              <w:rPr>
                <w:lang w:val="es-CO"/>
              </w:rPr>
              <w:t>Estrategia de Garantías de No Repetición</w:t>
            </w:r>
          </w:p>
        </w:tc>
        <w:tc>
          <w:tcPr>
            <w:tcW w:w="3461" w:type="pct"/>
            <w:shd w:val="clear" w:color="auto" w:fill="auto"/>
          </w:tcPr>
          <w:p w14:paraId="3224C89E" w14:textId="77777777" w:rsidR="00F14496" w:rsidRPr="00F14496" w:rsidRDefault="00F14496" w:rsidP="00F14496">
            <w:pPr>
              <w:spacing w:before="40" w:after="120"/>
              <w:ind w:right="113"/>
              <w:rPr>
                <w:lang w:val="es-CO"/>
              </w:rPr>
            </w:pPr>
            <w:r w:rsidRPr="00F14496">
              <w:rPr>
                <w:lang w:val="es-CO"/>
              </w:rPr>
              <w:t>Construcción de verdad y memoria histórica</w:t>
            </w:r>
          </w:p>
        </w:tc>
      </w:tr>
      <w:tr w:rsidR="00F14496" w:rsidRPr="00F14496" w14:paraId="320F3B89" w14:textId="77777777" w:rsidTr="00B1586C">
        <w:tc>
          <w:tcPr>
            <w:tcW w:w="1539" w:type="pct"/>
            <w:vMerge/>
            <w:tcBorders>
              <w:bottom w:val="single" w:sz="12" w:space="0" w:color="auto"/>
            </w:tcBorders>
            <w:shd w:val="clear" w:color="auto" w:fill="auto"/>
          </w:tcPr>
          <w:p w14:paraId="21B1AB8D" w14:textId="77777777" w:rsidR="00F14496" w:rsidRPr="00F14496" w:rsidRDefault="00F14496" w:rsidP="00F14496">
            <w:pPr>
              <w:spacing w:before="40" w:after="120"/>
              <w:ind w:right="113"/>
              <w:rPr>
                <w:lang w:val="es-CO"/>
              </w:rPr>
            </w:pPr>
          </w:p>
        </w:tc>
        <w:tc>
          <w:tcPr>
            <w:tcW w:w="3461" w:type="pct"/>
            <w:tcBorders>
              <w:bottom w:val="single" w:sz="12" w:space="0" w:color="auto"/>
            </w:tcBorders>
            <w:shd w:val="clear" w:color="auto" w:fill="auto"/>
          </w:tcPr>
          <w:p w14:paraId="380EFD11" w14:textId="77777777" w:rsidR="00F14496" w:rsidRPr="00F14496" w:rsidRDefault="00F14496" w:rsidP="00F14496">
            <w:pPr>
              <w:spacing w:before="40" w:after="120"/>
              <w:ind w:right="113"/>
              <w:rPr>
                <w:lang w:val="es-CO"/>
              </w:rPr>
            </w:pPr>
            <w:r w:rsidRPr="00F14496">
              <w:rPr>
                <w:lang w:val="es-CO"/>
              </w:rPr>
              <w:t>Límites al ejercicio de la labor de la inteligencia</w:t>
            </w:r>
          </w:p>
        </w:tc>
      </w:tr>
    </w:tbl>
    <w:p w14:paraId="0D6BBFC1" w14:textId="4F58680F" w:rsidR="00F14496" w:rsidRPr="00935369" w:rsidRDefault="00F14496" w:rsidP="00B1586C">
      <w:pPr>
        <w:pStyle w:val="SingleTxtG"/>
        <w:spacing w:before="120" w:after="240"/>
        <w:ind w:firstLine="170"/>
        <w:jc w:val="left"/>
        <w:rPr>
          <w:sz w:val="18"/>
          <w:szCs w:val="18"/>
          <w:lang w:val="es-CO" w:eastAsia="es-CO"/>
        </w:rPr>
      </w:pPr>
      <w:r w:rsidRPr="00935369">
        <w:rPr>
          <w:i/>
          <w:iCs/>
          <w:sz w:val="18"/>
          <w:szCs w:val="18"/>
          <w:lang w:val="es-CO" w:eastAsia="es-CO"/>
        </w:rPr>
        <w:t>Fuente:</w:t>
      </w:r>
      <w:r w:rsidRPr="00935369">
        <w:rPr>
          <w:sz w:val="18"/>
          <w:szCs w:val="18"/>
          <w:lang w:val="es-CO" w:eastAsia="es-CO"/>
        </w:rPr>
        <w:t xml:space="preserve"> Ministerio del Interior</w:t>
      </w:r>
      <w:r w:rsidR="00B1586C" w:rsidRPr="00935369">
        <w:rPr>
          <w:sz w:val="18"/>
          <w:szCs w:val="18"/>
          <w:lang w:val="es-CO" w:eastAsia="es-CO"/>
        </w:rPr>
        <w:t>,</w:t>
      </w:r>
      <w:r w:rsidRPr="00935369">
        <w:rPr>
          <w:sz w:val="18"/>
          <w:szCs w:val="18"/>
          <w:lang w:val="es-CO" w:eastAsia="es-CO"/>
        </w:rPr>
        <w:t xml:space="preserve"> 2024</w:t>
      </w:r>
      <w:r w:rsidR="00B1586C" w:rsidRPr="00935369">
        <w:rPr>
          <w:sz w:val="18"/>
          <w:szCs w:val="18"/>
          <w:lang w:val="es-CO" w:eastAsia="es-CO"/>
        </w:rPr>
        <w:t>.</w:t>
      </w:r>
    </w:p>
    <w:p w14:paraId="7586AF8C" w14:textId="3A719064" w:rsidR="005E7C3B" w:rsidRPr="00EA0E3C" w:rsidRDefault="005E7C3B" w:rsidP="00EA0E3C">
      <w:pPr>
        <w:pStyle w:val="SingleTxtG"/>
        <w:rPr>
          <w:rFonts w:eastAsia="Calibri"/>
          <w:lang w:eastAsia="en-US"/>
        </w:rPr>
      </w:pPr>
      <w:r w:rsidRPr="00EA0E3C">
        <w:rPr>
          <w:rFonts w:eastAsia="Calibri"/>
          <w:lang w:eastAsia="en-US"/>
        </w:rPr>
        <w:t>39.</w:t>
      </w:r>
      <w:r w:rsidR="00EA0E3C">
        <w:rPr>
          <w:rFonts w:eastAsia="Calibri"/>
          <w:lang w:eastAsia="en-US"/>
        </w:rPr>
        <w:tab/>
      </w:r>
      <w:r w:rsidRPr="00EA0E3C">
        <w:rPr>
          <w:rFonts w:eastAsia="Calibri"/>
          <w:lang w:eastAsia="en-US"/>
        </w:rPr>
        <w:t xml:space="preserve">Para los encuentros regionales se adoptó una metodología con tres etapas: la primera, una sesión plenaria en la cual se hace la presentación del proceso para la construcción de la política pública, así como los lineamientos construidos por las plataformas de DDHH, en segundo lugar, se sesiona en cinco mesas de trabajo: 1) </w:t>
      </w:r>
      <w:r w:rsidR="0092286C">
        <w:rPr>
          <w:rFonts w:eastAsia="Calibri"/>
          <w:lang w:eastAsia="en-US"/>
        </w:rPr>
        <w:t>r</w:t>
      </w:r>
      <w:r w:rsidRPr="00EA0E3C">
        <w:rPr>
          <w:rFonts w:eastAsia="Calibri"/>
          <w:lang w:eastAsia="en-US"/>
        </w:rPr>
        <w:t xml:space="preserve">espeto; 2) </w:t>
      </w:r>
      <w:r w:rsidR="0092286C">
        <w:rPr>
          <w:rFonts w:eastAsia="Calibri"/>
          <w:lang w:eastAsia="en-US"/>
        </w:rPr>
        <w:t>p</w:t>
      </w:r>
      <w:r w:rsidRPr="00EA0E3C">
        <w:rPr>
          <w:rFonts w:eastAsia="Calibri"/>
          <w:lang w:eastAsia="en-US"/>
        </w:rPr>
        <w:t xml:space="preserve">revención; 3) </w:t>
      </w:r>
      <w:r w:rsidR="0092286C">
        <w:rPr>
          <w:rFonts w:eastAsia="Calibri"/>
          <w:lang w:eastAsia="en-US"/>
        </w:rPr>
        <w:t>p</w:t>
      </w:r>
      <w:r w:rsidRPr="00EA0E3C">
        <w:rPr>
          <w:rFonts w:eastAsia="Calibri"/>
          <w:lang w:eastAsia="en-US"/>
        </w:rPr>
        <w:t xml:space="preserve">rotección; 4) </w:t>
      </w:r>
      <w:r w:rsidR="0092286C">
        <w:rPr>
          <w:rFonts w:eastAsia="Calibri"/>
          <w:lang w:eastAsia="en-US"/>
        </w:rPr>
        <w:t>l</w:t>
      </w:r>
      <w:r w:rsidRPr="00EA0E3C">
        <w:rPr>
          <w:rFonts w:eastAsia="Calibri"/>
          <w:lang w:eastAsia="en-US"/>
        </w:rPr>
        <w:t xml:space="preserve">ucha contra la impunidad; 5) </w:t>
      </w:r>
      <w:r w:rsidR="0092286C">
        <w:rPr>
          <w:rFonts w:eastAsia="Calibri"/>
          <w:lang w:eastAsia="en-US"/>
        </w:rPr>
        <w:t>n</w:t>
      </w:r>
      <w:r w:rsidRPr="00EA0E3C">
        <w:rPr>
          <w:rFonts w:eastAsia="Calibri"/>
          <w:lang w:eastAsia="en-US"/>
        </w:rPr>
        <w:t>o repetición.</w:t>
      </w:r>
    </w:p>
    <w:p w14:paraId="4B097915" w14:textId="30D1A2D6" w:rsidR="005E7C3B" w:rsidRPr="00EA0E3C" w:rsidRDefault="005E7C3B" w:rsidP="00EA0E3C">
      <w:pPr>
        <w:pStyle w:val="SingleTxtG"/>
        <w:rPr>
          <w:rFonts w:eastAsia="Calibri"/>
          <w:lang w:eastAsia="en-US"/>
        </w:rPr>
      </w:pPr>
      <w:r w:rsidRPr="00EA0E3C">
        <w:rPr>
          <w:rFonts w:eastAsia="Calibri"/>
          <w:lang w:eastAsia="en-US"/>
        </w:rPr>
        <w:t>40.</w:t>
      </w:r>
      <w:r w:rsidR="00EA0E3C">
        <w:rPr>
          <w:rFonts w:eastAsia="Calibri"/>
          <w:lang w:eastAsia="en-US"/>
        </w:rPr>
        <w:tab/>
      </w:r>
      <w:r w:rsidRPr="00EA0E3C">
        <w:rPr>
          <w:rFonts w:eastAsia="Calibri"/>
          <w:lang w:eastAsia="en-US"/>
        </w:rPr>
        <w:t>Dichas mesas se conforman procurando la equitativa distribución de los sectores sociales participantes y garantizando que las mismas cuenten con una persona facilitadora y un sistematizador, especializado en la estrategia asignada. Por último, los resultados de las deliberaciones son presentados a la plenaria, a efectos de retroalimentar y ampliar los aportes existentes en cada uno de los ejes de trabajo. </w:t>
      </w:r>
    </w:p>
    <w:p w14:paraId="4576F1C5" w14:textId="1CC03942" w:rsidR="005E7C3B" w:rsidRPr="00EA0E3C" w:rsidRDefault="005E7C3B" w:rsidP="00EA0E3C">
      <w:pPr>
        <w:pStyle w:val="SingleTxtG"/>
        <w:rPr>
          <w:rFonts w:eastAsia="Calibri"/>
          <w:lang w:eastAsia="en-US"/>
        </w:rPr>
      </w:pPr>
      <w:r w:rsidRPr="00EA0E3C">
        <w:rPr>
          <w:rFonts w:eastAsia="Calibri"/>
          <w:lang w:eastAsia="en-US"/>
        </w:rPr>
        <w:t>41.</w:t>
      </w:r>
      <w:r w:rsidR="00EA0E3C">
        <w:rPr>
          <w:rFonts w:eastAsia="Calibri"/>
          <w:lang w:eastAsia="en-US"/>
        </w:rPr>
        <w:tab/>
      </w:r>
      <w:r w:rsidRPr="00EA0E3C">
        <w:rPr>
          <w:rFonts w:eastAsia="Calibri"/>
          <w:lang w:eastAsia="en-US"/>
        </w:rPr>
        <w:t>De otro lado, se han adelantado reuniones con algunas de las entidades gubernamentales que tienen competencia prevalente en el cumplimiento de las obligaciones de respeto, prevención, protección, y las garantías de no repetición.</w:t>
      </w:r>
      <w:r w:rsidR="00C30588">
        <w:rPr>
          <w:rFonts w:eastAsia="Calibri"/>
          <w:lang w:eastAsia="en-US"/>
        </w:rPr>
        <w:t xml:space="preserve"> </w:t>
      </w:r>
      <w:r w:rsidRPr="00EA0E3C">
        <w:rPr>
          <w:rFonts w:eastAsia="Calibri"/>
          <w:lang w:eastAsia="en-US"/>
        </w:rPr>
        <w:t xml:space="preserve">Estas reuniones se adelantaron con el propósito de abordar los siguientes aspectos: 1) </w:t>
      </w:r>
      <w:r w:rsidR="00E40F02">
        <w:rPr>
          <w:rFonts w:eastAsia="Calibri"/>
          <w:lang w:eastAsia="en-US"/>
        </w:rPr>
        <w:t>c</w:t>
      </w:r>
      <w:r w:rsidRPr="00EA0E3C">
        <w:rPr>
          <w:rFonts w:eastAsia="Calibri"/>
          <w:lang w:eastAsia="en-US"/>
        </w:rPr>
        <w:t>onocer sus observaciones al documento de lineamientos a la política pública propuesto por las plataformas de DDHH; 2) abordar lo relacionado con su experiencia en la ejecución de su misión institucional, especialmente las garantías de las personas, organizaciones y comunidades defensoras de derechos humanos, y 3) analizar las perspectivas existentes respecto de sus capacidades y recursos para la implementación de dicha política.</w:t>
      </w:r>
      <w:r w:rsidR="00E40F02">
        <w:rPr>
          <w:rFonts w:eastAsia="Calibri"/>
          <w:lang w:eastAsia="en-US"/>
        </w:rPr>
        <w:t xml:space="preserve"> </w:t>
      </w:r>
      <w:r w:rsidRPr="00EA0E3C">
        <w:rPr>
          <w:rFonts w:eastAsia="Calibri"/>
          <w:lang w:eastAsia="en-US"/>
        </w:rPr>
        <w:t>Se espera que los procesos de concertación en torno a la Política Pública permitan iniciar su implementación durante el 2024.</w:t>
      </w:r>
    </w:p>
    <w:p w14:paraId="7F25F5EB" w14:textId="5384F09A" w:rsidR="005E7C3B" w:rsidRPr="00323F4B" w:rsidRDefault="00EA0E3C" w:rsidP="00C30588">
      <w:pPr>
        <w:pStyle w:val="H23G"/>
        <w:rPr>
          <w:i/>
        </w:rPr>
      </w:pPr>
      <w:r>
        <w:tab/>
      </w:r>
      <w:r w:rsidR="005E7C3B" w:rsidRPr="00323F4B">
        <w:t>2</w:t>
      </w:r>
      <w:r w:rsidR="00323F4B" w:rsidRPr="00323F4B">
        <w:t>.</w:t>
      </w:r>
      <w:r w:rsidRPr="00323F4B">
        <w:tab/>
      </w:r>
      <w:r w:rsidR="005E7C3B" w:rsidRPr="00323F4B">
        <w:rPr>
          <w:lang w:val="es-CO"/>
        </w:rPr>
        <w:t>Investigación y judicialización de delitos contra personas defensoras</w:t>
      </w:r>
      <w:r w:rsidR="00C30588">
        <w:rPr>
          <w:lang w:val="es-CO"/>
        </w:rPr>
        <w:br/>
      </w:r>
      <w:r w:rsidR="005E7C3B" w:rsidRPr="00323F4B">
        <w:rPr>
          <w:lang w:val="es-CO"/>
        </w:rPr>
        <w:t>de derechos humanos</w:t>
      </w:r>
    </w:p>
    <w:p w14:paraId="6E583307" w14:textId="0B00AC58" w:rsidR="005E7C3B" w:rsidRPr="00EA0E3C" w:rsidRDefault="005E7C3B" w:rsidP="00EA0E3C">
      <w:pPr>
        <w:pStyle w:val="SingleTxtG"/>
        <w:rPr>
          <w:rFonts w:eastAsia="Calibri"/>
          <w:lang w:eastAsia="en-US"/>
        </w:rPr>
      </w:pPr>
      <w:r w:rsidRPr="00EA0E3C">
        <w:rPr>
          <w:rFonts w:eastAsia="Calibri"/>
          <w:lang w:eastAsia="en-US"/>
        </w:rPr>
        <w:t>42.</w:t>
      </w:r>
      <w:r w:rsidR="00EA0E3C">
        <w:rPr>
          <w:rFonts w:eastAsia="Calibri"/>
          <w:lang w:eastAsia="en-US"/>
        </w:rPr>
        <w:tab/>
      </w:r>
      <w:r w:rsidRPr="00EA0E3C">
        <w:rPr>
          <w:rFonts w:eastAsia="Calibri"/>
          <w:lang w:eastAsia="en-US"/>
        </w:rPr>
        <w:t xml:space="preserve">La Fiscalía General de la Nación creó la Estrategia de Investigación y Judicialización de delitos contra personas defensoras de derechos humanos en el año 2016, la cual dotó a esas investigaciones de un carácter especial y priorizado, a partir del reconocimiento de la labor que adelantan estas personas en Colombia.  </w:t>
      </w:r>
    </w:p>
    <w:p w14:paraId="48AA7AB8" w14:textId="4477CA88" w:rsidR="005E7C3B" w:rsidRPr="00EA0E3C" w:rsidRDefault="005E7C3B" w:rsidP="00EA0E3C">
      <w:pPr>
        <w:pStyle w:val="SingleTxtG"/>
        <w:rPr>
          <w:rFonts w:eastAsia="Calibri"/>
          <w:lang w:eastAsia="en-US"/>
        </w:rPr>
      </w:pPr>
      <w:r w:rsidRPr="00EA0E3C">
        <w:rPr>
          <w:rFonts w:eastAsia="Calibri"/>
          <w:lang w:eastAsia="en-US"/>
        </w:rPr>
        <w:t>43.</w:t>
      </w:r>
      <w:r w:rsidR="00EA0E3C">
        <w:rPr>
          <w:rFonts w:eastAsia="Calibri"/>
          <w:lang w:eastAsia="en-US"/>
        </w:rPr>
        <w:tab/>
      </w:r>
      <w:r w:rsidRPr="00EA0E3C">
        <w:rPr>
          <w:rFonts w:eastAsia="Calibri"/>
          <w:lang w:eastAsia="en-US"/>
        </w:rPr>
        <w:t xml:space="preserve">La Estrategia está compuesta por varias líneas de acción que incluyen un trabajo de cultura institucional para el reconocimiento de la labor de defensa de derechos humanos de las personas defensoras, una directriz general que implica investigar las afectaciones contra los defensores de derechos humanos teniendo como primera hipótesis que el hecho ocurrió por la labor de defensa de derechos humanos de la víctima o con el fin de impedir su realización, equipos itinerantes con capacidad de desplazarse con prontitud a la escena de los hechos, entre otras medidas que han permitido elevar los resultados en materia de investigación de delitos contra personas defensoras de derechos humanos.  </w:t>
      </w:r>
    </w:p>
    <w:p w14:paraId="4F32C354" w14:textId="4BD29A4D" w:rsidR="005E7C3B" w:rsidRPr="00EA0E3C" w:rsidRDefault="005E7C3B" w:rsidP="00EA0E3C">
      <w:pPr>
        <w:pStyle w:val="SingleTxtG"/>
        <w:rPr>
          <w:rFonts w:eastAsia="Calibri"/>
          <w:lang w:eastAsia="en-US"/>
        </w:rPr>
      </w:pPr>
      <w:r w:rsidRPr="00EA0E3C">
        <w:rPr>
          <w:rFonts w:eastAsia="Calibri"/>
          <w:lang w:eastAsia="en-US"/>
        </w:rPr>
        <w:t>44.</w:t>
      </w:r>
      <w:r w:rsidR="00EA0E3C">
        <w:rPr>
          <w:rFonts w:eastAsia="Calibri"/>
          <w:lang w:eastAsia="en-US"/>
        </w:rPr>
        <w:tab/>
      </w:r>
      <w:r w:rsidRPr="00EA0E3C">
        <w:rPr>
          <w:rFonts w:eastAsia="Calibri"/>
          <w:lang w:eastAsia="en-US"/>
        </w:rPr>
        <w:t xml:space="preserve">En el Direccionamiento Estratégico 2020-2024 uno de los principales objetivos se centró en incrementar el esclarecimiento de los delitos que ponen en riesgo la seguridad ciudadana y de zonas rurales, priorizando los homicidios en contra de defensores de derechos humanos, reincorporados, feminicidios y homicidios colectivos.  </w:t>
      </w:r>
    </w:p>
    <w:p w14:paraId="697C493A" w14:textId="51F97C40" w:rsidR="005E7C3B" w:rsidRPr="00EA0E3C" w:rsidRDefault="005E7C3B" w:rsidP="00EA0E3C">
      <w:pPr>
        <w:pStyle w:val="SingleTxtG"/>
        <w:rPr>
          <w:rFonts w:eastAsia="Calibri"/>
          <w:lang w:eastAsia="en-US"/>
        </w:rPr>
      </w:pPr>
      <w:r w:rsidRPr="00EA0E3C">
        <w:rPr>
          <w:rFonts w:eastAsia="Calibri"/>
          <w:lang w:eastAsia="en-US"/>
        </w:rPr>
        <w:t>45.</w:t>
      </w:r>
      <w:r w:rsidR="00EA0E3C">
        <w:rPr>
          <w:rFonts w:eastAsia="Calibri"/>
          <w:lang w:eastAsia="en-US"/>
        </w:rPr>
        <w:tab/>
      </w:r>
      <w:r w:rsidRPr="00EA0E3C">
        <w:rPr>
          <w:rFonts w:eastAsia="Calibri"/>
          <w:lang w:eastAsia="en-US"/>
        </w:rPr>
        <w:t xml:space="preserve">Entre las medidas para el fortalecimiento de las investigaciones, está la expedición de la Resolución 0-775 de 2021, la cual estableció los objetivos específicos del Grupo de Trabajo Nacional para la investigación de amenazas contra personas defensoras de derechos humanos, entre los cuales están: investigar analítica y estratégicamente los casos de amenazas para identificar vínculos entre estos y comprender el contexto que los delimita; fortalecer la capacidad institucional mediante el apoyo a las Direcciones Seccionales para responder de </w:t>
      </w:r>
      <w:r w:rsidRPr="00EA0E3C">
        <w:rPr>
          <w:rFonts w:eastAsia="Calibri"/>
          <w:lang w:eastAsia="en-US"/>
        </w:rPr>
        <w:lastRenderedPageBreak/>
        <w:t>forma ágil; articular con las demás dependencias que tienen a su cargo estas investigaciones; promover la inclusión del enfoque territorial y diferencial; impulsar los procesos; e identificar las amenazas que realicen organizaciones criminales.</w:t>
      </w:r>
    </w:p>
    <w:p w14:paraId="60121C7F" w14:textId="6B207C0A" w:rsidR="005E7C3B" w:rsidRPr="00EA0E3C" w:rsidRDefault="005E7C3B" w:rsidP="00EA0E3C">
      <w:pPr>
        <w:pStyle w:val="SingleTxtG"/>
        <w:rPr>
          <w:rFonts w:eastAsia="Calibri"/>
          <w:lang w:eastAsia="en-US"/>
        </w:rPr>
      </w:pPr>
      <w:r w:rsidRPr="00EA0E3C">
        <w:rPr>
          <w:rFonts w:eastAsia="Calibri"/>
          <w:lang w:eastAsia="en-US"/>
        </w:rPr>
        <w:t>46.</w:t>
      </w:r>
      <w:r w:rsidR="00EA0E3C">
        <w:rPr>
          <w:rFonts w:eastAsia="Calibri"/>
          <w:lang w:eastAsia="en-US"/>
        </w:rPr>
        <w:tab/>
      </w:r>
      <w:r w:rsidRPr="00EA0E3C">
        <w:rPr>
          <w:rFonts w:eastAsia="Calibri"/>
          <w:lang w:eastAsia="en-US"/>
        </w:rPr>
        <w:t>Así mismo, la UEI implementó el protocolo de caracterización victimológica en graves afectaciones para los derechos humanos para “establecer lineamientos técnicos y científicos a fin de realizar la caracterización victimológica, enfocada en el fortalecimiento de la vocación probatoria de los informes de análisis para las investigaciones penales en el marco de graves afectaciones a los derechos humanos”. Gracias a esto, la información y evidencia recopilada en el trámite del proceso permite crear un contexto para entender las condiciones y las dinámicas propias de cada caso, además, se centra en el establecimiento de contextos para la interpretación de las pruebas.  Ese contexto de caracterización tiene en cuenta la relación entre la víctima y su rol en la comunidad, la defensa de los derechos humanos y los acuerdos de paz.</w:t>
      </w:r>
    </w:p>
    <w:p w14:paraId="31DC1997" w14:textId="58436ED6" w:rsidR="005E7C3B" w:rsidRPr="00EA0E3C" w:rsidRDefault="005E7C3B" w:rsidP="00EA0E3C">
      <w:pPr>
        <w:pStyle w:val="SingleTxtG"/>
        <w:rPr>
          <w:rFonts w:eastAsia="Calibri"/>
          <w:lang w:eastAsia="en-US"/>
        </w:rPr>
      </w:pPr>
      <w:r w:rsidRPr="00EA0E3C">
        <w:rPr>
          <w:rFonts w:eastAsia="Calibri"/>
          <w:lang w:eastAsia="en-US"/>
        </w:rPr>
        <w:t>47.</w:t>
      </w:r>
      <w:r w:rsidR="00EA0E3C">
        <w:rPr>
          <w:rFonts w:eastAsia="Calibri"/>
          <w:lang w:eastAsia="en-US"/>
        </w:rPr>
        <w:tab/>
      </w:r>
      <w:r w:rsidRPr="00EA0E3C">
        <w:rPr>
          <w:rFonts w:eastAsia="Calibri"/>
          <w:lang w:eastAsia="en-US"/>
        </w:rPr>
        <w:t>El 9 de octubre de 2023, el Fiscal General de la Nación expidió la Directiva 0008 “por medio de la cual se actualizan los lineamientos respecto de la investigación y judicialización de los delitos que se cometan en contra de personas defensoras de derechos humanos”. Esta complementa la directiva 002 de 2017 y establece cinco lineamientos, a saber:</w:t>
      </w:r>
    </w:p>
    <w:p w14:paraId="63CE8D72" w14:textId="4F524236" w:rsidR="005E7C3B" w:rsidRDefault="005E7C3B" w:rsidP="00EA0E3C">
      <w:pPr>
        <w:pStyle w:val="Bullet1G"/>
      </w:pPr>
      <w:r w:rsidRPr="005E3F2C">
        <w:t>Lineamientos centrales para la investigación y judicialización de delitos contra personas defensoras de derechos humanos</w:t>
      </w:r>
      <w:r w:rsidR="00C30588">
        <w:t>.</w:t>
      </w:r>
      <w:r w:rsidRPr="005E3F2C">
        <w:t xml:space="preserve">  </w:t>
      </w:r>
    </w:p>
    <w:p w14:paraId="06153538" w14:textId="1D726D55" w:rsidR="005E7C3B" w:rsidRPr="005E3F2C" w:rsidRDefault="005E7C3B" w:rsidP="00EA0E3C">
      <w:pPr>
        <w:pStyle w:val="Bullet1G"/>
      </w:pPr>
      <w:r w:rsidRPr="005E3F2C">
        <w:t>Lineamientos para la investigación de afectaciones de personas defensoras de derechos humanos cuando el agresor es una organización criminal</w:t>
      </w:r>
      <w:r w:rsidR="00C30588">
        <w:t>.</w:t>
      </w:r>
      <w:r w:rsidRPr="005E3F2C">
        <w:t xml:space="preserve"> </w:t>
      </w:r>
    </w:p>
    <w:p w14:paraId="76A760E9" w14:textId="27EF46B9" w:rsidR="005E7C3B" w:rsidRPr="005E3F2C" w:rsidRDefault="005E7C3B" w:rsidP="00EA0E3C">
      <w:pPr>
        <w:pStyle w:val="Bullet1G"/>
      </w:pPr>
      <w:r w:rsidRPr="005E3F2C">
        <w:t>Lineamientos investigativos para la caracterización de la víctima</w:t>
      </w:r>
      <w:r w:rsidR="00C30588">
        <w:t>.</w:t>
      </w:r>
      <w:r w:rsidRPr="005E3F2C">
        <w:t xml:space="preserve"> </w:t>
      </w:r>
    </w:p>
    <w:p w14:paraId="0E3DB3FF" w14:textId="358C902F" w:rsidR="005E7C3B" w:rsidRPr="005E3F2C" w:rsidRDefault="005E7C3B" w:rsidP="00EA0E3C">
      <w:pPr>
        <w:pStyle w:val="Bullet1G"/>
      </w:pPr>
      <w:r w:rsidRPr="005E3F2C">
        <w:t>Lineamientos adicionales en materia de amenazas en contra de personas defensoras de derechos humanos</w:t>
      </w:r>
      <w:r w:rsidR="00C30588">
        <w:t>.</w:t>
      </w:r>
      <w:r w:rsidRPr="005E3F2C">
        <w:t xml:space="preserve">  </w:t>
      </w:r>
    </w:p>
    <w:p w14:paraId="702F0018" w14:textId="77777777" w:rsidR="005E7C3B" w:rsidRPr="00123E85" w:rsidRDefault="005E7C3B" w:rsidP="00EA0E3C">
      <w:pPr>
        <w:pStyle w:val="Bullet1G"/>
      </w:pPr>
      <w:r w:rsidRPr="005E3F2C">
        <w:t>Lineamientos procesales para la efectiva judicialización de los delitos contra las personas defensoras de derechos humanos.</w:t>
      </w:r>
    </w:p>
    <w:p w14:paraId="56239D57" w14:textId="3D243270" w:rsidR="005E7C3B" w:rsidRPr="00323F4B" w:rsidRDefault="00EA0E3C" w:rsidP="00C30588">
      <w:pPr>
        <w:pStyle w:val="H23G"/>
        <w:rPr>
          <w:i/>
        </w:rPr>
      </w:pPr>
      <w:r>
        <w:tab/>
      </w:r>
      <w:r w:rsidR="005E7C3B" w:rsidRPr="00323F4B">
        <w:t>3</w:t>
      </w:r>
      <w:r w:rsidR="00323F4B">
        <w:t>.</w:t>
      </w:r>
      <w:r w:rsidRPr="00323F4B">
        <w:tab/>
      </w:r>
      <w:r w:rsidR="005E7C3B" w:rsidRPr="00323F4B">
        <w:t>Las medidas de reparación existentes para víctimas de los hechos</w:t>
      </w:r>
      <w:r w:rsidR="00C30588">
        <w:br/>
      </w:r>
      <w:r w:rsidR="005E7C3B" w:rsidRPr="00323F4B">
        <w:t>victimizantes de tortura, extensivas a las personas defensoras de</w:t>
      </w:r>
      <w:r w:rsidR="00C30588">
        <w:br/>
      </w:r>
      <w:r w:rsidR="005E7C3B" w:rsidRPr="00323F4B">
        <w:t>derechos humanos, líderes y lideresas sociales y periodistas</w:t>
      </w:r>
    </w:p>
    <w:p w14:paraId="2F57FFED" w14:textId="51C009F3" w:rsidR="005E7C3B" w:rsidRPr="00EA0E3C" w:rsidRDefault="005E7C3B" w:rsidP="00EA0E3C">
      <w:pPr>
        <w:pStyle w:val="SingleTxtG"/>
        <w:rPr>
          <w:rFonts w:eastAsia="Calibri"/>
          <w:lang w:eastAsia="en-US"/>
        </w:rPr>
      </w:pPr>
      <w:r w:rsidRPr="00EA0E3C">
        <w:rPr>
          <w:rFonts w:eastAsia="Calibri"/>
          <w:lang w:eastAsia="en-US"/>
        </w:rPr>
        <w:t>48.</w:t>
      </w:r>
      <w:r w:rsidR="00EA0E3C">
        <w:rPr>
          <w:rFonts w:eastAsia="Calibri"/>
          <w:lang w:eastAsia="en-US"/>
        </w:rPr>
        <w:tab/>
      </w:r>
      <w:r w:rsidRPr="00EA0E3C">
        <w:rPr>
          <w:rFonts w:eastAsia="Calibri"/>
          <w:lang w:eastAsia="en-US"/>
        </w:rPr>
        <w:t>El Sistema Nacional de Atención y Reparación Integral a las Víctimas – SNARIV, y las entidades que lo conforman, tienen la misión de implementar medidas de reparación existentes para víctimas de los hechos victimizantes de tortura, extensivas a las personas defensoras de derechos humanos, líderes y lideresas sociales y periodistas. En este contexto la Unidad para las Víctimas-UPV evalúa cada caso de manera individual y determina si la víctima cumple con los requisitos para acceder a la indemnización administrativa. Si se determina que la víctima tiene derecho a la compensación, se realiza un proceso de solicitud y verificación de los daños sufridos. Una vez aprobada, se establece el monto de la indemnización de acuerdo con la gravedad de los daños y el impacto sufrido por la víctima. Todas las personas incluidas en el Registro Único de Víctimas -RUV y que sean destinatarias de acuerdo lo informado anteriormente tienen derecho a solicitar esta medida. Eso incluye las personas que ejercen la defensa de derechos humanos, el liderazgo social y el periodismo. </w:t>
      </w:r>
    </w:p>
    <w:p w14:paraId="5E020176" w14:textId="79A353C2" w:rsidR="005E7C3B" w:rsidRPr="00EA0E3C" w:rsidRDefault="005E7C3B" w:rsidP="00EA0E3C">
      <w:pPr>
        <w:pStyle w:val="SingleTxtG"/>
        <w:rPr>
          <w:rFonts w:eastAsia="Calibri"/>
          <w:lang w:eastAsia="en-US"/>
        </w:rPr>
      </w:pPr>
      <w:r w:rsidRPr="00EA0E3C">
        <w:rPr>
          <w:rFonts w:eastAsia="Calibri"/>
          <w:lang w:eastAsia="en-US"/>
        </w:rPr>
        <w:t>49.</w:t>
      </w:r>
      <w:r w:rsidR="00EA0E3C">
        <w:rPr>
          <w:rFonts w:eastAsia="Calibri"/>
          <w:lang w:eastAsia="en-US"/>
        </w:rPr>
        <w:tab/>
      </w:r>
      <w:r w:rsidRPr="00EA0E3C">
        <w:rPr>
          <w:rFonts w:eastAsia="Calibri"/>
          <w:lang w:eastAsia="en-US"/>
        </w:rPr>
        <w:t>Es relevante informar que los aplicativos y sistemas de información con los que cuenta la Dirección de Reparación de la Unidad para las Víctimas, no cuentan con el campo de ocupación/trabajo/actividad de la persona víctima, pues la misma no se capta ni se almacena dentro de los sistemas. En consecuencia, no es posible identificar cuántas personas defensoras de derechos humanos, que ejercen liderazgo social y periodistas, han sido destinataria de las medidas. </w:t>
      </w:r>
    </w:p>
    <w:p w14:paraId="0DFEE7F5" w14:textId="37A7BC1A" w:rsidR="005E7C3B" w:rsidRPr="00EA0E3C" w:rsidRDefault="005E7C3B" w:rsidP="00EA0E3C">
      <w:pPr>
        <w:pStyle w:val="SingleTxtG"/>
        <w:rPr>
          <w:rFonts w:eastAsia="Calibri"/>
          <w:lang w:eastAsia="en-US"/>
        </w:rPr>
      </w:pPr>
      <w:r w:rsidRPr="00EA0E3C">
        <w:rPr>
          <w:rFonts w:eastAsia="Calibri"/>
          <w:lang w:eastAsia="en-US"/>
        </w:rPr>
        <w:t>50.</w:t>
      </w:r>
      <w:r w:rsidR="00EA0E3C">
        <w:rPr>
          <w:rFonts w:eastAsia="Calibri"/>
          <w:lang w:eastAsia="en-US"/>
        </w:rPr>
        <w:tab/>
      </w:r>
      <w:r w:rsidRPr="00EA0E3C">
        <w:rPr>
          <w:rFonts w:eastAsia="Calibri"/>
          <w:lang w:eastAsia="en-US"/>
        </w:rPr>
        <w:t xml:space="preserve">La indemnización administrativa que se entrega a las víctimas de tortura, tratos crueles, inhumanos o degradantes es igual a diez (10) Salarios Mínimos Mensuales Legales Vigentes -SMMLV y se entregan directamente a quién sufrió el hecho. Si la tortura de que fue objeto la víctima le generó lesiones personales, se dará aplicación a lo establecido en la Resolución 848 de 2014 y se le reconocerá, además, el monto que le corresponde por la </w:t>
      </w:r>
      <w:r w:rsidRPr="00EA0E3C">
        <w:rPr>
          <w:rFonts w:eastAsia="Calibri"/>
          <w:lang w:eastAsia="en-US"/>
        </w:rPr>
        <w:lastRenderedPageBreak/>
        <w:t>afectación física o psicológica sufrida; no obstante, la sumatoria de estos montos no podrá superar los cuarenta (40) SMMLV. </w:t>
      </w:r>
    </w:p>
    <w:p w14:paraId="07155E8D" w14:textId="5F582B95" w:rsidR="005E7C3B" w:rsidRDefault="005E7C3B" w:rsidP="00EA0E3C">
      <w:pPr>
        <w:pStyle w:val="SingleTxtG"/>
        <w:rPr>
          <w:rFonts w:eastAsia="Calibri"/>
          <w:lang w:eastAsia="en-US"/>
        </w:rPr>
      </w:pPr>
      <w:r w:rsidRPr="00EA0E3C">
        <w:rPr>
          <w:rFonts w:eastAsia="Calibri"/>
          <w:lang w:eastAsia="en-US"/>
        </w:rPr>
        <w:t>51.</w:t>
      </w:r>
      <w:r w:rsidR="00EA0E3C">
        <w:rPr>
          <w:rFonts w:eastAsia="Calibri"/>
          <w:lang w:eastAsia="en-US"/>
        </w:rPr>
        <w:tab/>
      </w:r>
      <w:r w:rsidRPr="00EA0E3C">
        <w:rPr>
          <w:rFonts w:eastAsia="Calibri"/>
          <w:lang w:eastAsia="en-US"/>
        </w:rPr>
        <w:t>De acuerdo con la Resolución 1958 y 1049, se tiene el registro de 777 solicitudes de 775 personas radicadas por el hecho de tortura como se evidencia a continuación</w:t>
      </w:r>
      <w:r w:rsidR="00935369">
        <w:rPr>
          <w:rFonts w:eastAsia="Calibri"/>
          <w:lang w:eastAsia="en-US"/>
        </w:rPr>
        <w:t>.</w:t>
      </w:r>
    </w:p>
    <w:p w14:paraId="4EAE756F" w14:textId="77777777" w:rsidR="00C30588" w:rsidRDefault="005E7C3B" w:rsidP="00C30588">
      <w:pPr>
        <w:pStyle w:val="Ttulo1"/>
        <w:rPr>
          <w:rStyle w:val="normaltextrun"/>
          <w:lang w:val="es-SV"/>
        </w:rPr>
      </w:pPr>
      <w:r w:rsidRPr="002C0622">
        <w:rPr>
          <w:rStyle w:val="normaltextrun"/>
          <w:lang w:val="es-SV"/>
        </w:rPr>
        <w:t>Tabla 2</w:t>
      </w:r>
    </w:p>
    <w:p w14:paraId="59D8F1B5" w14:textId="6351A832" w:rsidR="005E7C3B" w:rsidRPr="00C30588" w:rsidRDefault="005E7C3B" w:rsidP="00C30588">
      <w:pPr>
        <w:pStyle w:val="SingleTxtG"/>
        <w:jc w:val="left"/>
        <w:rPr>
          <w:rStyle w:val="normaltextrun"/>
          <w:rFonts w:eastAsiaTheme="majorEastAsia"/>
          <w:b/>
          <w:bCs/>
          <w:lang w:val="es-SV"/>
        </w:rPr>
      </w:pPr>
      <w:r w:rsidRPr="00C30588">
        <w:rPr>
          <w:rStyle w:val="normaltextrun"/>
          <w:rFonts w:eastAsiaTheme="majorEastAsia"/>
          <w:b/>
          <w:bCs/>
          <w:lang w:val="es-SV"/>
        </w:rPr>
        <w:t>Solicitudes radicadas por hechos victimizantes de tortura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01"/>
        <w:gridCol w:w="2769"/>
      </w:tblGrid>
      <w:tr w:rsidR="00EA0E3C" w:rsidRPr="00C30588" w14:paraId="23D4EB81" w14:textId="77777777" w:rsidTr="00C30588">
        <w:trPr>
          <w:trHeight w:val="240"/>
          <w:tblHeader/>
        </w:trPr>
        <w:tc>
          <w:tcPr>
            <w:tcW w:w="4601" w:type="dxa"/>
            <w:tcBorders>
              <w:top w:val="single" w:sz="4" w:space="0" w:color="auto"/>
              <w:bottom w:val="single" w:sz="12" w:space="0" w:color="auto"/>
            </w:tcBorders>
            <w:shd w:val="clear" w:color="auto" w:fill="auto"/>
            <w:vAlign w:val="bottom"/>
            <w:hideMark/>
          </w:tcPr>
          <w:p w14:paraId="6BD2E789" w14:textId="0B2BA026" w:rsidR="005E7C3B" w:rsidRPr="00C30588" w:rsidRDefault="005E7C3B" w:rsidP="00C30588">
            <w:pPr>
              <w:spacing w:before="80" w:after="80" w:line="200" w:lineRule="exact"/>
              <w:textAlignment w:val="baseline"/>
              <w:rPr>
                <w:i/>
                <w:sz w:val="16"/>
                <w:lang w:val="es-CO" w:eastAsia="es-CO"/>
              </w:rPr>
            </w:pPr>
            <w:r w:rsidRPr="00C30588">
              <w:rPr>
                <w:bCs/>
                <w:i/>
                <w:sz w:val="16"/>
                <w:lang w:val="en-US" w:eastAsia="es-CO"/>
              </w:rPr>
              <w:t>A</w:t>
            </w:r>
            <w:r w:rsidR="00C30588" w:rsidRPr="00C30588">
              <w:rPr>
                <w:bCs/>
                <w:i/>
                <w:sz w:val="16"/>
                <w:lang w:val="en-US" w:eastAsia="es-CO"/>
              </w:rPr>
              <w:t>ño</w:t>
            </w:r>
          </w:p>
        </w:tc>
        <w:tc>
          <w:tcPr>
            <w:tcW w:w="2769" w:type="dxa"/>
            <w:tcBorders>
              <w:top w:val="single" w:sz="4" w:space="0" w:color="auto"/>
              <w:bottom w:val="single" w:sz="12" w:space="0" w:color="auto"/>
            </w:tcBorders>
            <w:shd w:val="clear" w:color="auto" w:fill="auto"/>
            <w:vAlign w:val="bottom"/>
            <w:hideMark/>
          </w:tcPr>
          <w:p w14:paraId="150960D8" w14:textId="234463CC" w:rsidR="005E7C3B" w:rsidRPr="00C30588" w:rsidRDefault="00C30588" w:rsidP="00C30588">
            <w:pPr>
              <w:spacing w:before="80" w:after="80" w:line="200" w:lineRule="exact"/>
              <w:ind w:left="113"/>
              <w:jc w:val="right"/>
              <w:textAlignment w:val="baseline"/>
              <w:rPr>
                <w:i/>
                <w:sz w:val="16"/>
                <w:lang w:val="es-CO" w:eastAsia="es-CO"/>
              </w:rPr>
            </w:pPr>
            <w:r w:rsidRPr="00C30588">
              <w:rPr>
                <w:bCs/>
                <w:i/>
                <w:sz w:val="16"/>
                <w:lang w:val="en-US" w:eastAsia="es-CO"/>
              </w:rPr>
              <w:t>Cantidad</w:t>
            </w:r>
          </w:p>
        </w:tc>
      </w:tr>
      <w:tr w:rsidR="00EA0E3C" w:rsidRPr="00C30588" w14:paraId="0D2E13E4" w14:textId="77777777" w:rsidTr="00C30588">
        <w:trPr>
          <w:trHeight w:val="240"/>
        </w:trPr>
        <w:tc>
          <w:tcPr>
            <w:tcW w:w="4601" w:type="dxa"/>
            <w:tcBorders>
              <w:top w:val="single" w:sz="12" w:space="0" w:color="auto"/>
            </w:tcBorders>
            <w:shd w:val="clear" w:color="auto" w:fill="auto"/>
            <w:hideMark/>
          </w:tcPr>
          <w:p w14:paraId="3A5B6DB5"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2018</w:t>
            </w:r>
          </w:p>
        </w:tc>
        <w:tc>
          <w:tcPr>
            <w:tcW w:w="2769" w:type="dxa"/>
            <w:tcBorders>
              <w:top w:val="single" w:sz="12" w:space="0" w:color="auto"/>
            </w:tcBorders>
            <w:shd w:val="clear" w:color="auto" w:fill="auto"/>
            <w:vAlign w:val="bottom"/>
            <w:hideMark/>
          </w:tcPr>
          <w:p w14:paraId="608C9B48"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2</w:t>
            </w:r>
          </w:p>
        </w:tc>
      </w:tr>
      <w:tr w:rsidR="00EA0E3C" w:rsidRPr="00C30588" w14:paraId="61F4BB98" w14:textId="77777777" w:rsidTr="00C30588">
        <w:trPr>
          <w:trHeight w:val="240"/>
        </w:trPr>
        <w:tc>
          <w:tcPr>
            <w:tcW w:w="4601" w:type="dxa"/>
            <w:shd w:val="clear" w:color="auto" w:fill="auto"/>
            <w:hideMark/>
          </w:tcPr>
          <w:p w14:paraId="3BBDD989"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2019</w:t>
            </w:r>
          </w:p>
        </w:tc>
        <w:tc>
          <w:tcPr>
            <w:tcW w:w="2769" w:type="dxa"/>
            <w:shd w:val="clear" w:color="auto" w:fill="auto"/>
            <w:vAlign w:val="bottom"/>
            <w:hideMark/>
          </w:tcPr>
          <w:p w14:paraId="7D4F3016"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246</w:t>
            </w:r>
          </w:p>
        </w:tc>
      </w:tr>
      <w:tr w:rsidR="00EA0E3C" w:rsidRPr="00C30588" w14:paraId="3C15E0D9" w14:textId="77777777" w:rsidTr="00C30588">
        <w:trPr>
          <w:trHeight w:val="240"/>
        </w:trPr>
        <w:tc>
          <w:tcPr>
            <w:tcW w:w="4601" w:type="dxa"/>
            <w:shd w:val="clear" w:color="auto" w:fill="auto"/>
            <w:hideMark/>
          </w:tcPr>
          <w:p w14:paraId="04CD9CF3"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2020</w:t>
            </w:r>
          </w:p>
        </w:tc>
        <w:tc>
          <w:tcPr>
            <w:tcW w:w="2769" w:type="dxa"/>
            <w:shd w:val="clear" w:color="auto" w:fill="auto"/>
            <w:vAlign w:val="bottom"/>
            <w:hideMark/>
          </w:tcPr>
          <w:p w14:paraId="5F0ACAE0"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82</w:t>
            </w:r>
          </w:p>
        </w:tc>
      </w:tr>
      <w:tr w:rsidR="00EA0E3C" w:rsidRPr="00C30588" w14:paraId="235C4ACD" w14:textId="77777777" w:rsidTr="00C30588">
        <w:trPr>
          <w:trHeight w:val="240"/>
        </w:trPr>
        <w:tc>
          <w:tcPr>
            <w:tcW w:w="4601" w:type="dxa"/>
            <w:shd w:val="clear" w:color="auto" w:fill="auto"/>
            <w:hideMark/>
          </w:tcPr>
          <w:p w14:paraId="2E5FA6C5"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2021</w:t>
            </w:r>
          </w:p>
        </w:tc>
        <w:tc>
          <w:tcPr>
            <w:tcW w:w="2769" w:type="dxa"/>
            <w:shd w:val="clear" w:color="auto" w:fill="auto"/>
            <w:vAlign w:val="bottom"/>
            <w:hideMark/>
          </w:tcPr>
          <w:p w14:paraId="268DA76A"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245</w:t>
            </w:r>
          </w:p>
        </w:tc>
      </w:tr>
      <w:tr w:rsidR="00EA0E3C" w:rsidRPr="00C30588" w14:paraId="29806B16" w14:textId="77777777" w:rsidTr="00C30588">
        <w:trPr>
          <w:trHeight w:val="240"/>
        </w:trPr>
        <w:tc>
          <w:tcPr>
            <w:tcW w:w="4601" w:type="dxa"/>
            <w:shd w:val="clear" w:color="auto" w:fill="auto"/>
            <w:hideMark/>
          </w:tcPr>
          <w:p w14:paraId="26AE6447"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2022</w:t>
            </w:r>
          </w:p>
        </w:tc>
        <w:tc>
          <w:tcPr>
            <w:tcW w:w="2769" w:type="dxa"/>
            <w:shd w:val="clear" w:color="auto" w:fill="auto"/>
            <w:vAlign w:val="bottom"/>
            <w:hideMark/>
          </w:tcPr>
          <w:p w14:paraId="0B49CE6A"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112</w:t>
            </w:r>
          </w:p>
        </w:tc>
      </w:tr>
      <w:tr w:rsidR="00EA0E3C" w:rsidRPr="00C30588" w14:paraId="232C7517" w14:textId="77777777" w:rsidTr="00C30588">
        <w:trPr>
          <w:trHeight w:val="240"/>
        </w:trPr>
        <w:tc>
          <w:tcPr>
            <w:tcW w:w="4601" w:type="dxa"/>
            <w:shd w:val="clear" w:color="auto" w:fill="auto"/>
            <w:hideMark/>
          </w:tcPr>
          <w:p w14:paraId="3E98F5C5"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2023</w:t>
            </w:r>
          </w:p>
        </w:tc>
        <w:tc>
          <w:tcPr>
            <w:tcW w:w="2769" w:type="dxa"/>
            <w:shd w:val="clear" w:color="auto" w:fill="auto"/>
            <w:vAlign w:val="bottom"/>
            <w:hideMark/>
          </w:tcPr>
          <w:p w14:paraId="0D196B0C"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81</w:t>
            </w:r>
          </w:p>
        </w:tc>
      </w:tr>
      <w:tr w:rsidR="00EA0E3C" w:rsidRPr="00C30588" w14:paraId="360D5227" w14:textId="77777777" w:rsidTr="00C30588">
        <w:trPr>
          <w:trHeight w:val="240"/>
        </w:trPr>
        <w:tc>
          <w:tcPr>
            <w:tcW w:w="4601" w:type="dxa"/>
            <w:tcBorders>
              <w:bottom w:val="single" w:sz="4" w:space="0" w:color="auto"/>
            </w:tcBorders>
            <w:shd w:val="clear" w:color="auto" w:fill="auto"/>
            <w:hideMark/>
          </w:tcPr>
          <w:p w14:paraId="7B94C300" w14:textId="77777777" w:rsidR="005E7C3B" w:rsidRPr="00C30588" w:rsidRDefault="005E7C3B" w:rsidP="00C30588">
            <w:pPr>
              <w:spacing w:before="40" w:after="40" w:line="220" w:lineRule="exact"/>
              <w:textAlignment w:val="baseline"/>
              <w:rPr>
                <w:sz w:val="18"/>
                <w:lang w:val="es-CO" w:eastAsia="es-CO"/>
              </w:rPr>
            </w:pPr>
            <w:r w:rsidRPr="00C30588">
              <w:rPr>
                <w:sz w:val="18"/>
                <w:lang w:val="en-US" w:eastAsia="es-CO"/>
              </w:rPr>
              <w:t>2024</w:t>
            </w:r>
          </w:p>
        </w:tc>
        <w:tc>
          <w:tcPr>
            <w:tcW w:w="2769" w:type="dxa"/>
            <w:tcBorders>
              <w:bottom w:val="single" w:sz="4" w:space="0" w:color="auto"/>
            </w:tcBorders>
            <w:shd w:val="clear" w:color="auto" w:fill="auto"/>
            <w:vAlign w:val="bottom"/>
            <w:hideMark/>
          </w:tcPr>
          <w:p w14:paraId="1509DA6D" w14:textId="77777777" w:rsidR="005E7C3B" w:rsidRPr="00C30588" w:rsidRDefault="005E7C3B" w:rsidP="00C30588">
            <w:pPr>
              <w:spacing w:before="40" w:after="40" w:line="220" w:lineRule="exact"/>
              <w:ind w:left="113"/>
              <w:jc w:val="right"/>
              <w:textAlignment w:val="baseline"/>
              <w:rPr>
                <w:sz w:val="18"/>
                <w:lang w:val="es-CO" w:eastAsia="es-CO"/>
              </w:rPr>
            </w:pPr>
            <w:r w:rsidRPr="00C30588">
              <w:rPr>
                <w:sz w:val="18"/>
                <w:lang w:val="en-US" w:eastAsia="es-CO"/>
              </w:rPr>
              <w:t>9</w:t>
            </w:r>
          </w:p>
        </w:tc>
      </w:tr>
      <w:tr w:rsidR="00EA0E3C" w:rsidRPr="00C30588" w14:paraId="470FB96C" w14:textId="77777777" w:rsidTr="00C30588">
        <w:trPr>
          <w:trHeight w:val="240"/>
        </w:trPr>
        <w:tc>
          <w:tcPr>
            <w:tcW w:w="4601" w:type="dxa"/>
            <w:tcBorders>
              <w:top w:val="single" w:sz="4" w:space="0" w:color="auto"/>
              <w:bottom w:val="single" w:sz="12" w:space="0" w:color="auto"/>
            </w:tcBorders>
            <w:shd w:val="clear" w:color="auto" w:fill="auto"/>
            <w:hideMark/>
          </w:tcPr>
          <w:p w14:paraId="381571BE" w14:textId="514D4328" w:rsidR="005E7C3B" w:rsidRPr="00C30588" w:rsidRDefault="00C30588" w:rsidP="00C30588">
            <w:pPr>
              <w:spacing w:before="80" w:after="80" w:line="220" w:lineRule="exact"/>
              <w:ind w:left="283"/>
              <w:textAlignment w:val="baseline"/>
              <w:rPr>
                <w:b/>
                <w:sz w:val="18"/>
                <w:lang w:val="es-CO" w:eastAsia="es-CO"/>
              </w:rPr>
            </w:pPr>
            <w:r w:rsidRPr="00C30588">
              <w:rPr>
                <w:b/>
                <w:bCs/>
                <w:sz w:val="18"/>
                <w:lang w:val="en-US" w:eastAsia="es-CO"/>
              </w:rPr>
              <w:t>Total</w:t>
            </w:r>
          </w:p>
        </w:tc>
        <w:tc>
          <w:tcPr>
            <w:tcW w:w="2769" w:type="dxa"/>
            <w:tcBorders>
              <w:top w:val="single" w:sz="4" w:space="0" w:color="auto"/>
              <w:bottom w:val="single" w:sz="12" w:space="0" w:color="auto"/>
            </w:tcBorders>
            <w:shd w:val="clear" w:color="auto" w:fill="auto"/>
            <w:vAlign w:val="bottom"/>
            <w:hideMark/>
          </w:tcPr>
          <w:p w14:paraId="29B95C1E" w14:textId="77777777" w:rsidR="005E7C3B" w:rsidRPr="00C30588" w:rsidRDefault="005E7C3B" w:rsidP="00C30588">
            <w:pPr>
              <w:spacing w:before="80" w:after="80" w:line="220" w:lineRule="exact"/>
              <w:jc w:val="right"/>
              <w:textAlignment w:val="baseline"/>
              <w:rPr>
                <w:b/>
                <w:sz w:val="18"/>
                <w:lang w:val="es-CO" w:eastAsia="es-CO"/>
              </w:rPr>
            </w:pPr>
            <w:r w:rsidRPr="00C30588">
              <w:rPr>
                <w:b/>
                <w:bCs/>
                <w:sz w:val="18"/>
                <w:lang w:val="en-US" w:eastAsia="es-CO"/>
              </w:rPr>
              <w:t>777</w:t>
            </w:r>
          </w:p>
        </w:tc>
      </w:tr>
    </w:tbl>
    <w:p w14:paraId="41494BDC" w14:textId="789FF7C0" w:rsidR="005E7C3B" w:rsidRPr="00323F4B" w:rsidRDefault="005E7C3B" w:rsidP="00C30588">
      <w:pPr>
        <w:pStyle w:val="SingleTxtG"/>
        <w:spacing w:before="120" w:after="240"/>
        <w:ind w:firstLine="170"/>
        <w:jc w:val="left"/>
        <w:rPr>
          <w:lang w:val="es-CO" w:eastAsia="es-CO"/>
        </w:rPr>
      </w:pPr>
      <w:r w:rsidRPr="00C30588">
        <w:rPr>
          <w:i/>
          <w:iCs/>
          <w:sz w:val="18"/>
          <w:szCs w:val="18"/>
          <w:lang w:val="es-CO" w:eastAsia="es-CO"/>
        </w:rPr>
        <w:t>Fuente:</w:t>
      </w:r>
      <w:r w:rsidRPr="00C30588">
        <w:rPr>
          <w:sz w:val="18"/>
          <w:szCs w:val="18"/>
          <w:lang w:val="es-CO" w:eastAsia="es-CO"/>
        </w:rPr>
        <w:t xml:space="preserve"> Aplicativo INDEMNIZA corte de información 29-02-2024</w:t>
      </w:r>
      <w:r w:rsidR="00C30588">
        <w:rPr>
          <w:sz w:val="18"/>
          <w:szCs w:val="18"/>
          <w:lang w:val="es-CO" w:eastAsia="es-CO"/>
        </w:rPr>
        <w:t>.</w:t>
      </w:r>
    </w:p>
    <w:p w14:paraId="566214D1" w14:textId="77777777" w:rsidR="002C0622" w:rsidRPr="002C0622" w:rsidRDefault="005E7C3B" w:rsidP="00EA0E3C">
      <w:pPr>
        <w:pStyle w:val="Ttulo1"/>
        <w:rPr>
          <w:lang w:val="es-SV"/>
        </w:rPr>
      </w:pPr>
      <w:r w:rsidRPr="002C0622">
        <w:rPr>
          <w:lang w:val="es-SV"/>
        </w:rPr>
        <w:t>Tabla 3</w:t>
      </w:r>
    </w:p>
    <w:p w14:paraId="1CF36CAD" w14:textId="40B02F14" w:rsidR="005E7C3B" w:rsidRPr="00C30588" w:rsidRDefault="005E7C3B" w:rsidP="00C30588">
      <w:pPr>
        <w:pStyle w:val="SingleTxtG"/>
        <w:jc w:val="left"/>
        <w:rPr>
          <w:b/>
          <w:bCs/>
          <w:lang w:val="es-SV"/>
        </w:rPr>
      </w:pPr>
      <w:r w:rsidRPr="00C30588">
        <w:rPr>
          <w:b/>
          <w:bCs/>
          <w:lang w:val="es-SV"/>
        </w:rPr>
        <w:t>Número de personas que han accedido a la medida de indemnización</w:t>
      </w:r>
      <w:r w:rsidR="00C30588">
        <w:rPr>
          <w:b/>
          <w:bCs/>
          <w:lang w:val="es-SV"/>
        </w:rPr>
        <w:br/>
      </w:r>
      <w:r w:rsidRPr="00C30588">
        <w:rPr>
          <w:b/>
          <w:bCs/>
          <w:lang w:val="es-SV"/>
        </w:rPr>
        <w:t>por el hecho victimizante de Tortura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59"/>
        <w:gridCol w:w="1654"/>
        <w:gridCol w:w="1795"/>
        <w:gridCol w:w="2362"/>
      </w:tblGrid>
      <w:tr w:rsidR="00EA0E3C" w:rsidRPr="00C30588" w14:paraId="252A7762" w14:textId="77777777" w:rsidTr="00C30588">
        <w:trPr>
          <w:trHeight w:val="240"/>
          <w:tblHeader/>
        </w:trPr>
        <w:tc>
          <w:tcPr>
            <w:tcW w:w="7370" w:type="dxa"/>
            <w:gridSpan w:val="4"/>
            <w:tcBorders>
              <w:top w:val="single" w:sz="4" w:space="0" w:color="auto"/>
              <w:bottom w:val="single" w:sz="4" w:space="0" w:color="auto"/>
            </w:tcBorders>
            <w:shd w:val="clear" w:color="auto" w:fill="auto"/>
            <w:vAlign w:val="bottom"/>
            <w:hideMark/>
          </w:tcPr>
          <w:p w14:paraId="3C946D1B" w14:textId="48A60EB5" w:rsidR="005E7C3B" w:rsidRPr="00C30588" w:rsidRDefault="00C30588" w:rsidP="00C30588">
            <w:pPr>
              <w:spacing w:before="80" w:after="80" w:line="200" w:lineRule="exact"/>
              <w:rPr>
                <w:bCs/>
                <w:i/>
                <w:sz w:val="16"/>
                <w:lang w:val="es-CO" w:eastAsia="es-CO"/>
              </w:rPr>
            </w:pPr>
            <w:r w:rsidRPr="00C30588">
              <w:rPr>
                <w:bCs/>
                <w:i/>
                <w:sz w:val="16"/>
                <w:lang w:val="es-CO" w:eastAsia="es-CO"/>
              </w:rPr>
              <w:t>Indemnización administrativa</w:t>
            </w:r>
          </w:p>
        </w:tc>
      </w:tr>
      <w:tr w:rsidR="00EA0E3C" w:rsidRPr="00C30588" w14:paraId="46C9C2C2" w14:textId="77777777" w:rsidTr="00C30588">
        <w:trPr>
          <w:trHeight w:val="240"/>
        </w:trPr>
        <w:tc>
          <w:tcPr>
            <w:tcW w:w="1559" w:type="dxa"/>
            <w:tcBorders>
              <w:top w:val="single" w:sz="4" w:space="0" w:color="auto"/>
              <w:bottom w:val="single" w:sz="12" w:space="0" w:color="auto"/>
            </w:tcBorders>
            <w:shd w:val="clear" w:color="auto" w:fill="auto"/>
            <w:hideMark/>
          </w:tcPr>
          <w:p w14:paraId="6932A485" w14:textId="726CC5B6" w:rsidR="005E7C3B" w:rsidRPr="00C30588" w:rsidRDefault="00C30588" w:rsidP="00C30588">
            <w:pPr>
              <w:spacing w:before="80" w:after="80" w:line="200" w:lineRule="exact"/>
              <w:rPr>
                <w:bCs/>
                <w:i/>
                <w:sz w:val="16"/>
                <w:lang w:val="es-CO" w:eastAsia="es-CO"/>
              </w:rPr>
            </w:pPr>
            <w:r w:rsidRPr="00C30588">
              <w:rPr>
                <w:bCs/>
                <w:i/>
                <w:sz w:val="16"/>
                <w:lang w:val="es-CO" w:eastAsia="es-CO"/>
              </w:rPr>
              <w:t>Fecha</w:t>
            </w:r>
          </w:p>
        </w:tc>
        <w:tc>
          <w:tcPr>
            <w:tcW w:w="1654" w:type="dxa"/>
            <w:tcBorders>
              <w:top w:val="single" w:sz="4" w:space="0" w:color="auto"/>
              <w:bottom w:val="single" w:sz="12" w:space="0" w:color="auto"/>
            </w:tcBorders>
            <w:shd w:val="clear" w:color="auto" w:fill="auto"/>
            <w:hideMark/>
          </w:tcPr>
          <w:p w14:paraId="56DE6BD0" w14:textId="51E9BD65" w:rsidR="005E7C3B" w:rsidRPr="00C30588" w:rsidRDefault="00C30588" w:rsidP="00C30588">
            <w:pPr>
              <w:spacing w:before="80" w:after="80" w:line="200" w:lineRule="exact"/>
              <w:rPr>
                <w:bCs/>
                <w:i/>
                <w:sz w:val="16"/>
                <w:lang w:val="es-CO" w:eastAsia="es-CO"/>
              </w:rPr>
            </w:pPr>
            <w:r w:rsidRPr="00C30588">
              <w:rPr>
                <w:bCs/>
                <w:i/>
                <w:sz w:val="16"/>
                <w:lang w:val="es-CO" w:eastAsia="es-CO"/>
              </w:rPr>
              <w:t>Giros</w:t>
            </w:r>
          </w:p>
        </w:tc>
        <w:tc>
          <w:tcPr>
            <w:tcW w:w="1795" w:type="dxa"/>
            <w:tcBorders>
              <w:top w:val="single" w:sz="4" w:space="0" w:color="auto"/>
              <w:bottom w:val="single" w:sz="12" w:space="0" w:color="auto"/>
            </w:tcBorders>
            <w:shd w:val="clear" w:color="auto" w:fill="auto"/>
            <w:hideMark/>
          </w:tcPr>
          <w:p w14:paraId="2DDB012D" w14:textId="0F13A349" w:rsidR="005E7C3B" w:rsidRPr="00C30588" w:rsidRDefault="00C30588" w:rsidP="00C30588">
            <w:pPr>
              <w:spacing w:before="80" w:after="80" w:line="200" w:lineRule="exact"/>
              <w:rPr>
                <w:bCs/>
                <w:i/>
                <w:sz w:val="16"/>
                <w:lang w:val="es-CO" w:eastAsia="es-CO"/>
              </w:rPr>
            </w:pPr>
            <w:r w:rsidRPr="00C30588">
              <w:rPr>
                <w:bCs/>
                <w:i/>
                <w:sz w:val="16"/>
                <w:lang w:val="es-CO" w:eastAsia="es-CO"/>
              </w:rPr>
              <w:t>Personas</w:t>
            </w:r>
          </w:p>
        </w:tc>
        <w:tc>
          <w:tcPr>
            <w:tcW w:w="2362" w:type="dxa"/>
            <w:tcBorders>
              <w:top w:val="single" w:sz="4" w:space="0" w:color="auto"/>
              <w:bottom w:val="single" w:sz="12" w:space="0" w:color="auto"/>
            </w:tcBorders>
            <w:shd w:val="clear" w:color="auto" w:fill="auto"/>
            <w:hideMark/>
          </w:tcPr>
          <w:p w14:paraId="45C8E36E" w14:textId="7F6BE7F4" w:rsidR="005E7C3B" w:rsidRPr="00C30588" w:rsidRDefault="00C30588" w:rsidP="00C30588">
            <w:pPr>
              <w:spacing w:before="80" w:after="80" w:line="200" w:lineRule="exact"/>
              <w:rPr>
                <w:bCs/>
                <w:i/>
                <w:sz w:val="16"/>
                <w:lang w:val="es-CO" w:eastAsia="es-CO"/>
              </w:rPr>
            </w:pPr>
            <w:r w:rsidRPr="00C30588">
              <w:rPr>
                <w:bCs/>
                <w:i/>
                <w:sz w:val="16"/>
                <w:lang w:val="es-CO" w:eastAsia="es-CO"/>
              </w:rPr>
              <w:t>Valor</w:t>
            </w:r>
          </w:p>
        </w:tc>
      </w:tr>
      <w:tr w:rsidR="00EA0E3C" w:rsidRPr="00C30588" w14:paraId="7369D511" w14:textId="77777777" w:rsidTr="00C30588">
        <w:trPr>
          <w:trHeight w:val="240"/>
        </w:trPr>
        <w:tc>
          <w:tcPr>
            <w:tcW w:w="1559" w:type="dxa"/>
            <w:tcBorders>
              <w:top w:val="single" w:sz="12" w:space="0" w:color="auto"/>
            </w:tcBorders>
            <w:shd w:val="clear" w:color="auto" w:fill="auto"/>
            <w:hideMark/>
          </w:tcPr>
          <w:p w14:paraId="45417779" w14:textId="72AC95BD" w:rsidR="005E7C3B" w:rsidRPr="00C30588" w:rsidRDefault="005E7C3B" w:rsidP="00C30588">
            <w:pPr>
              <w:spacing w:before="40" w:after="40" w:line="220" w:lineRule="exact"/>
              <w:rPr>
                <w:sz w:val="18"/>
                <w:lang w:val="es-CO" w:eastAsia="es-CO"/>
              </w:rPr>
            </w:pPr>
            <w:r w:rsidRPr="00C30588">
              <w:rPr>
                <w:sz w:val="18"/>
                <w:lang w:val="es-CO" w:eastAsia="es-CO"/>
              </w:rPr>
              <w:t>2010</w:t>
            </w:r>
          </w:p>
        </w:tc>
        <w:tc>
          <w:tcPr>
            <w:tcW w:w="1654" w:type="dxa"/>
            <w:tcBorders>
              <w:top w:val="single" w:sz="12" w:space="0" w:color="auto"/>
            </w:tcBorders>
            <w:shd w:val="clear" w:color="auto" w:fill="auto"/>
            <w:hideMark/>
          </w:tcPr>
          <w:p w14:paraId="7B91457B" w14:textId="2D93F6D0" w:rsidR="005E7C3B" w:rsidRPr="00C30588" w:rsidRDefault="005E7C3B" w:rsidP="00C30588">
            <w:pPr>
              <w:spacing w:before="40" w:after="40" w:line="220" w:lineRule="exact"/>
              <w:rPr>
                <w:sz w:val="18"/>
                <w:lang w:val="es-CO" w:eastAsia="es-CO"/>
              </w:rPr>
            </w:pPr>
            <w:r w:rsidRPr="00C30588">
              <w:rPr>
                <w:sz w:val="18"/>
                <w:lang w:val="es-CO" w:eastAsia="es-CO"/>
              </w:rPr>
              <w:t>1</w:t>
            </w:r>
          </w:p>
        </w:tc>
        <w:tc>
          <w:tcPr>
            <w:tcW w:w="1795" w:type="dxa"/>
            <w:tcBorders>
              <w:top w:val="single" w:sz="12" w:space="0" w:color="auto"/>
            </w:tcBorders>
            <w:shd w:val="clear" w:color="auto" w:fill="auto"/>
            <w:hideMark/>
          </w:tcPr>
          <w:p w14:paraId="0F236870" w14:textId="20705E62" w:rsidR="005E7C3B" w:rsidRPr="00C30588" w:rsidRDefault="005E7C3B" w:rsidP="00C30588">
            <w:pPr>
              <w:spacing w:before="40" w:after="40" w:line="220" w:lineRule="exact"/>
              <w:rPr>
                <w:sz w:val="18"/>
                <w:lang w:val="es-CO" w:eastAsia="es-CO"/>
              </w:rPr>
            </w:pPr>
            <w:r w:rsidRPr="00C30588">
              <w:rPr>
                <w:sz w:val="18"/>
                <w:lang w:val="es-CO" w:eastAsia="es-CO"/>
              </w:rPr>
              <w:t>0</w:t>
            </w:r>
          </w:p>
        </w:tc>
        <w:tc>
          <w:tcPr>
            <w:tcW w:w="2362" w:type="dxa"/>
            <w:tcBorders>
              <w:top w:val="single" w:sz="12" w:space="0" w:color="auto"/>
            </w:tcBorders>
            <w:shd w:val="clear" w:color="auto" w:fill="auto"/>
            <w:hideMark/>
          </w:tcPr>
          <w:p w14:paraId="5C6A41C4" w14:textId="17C0CE33" w:rsidR="005E7C3B" w:rsidRPr="00C30588" w:rsidRDefault="005E7C3B" w:rsidP="00C30588">
            <w:pPr>
              <w:spacing w:before="40" w:after="40" w:line="220" w:lineRule="exact"/>
              <w:rPr>
                <w:sz w:val="18"/>
                <w:lang w:val="es-CO" w:eastAsia="es-CO"/>
              </w:rPr>
            </w:pPr>
            <w:r w:rsidRPr="00C30588">
              <w:rPr>
                <w:sz w:val="18"/>
                <w:lang w:val="es-CO" w:eastAsia="es-CO"/>
              </w:rPr>
              <w:t>$ 15</w:t>
            </w:r>
            <w:r w:rsidR="00107F43">
              <w:rPr>
                <w:sz w:val="18"/>
                <w:lang w:val="es-CO" w:eastAsia="es-CO"/>
              </w:rPr>
              <w:t xml:space="preserve"> </w:t>
            </w:r>
            <w:r w:rsidRPr="00C30588">
              <w:rPr>
                <w:sz w:val="18"/>
                <w:lang w:val="es-CO" w:eastAsia="es-CO"/>
              </w:rPr>
              <w:t>450</w:t>
            </w:r>
            <w:r w:rsidR="00107F43">
              <w:rPr>
                <w:sz w:val="18"/>
                <w:lang w:val="es-CO" w:eastAsia="es-CO"/>
              </w:rPr>
              <w:t xml:space="preserve"> </w:t>
            </w:r>
            <w:r w:rsidRPr="00C30588">
              <w:rPr>
                <w:sz w:val="18"/>
                <w:lang w:val="es-CO" w:eastAsia="es-CO"/>
              </w:rPr>
              <w:t>000</w:t>
            </w:r>
          </w:p>
        </w:tc>
      </w:tr>
      <w:tr w:rsidR="00EA0E3C" w:rsidRPr="00C30588" w14:paraId="0C1C1B9C" w14:textId="77777777" w:rsidTr="00C30588">
        <w:trPr>
          <w:trHeight w:val="240"/>
        </w:trPr>
        <w:tc>
          <w:tcPr>
            <w:tcW w:w="1559" w:type="dxa"/>
            <w:shd w:val="clear" w:color="auto" w:fill="auto"/>
            <w:hideMark/>
          </w:tcPr>
          <w:p w14:paraId="3E1FD75A" w14:textId="61F9774F" w:rsidR="005E7C3B" w:rsidRPr="00C30588" w:rsidRDefault="005E7C3B" w:rsidP="00C30588">
            <w:pPr>
              <w:spacing w:before="40" w:after="40" w:line="220" w:lineRule="exact"/>
              <w:rPr>
                <w:sz w:val="18"/>
                <w:lang w:val="es-CO" w:eastAsia="es-CO"/>
              </w:rPr>
            </w:pPr>
            <w:r w:rsidRPr="00C30588">
              <w:rPr>
                <w:sz w:val="18"/>
                <w:lang w:val="es-CO" w:eastAsia="es-CO"/>
              </w:rPr>
              <w:t>2011</w:t>
            </w:r>
          </w:p>
        </w:tc>
        <w:tc>
          <w:tcPr>
            <w:tcW w:w="1654" w:type="dxa"/>
            <w:shd w:val="clear" w:color="auto" w:fill="auto"/>
            <w:hideMark/>
          </w:tcPr>
          <w:p w14:paraId="66955A01" w14:textId="560C3682" w:rsidR="005E7C3B" w:rsidRPr="00C30588" w:rsidRDefault="005E7C3B" w:rsidP="00C30588">
            <w:pPr>
              <w:spacing w:before="40" w:after="40" w:line="220" w:lineRule="exact"/>
              <w:rPr>
                <w:sz w:val="18"/>
                <w:lang w:val="es-CO" w:eastAsia="es-CO"/>
              </w:rPr>
            </w:pPr>
            <w:r w:rsidRPr="00C30588">
              <w:rPr>
                <w:sz w:val="18"/>
                <w:lang w:val="es-CO" w:eastAsia="es-CO"/>
              </w:rPr>
              <w:t>1</w:t>
            </w:r>
          </w:p>
        </w:tc>
        <w:tc>
          <w:tcPr>
            <w:tcW w:w="1795" w:type="dxa"/>
            <w:shd w:val="clear" w:color="auto" w:fill="auto"/>
            <w:hideMark/>
          </w:tcPr>
          <w:p w14:paraId="0AAACF0E" w14:textId="11E1A0C2" w:rsidR="005E7C3B" w:rsidRPr="00C30588" w:rsidRDefault="005E7C3B" w:rsidP="00C30588">
            <w:pPr>
              <w:spacing w:before="40" w:after="40" w:line="220" w:lineRule="exact"/>
              <w:rPr>
                <w:sz w:val="18"/>
                <w:lang w:val="es-CO" w:eastAsia="es-CO"/>
              </w:rPr>
            </w:pPr>
            <w:r w:rsidRPr="00C30588">
              <w:rPr>
                <w:sz w:val="18"/>
                <w:lang w:val="es-CO" w:eastAsia="es-CO"/>
              </w:rPr>
              <w:t>1</w:t>
            </w:r>
          </w:p>
        </w:tc>
        <w:tc>
          <w:tcPr>
            <w:tcW w:w="2362" w:type="dxa"/>
            <w:shd w:val="clear" w:color="auto" w:fill="auto"/>
            <w:hideMark/>
          </w:tcPr>
          <w:p w14:paraId="55D5F4C5" w14:textId="2F159A52" w:rsidR="005E7C3B" w:rsidRPr="00C30588" w:rsidRDefault="005E7C3B" w:rsidP="00C30588">
            <w:pPr>
              <w:spacing w:before="40" w:after="40" w:line="220" w:lineRule="exact"/>
              <w:rPr>
                <w:sz w:val="18"/>
                <w:lang w:val="es-CO" w:eastAsia="es-CO"/>
              </w:rPr>
            </w:pPr>
            <w:r w:rsidRPr="00C30588">
              <w:rPr>
                <w:sz w:val="18"/>
                <w:lang w:val="es-CO" w:eastAsia="es-CO"/>
              </w:rPr>
              <w:t>$ 16</w:t>
            </w:r>
            <w:r w:rsidR="00107F43">
              <w:rPr>
                <w:sz w:val="18"/>
                <w:lang w:val="es-CO" w:eastAsia="es-CO"/>
              </w:rPr>
              <w:t xml:space="preserve"> </w:t>
            </w:r>
            <w:r w:rsidRPr="00C30588">
              <w:rPr>
                <w:sz w:val="18"/>
                <w:lang w:val="es-CO" w:eastAsia="es-CO"/>
              </w:rPr>
              <w:t>068</w:t>
            </w:r>
            <w:r w:rsidR="00107F43">
              <w:rPr>
                <w:sz w:val="18"/>
                <w:lang w:val="es-CO" w:eastAsia="es-CO"/>
              </w:rPr>
              <w:t xml:space="preserve"> </w:t>
            </w:r>
            <w:r w:rsidRPr="00C30588">
              <w:rPr>
                <w:sz w:val="18"/>
                <w:lang w:val="es-CO" w:eastAsia="es-CO"/>
              </w:rPr>
              <w:t>000</w:t>
            </w:r>
          </w:p>
        </w:tc>
      </w:tr>
      <w:tr w:rsidR="00EA0E3C" w:rsidRPr="00C30588" w14:paraId="3781E711" w14:textId="77777777" w:rsidTr="00C30588">
        <w:trPr>
          <w:trHeight w:val="240"/>
        </w:trPr>
        <w:tc>
          <w:tcPr>
            <w:tcW w:w="1559" w:type="dxa"/>
            <w:shd w:val="clear" w:color="auto" w:fill="auto"/>
            <w:hideMark/>
          </w:tcPr>
          <w:p w14:paraId="2D5BF4AF" w14:textId="3A62F115" w:rsidR="005E7C3B" w:rsidRPr="00C30588" w:rsidRDefault="005E7C3B" w:rsidP="00C30588">
            <w:pPr>
              <w:spacing w:before="40" w:after="40" w:line="220" w:lineRule="exact"/>
              <w:rPr>
                <w:sz w:val="18"/>
                <w:lang w:val="es-CO" w:eastAsia="es-CO"/>
              </w:rPr>
            </w:pPr>
            <w:r w:rsidRPr="00C30588">
              <w:rPr>
                <w:sz w:val="18"/>
                <w:lang w:val="es-CO" w:eastAsia="es-CO"/>
              </w:rPr>
              <w:t>2012</w:t>
            </w:r>
          </w:p>
        </w:tc>
        <w:tc>
          <w:tcPr>
            <w:tcW w:w="1654" w:type="dxa"/>
            <w:shd w:val="clear" w:color="auto" w:fill="auto"/>
            <w:hideMark/>
          </w:tcPr>
          <w:p w14:paraId="3BC69C37" w14:textId="23BAF315" w:rsidR="005E7C3B" w:rsidRPr="00C30588" w:rsidRDefault="005E7C3B" w:rsidP="00C30588">
            <w:pPr>
              <w:spacing w:before="40" w:after="40" w:line="220" w:lineRule="exact"/>
              <w:rPr>
                <w:sz w:val="18"/>
                <w:lang w:val="es-CO" w:eastAsia="es-CO"/>
              </w:rPr>
            </w:pPr>
            <w:r w:rsidRPr="00C30588">
              <w:rPr>
                <w:sz w:val="18"/>
                <w:lang w:val="es-CO" w:eastAsia="es-CO"/>
              </w:rPr>
              <w:t>5</w:t>
            </w:r>
          </w:p>
        </w:tc>
        <w:tc>
          <w:tcPr>
            <w:tcW w:w="1795" w:type="dxa"/>
            <w:shd w:val="clear" w:color="auto" w:fill="auto"/>
            <w:hideMark/>
          </w:tcPr>
          <w:p w14:paraId="4D63BE20" w14:textId="17E0ED13" w:rsidR="005E7C3B" w:rsidRPr="00C30588" w:rsidRDefault="005E7C3B" w:rsidP="00C30588">
            <w:pPr>
              <w:spacing w:before="40" w:after="40" w:line="220" w:lineRule="exact"/>
              <w:rPr>
                <w:sz w:val="18"/>
                <w:lang w:val="es-CO" w:eastAsia="es-CO"/>
              </w:rPr>
            </w:pPr>
            <w:r w:rsidRPr="00C30588">
              <w:rPr>
                <w:sz w:val="18"/>
                <w:lang w:val="es-CO" w:eastAsia="es-CO"/>
              </w:rPr>
              <w:t>5</w:t>
            </w:r>
          </w:p>
        </w:tc>
        <w:tc>
          <w:tcPr>
            <w:tcW w:w="2362" w:type="dxa"/>
            <w:shd w:val="clear" w:color="auto" w:fill="auto"/>
            <w:hideMark/>
          </w:tcPr>
          <w:p w14:paraId="0681AACB" w14:textId="71B419F5" w:rsidR="005E7C3B" w:rsidRPr="00C30588" w:rsidRDefault="005E7C3B" w:rsidP="00C30588">
            <w:pPr>
              <w:spacing w:before="40" w:after="40" w:line="220" w:lineRule="exact"/>
              <w:rPr>
                <w:sz w:val="18"/>
                <w:lang w:val="es-CO" w:eastAsia="es-CO"/>
              </w:rPr>
            </w:pPr>
            <w:r w:rsidRPr="00C30588">
              <w:rPr>
                <w:sz w:val="18"/>
                <w:lang w:val="es-CO" w:eastAsia="es-CO"/>
              </w:rPr>
              <w:t>$ 85</w:t>
            </w:r>
            <w:r w:rsidR="00107F43">
              <w:rPr>
                <w:sz w:val="18"/>
                <w:lang w:val="es-CO" w:eastAsia="es-CO"/>
              </w:rPr>
              <w:t xml:space="preserve"> </w:t>
            </w:r>
            <w:r w:rsidRPr="00C30588">
              <w:rPr>
                <w:sz w:val="18"/>
                <w:lang w:val="es-CO" w:eastAsia="es-CO"/>
              </w:rPr>
              <w:t>005</w:t>
            </w:r>
            <w:r w:rsidR="00107F43">
              <w:rPr>
                <w:sz w:val="18"/>
                <w:lang w:val="es-CO" w:eastAsia="es-CO"/>
              </w:rPr>
              <w:t xml:space="preserve"> </w:t>
            </w:r>
            <w:r w:rsidRPr="00C30588">
              <w:rPr>
                <w:sz w:val="18"/>
                <w:lang w:val="es-CO" w:eastAsia="es-CO"/>
              </w:rPr>
              <w:t>000</w:t>
            </w:r>
          </w:p>
        </w:tc>
      </w:tr>
      <w:tr w:rsidR="00EA0E3C" w:rsidRPr="00C30588" w14:paraId="3EE5B57A" w14:textId="77777777" w:rsidTr="00C30588">
        <w:trPr>
          <w:trHeight w:val="240"/>
        </w:trPr>
        <w:tc>
          <w:tcPr>
            <w:tcW w:w="1559" w:type="dxa"/>
            <w:shd w:val="clear" w:color="auto" w:fill="auto"/>
            <w:hideMark/>
          </w:tcPr>
          <w:p w14:paraId="0D8A4F4B" w14:textId="00C7953D" w:rsidR="005E7C3B" w:rsidRPr="00C30588" w:rsidRDefault="005E7C3B" w:rsidP="00C30588">
            <w:pPr>
              <w:spacing w:before="40" w:after="40" w:line="220" w:lineRule="exact"/>
              <w:rPr>
                <w:sz w:val="18"/>
                <w:lang w:val="es-CO" w:eastAsia="es-CO"/>
              </w:rPr>
            </w:pPr>
            <w:r w:rsidRPr="00C30588">
              <w:rPr>
                <w:sz w:val="18"/>
                <w:lang w:val="es-CO" w:eastAsia="es-CO"/>
              </w:rPr>
              <w:t>2013</w:t>
            </w:r>
          </w:p>
        </w:tc>
        <w:tc>
          <w:tcPr>
            <w:tcW w:w="1654" w:type="dxa"/>
            <w:shd w:val="clear" w:color="auto" w:fill="auto"/>
            <w:hideMark/>
          </w:tcPr>
          <w:p w14:paraId="0E10BB1A" w14:textId="1ADCCD41" w:rsidR="005E7C3B" w:rsidRPr="00C30588" w:rsidRDefault="005E7C3B" w:rsidP="00C30588">
            <w:pPr>
              <w:spacing w:before="40" w:after="40" w:line="220" w:lineRule="exact"/>
              <w:rPr>
                <w:sz w:val="18"/>
                <w:lang w:val="es-CO" w:eastAsia="es-CO"/>
              </w:rPr>
            </w:pPr>
            <w:r w:rsidRPr="00C30588">
              <w:rPr>
                <w:sz w:val="18"/>
                <w:lang w:val="es-CO" w:eastAsia="es-CO"/>
              </w:rPr>
              <w:t>194</w:t>
            </w:r>
          </w:p>
        </w:tc>
        <w:tc>
          <w:tcPr>
            <w:tcW w:w="1795" w:type="dxa"/>
            <w:shd w:val="clear" w:color="auto" w:fill="auto"/>
            <w:hideMark/>
          </w:tcPr>
          <w:p w14:paraId="32E69988" w14:textId="2AF3A707" w:rsidR="005E7C3B" w:rsidRPr="00C30588" w:rsidRDefault="005E7C3B" w:rsidP="00C30588">
            <w:pPr>
              <w:spacing w:before="40" w:after="40" w:line="220" w:lineRule="exact"/>
              <w:rPr>
                <w:sz w:val="18"/>
                <w:lang w:val="es-CO" w:eastAsia="es-CO"/>
              </w:rPr>
            </w:pPr>
            <w:r w:rsidRPr="00C30588">
              <w:rPr>
                <w:sz w:val="18"/>
                <w:lang w:val="es-CO" w:eastAsia="es-CO"/>
              </w:rPr>
              <w:t>184</w:t>
            </w:r>
          </w:p>
        </w:tc>
        <w:tc>
          <w:tcPr>
            <w:tcW w:w="2362" w:type="dxa"/>
            <w:shd w:val="clear" w:color="auto" w:fill="auto"/>
            <w:hideMark/>
          </w:tcPr>
          <w:p w14:paraId="539CBC04" w14:textId="3A85DAF4" w:rsidR="005E7C3B" w:rsidRPr="00C30588" w:rsidRDefault="005E7C3B" w:rsidP="00C30588">
            <w:pPr>
              <w:spacing w:before="40" w:after="40" w:line="220" w:lineRule="exact"/>
              <w:rPr>
                <w:sz w:val="18"/>
                <w:lang w:val="es-CO" w:eastAsia="es-CO"/>
              </w:rPr>
            </w:pPr>
            <w:r w:rsidRPr="00C30588">
              <w:rPr>
                <w:sz w:val="18"/>
                <w:lang w:val="es-CO" w:eastAsia="es-CO"/>
              </w:rPr>
              <w:t>$ 3</w:t>
            </w:r>
            <w:r w:rsidR="00107F43">
              <w:rPr>
                <w:sz w:val="18"/>
                <w:lang w:val="es-CO" w:eastAsia="es-CO"/>
              </w:rPr>
              <w:t xml:space="preserve"> </w:t>
            </w:r>
            <w:r w:rsidRPr="00C30588">
              <w:rPr>
                <w:sz w:val="18"/>
                <w:lang w:val="es-CO" w:eastAsia="es-CO"/>
              </w:rPr>
              <w:t>419</w:t>
            </w:r>
            <w:r w:rsidR="00107F43">
              <w:rPr>
                <w:sz w:val="18"/>
                <w:lang w:val="es-CO" w:eastAsia="es-CO"/>
              </w:rPr>
              <w:t xml:space="preserve"> </w:t>
            </w:r>
            <w:r w:rsidRPr="00C30588">
              <w:rPr>
                <w:sz w:val="18"/>
                <w:lang w:val="es-CO" w:eastAsia="es-CO"/>
              </w:rPr>
              <w:t>100</w:t>
            </w:r>
            <w:r w:rsidR="00107F43">
              <w:rPr>
                <w:sz w:val="18"/>
                <w:lang w:val="es-CO" w:eastAsia="es-CO"/>
              </w:rPr>
              <w:t xml:space="preserve"> </w:t>
            </w:r>
            <w:r w:rsidRPr="00C30588">
              <w:rPr>
                <w:sz w:val="18"/>
                <w:lang w:val="es-CO" w:eastAsia="es-CO"/>
              </w:rPr>
              <w:t>000</w:t>
            </w:r>
          </w:p>
        </w:tc>
      </w:tr>
      <w:tr w:rsidR="00EA0E3C" w:rsidRPr="00C30588" w14:paraId="542EE4B2" w14:textId="77777777" w:rsidTr="00C30588">
        <w:trPr>
          <w:trHeight w:val="240"/>
        </w:trPr>
        <w:tc>
          <w:tcPr>
            <w:tcW w:w="1559" w:type="dxa"/>
            <w:shd w:val="clear" w:color="auto" w:fill="auto"/>
            <w:hideMark/>
          </w:tcPr>
          <w:p w14:paraId="0D6FE2DD" w14:textId="03B4FA23" w:rsidR="005E7C3B" w:rsidRPr="00C30588" w:rsidRDefault="005E7C3B" w:rsidP="00C30588">
            <w:pPr>
              <w:spacing w:before="40" w:after="40" w:line="220" w:lineRule="exact"/>
              <w:rPr>
                <w:sz w:val="18"/>
                <w:lang w:val="es-CO" w:eastAsia="es-CO"/>
              </w:rPr>
            </w:pPr>
            <w:r w:rsidRPr="00C30588">
              <w:rPr>
                <w:sz w:val="18"/>
                <w:lang w:val="es-CO" w:eastAsia="es-CO"/>
              </w:rPr>
              <w:t>2014</w:t>
            </w:r>
          </w:p>
        </w:tc>
        <w:tc>
          <w:tcPr>
            <w:tcW w:w="1654" w:type="dxa"/>
            <w:shd w:val="clear" w:color="auto" w:fill="auto"/>
            <w:hideMark/>
          </w:tcPr>
          <w:p w14:paraId="185EEE16" w14:textId="45F31E43" w:rsidR="005E7C3B" w:rsidRPr="00C30588" w:rsidRDefault="005E7C3B" w:rsidP="00C30588">
            <w:pPr>
              <w:spacing w:before="40" w:after="40" w:line="220" w:lineRule="exact"/>
              <w:rPr>
                <w:sz w:val="18"/>
                <w:lang w:val="es-CO" w:eastAsia="es-CO"/>
              </w:rPr>
            </w:pPr>
            <w:r w:rsidRPr="00C30588">
              <w:rPr>
                <w:sz w:val="18"/>
                <w:lang w:val="es-CO" w:eastAsia="es-CO"/>
              </w:rPr>
              <w:t>16</w:t>
            </w:r>
          </w:p>
        </w:tc>
        <w:tc>
          <w:tcPr>
            <w:tcW w:w="1795" w:type="dxa"/>
            <w:shd w:val="clear" w:color="auto" w:fill="auto"/>
            <w:hideMark/>
          </w:tcPr>
          <w:p w14:paraId="0CE08582" w14:textId="605B8910" w:rsidR="005E7C3B" w:rsidRPr="00C30588" w:rsidRDefault="005E7C3B" w:rsidP="00C30588">
            <w:pPr>
              <w:spacing w:before="40" w:after="40" w:line="220" w:lineRule="exact"/>
              <w:rPr>
                <w:sz w:val="18"/>
                <w:lang w:val="es-CO" w:eastAsia="es-CO"/>
              </w:rPr>
            </w:pPr>
            <w:r w:rsidRPr="00C30588">
              <w:rPr>
                <w:sz w:val="18"/>
                <w:lang w:val="es-CO" w:eastAsia="es-CO"/>
              </w:rPr>
              <w:t>16</w:t>
            </w:r>
          </w:p>
        </w:tc>
        <w:tc>
          <w:tcPr>
            <w:tcW w:w="2362" w:type="dxa"/>
            <w:shd w:val="clear" w:color="auto" w:fill="auto"/>
            <w:hideMark/>
          </w:tcPr>
          <w:p w14:paraId="1C6E7298" w14:textId="11AA356A" w:rsidR="005E7C3B" w:rsidRPr="00C30588" w:rsidRDefault="005E7C3B" w:rsidP="00C30588">
            <w:pPr>
              <w:spacing w:before="40" w:after="40" w:line="220" w:lineRule="exact"/>
              <w:rPr>
                <w:sz w:val="18"/>
                <w:lang w:val="es-CO" w:eastAsia="es-CO"/>
              </w:rPr>
            </w:pPr>
            <w:r w:rsidRPr="00C30588">
              <w:rPr>
                <w:sz w:val="18"/>
                <w:lang w:val="es-CO" w:eastAsia="es-CO"/>
              </w:rPr>
              <w:t>$ 222</w:t>
            </w:r>
            <w:r w:rsidR="00107F43">
              <w:rPr>
                <w:sz w:val="18"/>
                <w:lang w:val="es-CO" w:eastAsia="es-CO"/>
              </w:rPr>
              <w:t xml:space="preserve"> </w:t>
            </w:r>
            <w:r w:rsidRPr="00C30588">
              <w:rPr>
                <w:sz w:val="18"/>
                <w:lang w:val="es-CO" w:eastAsia="es-CO"/>
              </w:rPr>
              <w:t>528</w:t>
            </w:r>
            <w:r w:rsidR="00107F43">
              <w:rPr>
                <w:sz w:val="18"/>
                <w:lang w:val="es-CO" w:eastAsia="es-CO"/>
              </w:rPr>
              <w:t xml:space="preserve"> </w:t>
            </w:r>
            <w:r w:rsidRPr="00C30588">
              <w:rPr>
                <w:sz w:val="18"/>
                <w:lang w:val="es-CO" w:eastAsia="es-CO"/>
              </w:rPr>
              <w:t>768</w:t>
            </w:r>
          </w:p>
        </w:tc>
      </w:tr>
      <w:tr w:rsidR="00EA0E3C" w:rsidRPr="00C30588" w14:paraId="5FB465DE" w14:textId="77777777" w:rsidTr="00C30588">
        <w:trPr>
          <w:trHeight w:val="240"/>
        </w:trPr>
        <w:tc>
          <w:tcPr>
            <w:tcW w:w="1559" w:type="dxa"/>
            <w:shd w:val="clear" w:color="auto" w:fill="auto"/>
            <w:hideMark/>
          </w:tcPr>
          <w:p w14:paraId="26085256" w14:textId="50ECD44D" w:rsidR="005E7C3B" w:rsidRPr="00C30588" w:rsidRDefault="005E7C3B" w:rsidP="00C30588">
            <w:pPr>
              <w:spacing w:before="40" w:after="40" w:line="220" w:lineRule="exact"/>
              <w:rPr>
                <w:sz w:val="18"/>
                <w:lang w:val="es-CO" w:eastAsia="es-CO"/>
              </w:rPr>
            </w:pPr>
            <w:r w:rsidRPr="00C30588">
              <w:rPr>
                <w:sz w:val="18"/>
                <w:lang w:val="es-CO" w:eastAsia="es-CO"/>
              </w:rPr>
              <w:t>2015</w:t>
            </w:r>
          </w:p>
        </w:tc>
        <w:tc>
          <w:tcPr>
            <w:tcW w:w="1654" w:type="dxa"/>
            <w:shd w:val="clear" w:color="auto" w:fill="auto"/>
            <w:hideMark/>
          </w:tcPr>
          <w:p w14:paraId="284B86A2" w14:textId="18EFE363" w:rsidR="005E7C3B" w:rsidRPr="00C30588" w:rsidRDefault="005E7C3B" w:rsidP="00C30588">
            <w:pPr>
              <w:spacing w:before="40" w:after="40" w:line="220" w:lineRule="exact"/>
              <w:rPr>
                <w:sz w:val="18"/>
                <w:lang w:val="es-CO" w:eastAsia="es-CO"/>
              </w:rPr>
            </w:pPr>
            <w:r w:rsidRPr="00C30588">
              <w:rPr>
                <w:sz w:val="18"/>
                <w:lang w:val="es-CO" w:eastAsia="es-CO"/>
              </w:rPr>
              <w:t>14</w:t>
            </w:r>
          </w:p>
        </w:tc>
        <w:tc>
          <w:tcPr>
            <w:tcW w:w="1795" w:type="dxa"/>
            <w:shd w:val="clear" w:color="auto" w:fill="auto"/>
            <w:hideMark/>
          </w:tcPr>
          <w:p w14:paraId="7478C313" w14:textId="32A61CA1" w:rsidR="005E7C3B" w:rsidRPr="00C30588" w:rsidRDefault="005E7C3B" w:rsidP="00C30588">
            <w:pPr>
              <w:spacing w:before="40" w:after="40" w:line="220" w:lineRule="exact"/>
              <w:rPr>
                <w:sz w:val="18"/>
                <w:lang w:val="es-CO" w:eastAsia="es-CO"/>
              </w:rPr>
            </w:pPr>
            <w:r w:rsidRPr="00C30588">
              <w:rPr>
                <w:sz w:val="18"/>
                <w:lang w:val="es-CO" w:eastAsia="es-CO"/>
              </w:rPr>
              <w:t>14</w:t>
            </w:r>
          </w:p>
        </w:tc>
        <w:tc>
          <w:tcPr>
            <w:tcW w:w="2362" w:type="dxa"/>
            <w:shd w:val="clear" w:color="auto" w:fill="auto"/>
            <w:hideMark/>
          </w:tcPr>
          <w:p w14:paraId="57E0A204" w14:textId="75D5BA56" w:rsidR="005E7C3B" w:rsidRPr="00C30588" w:rsidRDefault="005E7C3B" w:rsidP="00C30588">
            <w:pPr>
              <w:spacing w:before="40" w:after="40" w:line="220" w:lineRule="exact"/>
              <w:rPr>
                <w:sz w:val="18"/>
                <w:lang w:val="es-CO" w:eastAsia="es-CO"/>
              </w:rPr>
            </w:pPr>
            <w:r w:rsidRPr="00C30588">
              <w:rPr>
                <w:sz w:val="18"/>
                <w:lang w:val="es-CO" w:eastAsia="es-CO"/>
              </w:rPr>
              <w:t>$ 164</w:t>
            </w:r>
            <w:r w:rsidR="00107F43">
              <w:rPr>
                <w:sz w:val="18"/>
                <w:lang w:val="es-CO" w:eastAsia="es-CO"/>
              </w:rPr>
              <w:t xml:space="preserve"> </w:t>
            </w:r>
            <w:r w:rsidRPr="00C30588">
              <w:rPr>
                <w:sz w:val="18"/>
                <w:lang w:val="es-CO" w:eastAsia="es-CO"/>
              </w:rPr>
              <w:t>307</w:t>
            </w:r>
            <w:r w:rsidR="00107F43">
              <w:rPr>
                <w:sz w:val="18"/>
                <w:lang w:val="es-CO" w:eastAsia="es-CO"/>
              </w:rPr>
              <w:t xml:space="preserve"> </w:t>
            </w:r>
            <w:r w:rsidRPr="00C30588">
              <w:rPr>
                <w:sz w:val="18"/>
                <w:lang w:val="es-CO" w:eastAsia="es-CO"/>
              </w:rPr>
              <w:t>975</w:t>
            </w:r>
          </w:p>
        </w:tc>
      </w:tr>
      <w:tr w:rsidR="00EA0E3C" w:rsidRPr="00C30588" w14:paraId="370A50C0" w14:textId="77777777" w:rsidTr="00C30588">
        <w:trPr>
          <w:trHeight w:val="240"/>
        </w:trPr>
        <w:tc>
          <w:tcPr>
            <w:tcW w:w="1559" w:type="dxa"/>
            <w:shd w:val="clear" w:color="auto" w:fill="auto"/>
            <w:hideMark/>
          </w:tcPr>
          <w:p w14:paraId="26B4DD80" w14:textId="28996D2B" w:rsidR="005E7C3B" w:rsidRPr="00C30588" w:rsidRDefault="005E7C3B" w:rsidP="00C30588">
            <w:pPr>
              <w:spacing w:before="40" w:after="40" w:line="220" w:lineRule="exact"/>
              <w:rPr>
                <w:sz w:val="18"/>
                <w:lang w:val="es-CO" w:eastAsia="es-CO"/>
              </w:rPr>
            </w:pPr>
            <w:r w:rsidRPr="00C30588">
              <w:rPr>
                <w:sz w:val="18"/>
                <w:lang w:val="es-CO" w:eastAsia="es-CO"/>
              </w:rPr>
              <w:t>2018</w:t>
            </w:r>
          </w:p>
        </w:tc>
        <w:tc>
          <w:tcPr>
            <w:tcW w:w="1654" w:type="dxa"/>
            <w:shd w:val="clear" w:color="auto" w:fill="auto"/>
            <w:hideMark/>
          </w:tcPr>
          <w:p w14:paraId="03A247E7" w14:textId="6E965961" w:rsidR="005E7C3B" w:rsidRPr="00C30588" w:rsidRDefault="005E7C3B" w:rsidP="00C30588">
            <w:pPr>
              <w:spacing w:before="40" w:after="40" w:line="220" w:lineRule="exact"/>
              <w:rPr>
                <w:sz w:val="18"/>
                <w:lang w:val="es-CO" w:eastAsia="es-CO"/>
              </w:rPr>
            </w:pPr>
            <w:r w:rsidRPr="00C30588">
              <w:rPr>
                <w:sz w:val="18"/>
                <w:lang w:val="es-CO" w:eastAsia="es-CO"/>
              </w:rPr>
              <w:t>2</w:t>
            </w:r>
          </w:p>
        </w:tc>
        <w:tc>
          <w:tcPr>
            <w:tcW w:w="1795" w:type="dxa"/>
            <w:shd w:val="clear" w:color="auto" w:fill="auto"/>
            <w:hideMark/>
          </w:tcPr>
          <w:p w14:paraId="03AD1894" w14:textId="29A522F5" w:rsidR="005E7C3B" w:rsidRPr="00C30588" w:rsidRDefault="005E7C3B" w:rsidP="00C30588">
            <w:pPr>
              <w:spacing w:before="40" w:after="40" w:line="220" w:lineRule="exact"/>
              <w:rPr>
                <w:sz w:val="18"/>
                <w:lang w:val="es-CO" w:eastAsia="es-CO"/>
              </w:rPr>
            </w:pPr>
            <w:r w:rsidRPr="00C30588">
              <w:rPr>
                <w:sz w:val="18"/>
                <w:lang w:val="es-CO" w:eastAsia="es-CO"/>
              </w:rPr>
              <w:t>2</w:t>
            </w:r>
          </w:p>
        </w:tc>
        <w:tc>
          <w:tcPr>
            <w:tcW w:w="2362" w:type="dxa"/>
            <w:shd w:val="clear" w:color="auto" w:fill="auto"/>
            <w:hideMark/>
          </w:tcPr>
          <w:p w14:paraId="229486F6" w14:textId="40F1AC2D" w:rsidR="005E7C3B" w:rsidRPr="00C30588" w:rsidRDefault="005E7C3B" w:rsidP="00C30588">
            <w:pPr>
              <w:spacing w:before="40" w:after="40" w:line="220" w:lineRule="exact"/>
              <w:rPr>
                <w:sz w:val="18"/>
                <w:lang w:val="es-CO" w:eastAsia="es-CO"/>
              </w:rPr>
            </w:pPr>
            <w:r w:rsidRPr="00C30588">
              <w:rPr>
                <w:sz w:val="18"/>
                <w:lang w:val="es-CO" w:eastAsia="es-CO"/>
              </w:rPr>
              <w:t>$ 31</w:t>
            </w:r>
            <w:r w:rsidR="00107F43">
              <w:rPr>
                <w:sz w:val="18"/>
                <w:lang w:val="es-CO" w:eastAsia="es-CO"/>
              </w:rPr>
              <w:t xml:space="preserve"> </w:t>
            </w:r>
            <w:r w:rsidRPr="00C30588">
              <w:rPr>
                <w:sz w:val="18"/>
                <w:lang w:val="es-CO" w:eastAsia="es-CO"/>
              </w:rPr>
              <w:t>249</w:t>
            </w:r>
            <w:r w:rsidR="00107F43">
              <w:rPr>
                <w:sz w:val="18"/>
                <w:lang w:val="es-CO" w:eastAsia="es-CO"/>
              </w:rPr>
              <w:t xml:space="preserve"> </w:t>
            </w:r>
            <w:r w:rsidRPr="00C30588">
              <w:rPr>
                <w:sz w:val="18"/>
                <w:lang w:val="es-CO" w:eastAsia="es-CO"/>
              </w:rPr>
              <w:t>602</w:t>
            </w:r>
          </w:p>
        </w:tc>
      </w:tr>
      <w:tr w:rsidR="00EA0E3C" w:rsidRPr="00C30588" w14:paraId="7E47399C" w14:textId="77777777" w:rsidTr="00C30588">
        <w:trPr>
          <w:trHeight w:val="240"/>
        </w:trPr>
        <w:tc>
          <w:tcPr>
            <w:tcW w:w="1559" w:type="dxa"/>
            <w:shd w:val="clear" w:color="auto" w:fill="auto"/>
            <w:hideMark/>
          </w:tcPr>
          <w:p w14:paraId="21C8B73C" w14:textId="20FDC105" w:rsidR="005E7C3B" w:rsidRPr="00C30588" w:rsidRDefault="005E7C3B" w:rsidP="00C30588">
            <w:pPr>
              <w:spacing w:before="40" w:after="40" w:line="220" w:lineRule="exact"/>
              <w:rPr>
                <w:sz w:val="18"/>
                <w:lang w:val="es-CO" w:eastAsia="es-CO"/>
              </w:rPr>
            </w:pPr>
            <w:r w:rsidRPr="00C30588">
              <w:rPr>
                <w:sz w:val="18"/>
                <w:lang w:val="es-CO" w:eastAsia="es-CO"/>
              </w:rPr>
              <w:t>2019</w:t>
            </w:r>
          </w:p>
        </w:tc>
        <w:tc>
          <w:tcPr>
            <w:tcW w:w="1654" w:type="dxa"/>
            <w:shd w:val="clear" w:color="auto" w:fill="auto"/>
            <w:hideMark/>
          </w:tcPr>
          <w:p w14:paraId="2C2A3856" w14:textId="5988C264" w:rsidR="005E7C3B" w:rsidRPr="00C30588" w:rsidRDefault="005E7C3B" w:rsidP="00C30588">
            <w:pPr>
              <w:spacing w:before="40" w:after="40" w:line="220" w:lineRule="exact"/>
              <w:rPr>
                <w:sz w:val="18"/>
                <w:lang w:val="es-CO" w:eastAsia="es-CO"/>
              </w:rPr>
            </w:pPr>
            <w:r w:rsidRPr="00C30588">
              <w:rPr>
                <w:sz w:val="18"/>
                <w:lang w:val="es-CO" w:eastAsia="es-CO"/>
              </w:rPr>
              <w:t>8</w:t>
            </w:r>
          </w:p>
        </w:tc>
        <w:tc>
          <w:tcPr>
            <w:tcW w:w="1795" w:type="dxa"/>
            <w:shd w:val="clear" w:color="auto" w:fill="auto"/>
            <w:hideMark/>
          </w:tcPr>
          <w:p w14:paraId="6AC01647" w14:textId="3F3ADC02" w:rsidR="005E7C3B" w:rsidRPr="00C30588" w:rsidRDefault="005E7C3B" w:rsidP="00C30588">
            <w:pPr>
              <w:spacing w:before="40" w:after="40" w:line="220" w:lineRule="exact"/>
              <w:rPr>
                <w:sz w:val="18"/>
                <w:lang w:val="es-CO" w:eastAsia="es-CO"/>
              </w:rPr>
            </w:pPr>
            <w:r w:rsidRPr="00C30588">
              <w:rPr>
                <w:sz w:val="18"/>
                <w:lang w:val="es-CO" w:eastAsia="es-CO"/>
              </w:rPr>
              <w:t>5</w:t>
            </w:r>
          </w:p>
        </w:tc>
        <w:tc>
          <w:tcPr>
            <w:tcW w:w="2362" w:type="dxa"/>
            <w:shd w:val="clear" w:color="auto" w:fill="auto"/>
            <w:hideMark/>
          </w:tcPr>
          <w:p w14:paraId="6623963B" w14:textId="76BDCEAC" w:rsidR="005E7C3B" w:rsidRPr="00C30588" w:rsidRDefault="005E7C3B" w:rsidP="00C30588">
            <w:pPr>
              <w:spacing w:before="40" w:after="40" w:line="220" w:lineRule="exact"/>
              <w:rPr>
                <w:sz w:val="18"/>
                <w:lang w:val="es-CO" w:eastAsia="es-CO"/>
              </w:rPr>
            </w:pPr>
            <w:r w:rsidRPr="00C30588">
              <w:rPr>
                <w:sz w:val="18"/>
                <w:lang w:val="es-CO" w:eastAsia="es-CO"/>
              </w:rPr>
              <w:t>$ 102</w:t>
            </w:r>
            <w:r w:rsidR="00107F43">
              <w:rPr>
                <w:sz w:val="18"/>
                <w:lang w:val="es-CO" w:eastAsia="es-CO"/>
              </w:rPr>
              <w:t xml:space="preserve"> </w:t>
            </w:r>
            <w:r w:rsidRPr="00C30588">
              <w:rPr>
                <w:sz w:val="18"/>
                <w:lang w:val="es-CO" w:eastAsia="es-CO"/>
              </w:rPr>
              <w:t>686</w:t>
            </w:r>
            <w:r w:rsidR="00107F43">
              <w:rPr>
                <w:sz w:val="18"/>
                <w:lang w:val="es-CO" w:eastAsia="es-CO"/>
              </w:rPr>
              <w:t xml:space="preserve"> </w:t>
            </w:r>
            <w:r w:rsidRPr="00C30588">
              <w:rPr>
                <w:sz w:val="18"/>
                <w:lang w:val="es-CO" w:eastAsia="es-CO"/>
              </w:rPr>
              <w:t>384</w:t>
            </w:r>
          </w:p>
        </w:tc>
      </w:tr>
      <w:tr w:rsidR="00EA0E3C" w:rsidRPr="00C30588" w14:paraId="7AAE31F8" w14:textId="77777777" w:rsidTr="00C30588">
        <w:trPr>
          <w:trHeight w:val="240"/>
        </w:trPr>
        <w:tc>
          <w:tcPr>
            <w:tcW w:w="1559" w:type="dxa"/>
            <w:shd w:val="clear" w:color="auto" w:fill="auto"/>
            <w:hideMark/>
          </w:tcPr>
          <w:p w14:paraId="0D7A1042" w14:textId="41E2B1B6" w:rsidR="005E7C3B" w:rsidRPr="00C30588" w:rsidRDefault="005E7C3B" w:rsidP="00C30588">
            <w:pPr>
              <w:spacing w:before="40" w:after="40" w:line="220" w:lineRule="exact"/>
              <w:rPr>
                <w:sz w:val="18"/>
                <w:lang w:val="es-CO" w:eastAsia="es-CO"/>
              </w:rPr>
            </w:pPr>
            <w:r w:rsidRPr="00C30588">
              <w:rPr>
                <w:sz w:val="18"/>
                <w:lang w:val="es-CO" w:eastAsia="es-CO"/>
              </w:rPr>
              <w:t>2020</w:t>
            </w:r>
          </w:p>
        </w:tc>
        <w:tc>
          <w:tcPr>
            <w:tcW w:w="1654" w:type="dxa"/>
            <w:shd w:val="clear" w:color="auto" w:fill="auto"/>
            <w:hideMark/>
          </w:tcPr>
          <w:p w14:paraId="1ECE6DC0" w14:textId="3D46A084" w:rsidR="005E7C3B" w:rsidRPr="00C30588" w:rsidRDefault="005E7C3B" w:rsidP="00C30588">
            <w:pPr>
              <w:spacing w:before="40" w:after="40" w:line="220" w:lineRule="exact"/>
              <w:rPr>
                <w:sz w:val="18"/>
                <w:lang w:val="es-CO" w:eastAsia="es-CO"/>
              </w:rPr>
            </w:pPr>
            <w:r w:rsidRPr="00C30588">
              <w:rPr>
                <w:sz w:val="18"/>
                <w:lang w:val="es-CO" w:eastAsia="es-CO"/>
              </w:rPr>
              <w:t>68</w:t>
            </w:r>
          </w:p>
        </w:tc>
        <w:tc>
          <w:tcPr>
            <w:tcW w:w="1795" w:type="dxa"/>
            <w:shd w:val="clear" w:color="auto" w:fill="auto"/>
            <w:hideMark/>
          </w:tcPr>
          <w:p w14:paraId="705513F2" w14:textId="50170BBF" w:rsidR="005E7C3B" w:rsidRPr="00C30588" w:rsidRDefault="005E7C3B" w:rsidP="00C30588">
            <w:pPr>
              <w:spacing w:before="40" w:after="40" w:line="220" w:lineRule="exact"/>
              <w:rPr>
                <w:sz w:val="18"/>
                <w:lang w:val="es-CO" w:eastAsia="es-CO"/>
              </w:rPr>
            </w:pPr>
            <w:r w:rsidRPr="00C30588">
              <w:rPr>
                <w:sz w:val="18"/>
                <w:lang w:val="es-CO" w:eastAsia="es-CO"/>
              </w:rPr>
              <w:t>49</w:t>
            </w:r>
          </w:p>
        </w:tc>
        <w:tc>
          <w:tcPr>
            <w:tcW w:w="2362" w:type="dxa"/>
            <w:shd w:val="clear" w:color="auto" w:fill="auto"/>
            <w:hideMark/>
          </w:tcPr>
          <w:p w14:paraId="0AEB29C5" w14:textId="7B246724" w:rsidR="005E7C3B" w:rsidRPr="00C30588" w:rsidRDefault="005E7C3B" w:rsidP="00C30588">
            <w:pPr>
              <w:spacing w:before="40" w:after="40" w:line="220" w:lineRule="exact"/>
              <w:rPr>
                <w:sz w:val="18"/>
                <w:lang w:val="es-CO" w:eastAsia="es-CO"/>
              </w:rPr>
            </w:pPr>
            <w:r w:rsidRPr="00C30588">
              <w:rPr>
                <w:sz w:val="18"/>
                <w:lang w:val="es-CO" w:eastAsia="es-CO"/>
              </w:rPr>
              <w:t>$ 1</w:t>
            </w:r>
            <w:r w:rsidR="00107F43">
              <w:rPr>
                <w:sz w:val="18"/>
                <w:lang w:val="es-CO" w:eastAsia="es-CO"/>
              </w:rPr>
              <w:t xml:space="preserve"> </w:t>
            </w:r>
            <w:r w:rsidRPr="00C30588">
              <w:rPr>
                <w:sz w:val="18"/>
                <w:lang w:val="es-CO" w:eastAsia="es-CO"/>
              </w:rPr>
              <w:t>382</w:t>
            </w:r>
            <w:r w:rsidR="00107F43">
              <w:rPr>
                <w:sz w:val="18"/>
                <w:lang w:val="es-CO" w:eastAsia="es-CO"/>
              </w:rPr>
              <w:t xml:space="preserve"> </w:t>
            </w:r>
            <w:r w:rsidRPr="00C30588">
              <w:rPr>
                <w:sz w:val="18"/>
                <w:lang w:val="es-CO" w:eastAsia="es-CO"/>
              </w:rPr>
              <w:t>122</w:t>
            </w:r>
            <w:r w:rsidR="00107F43">
              <w:rPr>
                <w:sz w:val="18"/>
                <w:lang w:val="es-CO" w:eastAsia="es-CO"/>
              </w:rPr>
              <w:t xml:space="preserve"> </w:t>
            </w:r>
            <w:r w:rsidRPr="00C30588">
              <w:rPr>
                <w:sz w:val="18"/>
                <w:lang w:val="es-CO" w:eastAsia="es-CO"/>
              </w:rPr>
              <w:t>282</w:t>
            </w:r>
          </w:p>
        </w:tc>
      </w:tr>
      <w:tr w:rsidR="00EA0E3C" w:rsidRPr="00C30588" w14:paraId="3F5F1E1E" w14:textId="77777777" w:rsidTr="00C30588">
        <w:trPr>
          <w:trHeight w:val="240"/>
        </w:trPr>
        <w:tc>
          <w:tcPr>
            <w:tcW w:w="1559" w:type="dxa"/>
            <w:shd w:val="clear" w:color="auto" w:fill="auto"/>
            <w:hideMark/>
          </w:tcPr>
          <w:p w14:paraId="07BFFB45" w14:textId="30C8653D" w:rsidR="005E7C3B" w:rsidRPr="00C30588" w:rsidRDefault="005E7C3B" w:rsidP="00C30588">
            <w:pPr>
              <w:spacing w:before="40" w:after="40" w:line="220" w:lineRule="exact"/>
              <w:rPr>
                <w:sz w:val="18"/>
                <w:lang w:val="es-CO" w:eastAsia="es-CO"/>
              </w:rPr>
            </w:pPr>
            <w:r w:rsidRPr="00C30588">
              <w:rPr>
                <w:sz w:val="18"/>
                <w:lang w:val="es-CO" w:eastAsia="es-CO"/>
              </w:rPr>
              <w:t>2021</w:t>
            </w:r>
          </w:p>
        </w:tc>
        <w:tc>
          <w:tcPr>
            <w:tcW w:w="1654" w:type="dxa"/>
            <w:shd w:val="clear" w:color="auto" w:fill="auto"/>
            <w:hideMark/>
          </w:tcPr>
          <w:p w14:paraId="6B17496D" w14:textId="594DD475" w:rsidR="005E7C3B" w:rsidRPr="00C30588" w:rsidRDefault="005E7C3B" w:rsidP="00C30588">
            <w:pPr>
              <w:spacing w:before="40" w:after="40" w:line="220" w:lineRule="exact"/>
              <w:rPr>
                <w:sz w:val="18"/>
                <w:lang w:val="es-CO" w:eastAsia="es-CO"/>
              </w:rPr>
            </w:pPr>
            <w:r w:rsidRPr="00C30588">
              <w:rPr>
                <w:sz w:val="18"/>
                <w:lang w:val="es-CO" w:eastAsia="es-CO"/>
              </w:rPr>
              <w:t>19</w:t>
            </w:r>
          </w:p>
        </w:tc>
        <w:tc>
          <w:tcPr>
            <w:tcW w:w="1795" w:type="dxa"/>
            <w:shd w:val="clear" w:color="auto" w:fill="auto"/>
            <w:hideMark/>
          </w:tcPr>
          <w:p w14:paraId="7768BFBF" w14:textId="1F2A821E" w:rsidR="005E7C3B" w:rsidRPr="00C30588" w:rsidRDefault="005E7C3B" w:rsidP="00C30588">
            <w:pPr>
              <w:spacing w:before="40" w:after="40" w:line="220" w:lineRule="exact"/>
              <w:rPr>
                <w:sz w:val="18"/>
                <w:lang w:val="es-CO" w:eastAsia="es-CO"/>
              </w:rPr>
            </w:pPr>
            <w:r w:rsidRPr="00C30588">
              <w:rPr>
                <w:sz w:val="18"/>
                <w:lang w:val="es-CO" w:eastAsia="es-CO"/>
              </w:rPr>
              <w:t>5</w:t>
            </w:r>
          </w:p>
        </w:tc>
        <w:tc>
          <w:tcPr>
            <w:tcW w:w="2362" w:type="dxa"/>
            <w:shd w:val="clear" w:color="auto" w:fill="auto"/>
            <w:hideMark/>
          </w:tcPr>
          <w:p w14:paraId="08910AFC" w14:textId="73B644AF" w:rsidR="005E7C3B" w:rsidRPr="00C30588" w:rsidRDefault="005E7C3B" w:rsidP="00C30588">
            <w:pPr>
              <w:spacing w:before="40" w:after="40" w:line="220" w:lineRule="exact"/>
              <w:rPr>
                <w:sz w:val="18"/>
                <w:lang w:val="es-CO" w:eastAsia="es-CO"/>
              </w:rPr>
            </w:pPr>
            <w:r w:rsidRPr="00C30588">
              <w:rPr>
                <w:sz w:val="18"/>
                <w:lang w:val="es-CO" w:eastAsia="es-CO"/>
              </w:rPr>
              <w:t>$ 215</w:t>
            </w:r>
            <w:r w:rsidR="00107F43">
              <w:rPr>
                <w:sz w:val="18"/>
                <w:lang w:val="es-CO" w:eastAsia="es-CO"/>
              </w:rPr>
              <w:t xml:space="preserve"> </w:t>
            </w:r>
            <w:r w:rsidRPr="00C30588">
              <w:rPr>
                <w:sz w:val="18"/>
                <w:lang w:val="es-CO" w:eastAsia="es-CO"/>
              </w:rPr>
              <w:t>311</w:t>
            </w:r>
            <w:r w:rsidR="00107F43">
              <w:rPr>
                <w:sz w:val="18"/>
                <w:lang w:val="es-CO" w:eastAsia="es-CO"/>
              </w:rPr>
              <w:t xml:space="preserve"> </w:t>
            </w:r>
            <w:r w:rsidRPr="00C30588">
              <w:rPr>
                <w:sz w:val="18"/>
                <w:lang w:val="es-CO" w:eastAsia="es-CO"/>
              </w:rPr>
              <w:t>577</w:t>
            </w:r>
          </w:p>
        </w:tc>
      </w:tr>
      <w:tr w:rsidR="00EA0E3C" w:rsidRPr="00C30588" w14:paraId="22044D33" w14:textId="77777777" w:rsidTr="00C30588">
        <w:trPr>
          <w:trHeight w:val="240"/>
        </w:trPr>
        <w:tc>
          <w:tcPr>
            <w:tcW w:w="1559" w:type="dxa"/>
            <w:shd w:val="clear" w:color="auto" w:fill="auto"/>
            <w:hideMark/>
          </w:tcPr>
          <w:p w14:paraId="3F13440F" w14:textId="12E0B200" w:rsidR="005E7C3B" w:rsidRPr="00C30588" w:rsidRDefault="005E7C3B" w:rsidP="00C30588">
            <w:pPr>
              <w:spacing w:before="40" w:after="40" w:line="220" w:lineRule="exact"/>
              <w:rPr>
                <w:sz w:val="18"/>
                <w:lang w:val="es-CO" w:eastAsia="es-CO"/>
              </w:rPr>
            </w:pPr>
            <w:r w:rsidRPr="00C30588">
              <w:rPr>
                <w:sz w:val="18"/>
                <w:lang w:val="es-CO" w:eastAsia="es-CO"/>
              </w:rPr>
              <w:t>2022</w:t>
            </w:r>
          </w:p>
        </w:tc>
        <w:tc>
          <w:tcPr>
            <w:tcW w:w="1654" w:type="dxa"/>
            <w:shd w:val="clear" w:color="auto" w:fill="auto"/>
            <w:hideMark/>
          </w:tcPr>
          <w:p w14:paraId="6126C126" w14:textId="7E352EB5" w:rsidR="005E7C3B" w:rsidRPr="00C30588" w:rsidRDefault="005E7C3B" w:rsidP="00C30588">
            <w:pPr>
              <w:spacing w:before="40" w:after="40" w:line="220" w:lineRule="exact"/>
              <w:rPr>
                <w:sz w:val="18"/>
                <w:lang w:val="es-CO" w:eastAsia="es-CO"/>
              </w:rPr>
            </w:pPr>
            <w:r w:rsidRPr="00C30588">
              <w:rPr>
                <w:sz w:val="18"/>
                <w:lang w:val="es-CO" w:eastAsia="es-CO"/>
              </w:rPr>
              <w:t>24</w:t>
            </w:r>
          </w:p>
        </w:tc>
        <w:tc>
          <w:tcPr>
            <w:tcW w:w="1795" w:type="dxa"/>
            <w:shd w:val="clear" w:color="auto" w:fill="auto"/>
            <w:hideMark/>
          </w:tcPr>
          <w:p w14:paraId="26CCB682" w14:textId="3CCE89AC" w:rsidR="005E7C3B" w:rsidRPr="00C30588" w:rsidRDefault="005E7C3B" w:rsidP="00C30588">
            <w:pPr>
              <w:spacing w:before="40" w:after="40" w:line="220" w:lineRule="exact"/>
              <w:rPr>
                <w:sz w:val="18"/>
                <w:lang w:val="es-CO" w:eastAsia="es-CO"/>
              </w:rPr>
            </w:pPr>
            <w:r w:rsidRPr="00C30588">
              <w:rPr>
                <w:sz w:val="18"/>
                <w:lang w:val="es-CO" w:eastAsia="es-CO"/>
              </w:rPr>
              <w:t>8</w:t>
            </w:r>
          </w:p>
        </w:tc>
        <w:tc>
          <w:tcPr>
            <w:tcW w:w="2362" w:type="dxa"/>
            <w:shd w:val="clear" w:color="auto" w:fill="auto"/>
            <w:hideMark/>
          </w:tcPr>
          <w:p w14:paraId="16825BB1" w14:textId="4EBF2A63" w:rsidR="005E7C3B" w:rsidRPr="00C30588" w:rsidRDefault="005E7C3B" w:rsidP="00C30588">
            <w:pPr>
              <w:spacing w:before="40" w:after="40" w:line="220" w:lineRule="exact"/>
              <w:rPr>
                <w:sz w:val="18"/>
                <w:lang w:val="es-CO" w:eastAsia="es-CO"/>
              </w:rPr>
            </w:pPr>
            <w:r w:rsidRPr="00C30588">
              <w:rPr>
                <w:sz w:val="18"/>
                <w:lang w:val="es-CO" w:eastAsia="es-CO"/>
              </w:rPr>
              <w:t>$ 431</w:t>
            </w:r>
            <w:r w:rsidR="00107F43">
              <w:rPr>
                <w:sz w:val="18"/>
                <w:lang w:val="es-CO" w:eastAsia="es-CO"/>
              </w:rPr>
              <w:t xml:space="preserve"> </w:t>
            </w:r>
            <w:r w:rsidRPr="00C30588">
              <w:rPr>
                <w:sz w:val="18"/>
                <w:lang w:val="es-CO" w:eastAsia="es-CO"/>
              </w:rPr>
              <w:t>390</w:t>
            </w:r>
            <w:r w:rsidR="00107F43">
              <w:rPr>
                <w:sz w:val="18"/>
                <w:lang w:val="es-CO" w:eastAsia="es-CO"/>
              </w:rPr>
              <w:t xml:space="preserve"> </w:t>
            </w:r>
            <w:r w:rsidRPr="00C30588">
              <w:rPr>
                <w:sz w:val="18"/>
                <w:lang w:val="es-CO" w:eastAsia="es-CO"/>
              </w:rPr>
              <w:t>000</w:t>
            </w:r>
          </w:p>
        </w:tc>
      </w:tr>
      <w:tr w:rsidR="00EA0E3C" w:rsidRPr="00C30588" w14:paraId="2E98E4DE" w14:textId="77777777" w:rsidTr="00C30588">
        <w:trPr>
          <w:trHeight w:val="240"/>
        </w:trPr>
        <w:tc>
          <w:tcPr>
            <w:tcW w:w="1559" w:type="dxa"/>
            <w:tcBorders>
              <w:bottom w:val="single" w:sz="4" w:space="0" w:color="auto"/>
            </w:tcBorders>
            <w:shd w:val="clear" w:color="auto" w:fill="auto"/>
            <w:hideMark/>
          </w:tcPr>
          <w:p w14:paraId="1A126456" w14:textId="51195F80" w:rsidR="005E7C3B" w:rsidRPr="00C30588" w:rsidRDefault="005E7C3B" w:rsidP="00C30588">
            <w:pPr>
              <w:spacing w:before="40" w:after="40" w:line="220" w:lineRule="exact"/>
              <w:rPr>
                <w:sz w:val="18"/>
                <w:lang w:val="es-CO" w:eastAsia="es-CO"/>
              </w:rPr>
            </w:pPr>
            <w:r w:rsidRPr="00C30588">
              <w:rPr>
                <w:sz w:val="18"/>
                <w:lang w:val="es-CO" w:eastAsia="es-CO"/>
              </w:rPr>
              <w:t>2023</w:t>
            </w:r>
          </w:p>
        </w:tc>
        <w:tc>
          <w:tcPr>
            <w:tcW w:w="1654" w:type="dxa"/>
            <w:tcBorders>
              <w:bottom w:val="single" w:sz="4" w:space="0" w:color="auto"/>
            </w:tcBorders>
            <w:shd w:val="clear" w:color="auto" w:fill="auto"/>
            <w:hideMark/>
          </w:tcPr>
          <w:p w14:paraId="4EA003AB" w14:textId="55717F80" w:rsidR="005E7C3B" w:rsidRPr="00C30588" w:rsidRDefault="005E7C3B" w:rsidP="00C30588">
            <w:pPr>
              <w:spacing w:before="40" w:after="40" w:line="220" w:lineRule="exact"/>
              <w:rPr>
                <w:sz w:val="18"/>
                <w:lang w:val="es-CO" w:eastAsia="es-CO"/>
              </w:rPr>
            </w:pPr>
            <w:r w:rsidRPr="00C30588">
              <w:rPr>
                <w:sz w:val="18"/>
                <w:lang w:val="es-CO" w:eastAsia="es-CO"/>
              </w:rPr>
              <w:t>59</w:t>
            </w:r>
          </w:p>
        </w:tc>
        <w:tc>
          <w:tcPr>
            <w:tcW w:w="1795" w:type="dxa"/>
            <w:tcBorders>
              <w:bottom w:val="single" w:sz="4" w:space="0" w:color="auto"/>
            </w:tcBorders>
            <w:shd w:val="clear" w:color="auto" w:fill="auto"/>
            <w:hideMark/>
          </w:tcPr>
          <w:p w14:paraId="6BB99B73" w14:textId="5A845DFB" w:rsidR="005E7C3B" w:rsidRPr="00C30588" w:rsidRDefault="005E7C3B" w:rsidP="00C30588">
            <w:pPr>
              <w:spacing w:before="40" w:after="40" w:line="220" w:lineRule="exact"/>
              <w:rPr>
                <w:sz w:val="18"/>
                <w:lang w:val="es-CO" w:eastAsia="es-CO"/>
              </w:rPr>
            </w:pPr>
            <w:r w:rsidRPr="00C30588">
              <w:rPr>
                <w:sz w:val="18"/>
                <w:lang w:val="es-CO" w:eastAsia="es-CO"/>
              </w:rPr>
              <w:t>25</w:t>
            </w:r>
          </w:p>
        </w:tc>
        <w:tc>
          <w:tcPr>
            <w:tcW w:w="2362" w:type="dxa"/>
            <w:tcBorders>
              <w:bottom w:val="single" w:sz="4" w:space="0" w:color="auto"/>
            </w:tcBorders>
            <w:shd w:val="clear" w:color="auto" w:fill="auto"/>
            <w:hideMark/>
          </w:tcPr>
          <w:p w14:paraId="4A8D6CEF" w14:textId="2DF26714" w:rsidR="005E7C3B" w:rsidRPr="00C30588" w:rsidRDefault="005E7C3B" w:rsidP="00C30588">
            <w:pPr>
              <w:spacing w:before="40" w:after="40" w:line="220" w:lineRule="exact"/>
              <w:rPr>
                <w:sz w:val="18"/>
                <w:lang w:val="es-CO" w:eastAsia="es-CO"/>
              </w:rPr>
            </w:pPr>
            <w:r w:rsidRPr="00C30588">
              <w:rPr>
                <w:sz w:val="18"/>
                <w:lang w:val="es-CO" w:eastAsia="es-CO"/>
              </w:rPr>
              <w:t>$ 832</w:t>
            </w:r>
            <w:r w:rsidR="00107F43">
              <w:rPr>
                <w:sz w:val="18"/>
                <w:lang w:val="es-CO" w:eastAsia="es-CO"/>
              </w:rPr>
              <w:t xml:space="preserve"> </w:t>
            </w:r>
            <w:r w:rsidRPr="00C30588">
              <w:rPr>
                <w:sz w:val="18"/>
                <w:lang w:val="es-CO" w:eastAsia="es-CO"/>
              </w:rPr>
              <w:t>855</w:t>
            </w:r>
            <w:r w:rsidR="00107F43">
              <w:rPr>
                <w:sz w:val="18"/>
                <w:lang w:val="es-CO" w:eastAsia="es-CO"/>
              </w:rPr>
              <w:t xml:space="preserve"> </w:t>
            </w:r>
            <w:r w:rsidRPr="00C30588">
              <w:rPr>
                <w:sz w:val="18"/>
                <w:lang w:val="es-CO" w:eastAsia="es-CO"/>
              </w:rPr>
              <w:t>640</w:t>
            </w:r>
          </w:p>
        </w:tc>
      </w:tr>
      <w:tr w:rsidR="00EA0E3C" w:rsidRPr="00C30588" w14:paraId="724412B4" w14:textId="77777777" w:rsidTr="00C30588">
        <w:trPr>
          <w:trHeight w:val="240"/>
        </w:trPr>
        <w:tc>
          <w:tcPr>
            <w:tcW w:w="1559" w:type="dxa"/>
            <w:tcBorders>
              <w:top w:val="single" w:sz="4" w:space="0" w:color="auto"/>
              <w:bottom w:val="single" w:sz="12" w:space="0" w:color="auto"/>
            </w:tcBorders>
            <w:shd w:val="clear" w:color="auto" w:fill="auto"/>
            <w:hideMark/>
          </w:tcPr>
          <w:p w14:paraId="3A90DC89" w14:textId="690699C9" w:rsidR="005E7C3B" w:rsidRPr="00C30588" w:rsidRDefault="00C30588" w:rsidP="00C30588">
            <w:pPr>
              <w:spacing w:before="80" w:after="80" w:line="220" w:lineRule="exact"/>
              <w:ind w:left="283"/>
              <w:rPr>
                <w:b/>
                <w:bCs/>
                <w:sz w:val="18"/>
                <w:lang w:val="es-CO" w:eastAsia="es-CO"/>
              </w:rPr>
            </w:pPr>
            <w:r w:rsidRPr="00C30588">
              <w:rPr>
                <w:b/>
                <w:bCs/>
                <w:sz w:val="18"/>
                <w:lang w:val="es-CO" w:eastAsia="es-CO"/>
              </w:rPr>
              <w:t>Total</w:t>
            </w:r>
          </w:p>
        </w:tc>
        <w:tc>
          <w:tcPr>
            <w:tcW w:w="1654" w:type="dxa"/>
            <w:tcBorders>
              <w:top w:val="single" w:sz="4" w:space="0" w:color="auto"/>
              <w:bottom w:val="single" w:sz="12" w:space="0" w:color="auto"/>
            </w:tcBorders>
            <w:shd w:val="clear" w:color="auto" w:fill="auto"/>
            <w:hideMark/>
          </w:tcPr>
          <w:p w14:paraId="62693CF9" w14:textId="36CF3E54" w:rsidR="005E7C3B" w:rsidRPr="00C30588" w:rsidRDefault="005E7C3B" w:rsidP="00C30588">
            <w:pPr>
              <w:spacing w:before="80" w:after="80" w:line="220" w:lineRule="exact"/>
              <w:rPr>
                <w:b/>
                <w:bCs/>
                <w:sz w:val="18"/>
                <w:lang w:val="es-CO" w:eastAsia="es-CO"/>
              </w:rPr>
            </w:pPr>
            <w:r w:rsidRPr="00C30588">
              <w:rPr>
                <w:b/>
                <w:bCs/>
                <w:sz w:val="18"/>
                <w:lang w:val="es-CO" w:eastAsia="es-CO"/>
              </w:rPr>
              <w:t>411</w:t>
            </w:r>
          </w:p>
        </w:tc>
        <w:tc>
          <w:tcPr>
            <w:tcW w:w="1795" w:type="dxa"/>
            <w:tcBorders>
              <w:top w:val="single" w:sz="4" w:space="0" w:color="auto"/>
              <w:bottom w:val="single" w:sz="12" w:space="0" w:color="auto"/>
            </w:tcBorders>
            <w:shd w:val="clear" w:color="auto" w:fill="auto"/>
            <w:hideMark/>
          </w:tcPr>
          <w:p w14:paraId="7A55080D" w14:textId="4796E6FF" w:rsidR="005E7C3B" w:rsidRPr="00C30588" w:rsidRDefault="005E7C3B" w:rsidP="00C30588">
            <w:pPr>
              <w:spacing w:before="80" w:after="80" w:line="220" w:lineRule="exact"/>
              <w:rPr>
                <w:b/>
                <w:bCs/>
                <w:sz w:val="18"/>
                <w:lang w:val="es-CO" w:eastAsia="es-CO"/>
              </w:rPr>
            </w:pPr>
            <w:r w:rsidRPr="00C30588">
              <w:rPr>
                <w:b/>
                <w:bCs/>
                <w:sz w:val="18"/>
                <w:lang w:val="es-CO" w:eastAsia="es-CO"/>
              </w:rPr>
              <w:t>314</w:t>
            </w:r>
          </w:p>
        </w:tc>
        <w:tc>
          <w:tcPr>
            <w:tcW w:w="2362" w:type="dxa"/>
            <w:tcBorders>
              <w:top w:val="single" w:sz="4" w:space="0" w:color="auto"/>
              <w:bottom w:val="single" w:sz="12" w:space="0" w:color="auto"/>
            </w:tcBorders>
            <w:shd w:val="clear" w:color="auto" w:fill="auto"/>
            <w:hideMark/>
          </w:tcPr>
          <w:p w14:paraId="2B22D4A2" w14:textId="5A2DA86E" w:rsidR="005E7C3B" w:rsidRPr="00C30588" w:rsidRDefault="005E7C3B" w:rsidP="00C30588">
            <w:pPr>
              <w:spacing w:before="80" w:after="80" w:line="220" w:lineRule="exact"/>
              <w:rPr>
                <w:b/>
                <w:bCs/>
                <w:sz w:val="18"/>
                <w:lang w:val="es-CO" w:eastAsia="es-CO"/>
              </w:rPr>
            </w:pPr>
            <w:r w:rsidRPr="00C30588">
              <w:rPr>
                <w:b/>
                <w:bCs/>
                <w:sz w:val="18"/>
                <w:lang w:val="es-CO" w:eastAsia="es-CO"/>
              </w:rPr>
              <w:t>$ 6</w:t>
            </w:r>
            <w:r w:rsidR="00107F43">
              <w:rPr>
                <w:b/>
                <w:bCs/>
                <w:sz w:val="18"/>
                <w:lang w:val="es-CO" w:eastAsia="es-CO"/>
              </w:rPr>
              <w:t xml:space="preserve"> </w:t>
            </w:r>
            <w:r w:rsidRPr="00C30588">
              <w:rPr>
                <w:b/>
                <w:bCs/>
                <w:sz w:val="18"/>
                <w:lang w:val="es-CO" w:eastAsia="es-CO"/>
              </w:rPr>
              <w:t>918</w:t>
            </w:r>
            <w:r w:rsidR="00107F43">
              <w:rPr>
                <w:b/>
                <w:bCs/>
                <w:sz w:val="18"/>
                <w:lang w:val="es-CO" w:eastAsia="es-CO"/>
              </w:rPr>
              <w:t xml:space="preserve"> </w:t>
            </w:r>
            <w:r w:rsidRPr="00C30588">
              <w:rPr>
                <w:b/>
                <w:bCs/>
                <w:sz w:val="18"/>
                <w:lang w:val="es-CO" w:eastAsia="es-CO"/>
              </w:rPr>
              <w:t>075</w:t>
            </w:r>
            <w:r w:rsidR="00107F43">
              <w:rPr>
                <w:b/>
                <w:bCs/>
                <w:sz w:val="18"/>
                <w:lang w:val="es-CO" w:eastAsia="es-CO"/>
              </w:rPr>
              <w:t xml:space="preserve"> </w:t>
            </w:r>
            <w:r w:rsidRPr="00C30588">
              <w:rPr>
                <w:b/>
                <w:bCs/>
                <w:sz w:val="18"/>
                <w:lang w:val="es-CO" w:eastAsia="es-CO"/>
              </w:rPr>
              <w:t>227</w:t>
            </w:r>
          </w:p>
        </w:tc>
      </w:tr>
    </w:tbl>
    <w:p w14:paraId="388E8B03" w14:textId="24A3660B" w:rsidR="005E7C3B" w:rsidRPr="00C30588" w:rsidRDefault="005E7C3B" w:rsidP="00C30588">
      <w:pPr>
        <w:pStyle w:val="SingleTxtG"/>
        <w:spacing w:before="120" w:after="240"/>
        <w:ind w:firstLine="170"/>
        <w:jc w:val="left"/>
        <w:rPr>
          <w:sz w:val="18"/>
          <w:szCs w:val="18"/>
          <w:lang w:val="es-CO" w:eastAsia="es-CO"/>
        </w:rPr>
      </w:pPr>
      <w:r w:rsidRPr="00C30588">
        <w:rPr>
          <w:i/>
          <w:sz w:val="18"/>
          <w:szCs w:val="18"/>
          <w:lang w:val="es-CO" w:eastAsia="es-CO"/>
        </w:rPr>
        <w:t>Fuente:</w:t>
      </w:r>
      <w:r w:rsidRPr="00C30588">
        <w:rPr>
          <w:sz w:val="18"/>
          <w:szCs w:val="18"/>
          <w:lang w:val="es-CO" w:eastAsia="es-CO"/>
        </w:rPr>
        <w:t xml:space="preserve"> Aplicativo INDEMNIZA corte de información 29-02-2024</w:t>
      </w:r>
      <w:r w:rsidR="00107F43">
        <w:rPr>
          <w:sz w:val="18"/>
          <w:szCs w:val="18"/>
          <w:lang w:val="es-CO" w:eastAsia="es-CO"/>
        </w:rPr>
        <w:t>.</w:t>
      </w:r>
    </w:p>
    <w:p w14:paraId="4F77C33D" w14:textId="548CD1FD" w:rsidR="005E7C3B" w:rsidRPr="00EA0E3C" w:rsidRDefault="005E7C3B" w:rsidP="00EA0E3C">
      <w:pPr>
        <w:pStyle w:val="SingleTxtG"/>
        <w:rPr>
          <w:rFonts w:eastAsia="Calibri"/>
          <w:lang w:eastAsia="en-US"/>
        </w:rPr>
      </w:pPr>
      <w:r w:rsidRPr="00EA0E3C">
        <w:rPr>
          <w:rFonts w:eastAsia="Calibri"/>
          <w:lang w:eastAsia="en-US"/>
        </w:rPr>
        <w:t>52.</w:t>
      </w:r>
      <w:r w:rsidR="00EA0E3C">
        <w:rPr>
          <w:rFonts w:eastAsia="Calibri"/>
          <w:lang w:eastAsia="en-US"/>
        </w:rPr>
        <w:tab/>
      </w:r>
      <w:r w:rsidRPr="00EA0E3C">
        <w:rPr>
          <w:rFonts w:eastAsia="Calibri"/>
          <w:lang w:eastAsia="en-US"/>
        </w:rPr>
        <w:t>La Unidad para la Atención y Reparación Integral a las Victimas, con corte al 29 de febrero de 2024, ha atendido a 1.031 víctimas directas del hecho victimizante de tortura con las estrategias de recuperación emocional en sus diferentes modalidades permitiendo espacios de generación de confianza entre el profesional y la víctima. Estas, procuran darle un lugar mediante palabras, símbolos, dibujos, performance, acción artística entre otras representaciones, al daño o afectaciones producidas por el hecho victimizante o violación de sus derechos, para facilitar su integración a la experiencia de vida, además de identificar los recursos de afrontamiento de la afectación psicosocial generada por el conflicto armado, reconociendo a su vez los recursos propios y familiares que han permitido el tránsito de victima a sobreviviente.</w:t>
      </w:r>
    </w:p>
    <w:p w14:paraId="4089CA23" w14:textId="3960BA91" w:rsidR="005E7C3B" w:rsidRPr="00EA0E3C" w:rsidRDefault="005E7C3B" w:rsidP="00EA0E3C">
      <w:pPr>
        <w:pStyle w:val="SingleTxtG"/>
        <w:rPr>
          <w:rFonts w:eastAsia="Calibri"/>
          <w:lang w:eastAsia="en-US"/>
        </w:rPr>
      </w:pPr>
      <w:r w:rsidRPr="00EA0E3C">
        <w:rPr>
          <w:rFonts w:eastAsia="Calibri"/>
          <w:lang w:eastAsia="en-US"/>
        </w:rPr>
        <w:lastRenderedPageBreak/>
        <w:t>53.</w:t>
      </w:r>
      <w:r w:rsidR="00EA0E3C">
        <w:rPr>
          <w:rFonts w:eastAsia="Calibri"/>
          <w:lang w:eastAsia="en-US"/>
        </w:rPr>
        <w:tab/>
      </w:r>
      <w:r w:rsidRPr="00EA0E3C">
        <w:rPr>
          <w:rFonts w:eastAsia="Calibri"/>
          <w:lang w:eastAsia="en-US"/>
        </w:rPr>
        <w:t>En reconocimiento de los preceptos del Derecho Internacional de los Derechos Humanos, en los cuales se indica que las víctimas directas e indirectas de las desapariciones forzadas de forma recurrente lo son también de actos de tortura</w:t>
      </w:r>
      <w:r w:rsidRPr="00EA0E3C">
        <w:rPr>
          <w:rFonts w:eastAsia="Calibri"/>
          <w:lang w:eastAsia="en-US"/>
        </w:rPr>
        <w:footnoteReference w:id="4"/>
      </w:r>
      <w:r w:rsidRPr="00EA0E3C">
        <w:rPr>
          <w:rFonts w:eastAsia="Calibri"/>
          <w:lang w:eastAsia="en-US"/>
        </w:rPr>
        <w:t xml:space="preserve">, la Unidad para las Víctimas a través de la Dirección de Reparación en cumplimiento de fallos y decisiones judiciales, implementa medidas de apoyo a la búsqueda, la entrega digna y el reencuentro de personas desaparecidas forzadamente o que conociendo de su asesinato no se tenía información del paradero de su cuerpo o de los restos de su cuerpo. Es así como la Dirección de Reparación de la Unidad para las Víctimas cumple las órdenes de la </w:t>
      </w:r>
      <w:proofErr w:type="gramStart"/>
      <w:r w:rsidRPr="00EA0E3C">
        <w:rPr>
          <w:rFonts w:eastAsia="Calibri"/>
          <w:lang w:eastAsia="en-US"/>
        </w:rPr>
        <w:t>Fiscalía General</w:t>
      </w:r>
      <w:proofErr w:type="gramEnd"/>
      <w:r w:rsidRPr="00EA0E3C">
        <w:rPr>
          <w:rFonts w:eastAsia="Calibri"/>
          <w:lang w:eastAsia="en-US"/>
        </w:rPr>
        <w:t xml:space="preserve"> de la Nación, la Jurisdicción Especial para la Paz y Jueces Ordinarios nacionales, de apoyar estas acciones de satisfacción para las familias buscadoras y así procurar reparar los daños que produce la incertidumbre por la ausencia de información de la suerte y paradero de las víctimas.</w:t>
      </w:r>
    </w:p>
    <w:p w14:paraId="011C656E" w14:textId="2B8E84EC" w:rsidR="005E7C3B" w:rsidRDefault="005E7C3B" w:rsidP="00EA0E3C">
      <w:pPr>
        <w:pStyle w:val="SingleTxtG"/>
        <w:rPr>
          <w:rFonts w:eastAsia="Calibri"/>
          <w:lang w:eastAsia="en-US"/>
        </w:rPr>
      </w:pPr>
      <w:r w:rsidRPr="00EA0E3C">
        <w:rPr>
          <w:rFonts w:eastAsia="Calibri"/>
          <w:lang w:eastAsia="en-US"/>
        </w:rPr>
        <w:t>54.</w:t>
      </w:r>
      <w:r w:rsidR="00EA0E3C">
        <w:rPr>
          <w:rFonts w:eastAsia="Calibri"/>
          <w:lang w:eastAsia="en-US"/>
        </w:rPr>
        <w:tab/>
      </w:r>
      <w:r w:rsidRPr="00EA0E3C">
        <w:rPr>
          <w:rFonts w:eastAsia="Calibri"/>
          <w:lang w:eastAsia="en-US"/>
        </w:rPr>
        <w:t>Si bien el cumplimiento de las recomendaciones hechas por el Comité deben entenderse como un asunto de Estado y contar con una respuesta integral del conjunto de entidades, la Unidad para las Víctimas informa de las metas dispuestas en diferentes herramientas de política pública (Plan Nacional de Desarrollo, Documento de Consejo de Política Económica y Social – CONPES y Plan de Acción Anual de la Unidad) que están orientadas para garantizar integral y efectivamente el derecho a la reparación, mediante un incremento sustancial para los años 2023 a 2026 de la implementación de medidas de reparación.</w:t>
      </w:r>
    </w:p>
    <w:p w14:paraId="76E9CA2B" w14:textId="77777777" w:rsidR="002C0622" w:rsidRPr="002C0622" w:rsidRDefault="002416DC" w:rsidP="002416DC">
      <w:pPr>
        <w:pStyle w:val="Ttulo1"/>
      </w:pPr>
      <w:r w:rsidRPr="002C0622">
        <w:t>Tabla 4</w:t>
      </w:r>
    </w:p>
    <w:p w14:paraId="302021A2" w14:textId="3FB752A1" w:rsidR="002416DC" w:rsidRPr="00107F43" w:rsidRDefault="002416DC" w:rsidP="00107F43">
      <w:pPr>
        <w:pStyle w:val="SingleTxtG"/>
        <w:jc w:val="left"/>
        <w:rPr>
          <w:b/>
          <w:bCs/>
        </w:rPr>
      </w:pPr>
      <w:r w:rsidRPr="00107F43">
        <w:rPr>
          <w:b/>
          <w:bCs/>
        </w:rPr>
        <w:t>Proyección de acciones de Atención y Reparación Integral a las Victimas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97"/>
        <w:gridCol w:w="854"/>
        <w:gridCol w:w="854"/>
        <w:gridCol w:w="853"/>
        <w:gridCol w:w="803"/>
        <w:gridCol w:w="803"/>
        <w:gridCol w:w="803"/>
        <w:gridCol w:w="803"/>
      </w:tblGrid>
      <w:tr w:rsidR="00107F43" w:rsidRPr="00107F43" w14:paraId="156C7406" w14:textId="77777777" w:rsidTr="00107F43">
        <w:trPr>
          <w:trHeight w:val="240"/>
          <w:tblHeader/>
        </w:trPr>
        <w:tc>
          <w:tcPr>
            <w:tcW w:w="1083" w:type="pct"/>
            <w:tcBorders>
              <w:top w:val="single" w:sz="4" w:space="0" w:color="auto"/>
              <w:bottom w:val="single" w:sz="12" w:space="0" w:color="auto"/>
            </w:tcBorders>
            <w:shd w:val="clear" w:color="auto" w:fill="auto"/>
            <w:vAlign w:val="bottom"/>
          </w:tcPr>
          <w:p w14:paraId="180CA2BB" w14:textId="77777777" w:rsidR="002416DC" w:rsidRPr="00107F43" w:rsidRDefault="002416DC" w:rsidP="00107F43">
            <w:pPr>
              <w:spacing w:before="80" w:after="80" w:line="200" w:lineRule="exact"/>
              <w:rPr>
                <w:i/>
                <w:sz w:val="16"/>
                <w:lang w:val="es-CO"/>
              </w:rPr>
            </w:pPr>
            <w:r w:rsidRPr="00107F43">
              <w:rPr>
                <w:i/>
                <w:sz w:val="16"/>
                <w:lang w:val="es-CO"/>
              </w:rPr>
              <w:t>Indicador</w:t>
            </w:r>
          </w:p>
        </w:tc>
        <w:tc>
          <w:tcPr>
            <w:tcW w:w="579" w:type="pct"/>
            <w:tcBorders>
              <w:top w:val="single" w:sz="4" w:space="0" w:color="auto"/>
              <w:bottom w:val="single" w:sz="12" w:space="0" w:color="auto"/>
            </w:tcBorders>
            <w:shd w:val="clear" w:color="auto" w:fill="auto"/>
            <w:vAlign w:val="bottom"/>
          </w:tcPr>
          <w:p w14:paraId="37CB9462" w14:textId="54C1CAB5" w:rsidR="002416DC" w:rsidRPr="00107F43" w:rsidRDefault="002416DC" w:rsidP="00107F43">
            <w:pPr>
              <w:spacing w:before="80" w:after="80" w:line="200" w:lineRule="exact"/>
              <w:ind w:left="113"/>
              <w:jc w:val="right"/>
              <w:rPr>
                <w:i/>
                <w:sz w:val="16"/>
                <w:lang w:val="es-CO"/>
              </w:rPr>
            </w:pPr>
            <w:r w:rsidRPr="00107F43">
              <w:rPr>
                <w:i/>
                <w:sz w:val="16"/>
                <w:lang w:val="es-CO"/>
              </w:rPr>
              <w:t>Línea</w:t>
            </w:r>
            <w:r w:rsidR="00107F43">
              <w:rPr>
                <w:i/>
                <w:sz w:val="16"/>
                <w:lang w:val="es-CO"/>
              </w:rPr>
              <w:br/>
            </w:r>
            <w:r w:rsidRPr="00107F43">
              <w:rPr>
                <w:i/>
                <w:sz w:val="16"/>
                <w:lang w:val="es-CO"/>
              </w:rPr>
              <w:t>base 2022</w:t>
            </w:r>
          </w:p>
        </w:tc>
        <w:tc>
          <w:tcPr>
            <w:tcW w:w="579" w:type="pct"/>
            <w:tcBorders>
              <w:top w:val="single" w:sz="4" w:space="0" w:color="auto"/>
              <w:bottom w:val="single" w:sz="12" w:space="0" w:color="auto"/>
            </w:tcBorders>
            <w:shd w:val="clear" w:color="auto" w:fill="auto"/>
            <w:vAlign w:val="bottom"/>
          </w:tcPr>
          <w:p w14:paraId="18085323" w14:textId="3AA6B660" w:rsidR="002416DC" w:rsidRPr="00107F43" w:rsidRDefault="002416DC" w:rsidP="00107F43">
            <w:pPr>
              <w:spacing w:before="80" w:after="80" w:line="200" w:lineRule="exact"/>
              <w:ind w:left="113"/>
              <w:jc w:val="right"/>
              <w:rPr>
                <w:i/>
                <w:sz w:val="16"/>
                <w:lang w:val="es-CO"/>
              </w:rPr>
            </w:pPr>
            <w:r w:rsidRPr="00107F43">
              <w:rPr>
                <w:i/>
                <w:sz w:val="16"/>
                <w:lang w:val="es-CO"/>
              </w:rPr>
              <w:t xml:space="preserve">Meta con </w:t>
            </w:r>
            <w:r w:rsidR="00107F43">
              <w:rPr>
                <w:i/>
                <w:sz w:val="16"/>
                <w:lang w:val="es-CO"/>
              </w:rPr>
              <w:t>l</w:t>
            </w:r>
            <w:r w:rsidRPr="00107F43">
              <w:rPr>
                <w:i/>
                <w:sz w:val="16"/>
                <w:lang w:val="es-CO"/>
              </w:rPr>
              <w:t>ínea Base</w:t>
            </w:r>
          </w:p>
        </w:tc>
        <w:tc>
          <w:tcPr>
            <w:tcW w:w="579" w:type="pct"/>
            <w:tcBorders>
              <w:top w:val="single" w:sz="4" w:space="0" w:color="auto"/>
              <w:bottom w:val="single" w:sz="12" w:space="0" w:color="auto"/>
            </w:tcBorders>
            <w:shd w:val="clear" w:color="auto" w:fill="auto"/>
            <w:vAlign w:val="bottom"/>
          </w:tcPr>
          <w:p w14:paraId="126A2FE6" w14:textId="77777777" w:rsidR="002416DC" w:rsidRPr="00107F43" w:rsidRDefault="002416DC" w:rsidP="00107F43">
            <w:pPr>
              <w:spacing w:before="80" w:after="80" w:line="200" w:lineRule="exact"/>
              <w:ind w:left="113"/>
              <w:jc w:val="right"/>
              <w:rPr>
                <w:i/>
                <w:sz w:val="16"/>
                <w:lang w:val="es-CO"/>
              </w:rPr>
            </w:pPr>
            <w:r w:rsidRPr="00107F43">
              <w:rPr>
                <w:i/>
                <w:sz w:val="16"/>
                <w:lang w:val="es-CO"/>
              </w:rPr>
              <w:t>Meta Cuatrienio</w:t>
            </w:r>
          </w:p>
        </w:tc>
        <w:tc>
          <w:tcPr>
            <w:tcW w:w="545" w:type="pct"/>
            <w:tcBorders>
              <w:top w:val="single" w:sz="4" w:space="0" w:color="auto"/>
              <w:bottom w:val="single" w:sz="12" w:space="0" w:color="auto"/>
            </w:tcBorders>
            <w:shd w:val="clear" w:color="auto" w:fill="auto"/>
            <w:vAlign w:val="bottom"/>
          </w:tcPr>
          <w:p w14:paraId="0EBC374A" w14:textId="77777777" w:rsidR="002416DC" w:rsidRPr="00107F43" w:rsidRDefault="002416DC" w:rsidP="00107F43">
            <w:pPr>
              <w:spacing w:before="80" w:after="80" w:line="200" w:lineRule="exact"/>
              <w:ind w:left="113"/>
              <w:jc w:val="right"/>
              <w:rPr>
                <w:i/>
                <w:sz w:val="16"/>
                <w:lang w:val="es-CO"/>
              </w:rPr>
            </w:pPr>
            <w:r w:rsidRPr="00107F43">
              <w:rPr>
                <w:i/>
                <w:sz w:val="16"/>
                <w:lang w:val="es-CO"/>
              </w:rPr>
              <w:t>Año 2023</w:t>
            </w:r>
          </w:p>
        </w:tc>
        <w:tc>
          <w:tcPr>
            <w:tcW w:w="545" w:type="pct"/>
            <w:tcBorders>
              <w:top w:val="single" w:sz="4" w:space="0" w:color="auto"/>
              <w:bottom w:val="single" w:sz="12" w:space="0" w:color="auto"/>
            </w:tcBorders>
            <w:shd w:val="clear" w:color="auto" w:fill="auto"/>
            <w:vAlign w:val="bottom"/>
          </w:tcPr>
          <w:p w14:paraId="65A1D637" w14:textId="77777777" w:rsidR="002416DC" w:rsidRPr="00107F43" w:rsidRDefault="002416DC" w:rsidP="00107F43">
            <w:pPr>
              <w:spacing w:before="80" w:after="80" w:line="200" w:lineRule="exact"/>
              <w:ind w:left="113"/>
              <w:jc w:val="right"/>
              <w:rPr>
                <w:i/>
                <w:sz w:val="16"/>
                <w:lang w:val="es-CO"/>
              </w:rPr>
            </w:pPr>
            <w:r w:rsidRPr="00107F43">
              <w:rPr>
                <w:i/>
                <w:sz w:val="16"/>
                <w:lang w:val="es-CO"/>
              </w:rPr>
              <w:t>Año 2024</w:t>
            </w:r>
          </w:p>
        </w:tc>
        <w:tc>
          <w:tcPr>
            <w:tcW w:w="545" w:type="pct"/>
            <w:tcBorders>
              <w:top w:val="single" w:sz="4" w:space="0" w:color="auto"/>
              <w:bottom w:val="single" w:sz="12" w:space="0" w:color="auto"/>
            </w:tcBorders>
            <w:shd w:val="clear" w:color="auto" w:fill="auto"/>
            <w:vAlign w:val="bottom"/>
          </w:tcPr>
          <w:p w14:paraId="0CA3EF00" w14:textId="77777777" w:rsidR="002416DC" w:rsidRPr="00107F43" w:rsidRDefault="002416DC" w:rsidP="00107F43">
            <w:pPr>
              <w:spacing w:before="80" w:after="80" w:line="200" w:lineRule="exact"/>
              <w:ind w:left="113"/>
              <w:jc w:val="right"/>
              <w:rPr>
                <w:i/>
                <w:sz w:val="16"/>
                <w:lang w:val="es-CO"/>
              </w:rPr>
            </w:pPr>
            <w:r w:rsidRPr="00107F43">
              <w:rPr>
                <w:i/>
                <w:sz w:val="16"/>
                <w:lang w:val="es-CO"/>
              </w:rPr>
              <w:t>Año 2025</w:t>
            </w:r>
          </w:p>
        </w:tc>
        <w:tc>
          <w:tcPr>
            <w:tcW w:w="545" w:type="pct"/>
            <w:tcBorders>
              <w:top w:val="single" w:sz="4" w:space="0" w:color="auto"/>
              <w:bottom w:val="single" w:sz="12" w:space="0" w:color="auto"/>
            </w:tcBorders>
            <w:shd w:val="clear" w:color="auto" w:fill="auto"/>
            <w:vAlign w:val="bottom"/>
          </w:tcPr>
          <w:p w14:paraId="08147F83" w14:textId="77777777" w:rsidR="002416DC" w:rsidRPr="00107F43" w:rsidRDefault="002416DC" w:rsidP="00107F43">
            <w:pPr>
              <w:spacing w:before="80" w:after="80" w:line="200" w:lineRule="exact"/>
              <w:ind w:left="113"/>
              <w:jc w:val="right"/>
              <w:rPr>
                <w:i/>
                <w:sz w:val="16"/>
                <w:lang w:val="es-CO"/>
              </w:rPr>
            </w:pPr>
            <w:r w:rsidRPr="00107F43">
              <w:rPr>
                <w:i/>
                <w:sz w:val="16"/>
                <w:lang w:val="es-CO"/>
              </w:rPr>
              <w:t>Año 2026</w:t>
            </w:r>
          </w:p>
        </w:tc>
      </w:tr>
      <w:tr w:rsidR="00107F43" w:rsidRPr="00107F43" w14:paraId="6624658D" w14:textId="77777777" w:rsidTr="00107F43">
        <w:trPr>
          <w:trHeight w:val="240"/>
        </w:trPr>
        <w:tc>
          <w:tcPr>
            <w:tcW w:w="1083" w:type="pct"/>
            <w:shd w:val="clear" w:color="auto" w:fill="auto"/>
          </w:tcPr>
          <w:p w14:paraId="7CABBCD4" w14:textId="77777777" w:rsidR="002416DC" w:rsidRPr="00107F43" w:rsidRDefault="002416DC" w:rsidP="00107F43">
            <w:pPr>
              <w:spacing w:before="40" w:after="40" w:line="220" w:lineRule="exact"/>
              <w:rPr>
                <w:sz w:val="18"/>
                <w:lang w:val="es-CO"/>
              </w:rPr>
            </w:pPr>
            <w:r w:rsidRPr="00107F43">
              <w:rPr>
                <w:sz w:val="18"/>
                <w:lang w:val="es-CO"/>
              </w:rPr>
              <w:t>Victimas indemnizadas</w:t>
            </w:r>
          </w:p>
        </w:tc>
        <w:tc>
          <w:tcPr>
            <w:tcW w:w="579" w:type="pct"/>
            <w:shd w:val="clear" w:color="auto" w:fill="auto"/>
            <w:vAlign w:val="bottom"/>
          </w:tcPr>
          <w:p w14:paraId="63780920" w14:textId="01A568CB" w:rsidR="002416DC" w:rsidRPr="00107F43" w:rsidRDefault="002416DC" w:rsidP="00107F43">
            <w:pPr>
              <w:spacing w:before="40" w:after="40" w:line="220" w:lineRule="exact"/>
              <w:ind w:left="113"/>
              <w:jc w:val="right"/>
              <w:rPr>
                <w:sz w:val="18"/>
                <w:lang w:val="es-CO"/>
              </w:rPr>
            </w:pPr>
            <w:r w:rsidRPr="00107F43">
              <w:rPr>
                <w:sz w:val="18"/>
                <w:lang w:val="es-CO"/>
              </w:rPr>
              <w:t>1</w:t>
            </w:r>
            <w:r w:rsidR="00107F43">
              <w:rPr>
                <w:sz w:val="18"/>
                <w:lang w:val="es-CO"/>
              </w:rPr>
              <w:t xml:space="preserve"> </w:t>
            </w:r>
            <w:r w:rsidRPr="00107F43">
              <w:rPr>
                <w:sz w:val="18"/>
                <w:lang w:val="es-CO"/>
              </w:rPr>
              <w:t>326</w:t>
            </w:r>
            <w:r w:rsidR="00107F43">
              <w:rPr>
                <w:sz w:val="18"/>
                <w:lang w:val="es-CO"/>
              </w:rPr>
              <w:t xml:space="preserve"> </w:t>
            </w:r>
            <w:r w:rsidRPr="00107F43">
              <w:rPr>
                <w:sz w:val="18"/>
                <w:lang w:val="es-CO"/>
              </w:rPr>
              <w:t>390</w:t>
            </w:r>
          </w:p>
        </w:tc>
        <w:tc>
          <w:tcPr>
            <w:tcW w:w="579" w:type="pct"/>
            <w:shd w:val="clear" w:color="auto" w:fill="auto"/>
            <w:vAlign w:val="bottom"/>
          </w:tcPr>
          <w:p w14:paraId="0F02F110" w14:textId="20D4FFB5" w:rsidR="002416DC" w:rsidRPr="00107F43" w:rsidRDefault="002416DC" w:rsidP="00107F43">
            <w:pPr>
              <w:spacing w:before="40" w:after="40" w:line="220" w:lineRule="exact"/>
              <w:ind w:left="113"/>
              <w:jc w:val="right"/>
              <w:rPr>
                <w:sz w:val="18"/>
                <w:lang w:val="es-CO"/>
              </w:rPr>
            </w:pPr>
            <w:r w:rsidRPr="00107F43">
              <w:rPr>
                <w:sz w:val="18"/>
                <w:lang w:val="es-CO"/>
              </w:rPr>
              <w:t>1</w:t>
            </w:r>
            <w:r w:rsidR="00107F43">
              <w:rPr>
                <w:sz w:val="18"/>
                <w:lang w:val="es-CO"/>
              </w:rPr>
              <w:t xml:space="preserve"> </w:t>
            </w:r>
            <w:r w:rsidRPr="00107F43">
              <w:rPr>
                <w:sz w:val="18"/>
                <w:lang w:val="es-CO"/>
              </w:rPr>
              <w:t>926</w:t>
            </w:r>
            <w:r w:rsidR="00107F43">
              <w:rPr>
                <w:sz w:val="18"/>
                <w:lang w:val="es-CO"/>
              </w:rPr>
              <w:t xml:space="preserve"> </w:t>
            </w:r>
            <w:r w:rsidRPr="00107F43">
              <w:rPr>
                <w:sz w:val="18"/>
                <w:lang w:val="es-CO"/>
              </w:rPr>
              <w:t>390</w:t>
            </w:r>
          </w:p>
        </w:tc>
        <w:tc>
          <w:tcPr>
            <w:tcW w:w="579" w:type="pct"/>
            <w:shd w:val="clear" w:color="auto" w:fill="auto"/>
            <w:vAlign w:val="bottom"/>
          </w:tcPr>
          <w:p w14:paraId="7EE69D85" w14:textId="2DF09DFB" w:rsidR="002416DC" w:rsidRPr="00107F43" w:rsidRDefault="002416DC" w:rsidP="00107F43">
            <w:pPr>
              <w:spacing w:before="40" w:after="40" w:line="220" w:lineRule="exact"/>
              <w:ind w:left="113"/>
              <w:jc w:val="right"/>
              <w:rPr>
                <w:sz w:val="18"/>
                <w:lang w:val="es-CO"/>
              </w:rPr>
            </w:pPr>
            <w:r w:rsidRPr="00107F43">
              <w:rPr>
                <w:sz w:val="18"/>
                <w:lang w:val="es-CO"/>
              </w:rPr>
              <w:t>600</w:t>
            </w:r>
            <w:r w:rsidR="00107F43">
              <w:rPr>
                <w:sz w:val="18"/>
                <w:lang w:val="es-CO"/>
              </w:rPr>
              <w:t xml:space="preserve"> </w:t>
            </w:r>
            <w:r w:rsidRPr="00107F43">
              <w:rPr>
                <w:sz w:val="18"/>
                <w:lang w:val="es-CO"/>
              </w:rPr>
              <w:t>000</w:t>
            </w:r>
          </w:p>
        </w:tc>
        <w:tc>
          <w:tcPr>
            <w:tcW w:w="545" w:type="pct"/>
            <w:shd w:val="clear" w:color="auto" w:fill="auto"/>
            <w:vAlign w:val="bottom"/>
          </w:tcPr>
          <w:p w14:paraId="7035E5AF" w14:textId="51E4433B" w:rsidR="002416DC" w:rsidRPr="00107F43" w:rsidRDefault="002416DC" w:rsidP="00107F43">
            <w:pPr>
              <w:spacing w:before="40" w:after="40" w:line="220" w:lineRule="exact"/>
              <w:ind w:left="113"/>
              <w:jc w:val="right"/>
              <w:rPr>
                <w:sz w:val="18"/>
                <w:lang w:val="es-CO"/>
              </w:rPr>
            </w:pPr>
            <w:r w:rsidRPr="00107F43">
              <w:rPr>
                <w:sz w:val="18"/>
                <w:lang w:val="es-CO"/>
              </w:rPr>
              <w:t>105</w:t>
            </w:r>
            <w:r w:rsidR="00107F43">
              <w:rPr>
                <w:sz w:val="18"/>
                <w:lang w:val="es-CO"/>
              </w:rPr>
              <w:t xml:space="preserve"> </w:t>
            </w:r>
            <w:r w:rsidRPr="00107F43">
              <w:rPr>
                <w:sz w:val="18"/>
                <w:lang w:val="es-CO"/>
              </w:rPr>
              <w:t>000</w:t>
            </w:r>
          </w:p>
        </w:tc>
        <w:tc>
          <w:tcPr>
            <w:tcW w:w="545" w:type="pct"/>
            <w:shd w:val="clear" w:color="auto" w:fill="auto"/>
            <w:vAlign w:val="bottom"/>
          </w:tcPr>
          <w:p w14:paraId="5EB959D7" w14:textId="7B77F0E0" w:rsidR="002416DC" w:rsidRPr="00107F43" w:rsidRDefault="002416DC" w:rsidP="00107F43">
            <w:pPr>
              <w:spacing w:before="40" w:after="40" w:line="220" w:lineRule="exact"/>
              <w:ind w:left="113"/>
              <w:jc w:val="right"/>
              <w:rPr>
                <w:sz w:val="18"/>
                <w:lang w:val="es-CO"/>
              </w:rPr>
            </w:pPr>
            <w:r w:rsidRPr="00107F43">
              <w:rPr>
                <w:sz w:val="18"/>
                <w:lang w:val="es-CO"/>
              </w:rPr>
              <w:t>165</w:t>
            </w:r>
            <w:r w:rsidR="00107F43">
              <w:rPr>
                <w:sz w:val="18"/>
                <w:lang w:val="es-CO"/>
              </w:rPr>
              <w:t xml:space="preserve"> </w:t>
            </w:r>
            <w:r w:rsidRPr="00107F43">
              <w:rPr>
                <w:sz w:val="18"/>
                <w:lang w:val="es-CO"/>
              </w:rPr>
              <w:t>000</w:t>
            </w:r>
          </w:p>
        </w:tc>
        <w:tc>
          <w:tcPr>
            <w:tcW w:w="545" w:type="pct"/>
            <w:shd w:val="clear" w:color="auto" w:fill="auto"/>
            <w:vAlign w:val="bottom"/>
          </w:tcPr>
          <w:p w14:paraId="07B88345" w14:textId="6EE9DF60" w:rsidR="002416DC" w:rsidRPr="00107F43" w:rsidRDefault="002416DC" w:rsidP="00107F43">
            <w:pPr>
              <w:spacing w:before="40" w:after="40" w:line="220" w:lineRule="exact"/>
              <w:ind w:left="113"/>
              <w:jc w:val="right"/>
              <w:rPr>
                <w:sz w:val="18"/>
                <w:lang w:val="es-CO"/>
              </w:rPr>
            </w:pPr>
            <w:r w:rsidRPr="00107F43">
              <w:rPr>
                <w:sz w:val="18"/>
                <w:lang w:val="es-CO"/>
              </w:rPr>
              <w:t>165</w:t>
            </w:r>
            <w:r w:rsidR="00107F43">
              <w:rPr>
                <w:sz w:val="18"/>
                <w:lang w:val="es-CO"/>
              </w:rPr>
              <w:t xml:space="preserve"> </w:t>
            </w:r>
            <w:r w:rsidRPr="00107F43">
              <w:rPr>
                <w:sz w:val="18"/>
                <w:lang w:val="es-CO"/>
              </w:rPr>
              <w:t>000</w:t>
            </w:r>
          </w:p>
        </w:tc>
        <w:tc>
          <w:tcPr>
            <w:tcW w:w="545" w:type="pct"/>
            <w:shd w:val="clear" w:color="auto" w:fill="auto"/>
            <w:vAlign w:val="bottom"/>
          </w:tcPr>
          <w:p w14:paraId="4C90B2B3" w14:textId="20A530E1" w:rsidR="002416DC" w:rsidRPr="00107F43" w:rsidRDefault="002416DC" w:rsidP="00107F43">
            <w:pPr>
              <w:spacing w:before="40" w:after="40" w:line="220" w:lineRule="exact"/>
              <w:ind w:left="113"/>
              <w:jc w:val="right"/>
              <w:rPr>
                <w:sz w:val="18"/>
                <w:lang w:val="es-CO"/>
              </w:rPr>
            </w:pPr>
            <w:r w:rsidRPr="00107F43">
              <w:rPr>
                <w:sz w:val="18"/>
                <w:lang w:val="es-CO"/>
              </w:rPr>
              <w:t>165</w:t>
            </w:r>
            <w:r w:rsidR="00107F43">
              <w:rPr>
                <w:sz w:val="18"/>
                <w:lang w:val="es-CO"/>
              </w:rPr>
              <w:t xml:space="preserve"> </w:t>
            </w:r>
            <w:r w:rsidRPr="00107F43">
              <w:rPr>
                <w:sz w:val="18"/>
                <w:lang w:val="es-CO"/>
              </w:rPr>
              <w:t>000</w:t>
            </w:r>
          </w:p>
        </w:tc>
      </w:tr>
      <w:tr w:rsidR="00107F43" w:rsidRPr="00107F43" w14:paraId="540C6604" w14:textId="77777777" w:rsidTr="00107F43">
        <w:trPr>
          <w:trHeight w:val="240"/>
        </w:trPr>
        <w:tc>
          <w:tcPr>
            <w:tcW w:w="1083" w:type="pct"/>
            <w:shd w:val="clear" w:color="auto" w:fill="auto"/>
          </w:tcPr>
          <w:p w14:paraId="1D58BAFA" w14:textId="77777777" w:rsidR="002416DC" w:rsidRPr="00107F43" w:rsidRDefault="002416DC" w:rsidP="00107F43">
            <w:pPr>
              <w:spacing w:before="40" w:after="40" w:line="220" w:lineRule="exact"/>
              <w:rPr>
                <w:sz w:val="18"/>
                <w:lang w:val="es-CO"/>
              </w:rPr>
            </w:pPr>
            <w:r w:rsidRPr="00107F43">
              <w:rPr>
                <w:sz w:val="18"/>
                <w:lang w:val="es-CO"/>
              </w:rPr>
              <w:t>Planes de reparación colectiva formulados y concertados con los sujetos</w:t>
            </w:r>
          </w:p>
        </w:tc>
        <w:tc>
          <w:tcPr>
            <w:tcW w:w="579" w:type="pct"/>
            <w:shd w:val="clear" w:color="auto" w:fill="auto"/>
            <w:vAlign w:val="bottom"/>
          </w:tcPr>
          <w:p w14:paraId="7009B9BF" w14:textId="77777777" w:rsidR="002416DC" w:rsidRPr="00107F43" w:rsidRDefault="002416DC" w:rsidP="00107F43">
            <w:pPr>
              <w:spacing w:before="40" w:after="40" w:line="220" w:lineRule="exact"/>
              <w:ind w:left="113"/>
              <w:jc w:val="right"/>
              <w:rPr>
                <w:sz w:val="18"/>
                <w:lang w:val="es-CO"/>
              </w:rPr>
            </w:pPr>
            <w:r w:rsidRPr="00107F43">
              <w:rPr>
                <w:sz w:val="18"/>
                <w:lang w:val="es-CO"/>
              </w:rPr>
              <w:t>236</w:t>
            </w:r>
          </w:p>
        </w:tc>
        <w:tc>
          <w:tcPr>
            <w:tcW w:w="579" w:type="pct"/>
            <w:shd w:val="clear" w:color="auto" w:fill="auto"/>
            <w:vAlign w:val="bottom"/>
          </w:tcPr>
          <w:p w14:paraId="4027C5AE" w14:textId="77777777" w:rsidR="002416DC" w:rsidRPr="00107F43" w:rsidRDefault="002416DC" w:rsidP="00107F43">
            <w:pPr>
              <w:spacing w:before="40" w:after="40" w:line="220" w:lineRule="exact"/>
              <w:ind w:left="113"/>
              <w:jc w:val="right"/>
              <w:rPr>
                <w:sz w:val="18"/>
                <w:lang w:val="es-CO"/>
              </w:rPr>
            </w:pPr>
            <w:r w:rsidRPr="00107F43">
              <w:rPr>
                <w:sz w:val="18"/>
                <w:lang w:val="es-CO"/>
              </w:rPr>
              <w:t>878</w:t>
            </w:r>
          </w:p>
        </w:tc>
        <w:tc>
          <w:tcPr>
            <w:tcW w:w="579" w:type="pct"/>
            <w:shd w:val="clear" w:color="auto" w:fill="auto"/>
            <w:vAlign w:val="bottom"/>
          </w:tcPr>
          <w:p w14:paraId="50D77043" w14:textId="77777777" w:rsidR="002416DC" w:rsidRPr="00107F43" w:rsidRDefault="002416DC" w:rsidP="00107F43">
            <w:pPr>
              <w:spacing w:before="40" w:after="40" w:line="220" w:lineRule="exact"/>
              <w:ind w:left="113"/>
              <w:jc w:val="right"/>
              <w:rPr>
                <w:sz w:val="18"/>
                <w:lang w:val="es-CO"/>
              </w:rPr>
            </w:pPr>
            <w:r w:rsidRPr="00107F43">
              <w:rPr>
                <w:sz w:val="18"/>
                <w:lang w:val="es-CO"/>
              </w:rPr>
              <w:t>642</w:t>
            </w:r>
          </w:p>
        </w:tc>
        <w:tc>
          <w:tcPr>
            <w:tcW w:w="545" w:type="pct"/>
            <w:shd w:val="clear" w:color="auto" w:fill="auto"/>
            <w:vAlign w:val="bottom"/>
          </w:tcPr>
          <w:p w14:paraId="73FAA230" w14:textId="77777777" w:rsidR="002416DC" w:rsidRPr="00107F43" w:rsidRDefault="002416DC" w:rsidP="00107F43">
            <w:pPr>
              <w:spacing w:before="40" w:after="40" w:line="220" w:lineRule="exact"/>
              <w:ind w:left="113"/>
              <w:jc w:val="right"/>
              <w:rPr>
                <w:sz w:val="18"/>
                <w:lang w:val="es-CO"/>
              </w:rPr>
            </w:pPr>
            <w:r w:rsidRPr="00107F43">
              <w:rPr>
                <w:sz w:val="18"/>
                <w:lang w:val="es-CO"/>
              </w:rPr>
              <w:t>116</w:t>
            </w:r>
          </w:p>
        </w:tc>
        <w:tc>
          <w:tcPr>
            <w:tcW w:w="545" w:type="pct"/>
            <w:shd w:val="clear" w:color="auto" w:fill="auto"/>
            <w:vAlign w:val="bottom"/>
          </w:tcPr>
          <w:p w14:paraId="712D0232" w14:textId="77777777" w:rsidR="002416DC" w:rsidRPr="00107F43" w:rsidRDefault="002416DC" w:rsidP="00107F43">
            <w:pPr>
              <w:spacing w:before="40" w:after="40" w:line="220" w:lineRule="exact"/>
              <w:ind w:left="113"/>
              <w:jc w:val="right"/>
              <w:rPr>
                <w:sz w:val="18"/>
                <w:lang w:val="es-CO"/>
              </w:rPr>
            </w:pPr>
            <w:r w:rsidRPr="00107F43">
              <w:rPr>
                <w:sz w:val="18"/>
                <w:lang w:val="es-CO"/>
              </w:rPr>
              <w:t>175</w:t>
            </w:r>
          </w:p>
        </w:tc>
        <w:tc>
          <w:tcPr>
            <w:tcW w:w="545" w:type="pct"/>
            <w:shd w:val="clear" w:color="auto" w:fill="auto"/>
            <w:vAlign w:val="bottom"/>
          </w:tcPr>
          <w:p w14:paraId="66BA349E" w14:textId="77777777" w:rsidR="002416DC" w:rsidRPr="00107F43" w:rsidRDefault="002416DC" w:rsidP="00107F43">
            <w:pPr>
              <w:spacing w:before="40" w:after="40" w:line="220" w:lineRule="exact"/>
              <w:ind w:left="113"/>
              <w:jc w:val="right"/>
              <w:rPr>
                <w:sz w:val="18"/>
                <w:lang w:val="es-CO"/>
              </w:rPr>
            </w:pPr>
            <w:r w:rsidRPr="00107F43">
              <w:rPr>
                <w:sz w:val="18"/>
                <w:lang w:val="es-CO"/>
              </w:rPr>
              <w:t>175</w:t>
            </w:r>
          </w:p>
        </w:tc>
        <w:tc>
          <w:tcPr>
            <w:tcW w:w="545" w:type="pct"/>
            <w:shd w:val="clear" w:color="auto" w:fill="auto"/>
            <w:vAlign w:val="bottom"/>
          </w:tcPr>
          <w:p w14:paraId="1081865D" w14:textId="77777777" w:rsidR="002416DC" w:rsidRPr="00107F43" w:rsidRDefault="002416DC" w:rsidP="00107F43">
            <w:pPr>
              <w:spacing w:before="40" w:after="40" w:line="220" w:lineRule="exact"/>
              <w:ind w:left="113"/>
              <w:jc w:val="right"/>
              <w:rPr>
                <w:sz w:val="18"/>
                <w:lang w:val="es-CO"/>
              </w:rPr>
            </w:pPr>
            <w:r w:rsidRPr="00107F43">
              <w:rPr>
                <w:sz w:val="18"/>
                <w:lang w:val="es-CO"/>
              </w:rPr>
              <w:t>176</w:t>
            </w:r>
          </w:p>
        </w:tc>
      </w:tr>
      <w:tr w:rsidR="00107F43" w:rsidRPr="00107F43" w14:paraId="29CCDA98" w14:textId="77777777" w:rsidTr="00107F43">
        <w:trPr>
          <w:trHeight w:val="240"/>
        </w:trPr>
        <w:tc>
          <w:tcPr>
            <w:tcW w:w="1083" w:type="pct"/>
            <w:shd w:val="clear" w:color="auto" w:fill="auto"/>
          </w:tcPr>
          <w:p w14:paraId="7AB2852F" w14:textId="28AF5B77" w:rsidR="002416DC" w:rsidRPr="00107F43" w:rsidRDefault="002416DC" w:rsidP="00107F43">
            <w:pPr>
              <w:spacing w:before="40" w:after="40" w:line="220" w:lineRule="exact"/>
              <w:rPr>
                <w:sz w:val="18"/>
                <w:lang w:val="es-CO"/>
              </w:rPr>
            </w:pPr>
            <w:r w:rsidRPr="00107F43">
              <w:rPr>
                <w:sz w:val="18"/>
                <w:lang w:val="es-CO"/>
              </w:rPr>
              <w:t>Planes de reparación colectiva en implementación (mayor al 50</w:t>
            </w:r>
            <w:r w:rsidR="00107F43">
              <w:rPr>
                <w:sz w:val="18"/>
                <w:lang w:val="es-CO"/>
              </w:rPr>
              <w:t xml:space="preserve"> </w:t>
            </w:r>
            <w:r w:rsidRPr="00107F43">
              <w:rPr>
                <w:sz w:val="18"/>
                <w:lang w:val="es-CO"/>
              </w:rPr>
              <w:t>%)</w:t>
            </w:r>
          </w:p>
        </w:tc>
        <w:tc>
          <w:tcPr>
            <w:tcW w:w="579" w:type="pct"/>
            <w:shd w:val="clear" w:color="auto" w:fill="auto"/>
            <w:vAlign w:val="bottom"/>
          </w:tcPr>
          <w:p w14:paraId="2DAC6532" w14:textId="77777777" w:rsidR="002416DC" w:rsidRPr="00107F43" w:rsidRDefault="002416DC" w:rsidP="00107F43">
            <w:pPr>
              <w:spacing w:before="40" w:after="40" w:line="220" w:lineRule="exact"/>
              <w:ind w:left="113"/>
              <w:jc w:val="right"/>
              <w:rPr>
                <w:sz w:val="18"/>
                <w:lang w:val="es-CO"/>
              </w:rPr>
            </w:pPr>
            <w:r w:rsidRPr="00107F43">
              <w:rPr>
                <w:sz w:val="18"/>
                <w:lang w:val="es-CO"/>
              </w:rPr>
              <w:t>122</w:t>
            </w:r>
          </w:p>
        </w:tc>
        <w:tc>
          <w:tcPr>
            <w:tcW w:w="579" w:type="pct"/>
            <w:shd w:val="clear" w:color="auto" w:fill="auto"/>
            <w:vAlign w:val="bottom"/>
          </w:tcPr>
          <w:p w14:paraId="49B2F23A" w14:textId="77777777" w:rsidR="002416DC" w:rsidRPr="00107F43" w:rsidRDefault="002416DC" w:rsidP="00107F43">
            <w:pPr>
              <w:spacing w:before="40" w:after="40" w:line="220" w:lineRule="exact"/>
              <w:ind w:left="113"/>
              <w:jc w:val="right"/>
              <w:rPr>
                <w:sz w:val="18"/>
                <w:lang w:val="es-CO"/>
              </w:rPr>
            </w:pPr>
            <w:r w:rsidRPr="00107F43">
              <w:rPr>
                <w:sz w:val="18"/>
                <w:lang w:val="es-CO"/>
              </w:rPr>
              <w:t>422</w:t>
            </w:r>
          </w:p>
        </w:tc>
        <w:tc>
          <w:tcPr>
            <w:tcW w:w="579" w:type="pct"/>
            <w:shd w:val="clear" w:color="auto" w:fill="auto"/>
            <w:vAlign w:val="bottom"/>
          </w:tcPr>
          <w:p w14:paraId="71036459" w14:textId="77777777" w:rsidR="002416DC" w:rsidRPr="00107F43" w:rsidRDefault="002416DC" w:rsidP="00107F43">
            <w:pPr>
              <w:spacing w:before="40" w:after="40" w:line="220" w:lineRule="exact"/>
              <w:ind w:left="113"/>
              <w:jc w:val="right"/>
              <w:rPr>
                <w:sz w:val="18"/>
                <w:lang w:val="es-CO"/>
              </w:rPr>
            </w:pPr>
            <w:r w:rsidRPr="00107F43">
              <w:rPr>
                <w:sz w:val="18"/>
                <w:lang w:val="es-CO"/>
              </w:rPr>
              <w:t>300</w:t>
            </w:r>
          </w:p>
        </w:tc>
        <w:tc>
          <w:tcPr>
            <w:tcW w:w="545" w:type="pct"/>
            <w:shd w:val="clear" w:color="auto" w:fill="auto"/>
            <w:vAlign w:val="bottom"/>
          </w:tcPr>
          <w:p w14:paraId="2A2D9CE6" w14:textId="77777777" w:rsidR="002416DC" w:rsidRPr="00107F43" w:rsidRDefault="002416DC" w:rsidP="00107F43">
            <w:pPr>
              <w:spacing w:before="40" w:after="40" w:line="220" w:lineRule="exact"/>
              <w:ind w:left="113"/>
              <w:jc w:val="right"/>
              <w:rPr>
                <w:sz w:val="18"/>
                <w:lang w:val="es-CO"/>
              </w:rPr>
            </w:pPr>
            <w:r w:rsidRPr="00107F43">
              <w:rPr>
                <w:sz w:val="18"/>
                <w:lang w:val="es-CO"/>
              </w:rPr>
              <w:t>30</w:t>
            </w:r>
          </w:p>
        </w:tc>
        <w:tc>
          <w:tcPr>
            <w:tcW w:w="545" w:type="pct"/>
            <w:shd w:val="clear" w:color="auto" w:fill="auto"/>
            <w:vAlign w:val="bottom"/>
          </w:tcPr>
          <w:p w14:paraId="32E8F30E" w14:textId="77777777" w:rsidR="002416DC" w:rsidRPr="00107F43" w:rsidRDefault="002416DC" w:rsidP="00107F43">
            <w:pPr>
              <w:spacing w:before="40" w:after="40" w:line="220" w:lineRule="exact"/>
              <w:ind w:left="113"/>
              <w:jc w:val="right"/>
              <w:rPr>
                <w:sz w:val="18"/>
                <w:lang w:val="es-CO"/>
              </w:rPr>
            </w:pPr>
            <w:r w:rsidRPr="00107F43">
              <w:rPr>
                <w:sz w:val="18"/>
                <w:lang w:val="es-CO"/>
              </w:rPr>
              <w:t>80</w:t>
            </w:r>
          </w:p>
        </w:tc>
        <w:tc>
          <w:tcPr>
            <w:tcW w:w="545" w:type="pct"/>
            <w:shd w:val="clear" w:color="auto" w:fill="auto"/>
            <w:vAlign w:val="bottom"/>
          </w:tcPr>
          <w:p w14:paraId="2DC12F36" w14:textId="77777777" w:rsidR="002416DC" w:rsidRPr="00107F43" w:rsidRDefault="002416DC" w:rsidP="00107F43">
            <w:pPr>
              <w:spacing w:before="40" w:after="40" w:line="220" w:lineRule="exact"/>
              <w:ind w:left="113"/>
              <w:jc w:val="right"/>
              <w:rPr>
                <w:sz w:val="18"/>
                <w:lang w:val="es-CO"/>
              </w:rPr>
            </w:pPr>
            <w:r w:rsidRPr="00107F43">
              <w:rPr>
                <w:sz w:val="18"/>
                <w:lang w:val="es-CO"/>
              </w:rPr>
              <w:t>90</w:t>
            </w:r>
          </w:p>
        </w:tc>
        <w:tc>
          <w:tcPr>
            <w:tcW w:w="545" w:type="pct"/>
            <w:shd w:val="clear" w:color="auto" w:fill="auto"/>
            <w:vAlign w:val="bottom"/>
          </w:tcPr>
          <w:p w14:paraId="673CFD43" w14:textId="77777777" w:rsidR="002416DC" w:rsidRPr="00107F43" w:rsidRDefault="002416DC" w:rsidP="00107F43">
            <w:pPr>
              <w:spacing w:before="40" w:after="40" w:line="220" w:lineRule="exact"/>
              <w:ind w:left="113"/>
              <w:jc w:val="right"/>
              <w:rPr>
                <w:sz w:val="18"/>
                <w:lang w:val="es-CO"/>
              </w:rPr>
            </w:pPr>
            <w:r w:rsidRPr="00107F43">
              <w:rPr>
                <w:sz w:val="18"/>
                <w:lang w:val="es-CO"/>
              </w:rPr>
              <w:t>100</w:t>
            </w:r>
          </w:p>
        </w:tc>
      </w:tr>
      <w:tr w:rsidR="00107F43" w:rsidRPr="00107F43" w14:paraId="7D821037" w14:textId="77777777" w:rsidTr="00107F43">
        <w:trPr>
          <w:trHeight w:val="240"/>
        </w:trPr>
        <w:tc>
          <w:tcPr>
            <w:tcW w:w="1083" w:type="pct"/>
            <w:tcBorders>
              <w:bottom w:val="single" w:sz="12" w:space="0" w:color="auto"/>
            </w:tcBorders>
            <w:shd w:val="clear" w:color="auto" w:fill="auto"/>
          </w:tcPr>
          <w:p w14:paraId="32EAB83C" w14:textId="77777777" w:rsidR="002416DC" w:rsidRPr="00107F43" w:rsidRDefault="002416DC" w:rsidP="00107F43">
            <w:pPr>
              <w:spacing w:before="40" w:after="40" w:line="220" w:lineRule="exact"/>
              <w:rPr>
                <w:sz w:val="18"/>
                <w:lang w:val="es-CO"/>
              </w:rPr>
            </w:pPr>
            <w:r w:rsidRPr="00107F43">
              <w:rPr>
                <w:sz w:val="18"/>
                <w:lang w:val="es-CO"/>
              </w:rPr>
              <w:t>Victimas retomadas, reubicadas e integradas localmente (con una nueva medición)</w:t>
            </w:r>
          </w:p>
        </w:tc>
        <w:tc>
          <w:tcPr>
            <w:tcW w:w="579" w:type="pct"/>
            <w:tcBorders>
              <w:bottom w:val="single" w:sz="12" w:space="0" w:color="auto"/>
            </w:tcBorders>
            <w:shd w:val="clear" w:color="auto" w:fill="auto"/>
            <w:vAlign w:val="bottom"/>
          </w:tcPr>
          <w:p w14:paraId="71AAA66B" w14:textId="490A0FB5" w:rsidR="002416DC" w:rsidRPr="00107F43" w:rsidRDefault="002416DC" w:rsidP="00107F43">
            <w:pPr>
              <w:spacing w:before="40" w:after="40" w:line="220" w:lineRule="exact"/>
              <w:ind w:left="113"/>
              <w:jc w:val="right"/>
              <w:rPr>
                <w:sz w:val="18"/>
                <w:lang w:val="es-CO"/>
              </w:rPr>
            </w:pPr>
            <w:r w:rsidRPr="00107F43">
              <w:rPr>
                <w:sz w:val="18"/>
                <w:lang w:val="es-CO"/>
              </w:rPr>
              <w:t>8</w:t>
            </w:r>
            <w:r w:rsidR="00107F43">
              <w:rPr>
                <w:sz w:val="18"/>
                <w:lang w:val="es-CO"/>
              </w:rPr>
              <w:t xml:space="preserve"> </w:t>
            </w:r>
            <w:r w:rsidRPr="00107F43">
              <w:rPr>
                <w:sz w:val="18"/>
                <w:lang w:val="es-CO"/>
              </w:rPr>
              <w:t>218</w:t>
            </w:r>
          </w:p>
        </w:tc>
        <w:tc>
          <w:tcPr>
            <w:tcW w:w="579" w:type="pct"/>
            <w:tcBorders>
              <w:bottom w:val="single" w:sz="12" w:space="0" w:color="auto"/>
            </w:tcBorders>
            <w:shd w:val="clear" w:color="auto" w:fill="auto"/>
            <w:vAlign w:val="bottom"/>
          </w:tcPr>
          <w:p w14:paraId="3ABF41CB" w14:textId="5E921526" w:rsidR="002416DC" w:rsidRPr="00107F43" w:rsidRDefault="002416DC" w:rsidP="00107F43">
            <w:pPr>
              <w:spacing w:before="40" w:after="40" w:line="220" w:lineRule="exact"/>
              <w:ind w:left="113"/>
              <w:jc w:val="right"/>
              <w:rPr>
                <w:sz w:val="18"/>
                <w:lang w:val="es-CO"/>
              </w:rPr>
            </w:pPr>
            <w:r w:rsidRPr="00107F43">
              <w:rPr>
                <w:sz w:val="18"/>
                <w:lang w:val="es-CO"/>
              </w:rPr>
              <w:t>376</w:t>
            </w:r>
            <w:r w:rsidR="00107F43">
              <w:rPr>
                <w:sz w:val="18"/>
                <w:lang w:val="es-CO"/>
              </w:rPr>
              <w:t xml:space="preserve"> </w:t>
            </w:r>
            <w:r w:rsidRPr="00107F43">
              <w:rPr>
                <w:sz w:val="18"/>
                <w:lang w:val="es-CO"/>
              </w:rPr>
              <w:t>218</w:t>
            </w:r>
          </w:p>
        </w:tc>
        <w:tc>
          <w:tcPr>
            <w:tcW w:w="579" w:type="pct"/>
            <w:tcBorders>
              <w:bottom w:val="single" w:sz="12" w:space="0" w:color="auto"/>
            </w:tcBorders>
            <w:shd w:val="clear" w:color="auto" w:fill="auto"/>
            <w:vAlign w:val="bottom"/>
          </w:tcPr>
          <w:p w14:paraId="564BEA60" w14:textId="77E27A29" w:rsidR="002416DC" w:rsidRPr="00107F43" w:rsidRDefault="002416DC" w:rsidP="00107F43">
            <w:pPr>
              <w:spacing w:before="40" w:after="40" w:line="220" w:lineRule="exact"/>
              <w:ind w:left="113"/>
              <w:jc w:val="right"/>
              <w:rPr>
                <w:sz w:val="18"/>
                <w:lang w:val="es-CO"/>
              </w:rPr>
            </w:pPr>
            <w:r w:rsidRPr="00107F43">
              <w:rPr>
                <w:sz w:val="18"/>
                <w:lang w:val="es-CO"/>
              </w:rPr>
              <w:t>368</w:t>
            </w:r>
            <w:r w:rsidR="00107F43">
              <w:rPr>
                <w:sz w:val="18"/>
                <w:lang w:val="es-CO"/>
              </w:rPr>
              <w:t xml:space="preserve"> </w:t>
            </w:r>
            <w:r w:rsidRPr="00107F43">
              <w:rPr>
                <w:sz w:val="18"/>
                <w:lang w:val="es-CO"/>
              </w:rPr>
              <w:t>000</w:t>
            </w:r>
          </w:p>
        </w:tc>
        <w:tc>
          <w:tcPr>
            <w:tcW w:w="545" w:type="pct"/>
            <w:tcBorders>
              <w:bottom w:val="single" w:sz="12" w:space="0" w:color="auto"/>
            </w:tcBorders>
            <w:shd w:val="clear" w:color="auto" w:fill="auto"/>
            <w:vAlign w:val="bottom"/>
          </w:tcPr>
          <w:p w14:paraId="396B58B7" w14:textId="225897FD" w:rsidR="002416DC" w:rsidRPr="00107F43" w:rsidRDefault="002416DC" w:rsidP="00107F43">
            <w:pPr>
              <w:spacing w:before="40" w:after="40" w:line="220" w:lineRule="exact"/>
              <w:ind w:left="113"/>
              <w:jc w:val="right"/>
              <w:rPr>
                <w:sz w:val="18"/>
                <w:lang w:val="es-CO"/>
              </w:rPr>
            </w:pPr>
            <w:r w:rsidRPr="00107F43">
              <w:rPr>
                <w:sz w:val="18"/>
                <w:lang w:val="es-CO"/>
              </w:rPr>
              <w:t>29</w:t>
            </w:r>
            <w:r w:rsidR="00107F43">
              <w:rPr>
                <w:sz w:val="18"/>
                <w:lang w:val="es-CO"/>
              </w:rPr>
              <w:t xml:space="preserve"> </w:t>
            </w:r>
            <w:r w:rsidRPr="00107F43">
              <w:rPr>
                <w:sz w:val="18"/>
                <w:lang w:val="es-CO"/>
              </w:rPr>
              <w:t>500</w:t>
            </w:r>
          </w:p>
        </w:tc>
        <w:tc>
          <w:tcPr>
            <w:tcW w:w="545" w:type="pct"/>
            <w:tcBorders>
              <w:bottom w:val="single" w:sz="12" w:space="0" w:color="auto"/>
            </w:tcBorders>
            <w:shd w:val="clear" w:color="auto" w:fill="auto"/>
            <w:vAlign w:val="bottom"/>
          </w:tcPr>
          <w:p w14:paraId="66373746" w14:textId="09600DEC" w:rsidR="002416DC" w:rsidRPr="00107F43" w:rsidRDefault="002416DC" w:rsidP="00107F43">
            <w:pPr>
              <w:spacing w:before="40" w:after="40" w:line="220" w:lineRule="exact"/>
              <w:ind w:left="113"/>
              <w:jc w:val="right"/>
              <w:rPr>
                <w:sz w:val="18"/>
                <w:lang w:val="es-CO"/>
              </w:rPr>
            </w:pPr>
            <w:r w:rsidRPr="00107F43">
              <w:rPr>
                <w:sz w:val="18"/>
                <w:lang w:val="es-CO"/>
              </w:rPr>
              <w:t>92</w:t>
            </w:r>
            <w:r w:rsidR="00107F43">
              <w:rPr>
                <w:sz w:val="18"/>
                <w:lang w:val="es-CO"/>
              </w:rPr>
              <w:t xml:space="preserve"> </w:t>
            </w:r>
            <w:r w:rsidRPr="00107F43">
              <w:rPr>
                <w:sz w:val="18"/>
                <w:lang w:val="es-CO"/>
              </w:rPr>
              <w:t>000</w:t>
            </w:r>
          </w:p>
        </w:tc>
        <w:tc>
          <w:tcPr>
            <w:tcW w:w="545" w:type="pct"/>
            <w:tcBorders>
              <w:bottom w:val="single" w:sz="12" w:space="0" w:color="auto"/>
            </w:tcBorders>
            <w:shd w:val="clear" w:color="auto" w:fill="auto"/>
            <w:vAlign w:val="bottom"/>
          </w:tcPr>
          <w:p w14:paraId="6F506D9D" w14:textId="18A3D951" w:rsidR="002416DC" w:rsidRPr="00107F43" w:rsidRDefault="002416DC" w:rsidP="00107F43">
            <w:pPr>
              <w:spacing w:before="40" w:after="40" w:line="220" w:lineRule="exact"/>
              <w:ind w:left="113"/>
              <w:jc w:val="right"/>
              <w:rPr>
                <w:sz w:val="18"/>
                <w:lang w:val="es-CO"/>
              </w:rPr>
            </w:pPr>
            <w:r w:rsidRPr="00107F43">
              <w:rPr>
                <w:sz w:val="18"/>
                <w:lang w:val="es-CO"/>
              </w:rPr>
              <w:t>92</w:t>
            </w:r>
            <w:r w:rsidR="00107F43">
              <w:rPr>
                <w:sz w:val="18"/>
                <w:lang w:val="es-CO"/>
              </w:rPr>
              <w:t xml:space="preserve"> </w:t>
            </w:r>
            <w:r w:rsidRPr="00107F43">
              <w:rPr>
                <w:sz w:val="18"/>
                <w:lang w:val="es-CO"/>
              </w:rPr>
              <w:t>000</w:t>
            </w:r>
          </w:p>
        </w:tc>
        <w:tc>
          <w:tcPr>
            <w:tcW w:w="545" w:type="pct"/>
            <w:tcBorders>
              <w:bottom w:val="single" w:sz="12" w:space="0" w:color="auto"/>
            </w:tcBorders>
            <w:shd w:val="clear" w:color="auto" w:fill="auto"/>
            <w:vAlign w:val="bottom"/>
          </w:tcPr>
          <w:p w14:paraId="7B8A2388" w14:textId="5A26EAD7" w:rsidR="002416DC" w:rsidRPr="00107F43" w:rsidRDefault="002416DC" w:rsidP="00107F43">
            <w:pPr>
              <w:spacing w:before="40" w:after="40" w:line="220" w:lineRule="exact"/>
              <w:ind w:left="113"/>
              <w:jc w:val="right"/>
              <w:rPr>
                <w:sz w:val="18"/>
                <w:lang w:val="es-CO"/>
              </w:rPr>
            </w:pPr>
            <w:r w:rsidRPr="00107F43">
              <w:rPr>
                <w:sz w:val="18"/>
                <w:lang w:val="es-CO"/>
              </w:rPr>
              <w:t>154</w:t>
            </w:r>
            <w:r w:rsidR="00107F43">
              <w:rPr>
                <w:sz w:val="18"/>
                <w:lang w:val="es-CO"/>
              </w:rPr>
              <w:t xml:space="preserve"> </w:t>
            </w:r>
            <w:r w:rsidRPr="00107F43">
              <w:rPr>
                <w:sz w:val="18"/>
                <w:lang w:val="es-CO"/>
              </w:rPr>
              <w:t>5000</w:t>
            </w:r>
          </w:p>
        </w:tc>
      </w:tr>
    </w:tbl>
    <w:p w14:paraId="01B4F8E8" w14:textId="767C6EF8" w:rsidR="002416DC" w:rsidRPr="00107F43" w:rsidRDefault="002416DC" w:rsidP="00107F43">
      <w:pPr>
        <w:pStyle w:val="SingleTxtG"/>
        <w:spacing w:before="120" w:after="240"/>
        <w:ind w:firstLine="170"/>
        <w:jc w:val="left"/>
        <w:rPr>
          <w:sz w:val="18"/>
          <w:szCs w:val="18"/>
          <w:lang w:val="es-CO" w:eastAsia="es-CO"/>
        </w:rPr>
      </w:pPr>
      <w:r w:rsidRPr="00107F43">
        <w:rPr>
          <w:i/>
          <w:sz w:val="18"/>
          <w:szCs w:val="18"/>
          <w:lang w:val="es-CO" w:eastAsia="es-CO"/>
        </w:rPr>
        <w:t>Fuente:</w:t>
      </w:r>
      <w:r w:rsidRPr="00107F43">
        <w:rPr>
          <w:sz w:val="18"/>
          <w:szCs w:val="18"/>
          <w:lang w:val="es-CO" w:eastAsia="es-CO"/>
        </w:rPr>
        <w:t xml:space="preserve"> Unidad para la Atención y Reparación Integral a las Victimas</w:t>
      </w:r>
      <w:r w:rsidR="00107F43">
        <w:rPr>
          <w:sz w:val="18"/>
          <w:szCs w:val="18"/>
          <w:lang w:val="es-CO" w:eastAsia="es-CO"/>
        </w:rPr>
        <w:t>,</w:t>
      </w:r>
      <w:r w:rsidRPr="00107F43">
        <w:rPr>
          <w:sz w:val="18"/>
          <w:szCs w:val="18"/>
          <w:lang w:val="es-CO" w:eastAsia="es-CO"/>
        </w:rPr>
        <w:t xml:space="preserve"> 2024</w:t>
      </w:r>
      <w:r w:rsidR="00107F43">
        <w:rPr>
          <w:sz w:val="18"/>
          <w:szCs w:val="18"/>
          <w:lang w:val="es-CO" w:eastAsia="es-CO"/>
        </w:rPr>
        <w:t>.</w:t>
      </w:r>
    </w:p>
    <w:p w14:paraId="10FB0D79" w14:textId="64E05C14" w:rsidR="005E7C3B" w:rsidRPr="00323F4B" w:rsidRDefault="003F3620" w:rsidP="00107F43">
      <w:pPr>
        <w:pStyle w:val="H23G"/>
        <w:rPr>
          <w:i/>
        </w:rPr>
      </w:pPr>
      <w:r w:rsidRPr="003F3620">
        <w:tab/>
      </w:r>
      <w:r w:rsidR="005E7C3B" w:rsidRPr="00323F4B">
        <w:t>4</w:t>
      </w:r>
      <w:r w:rsidR="00323F4B" w:rsidRPr="00323F4B">
        <w:t>.</w:t>
      </w:r>
      <w:r w:rsidRPr="00323F4B">
        <w:tab/>
      </w:r>
      <w:r w:rsidR="005E7C3B" w:rsidRPr="00323F4B">
        <w:t>El Sector Seguridad y Defensa y la población de líderes sociales y personas</w:t>
      </w:r>
      <w:r w:rsidR="00107F43">
        <w:br/>
      </w:r>
      <w:r w:rsidR="005E7C3B" w:rsidRPr="00323F4B">
        <w:t>defensoras de los derechos humanos</w:t>
      </w:r>
    </w:p>
    <w:p w14:paraId="0A409867" w14:textId="75095E80" w:rsidR="005E7C3B" w:rsidRPr="003F3620" w:rsidRDefault="005E7C3B" w:rsidP="003F3620">
      <w:pPr>
        <w:pStyle w:val="SingleTxtG"/>
        <w:rPr>
          <w:rFonts w:eastAsia="Calibri"/>
          <w:lang w:eastAsia="en-US"/>
        </w:rPr>
      </w:pPr>
      <w:r w:rsidRPr="003F3620">
        <w:rPr>
          <w:rFonts w:eastAsia="Calibri"/>
          <w:lang w:eastAsia="en-US"/>
        </w:rPr>
        <w:t>55.</w:t>
      </w:r>
      <w:r w:rsidR="003F3620">
        <w:rPr>
          <w:rFonts w:eastAsia="Calibri"/>
          <w:lang w:eastAsia="en-US"/>
        </w:rPr>
        <w:tab/>
      </w:r>
      <w:r w:rsidRPr="003F3620">
        <w:rPr>
          <w:rFonts w:eastAsia="Calibri"/>
          <w:lang w:eastAsia="en-US"/>
        </w:rPr>
        <w:t>Desde el año 2022, las entidades que pertenecen al sector de defensa y Seguridad del Estado han implementado las siguientes políticas públicas, y estrategias, que tienen como objeto la protección de la población de líderes sociales y personas defensoras de los derechos humanos: </w:t>
      </w:r>
    </w:p>
    <w:p w14:paraId="6B2358CB" w14:textId="65CCE712" w:rsidR="005E7C3B" w:rsidRPr="005E3F2C" w:rsidRDefault="005E7C3B" w:rsidP="00107F43">
      <w:pPr>
        <w:pStyle w:val="Bullet1G"/>
      </w:pPr>
      <w:r w:rsidRPr="005E3F2C">
        <w:rPr>
          <w:rStyle w:val="normaltextrun"/>
          <w:rFonts w:eastAsiaTheme="majorEastAsia"/>
        </w:rPr>
        <w:t xml:space="preserve">El Plan de Emergencia para la protección a líderes y lideresas sociales, personas </w:t>
      </w:r>
      <w:r w:rsidRPr="00107F43">
        <w:rPr>
          <w:rStyle w:val="normaltextrun"/>
          <w:rFonts w:eastAsiaTheme="majorEastAsia"/>
        </w:rPr>
        <w:t>defensoras</w:t>
      </w:r>
      <w:r w:rsidRPr="005E3F2C">
        <w:rPr>
          <w:rStyle w:val="normaltextrun"/>
          <w:rFonts w:eastAsiaTheme="majorEastAsia"/>
        </w:rPr>
        <w:t xml:space="preserve"> de DDHH y firmantes de paz, direccionado por el Ministerio del Interior, en particular mediante el desarrollo de los Puestos de Mando Unificados por la Vida – PMUV, los cuales funcionaron de manera transitoria (inicialmente por un per</w:t>
      </w:r>
      <w:r w:rsidR="005D6F66">
        <w:rPr>
          <w:rStyle w:val="normaltextrun"/>
          <w:rFonts w:eastAsiaTheme="majorEastAsia"/>
        </w:rPr>
        <w:t>í</w:t>
      </w:r>
      <w:r w:rsidRPr="005E3F2C">
        <w:rPr>
          <w:rStyle w:val="normaltextrun"/>
          <w:rFonts w:eastAsiaTheme="majorEastAsia"/>
        </w:rPr>
        <w:t xml:space="preserve">odo de 100 días), en 64 municipios priorizados y como mecanismo interinstitucional acompañado por la comunidad internacional y con participación de las plataformas de </w:t>
      </w:r>
      <w:r w:rsidRPr="005E3F2C">
        <w:rPr>
          <w:rStyle w:val="normaltextrun"/>
          <w:rFonts w:eastAsiaTheme="majorEastAsia"/>
        </w:rPr>
        <w:lastRenderedPageBreak/>
        <w:t>derechos humanos y organizaciones de la sociedad civil, para impulsar acciones de carácter operativo y de medidas urgentes con un enfoque territorial, el cual estuvo bajo la coordinación de las autoridades locales, con el objetivo de articular acciones, estrategias y medidas, dentro de lo cual, en el año 2023 se adelantaron sesiones sobre casos muy particulares, como el del municipio de Argelia (Cauca) y el Espacio Territorial de Capacitación y Reincorporación-ETCR Mariana Páez en el municipio de Mesetas (Meta)</w:t>
      </w:r>
      <w:r w:rsidR="00107F43">
        <w:rPr>
          <w:rStyle w:val="normaltextrun"/>
          <w:rFonts w:eastAsiaTheme="majorEastAsia"/>
        </w:rPr>
        <w:t>.</w:t>
      </w:r>
    </w:p>
    <w:p w14:paraId="4612587C" w14:textId="27DDE93E" w:rsidR="005E7C3B" w:rsidRPr="005E3F2C" w:rsidRDefault="005E7C3B" w:rsidP="003F3620">
      <w:pPr>
        <w:pStyle w:val="Bullet1G"/>
        <w:rPr>
          <w:rStyle w:val="eop"/>
          <w:rFonts w:eastAsiaTheme="majorEastAsia"/>
        </w:rPr>
      </w:pPr>
      <w:r w:rsidRPr="005E3F2C">
        <w:rPr>
          <w:rStyle w:val="normaltextrun"/>
          <w:rFonts w:eastAsiaTheme="majorEastAsia"/>
        </w:rPr>
        <w:t>La Política de Seguridad, Defensa y Convivencia Ciudadana “Garantías para la Vida y la Paz” 2022-2026, adoptada mediante Resolución 2703 del 19 de julio de 2023</w:t>
      </w:r>
      <w:r w:rsidR="00E10ABC">
        <w:rPr>
          <w:rStyle w:val="normaltextrun"/>
          <w:rFonts w:eastAsiaTheme="majorEastAsia"/>
        </w:rPr>
        <w:t>;</w:t>
      </w:r>
      <w:r w:rsidRPr="005E3F2C">
        <w:rPr>
          <w:rStyle w:val="eop"/>
          <w:rFonts w:eastAsiaTheme="majorEastAsia"/>
        </w:rPr>
        <w:t> </w:t>
      </w:r>
    </w:p>
    <w:p w14:paraId="48D966E3" w14:textId="6F8D4430" w:rsidR="005E7C3B" w:rsidRPr="005E3F2C" w:rsidRDefault="005E7C3B" w:rsidP="003F3620">
      <w:pPr>
        <w:pStyle w:val="Bullet1G"/>
        <w:rPr>
          <w:rStyle w:val="eop"/>
          <w:rFonts w:eastAsiaTheme="majorEastAsia"/>
        </w:rPr>
      </w:pPr>
      <w:r w:rsidRPr="005E3F2C">
        <w:rPr>
          <w:rStyle w:val="normaltextrun"/>
          <w:rFonts w:eastAsiaTheme="majorEastAsia"/>
        </w:rPr>
        <w:t>La Política Pública de Desmantelamiento de Organizaciones Criminales que atentan contra la construcción de la paz, incluidas las denominadas sucesoras del paramilitarismo y sus redes de apoyo. Adoptada mediante Acuerdo Presidencial 01 del 7 de septiembre de 2023</w:t>
      </w:r>
      <w:r w:rsidR="00107F43">
        <w:rPr>
          <w:rStyle w:val="normaltextrun"/>
          <w:rFonts w:eastAsiaTheme="majorEastAsia"/>
        </w:rPr>
        <w:t>.</w:t>
      </w:r>
    </w:p>
    <w:p w14:paraId="574CE423" w14:textId="61F90FBF" w:rsidR="005E7C3B" w:rsidRDefault="005E7C3B" w:rsidP="003F3620">
      <w:pPr>
        <w:pStyle w:val="Bullet1G"/>
        <w:rPr>
          <w:rStyle w:val="eop"/>
          <w:rFonts w:eastAsiaTheme="majorEastAsia"/>
        </w:rPr>
      </w:pPr>
      <w:r w:rsidRPr="005E3F2C">
        <w:rPr>
          <w:rStyle w:val="normaltextrun"/>
          <w:rFonts w:eastAsiaTheme="majorEastAsia"/>
        </w:rPr>
        <w:t xml:space="preserve">El </w:t>
      </w:r>
      <w:r w:rsidRPr="00107F43">
        <w:t>CONPES</w:t>
      </w:r>
      <w:r w:rsidRPr="005E3F2C">
        <w:rPr>
          <w:rStyle w:val="normaltextrun"/>
          <w:rFonts w:eastAsiaTheme="majorEastAsia"/>
        </w:rPr>
        <w:t xml:space="preserve"> 4063 “Política Pública de Garantías y Respeto a la Labor de Defensa de los Derechos Humanos y el Liderazgo Social”, aprobado en el año 2021, el cual se mantiene en su desarrollo alineado a las disposiciones de política y estrategias definidas por el Gobierno Nacional</w:t>
      </w:r>
      <w:r w:rsidR="00107F43">
        <w:rPr>
          <w:rStyle w:val="normaltextrun"/>
          <w:rFonts w:eastAsiaTheme="majorEastAsia"/>
        </w:rPr>
        <w:t>.</w:t>
      </w:r>
    </w:p>
    <w:p w14:paraId="3BD8EC1B" w14:textId="39990764" w:rsidR="005E7C3B" w:rsidRDefault="005E7C3B" w:rsidP="003F3620">
      <w:pPr>
        <w:pStyle w:val="Bullet1G"/>
        <w:rPr>
          <w:rStyle w:val="eop"/>
          <w:rFonts w:eastAsiaTheme="majorEastAsia"/>
        </w:rPr>
      </w:pPr>
      <w:r>
        <w:rPr>
          <w:rStyle w:val="normaltextrun"/>
          <w:rFonts w:eastAsiaTheme="majorEastAsia"/>
        </w:rPr>
        <w:t>Acompañamiento</w:t>
      </w:r>
      <w:r w:rsidRPr="00853D80">
        <w:rPr>
          <w:rStyle w:val="normaltextrun"/>
          <w:rFonts w:eastAsiaTheme="majorEastAsia"/>
        </w:rPr>
        <w:t xml:space="preserve"> al Ministerio del Interior en el desarrollo de un nuevo enfoque del Programa Integral de Seguridad y Protección para Comunidades y Organizaciones en los </w:t>
      </w:r>
      <w:r w:rsidRPr="00107F43">
        <w:t>Territorios</w:t>
      </w:r>
      <w:r w:rsidRPr="00853D80">
        <w:rPr>
          <w:rStyle w:val="normaltextrun"/>
          <w:rFonts w:eastAsiaTheme="majorEastAsia"/>
        </w:rPr>
        <w:t xml:space="preserve"> (Decreto 660 de 2018), así como en la formulación de la Política Pública Integral de Garantías para la labor de Defensa de los Derechos Humanos</w:t>
      </w:r>
      <w:r w:rsidR="00107F43">
        <w:rPr>
          <w:rStyle w:val="normaltextrun"/>
          <w:rFonts w:eastAsiaTheme="majorEastAsia"/>
        </w:rPr>
        <w:t>.</w:t>
      </w:r>
    </w:p>
    <w:p w14:paraId="0BE6960A" w14:textId="478345AD" w:rsidR="005E7C3B" w:rsidRPr="00853D80" w:rsidRDefault="005E7C3B" w:rsidP="003F3620">
      <w:pPr>
        <w:pStyle w:val="Bullet1G"/>
        <w:rPr>
          <w:rStyle w:val="normaltextrun"/>
          <w:rFonts w:eastAsiaTheme="majorEastAsia"/>
        </w:rPr>
      </w:pPr>
      <w:r w:rsidRPr="00853D80">
        <w:rPr>
          <w:rStyle w:val="normaltextrun"/>
          <w:rFonts w:eastAsiaTheme="majorEastAsia"/>
        </w:rPr>
        <w:t xml:space="preserve">Adicionalmente, la Policía Nacional en medio de su ofensiva contra el crimen </w:t>
      </w:r>
      <w:r w:rsidRPr="00107F43">
        <w:t>organizado</w:t>
      </w:r>
      <w:r w:rsidRPr="00853D80">
        <w:rPr>
          <w:rStyle w:val="normaltextrun"/>
          <w:rFonts w:eastAsiaTheme="majorEastAsia"/>
        </w:rPr>
        <w:t xml:space="preserve"> cuenta con la estrategia “Cartel de los más buscados por homicidios firmantes de paz. Líderes sociales y defensores de derechos humanos”, en esta se da a conocer una extensa lista con las identidades y fotografías de los y las delincuentes más buscados en el país por varios delitos.</w:t>
      </w:r>
      <w:r w:rsidR="00107F43">
        <w:rPr>
          <w:rStyle w:val="normaltextrun"/>
          <w:rFonts w:eastAsiaTheme="majorEastAsia"/>
        </w:rPr>
        <w:t xml:space="preserve"> </w:t>
      </w:r>
      <w:r w:rsidRPr="00853D80">
        <w:rPr>
          <w:rStyle w:val="normaltextrun"/>
          <w:rFonts w:eastAsiaTheme="majorEastAsia"/>
        </w:rPr>
        <w:t xml:space="preserve">Los carteles se han dispuesto de manera virtual a través de la página web </w:t>
      </w:r>
      <w:hyperlink r:id="rId12" w:tgtFrame="_blank" w:history="1">
        <w:r w:rsidRPr="00B77019">
          <w:rPr>
            <w:rStyle w:val="normaltextrun"/>
            <w:rFonts w:eastAsiaTheme="majorEastAsia"/>
          </w:rPr>
          <w:t>https://www.policia.gov.co/losmasbuscados</w:t>
        </w:r>
      </w:hyperlink>
      <w:r w:rsidRPr="00B77019">
        <w:rPr>
          <w:rStyle w:val="normaltextrun"/>
          <w:rFonts w:eastAsiaTheme="majorEastAsia"/>
        </w:rPr>
        <w:t>,</w:t>
      </w:r>
      <w:r w:rsidR="00107F43">
        <w:rPr>
          <w:rStyle w:val="normaltextrun"/>
          <w:rFonts w:eastAsiaTheme="majorEastAsia"/>
        </w:rPr>
        <w:t xml:space="preserve"> </w:t>
      </w:r>
      <w:r w:rsidRPr="00853D80">
        <w:rPr>
          <w:rStyle w:val="normaltextrun"/>
          <w:rFonts w:eastAsiaTheme="majorEastAsia"/>
        </w:rPr>
        <w:t>donde se encuentran desglosados por tipo de delito y seccional del país que los requiere</w:t>
      </w:r>
      <w:r w:rsidR="00107F43">
        <w:rPr>
          <w:rStyle w:val="normaltextrun"/>
          <w:rFonts w:eastAsiaTheme="majorEastAsia"/>
        </w:rPr>
        <w:t>.</w:t>
      </w:r>
      <w:r w:rsidRPr="00853D80">
        <w:rPr>
          <w:rStyle w:val="normaltextrun"/>
          <w:rFonts w:eastAsiaTheme="majorEastAsia"/>
        </w:rPr>
        <w:t xml:space="preserve"> </w:t>
      </w:r>
    </w:p>
    <w:p w14:paraId="2816A306" w14:textId="4EE2167B" w:rsidR="005E7C3B" w:rsidRPr="003F3620" w:rsidRDefault="005E7C3B" w:rsidP="003F3620">
      <w:pPr>
        <w:pStyle w:val="SingleTxtG"/>
        <w:rPr>
          <w:rFonts w:eastAsia="Calibri"/>
          <w:lang w:eastAsia="en-US"/>
        </w:rPr>
      </w:pPr>
      <w:r w:rsidRPr="003F3620">
        <w:rPr>
          <w:rFonts w:eastAsia="Calibri"/>
          <w:lang w:eastAsia="en-US"/>
        </w:rPr>
        <w:t>56.</w:t>
      </w:r>
      <w:r w:rsidR="003F3620">
        <w:rPr>
          <w:rFonts w:eastAsia="Calibri"/>
          <w:lang w:eastAsia="en-US"/>
        </w:rPr>
        <w:tab/>
      </w:r>
      <w:r w:rsidRPr="003F3620">
        <w:rPr>
          <w:rFonts w:eastAsia="Calibri"/>
          <w:lang w:eastAsia="en-US"/>
        </w:rPr>
        <w:t>Aunado a lo anterior, desde el Comando General de las Fuerzas Militares se mantiene la vigencia de la disposición No 008/18, por la cual se emiten “Instrucciones generales para la protección de Defensores y Defensoras de Derechos Humanos y Líderes y Lideresas Sociales”, con el objetivo de “dar a conocer los parámetros y recomendaciones que permitan orientar el accionar de los integrantes de las Fuerzas Militares a fin de promover, respetar y garantizar, la labor que cumplen los defensores y defensoras de Derechos Humanos, así como los líderes sociales y personas que integran las diferentes organizaciones de la sociedad civil”.</w:t>
      </w:r>
    </w:p>
    <w:p w14:paraId="4495846A" w14:textId="7CD3746E" w:rsidR="005E7C3B" w:rsidRPr="005E3F2C" w:rsidRDefault="003F3620" w:rsidP="00107F43">
      <w:pPr>
        <w:pStyle w:val="H23G"/>
      </w:pPr>
      <w:r>
        <w:tab/>
      </w:r>
      <w:r w:rsidR="005E7C3B">
        <w:t>5</w:t>
      </w:r>
      <w:r w:rsidR="00E10ABC">
        <w:t>.</w:t>
      </w:r>
      <w:r>
        <w:tab/>
      </w:r>
      <w:r w:rsidR="005E7C3B" w:rsidRPr="004F03FC">
        <w:t>Estrategia de Atención a Poblaciones en Situación de Vulnerabilidad</w:t>
      </w:r>
      <w:r w:rsidR="005E7C3B">
        <w:t xml:space="preserve">- </w:t>
      </w:r>
      <w:r w:rsidR="005E7C3B" w:rsidRPr="00853D80">
        <w:t>ESPOV</w:t>
      </w:r>
    </w:p>
    <w:p w14:paraId="3705AB07" w14:textId="6EB7820D" w:rsidR="005E7C3B" w:rsidRPr="003F3620" w:rsidRDefault="005E7C3B" w:rsidP="003F3620">
      <w:pPr>
        <w:pStyle w:val="SingleTxtG"/>
        <w:rPr>
          <w:rFonts w:eastAsia="Calibri"/>
          <w:lang w:eastAsia="en-US"/>
        </w:rPr>
      </w:pPr>
      <w:r w:rsidRPr="003F3620">
        <w:rPr>
          <w:rFonts w:eastAsia="Calibri"/>
          <w:lang w:eastAsia="en-US"/>
        </w:rPr>
        <w:t>57.</w:t>
      </w:r>
      <w:r w:rsidR="003F3620">
        <w:rPr>
          <w:rFonts w:eastAsia="Calibri"/>
          <w:lang w:eastAsia="en-US"/>
        </w:rPr>
        <w:tab/>
      </w:r>
      <w:r w:rsidRPr="003F3620">
        <w:rPr>
          <w:rFonts w:eastAsia="Calibri"/>
          <w:lang w:eastAsia="en-US"/>
        </w:rPr>
        <w:t>La Directiva Operativa Transitoria 008 DIPON-JESEP del 01/04/2023 define los “Parámetros de Actuación Policial para el Despliegue de la Estrategia de Atención a Poblaciones en Situación de Vulnerabilidad -ESPOV” y ha marcado la hoja de ruta del Grupo Atención a comunidades, líderes y defensores de derechos humanos, quienes tienen como propósito de atender situaciones de riesgo de defensores de derechos humanos y líderes sociales, y poblaciones en situación de vulnerabilidad.</w:t>
      </w:r>
    </w:p>
    <w:p w14:paraId="6F7F012F" w14:textId="5726AA5A" w:rsidR="005E7C3B" w:rsidRPr="003F3620" w:rsidRDefault="005E7C3B" w:rsidP="003F3620">
      <w:pPr>
        <w:pStyle w:val="SingleTxtG"/>
        <w:rPr>
          <w:rFonts w:eastAsia="Calibri"/>
          <w:lang w:eastAsia="en-US"/>
        </w:rPr>
      </w:pPr>
      <w:r w:rsidRPr="003F3620">
        <w:rPr>
          <w:rFonts w:eastAsia="Calibri"/>
          <w:lang w:eastAsia="en-US"/>
        </w:rPr>
        <w:t xml:space="preserve">58. </w:t>
      </w:r>
      <w:r w:rsidR="00E10ABC">
        <w:rPr>
          <w:rFonts w:eastAsia="Calibri"/>
          <w:lang w:eastAsia="en-US"/>
        </w:rPr>
        <w:tab/>
      </w:r>
      <w:r w:rsidRPr="003F3620">
        <w:rPr>
          <w:rFonts w:eastAsia="Calibri"/>
          <w:lang w:eastAsia="en-US"/>
        </w:rPr>
        <w:t>La Directiva dispone entre otros aspectos el despliegue de componentes de prevención e investigación criminal, que generan acciones para la garantía de los derechos humanos, entre otros destinatarios, integrantes de organizaciones sociales, organizaciones no gubernamentales, líderes sindicales, líderes sociales y defensores de derechos humanos, que permiten disminuir cualquier tipo de riesgo coadyuvando a garantizar la vida e integridad de las comunidades y personas.</w:t>
      </w:r>
    </w:p>
    <w:p w14:paraId="765D5983" w14:textId="7D2662CD" w:rsidR="005E7C3B" w:rsidRPr="003F3620" w:rsidRDefault="005E7C3B" w:rsidP="003F3620">
      <w:pPr>
        <w:pStyle w:val="SingleTxtG"/>
        <w:rPr>
          <w:rFonts w:eastAsia="Calibri"/>
          <w:lang w:eastAsia="en-US"/>
        </w:rPr>
      </w:pPr>
      <w:r w:rsidRPr="003F3620">
        <w:rPr>
          <w:rFonts w:eastAsia="Calibri"/>
          <w:lang w:eastAsia="en-US"/>
        </w:rPr>
        <w:t>59.</w:t>
      </w:r>
      <w:r w:rsidR="003F3620">
        <w:rPr>
          <w:rFonts w:eastAsia="Calibri"/>
          <w:lang w:eastAsia="en-US"/>
        </w:rPr>
        <w:tab/>
      </w:r>
      <w:r w:rsidRPr="003F3620">
        <w:rPr>
          <w:rFonts w:eastAsia="Calibri"/>
          <w:lang w:eastAsia="en-US"/>
        </w:rPr>
        <w:t>La ESPOV estrategia mantiene observancia de lo dispuesto en el Decreto No. 660 de 2018, mediante el cual se crea el Programa Integral de Seguridad y Protección para las Comunidades y Organizaciones en los Territorios, con el objetivo de adoptar medidas de prevención orientadas a identificar los factores de riesgo de violaciones a los derechos a la vida, la libertad, la integridad, la seguridad y las afectaciones a la convivencia contra comunidades y organizaciones en los territorios, y sus líderes</w:t>
      </w:r>
      <w:r w:rsidR="001465B9">
        <w:rPr>
          <w:rFonts w:eastAsia="Calibri"/>
          <w:lang w:eastAsia="en-US"/>
        </w:rPr>
        <w:t>(</w:t>
      </w:r>
      <w:r w:rsidRPr="003F3620">
        <w:rPr>
          <w:rFonts w:eastAsia="Calibri"/>
          <w:lang w:eastAsia="en-US"/>
        </w:rPr>
        <w:t>as</w:t>
      </w:r>
      <w:r w:rsidR="001465B9">
        <w:rPr>
          <w:rFonts w:eastAsia="Calibri"/>
          <w:lang w:eastAsia="en-US"/>
        </w:rPr>
        <w:t>)</w:t>
      </w:r>
      <w:r w:rsidRPr="003F3620">
        <w:rPr>
          <w:rFonts w:eastAsia="Calibri"/>
          <w:lang w:eastAsia="en-US"/>
        </w:rPr>
        <w:t xml:space="preserve">, dirigentes, representantes </w:t>
      </w:r>
      <w:r w:rsidRPr="003F3620">
        <w:rPr>
          <w:rFonts w:eastAsia="Calibri"/>
          <w:lang w:eastAsia="en-US"/>
        </w:rPr>
        <w:lastRenderedPageBreak/>
        <w:t>y activistas en los territorios, teniendo en cuenta siempre las condiciones particulares de las mujeres, con el propósito de adoptar medidas de seguridad y protección orientadas a prevenir la materialización o mitigar sus efectos.</w:t>
      </w:r>
    </w:p>
    <w:p w14:paraId="763FF717" w14:textId="07403FA9" w:rsidR="005E7C3B" w:rsidRPr="003F3620" w:rsidRDefault="005E7C3B" w:rsidP="003F3620">
      <w:pPr>
        <w:pStyle w:val="SingleTxtG"/>
        <w:rPr>
          <w:rFonts w:eastAsia="Calibri"/>
          <w:lang w:eastAsia="en-US"/>
        </w:rPr>
      </w:pPr>
      <w:r w:rsidRPr="003F3620">
        <w:rPr>
          <w:rFonts w:eastAsia="Calibri"/>
          <w:lang w:eastAsia="en-US"/>
        </w:rPr>
        <w:t>60.</w:t>
      </w:r>
      <w:r w:rsidR="003F3620">
        <w:rPr>
          <w:rFonts w:eastAsia="Calibri"/>
          <w:lang w:eastAsia="en-US"/>
        </w:rPr>
        <w:tab/>
      </w:r>
      <w:r w:rsidRPr="003F3620">
        <w:rPr>
          <w:rFonts w:eastAsia="Calibri"/>
          <w:lang w:eastAsia="en-US"/>
        </w:rPr>
        <w:t>Igualmente, cabe destacar que, como factor principal de atención, se encuentra contrarrestar el fenómeno de afectación del derecho a la vida de los líderes</w:t>
      </w:r>
      <w:r w:rsidR="001465B9">
        <w:rPr>
          <w:rFonts w:eastAsia="Calibri"/>
          <w:lang w:eastAsia="en-US"/>
        </w:rPr>
        <w:t>(</w:t>
      </w:r>
      <w:r w:rsidRPr="003F3620">
        <w:rPr>
          <w:rFonts w:eastAsia="Calibri"/>
          <w:lang w:eastAsia="en-US"/>
        </w:rPr>
        <w:t>as</w:t>
      </w:r>
      <w:r w:rsidR="001465B9">
        <w:rPr>
          <w:rFonts w:eastAsia="Calibri"/>
          <w:lang w:eastAsia="en-US"/>
        </w:rPr>
        <w:t>)</w:t>
      </w:r>
      <w:r w:rsidRPr="003F3620">
        <w:rPr>
          <w:rFonts w:eastAsia="Calibri"/>
          <w:lang w:eastAsia="en-US"/>
        </w:rPr>
        <w:t xml:space="preserve"> sociales y defensores</w:t>
      </w:r>
      <w:r w:rsidR="001465B9">
        <w:rPr>
          <w:rFonts w:eastAsia="Calibri"/>
          <w:lang w:eastAsia="en-US"/>
        </w:rPr>
        <w:t>(</w:t>
      </w:r>
      <w:r w:rsidRPr="003F3620">
        <w:rPr>
          <w:rFonts w:eastAsia="Calibri"/>
          <w:lang w:eastAsia="en-US"/>
        </w:rPr>
        <w:t>as</w:t>
      </w:r>
      <w:r w:rsidR="001465B9">
        <w:rPr>
          <w:rFonts w:eastAsia="Calibri"/>
          <w:lang w:eastAsia="en-US"/>
        </w:rPr>
        <w:t>)</w:t>
      </w:r>
      <w:r w:rsidRPr="003F3620">
        <w:rPr>
          <w:rFonts w:eastAsia="Calibri"/>
          <w:lang w:eastAsia="en-US"/>
        </w:rPr>
        <w:t xml:space="preserve"> de derechos humanos, así mismo las amenazas a la integridad y seguridad personal de las comunidades y organizaciones que en los territorios adelantan acciones hacia una cultura de paz para la convivencia y seguridad, la cual es operacionalizada mediante tres componentes: 1</w:t>
      </w:r>
      <w:r w:rsidR="00107F43">
        <w:rPr>
          <w:rFonts w:eastAsia="Calibri"/>
          <w:lang w:eastAsia="en-US"/>
        </w:rPr>
        <w:t>)</w:t>
      </w:r>
      <w:r w:rsidRPr="003F3620">
        <w:rPr>
          <w:rFonts w:eastAsia="Calibri"/>
          <w:lang w:eastAsia="en-US"/>
        </w:rPr>
        <w:t xml:space="preserve"> </w:t>
      </w:r>
      <w:r w:rsidR="00107F43">
        <w:rPr>
          <w:rFonts w:eastAsia="Calibri"/>
          <w:lang w:eastAsia="en-US"/>
        </w:rPr>
        <w:t>p</w:t>
      </w:r>
      <w:r w:rsidRPr="003F3620">
        <w:rPr>
          <w:rFonts w:eastAsia="Calibri"/>
          <w:lang w:eastAsia="en-US"/>
        </w:rPr>
        <w:t>revención</w:t>
      </w:r>
      <w:r w:rsidR="00107F43">
        <w:rPr>
          <w:rFonts w:eastAsia="Calibri"/>
          <w:lang w:eastAsia="en-US"/>
        </w:rPr>
        <w:t>;</w:t>
      </w:r>
      <w:r w:rsidRPr="003F3620">
        <w:rPr>
          <w:rFonts w:eastAsia="Calibri"/>
          <w:lang w:eastAsia="en-US"/>
        </w:rPr>
        <w:t xml:space="preserve"> 2</w:t>
      </w:r>
      <w:r w:rsidR="00107F43">
        <w:rPr>
          <w:rFonts w:eastAsia="Calibri"/>
          <w:lang w:eastAsia="en-US"/>
        </w:rPr>
        <w:t>)</w:t>
      </w:r>
      <w:r w:rsidRPr="003F3620">
        <w:rPr>
          <w:rFonts w:eastAsia="Calibri"/>
          <w:lang w:eastAsia="en-US"/>
        </w:rPr>
        <w:t xml:space="preserve"> </w:t>
      </w:r>
      <w:r w:rsidR="00107F43">
        <w:rPr>
          <w:rFonts w:eastAsia="Calibri"/>
          <w:lang w:eastAsia="en-US"/>
        </w:rPr>
        <w:t>i</w:t>
      </w:r>
      <w:r w:rsidRPr="003F3620">
        <w:rPr>
          <w:rFonts w:eastAsia="Calibri"/>
          <w:lang w:eastAsia="en-US"/>
        </w:rPr>
        <w:t xml:space="preserve">nvestigación </w:t>
      </w:r>
      <w:r w:rsidR="00107F43">
        <w:rPr>
          <w:rFonts w:eastAsia="Calibri"/>
          <w:lang w:eastAsia="en-US"/>
        </w:rPr>
        <w:t>c</w:t>
      </w:r>
      <w:r w:rsidRPr="003F3620">
        <w:rPr>
          <w:rFonts w:eastAsia="Calibri"/>
          <w:lang w:eastAsia="en-US"/>
        </w:rPr>
        <w:t>riminal</w:t>
      </w:r>
      <w:r w:rsidR="00107F43">
        <w:rPr>
          <w:rFonts w:eastAsia="Calibri"/>
          <w:lang w:eastAsia="en-US"/>
        </w:rPr>
        <w:t>;</w:t>
      </w:r>
      <w:r w:rsidRPr="003F3620">
        <w:rPr>
          <w:rFonts w:eastAsia="Calibri"/>
          <w:lang w:eastAsia="en-US"/>
        </w:rPr>
        <w:t xml:space="preserve"> 3</w:t>
      </w:r>
      <w:r w:rsidR="00107F43">
        <w:rPr>
          <w:rFonts w:eastAsia="Calibri"/>
          <w:lang w:eastAsia="en-US"/>
        </w:rPr>
        <w:t>)</w:t>
      </w:r>
      <w:r w:rsidRPr="003F3620">
        <w:rPr>
          <w:rFonts w:eastAsia="Calibri"/>
          <w:lang w:eastAsia="en-US"/>
        </w:rPr>
        <w:t xml:space="preserve"> </w:t>
      </w:r>
      <w:r w:rsidR="00107F43">
        <w:rPr>
          <w:rFonts w:eastAsia="Calibri"/>
          <w:lang w:eastAsia="en-US"/>
        </w:rPr>
        <w:t>r</w:t>
      </w:r>
      <w:r w:rsidRPr="003F3620">
        <w:rPr>
          <w:rFonts w:eastAsia="Calibri"/>
          <w:lang w:eastAsia="en-US"/>
        </w:rPr>
        <w:t xml:space="preserve">espuesta </w:t>
      </w:r>
      <w:r w:rsidR="00107F43">
        <w:rPr>
          <w:rFonts w:eastAsia="Calibri"/>
          <w:lang w:eastAsia="en-US"/>
        </w:rPr>
        <w:t>r</w:t>
      </w:r>
      <w:r w:rsidRPr="003F3620">
        <w:rPr>
          <w:rFonts w:eastAsia="Calibri"/>
          <w:lang w:eastAsia="en-US"/>
        </w:rPr>
        <w:t xml:space="preserve">ápida a las </w:t>
      </w:r>
      <w:r w:rsidR="00107F43">
        <w:rPr>
          <w:rFonts w:eastAsia="Calibri"/>
          <w:lang w:eastAsia="en-US"/>
        </w:rPr>
        <w:t>a</w:t>
      </w:r>
      <w:r w:rsidRPr="003F3620">
        <w:rPr>
          <w:rFonts w:eastAsia="Calibri"/>
          <w:lang w:eastAsia="en-US"/>
        </w:rPr>
        <w:t xml:space="preserve">lertas </w:t>
      </w:r>
      <w:r w:rsidR="00107F43">
        <w:rPr>
          <w:rFonts w:eastAsia="Calibri"/>
          <w:lang w:eastAsia="en-US"/>
        </w:rPr>
        <w:t>t</w:t>
      </w:r>
      <w:r w:rsidRPr="003F3620">
        <w:rPr>
          <w:rFonts w:eastAsia="Calibri"/>
          <w:lang w:eastAsia="en-US"/>
        </w:rPr>
        <w:t>empranas; de otra parte, se busca desarrollar acciones en el ámbito de la ruta de actuación institucional en el territorio para la atención de hechos de afectación en contra de la vida e integridad en el ejercicio del liderazgo.</w:t>
      </w:r>
    </w:p>
    <w:p w14:paraId="0EF71AFB" w14:textId="30AC4A01" w:rsidR="005E7C3B" w:rsidRPr="003F3620" w:rsidRDefault="005E7C3B" w:rsidP="003F3620">
      <w:pPr>
        <w:pStyle w:val="SingleTxtG"/>
        <w:rPr>
          <w:rFonts w:eastAsia="Calibri"/>
          <w:lang w:eastAsia="en-US"/>
        </w:rPr>
      </w:pPr>
      <w:r w:rsidRPr="003F3620">
        <w:rPr>
          <w:rFonts w:eastAsia="Calibri"/>
          <w:lang w:eastAsia="en-US"/>
        </w:rPr>
        <w:t>61.</w:t>
      </w:r>
      <w:r w:rsidR="003F3620">
        <w:rPr>
          <w:rFonts w:eastAsia="Calibri"/>
          <w:lang w:eastAsia="en-US"/>
        </w:rPr>
        <w:tab/>
      </w:r>
      <w:r w:rsidRPr="003F3620">
        <w:rPr>
          <w:rFonts w:eastAsia="Calibri"/>
          <w:lang w:eastAsia="en-US"/>
        </w:rPr>
        <w:t xml:space="preserve">En lo atinente al desarrollo de la mencionada ruta, se adelantan acciones institucionales e interinstitucionales, entre las que se destacan coordinaciones con la Unidad Nacional de Protección, Gobernaciones y Alcaldías, actividades de interlocución con la sociedad civil; acciones evidenciadas y documentadas a través de la herramienta tecnológica del Sistema Integral de Derechos Humanos -SIDEH. Entre 01/01/2019 y el 26/02/2024 se dio la activación de la Ruta a líderes y defensores de Derechos Humanos en 839 ocasiones. </w:t>
      </w:r>
    </w:p>
    <w:p w14:paraId="07073024" w14:textId="19FE72E8" w:rsidR="005E7C3B" w:rsidRPr="005E3F2C" w:rsidRDefault="003F3620" w:rsidP="00107F43">
      <w:pPr>
        <w:pStyle w:val="H23G"/>
      </w:pPr>
      <w:r>
        <w:tab/>
      </w:r>
      <w:r w:rsidR="005E7C3B">
        <w:t>6</w:t>
      </w:r>
      <w:r w:rsidR="00E10ABC">
        <w:t>.</w:t>
      </w:r>
      <w:r>
        <w:tab/>
      </w:r>
      <w:r w:rsidR="005E7C3B" w:rsidRPr="005E3F2C">
        <w:t xml:space="preserve">Actividades de prevención y protección </w:t>
      </w:r>
      <w:r w:rsidR="005E7C3B">
        <w:t xml:space="preserve">de la Policía Nacional </w:t>
      </w:r>
      <w:r w:rsidR="005E7C3B" w:rsidRPr="005E3F2C">
        <w:t>a Defensores</w:t>
      </w:r>
      <w:r w:rsidR="00107F43">
        <w:br/>
      </w:r>
      <w:r w:rsidR="005E7C3B" w:rsidRPr="005E3F2C">
        <w:t>de Derechos Humanos, Líderes Sociales, Comunales y Periodistas, Mujeres</w:t>
      </w:r>
      <w:r w:rsidR="00107F43">
        <w:br/>
      </w:r>
      <w:r w:rsidR="005E7C3B" w:rsidRPr="005E3F2C">
        <w:t>Lideresas y Defensoras de Derechos Humanos</w:t>
      </w:r>
      <w:r w:rsidR="005E7C3B">
        <w:t xml:space="preserve"> implementados </w:t>
      </w:r>
    </w:p>
    <w:p w14:paraId="39CE8F00" w14:textId="2C0D21E5" w:rsidR="005E7C3B" w:rsidRPr="003F3620" w:rsidRDefault="005E7C3B" w:rsidP="003F3620">
      <w:pPr>
        <w:pStyle w:val="SingleTxtG"/>
        <w:rPr>
          <w:rFonts w:eastAsia="Calibri"/>
          <w:lang w:eastAsia="en-US"/>
        </w:rPr>
      </w:pPr>
      <w:r w:rsidRPr="003F3620">
        <w:rPr>
          <w:rFonts w:eastAsia="Calibri"/>
          <w:lang w:eastAsia="en-US"/>
        </w:rPr>
        <w:t>62.</w:t>
      </w:r>
      <w:r w:rsidR="003F3620">
        <w:rPr>
          <w:rFonts w:eastAsia="Calibri"/>
          <w:lang w:eastAsia="en-US"/>
        </w:rPr>
        <w:tab/>
      </w:r>
      <w:r w:rsidRPr="003F3620">
        <w:rPr>
          <w:rFonts w:eastAsia="Calibri"/>
          <w:lang w:eastAsia="en-US"/>
        </w:rPr>
        <w:t>El Programa de Prevención que lidera la Policía Nacional se encuentra ajustado a lo reglamentado en el Decreto 1066 de 2015, “Por medio del cual se expide el Decreto Único Reglamentario del Sector Administrativo del Interior”. En el Libro 2, Parte 4, Título 1, Capítulo 2, se organiza “el Programa de Prevención y Protección de los derechos a la vida, la libertad, la integridad y la seguridad de personas, grupos y comunidades que se encuentran en situación de riesgo extraordinario o extremo como consecuencia directa del ejercicio de sus actividades o funciones políticas, públicas, sociales o humanitarias, o en razón del ejercicio de su cargo”, y se define la implementación de las medidas preventivas a cargo de la Policía Nacional. Entre 01/01/2019 y el 26/02/2024 se presentaron 2.418 medidas preventivas dirigidas a líderes y defensores de derechos humanos.</w:t>
      </w:r>
    </w:p>
    <w:p w14:paraId="4450B623" w14:textId="1F06568E" w:rsidR="005E7C3B" w:rsidRPr="003F3620" w:rsidRDefault="005E7C3B" w:rsidP="003F3620">
      <w:pPr>
        <w:pStyle w:val="SingleTxtG"/>
        <w:rPr>
          <w:rFonts w:eastAsia="Calibri"/>
          <w:lang w:eastAsia="en-US"/>
        </w:rPr>
      </w:pPr>
      <w:r w:rsidRPr="003F3620">
        <w:rPr>
          <w:rFonts w:eastAsia="Calibri"/>
          <w:lang w:eastAsia="en-US"/>
        </w:rPr>
        <w:t>63.</w:t>
      </w:r>
      <w:r w:rsidR="003F3620">
        <w:rPr>
          <w:rFonts w:eastAsia="Calibri"/>
          <w:lang w:eastAsia="en-US"/>
        </w:rPr>
        <w:tab/>
      </w:r>
      <w:r w:rsidRPr="003F3620">
        <w:rPr>
          <w:rFonts w:eastAsia="Calibri"/>
          <w:lang w:eastAsia="en-US"/>
        </w:rPr>
        <w:t>En el marco del proceso de transformación integral de la Policía Nacional, se han realizado actividades de acercamiento con las comunidades vulnerables especialmente con las comunidades indígenas, afrodescendientes, líderes</w:t>
      </w:r>
      <w:r w:rsidR="001465B9">
        <w:rPr>
          <w:rFonts w:eastAsia="Calibri"/>
          <w:lang w:eastAsia="en-US"/>
        </w:rPr>
        <w:t>(</w:t>
      </w:r>
      <w:r w:rsidRPr="003F3620">
        <w:rPr>
          <w:rFonts w:eastAsia="Calibri"/>
          <w:lang w:eastAsia="en-US"/>
        </w:rPr>
        <w:t>as</w:t>
      </w:r>
      <w:r w:rsidR="001465B9">
        <w:rPr>
          <w:rFonts w:eastAsia="Calibri"/>
          <w:lang w:eastAsia="en-US"/>
        </w:rPr>
        <w:t>)</w:t>
      </w:r>
      <w:r w:rsidRPr="003F3620">
        <w:rPr>
          <w:rFonts w:eastAsia="Calibri"/>
          <w:lang w:eastAsia="en-US"/>
        </w:rPr>
        <w:t xml:space="preserve"> y Defensores</w:t>
      </w:r>
      <w:r w:rsidR="001465B9">
        <w:rPr>
          <w:rFonts w:eastAsia="Calibri"/>
          <w:lang w:eastAsia="en-US"/>
        </w:rPr>
        <w:t>(</w:t>
      </w:r>
      <w:r w:rsidRPr="003F3620">
        <w:rPr>
          <w:rFonts w:eastAsia="Calibri"/>
          <w:lang w:eastAsia="en-US"/>
        </w:rPr>
        <w:t>as</w:t>
      </w:r>
      <w:r w:rsidR="001465B9">
        <w:rPr>
          <w:rFonts w:eastAsia="Calibri"/>
          <w:lang w:eastAsia="en-US"/>
        </w:rPr>
        <w:t>)</w:t>
      </w:r>
      <w:r w:rsidRPr="003F3620">
        <w:rPr>
          <w:rFonts w:eastAsia="Calibri"/>
          <w:lang w:eastAsia="en-US"/>
        </w:rPr>
        <w:t xml:space="preserve"> de Derechos Humanos en cada uno de los territorios a nivel distrital y departamental. Se han desarrollado 2.550 actividades, programas y campañas dirigidas a líderes y defensores de derechos humanos entre 01/01/2019 y el 26/02/2024.</w:t>
      </w:r>
    </w:p>
    <w:p w14:paraId="67682CF6" w14:textId="1541CE49" w:rsidR="005E7C3B" w:rsidRPr="003F3620" w:rsidRDefault="005E7C3B" w:rsidP="003F3620">
      <w:pPr>
        <w:pStyle w:val="SingleTxtG"/>
        <w:rPr>
          <w:rFonts w:eastAsia="Calibri"/>
          <w:lang w:eastAsia="en-US"/>
        </w:rPr>
      </w:pPr>
      <w:r w:rsidRPr="003F3620">
        <w:rPr>
          <w:rFonts w:eastAsia="Calibri"/>
          <w:lang w:eastAsia="en-US"/>
        </w:rPr>
        <w:t>64.</w:t>
      </w:r>
      <w:r w:rsidR="003F3620">
        <w:rPr>
          <w:rFonts w:eastAsia="Calibri"/>
          <w:lang w:eastAsia="en-US"/>
        </w:rPr>
        <w:tab/>
      </w:r>
      <w:r w:rsidRPr="003F3620">
        <w:rPr>
          <w:rFonts w:eastAsia="Calibri"/>
          <w:lang w:eastAsia="en-US"/>
        </w:rPr>
        <w:t>Se ha consolidado escenarios que permite mantener los canales de comunicación para atender las necesidades y expectativas en garantía y protección de los Derechos Humanos de la población colombiana, especialmente con personas, grupos y comunidades en situación de vulnerabilidad, en cumplimiento a nuestro mandato constitucional. Se han desarrollado 1.158 interlocuciones dirigidas a líderes y defensores de derechos humanos entre 01/01/2019 y el 26/02/2024.</w:t>
      </w:r>
    </w:p>
    <w:p w14:paraId="48D5016A" w14:textId="75F6F94F" w:rsidR="003F3620" w:rsidRDefault="005E7C3B" w:rsidP="00107F43">
      <w:pPr>
        <w:pStyle w:val="SingleTxtG"/>
        <w:rPr>
          <w:rFonts w:eastAsia="Calibri"/>
          <w:lang w:eastAsia="en-US"/>
        </w:rPr>
      </w:pPr>
      <w:r w:rsidRPr="003F3620">
        <w:rPr>
          <w:rFonts w:eastAsia="Calibri"/>
          <w:lang w:eastAsia="en-US"/>
        </w:rPr>
        <w:t>65.</w:t>
      </w:r>
      <w:r w:rsidR="003F3620">
        <w:rPr>
          <w:rFonts w:eastAsia="Calibri"/>
          <w:lang w:eastAsia="en-US"/>
        </w:rPr>
        <w:tab/>
      </w:r>
      <w:r w:rsidRPr="003F3620">
        <w:rPr>
          <w:rFonts w:eastAsia="Calibri"/>
          <w:lang w:eastAsia="en-US"/>
        </w:rPr>
        <w:t>Se han desarrollado reuniones de coordinación interinstitucional con gobernadores, alcaldes, Unidad Nacional de Protección y entidades territoriales para la articulación de esta estrategia, con el propósito de coadyuvar a garantizar los derechos fundamentales de las comunidades en situación de riesgo o amenaza, participando activamente en comités territoriales de justicia transicional, consejos de seguridad, subcomités de prevención, protección y garantías de no repetición entre otros, responsabilidad que es asumida en los Comandos de las Policías Metropolitanas y/o Departamentos de Policía, generando acciones de conformidad con nuestra competencia. Se han desarrollado 1.108 acciones de coordinación interinstitucional entre 01/01/2019 y el 26/02/2024.</w:t>
      </w:r>
    </w:p>
    <w:p w14:paraId="5CD7A430" w14:textId="57C29C81" w:rsidR="00107F43" w:rsidRPr="00107F43" w:rsidRDefault="00107F43" w:rsidP="00107F43">
      <w:pPr>
        <w:pStyle w:val="SingleTxtG"/>
        <w:suppressAutoHyphens/>
        <w:spacing w:before="240" w:after="0"/>
        <w:jc w:val="center"/>
        <w:rPr>
          <w:rFonts w:eastAsia="Calibri"/>
          <w:u w:val="single"/>
          <w:lang w:eastAsia="en-US"/>
        </w:rPr>
      </w:pPr>
      <w:r>
        <w:rPr>
          <w:rFonts w:eastAsia="Calibri"/>
          <w:u w:val="single"/>
          <w:lang w:eastAsia="en-US"/>
        </w:rPr>
        <w:tab/>
      </w:r>
      <w:r>
        <w:rPr>
          <w:rFonts w:eastAsia="Calibri"/>
          <w:u w:val="single"/>
          <w:lang w:eastAsia="en-US"/>
        </w:rPr>
        <w:tab/>
      </w:r>
      <w:r>
        <w:rPr>
          <w:rFonts w:eastAsia="Calibri"/>
          <w:u w:val="single"/>
          <w:lang w:eastAsia="en-US"/>
        </w:rPr>
        <w:tab/>
      </w:r>
    </w:p>
    <w:sectPr w:rsidR="00107F43" w:rsidRPr="00107F4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41E9D" w14:textId="77777777" w:rsidR="00501239" w:rsidRDefault="00501239">
      <w:r>
        <w:separator/>
      </w:r>
    </w:p>
  </w:endnote>
  <w:endnote w:type="continuationSeparator" w:id="0">
    <w:p w14:paraId="251A1EA5" w14:textId="77777777" w:rsidR="00501239" w:rsidRDefault="0050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A016C" w14:textId="77777777" w:rsidR="00566A9D" w:rsidRDefault="002149D4">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3535E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430A5" w14:textId="77777777" w:rsidR="00566A9D" w:rsidRDefault="00A52C6E">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D6413" w14:textId="26141871" w:rsidR="00566A9D" w:rsidRPr="000B66D8" w:rsidRDefault="000B66D8" w:rsidP="000B66D8">
    <w:pPr>
      <w:pStyle w:val="Piedepgina"/>
      <w:tabs>
        <w:tab w:val="left" w:pos="6520"/>
        <w:tab w:val="right" w:pos="9638"/>
      </w:tabs>
      <w:spacing w:before="120" w:line="240" w:lineRule="auto"/>
      <w:rPr>
        <w:sz w:val="20"/>
      </w:rPr>
    </w:pPr>
    <w:r>
      <w:rPr>
        <w:sz w:val="20"/>
      </w:rPr>
      <w:t>GE.24-09956  (S)</w:t>
    </w:r>
    <w:bookmarkStart w:id="3" w:name="_GoBack"/>
    <w:bookmarkEnd w:id="3"/>
    <w:r w:rsidR="00F069FD">
      <w:rPr>
        <w:sz w:val="20"/>
      </w:rPr>
      <w:t xml:space="preserve">    070624    100624</w:t>
    </w:r>
    <w:r>
      <w:rPr>
        <w:sz w:val="20"/>
      </w:rPr>
      <w:tab/>
    </w:r>
    <w:r w:rsidRPr="000B66D8">
      <w:rPr>
        <w:noProof/>
        <w:sz w:val="20"/>
        <w:lang w:val="fr-CH" w:eastAsia="zh-CN"/>
      </w:rPr>
      <w:drawing>
        <wp:inline distT="0" distB="0" distL="0" distR="0" wp14:anchorId="4FCFD0A3" wp14:editId="7283DF12">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C35C470" wp14:editId="5B11AD3B">
          <wp:extent cx="627380" cy="627380"/>
          <wp:effectExtent l="0" t="0" r="1270" b="1270"/>
          <wp:docPr id="1765429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380" cy="6273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BA57A" w14:textId="77777777" w:rsidR="00501239" w:rsidRDefault="00501239">
      <w:pPr>
        <w:tabs>
          <w:tab w:val="right" w:pos="2155"/>
        </w:tabs>
        <w:spacing w:after="80" w:line="240" w:lineRule="auto"/>
        <w:ind w:left="680"/>
        <w:rPr>
          <w:u w:val="single"/>
        </w:rPr>
      </w:pPr>
      <w:r>
        <w:rPr>
          <w:u w:val="single"/>
        </w:rPr>
        <w:tab/>
      </w:r>
    </w:p>
  </w:footnote>
  <w:footnote w:type="continuationSeparator" w:id="0">
    <w:p w14:paraId="13CB37CE" w14:textId="77777777" w:rsidR="00501239" w:rsidRDefault="00501239">
      <w:pPr>
        <w:tabs>
          <w:tab w:val="right" w:pos="2155"/>
        </w:tabs>
        <w:spacing w:after="80"/>
        <w:ind w:left="680"/>
        <w:rPr>
          <w:u w:val="single"/>
        </w:rPr>
      </w:pPr>
      <w:r>
        <w:rPr>
          <w:u w:val="single"/>
        </w:rPr>
        <w:tab/>
      </w:r>
    </w:p>
  </w:footnote>
  <w:footnote w:id="1">
    <w:p w14:paraId="0D013397" w14:textId="77777777" w:rsidR="00566A9D" w:rsidRDefault="002149D4">
      <w:pPr>
        <w:pStyle w:val="Textonotapie"/>
        <w:rPr>
          <w:sz w:val="20"/>
        </w:rPr>
      </w:pPr>
      <w:r>
        <w:tab/>
      </w:r>
      <w:r>
        <w:rPr>
          <w:rStyle w:val="Refdenotaalpie"/>
          <w:sz w:val="20"/>
          <w:vertAlign w:val="baseline"/>
        </w:rPr>
        <w:t>*</w:t>
      </w:r>
      <w:r>
        <w:tab/>
      </w:r>
      <w:bookmarkStart w:id="0" w:name="_Hlk36236074"/>
      <w:r w:rsidR="00631849" w:rsidRPr="009142DE">
        <w:t>El presente documento se publica sin haber sido objeto de revisión editorial oficial</w:t>
      </w:r>
      <w:bookmarkEnd w:id="0"/>
      <w:r w:rsidR="00631849" w:rsidRPr="009142DE">
        <w:t>.</w:t>
      </w:r>
    </w:p>
  </w:footnote>
  <w:footnote w:id="2">
    <w:p w14:paraId="66B9A857" w14:textId="70374A75" w:rsidR="005E7C3B" w:rsidRPr="00E10ABC" w:rsidRDefault="00FD59B2" w:rsidP="00777F90">
      <w:pPr>
        <w:pStyle w:val="Textonotapie"/>
      </w:pPr>
      <w:r>
        <w:rPr>
          <w:sz w:val="16"/>
          <w:szCs w:val="16"/>
        </w:rPr>
        <w:tab/>
      </w:r>
      <w:r w:rsidR="005E7C3B" w:rsidRPr="00E10ABC">
        <w:rPr>
          <w:rStyle w:val="Refdenotaalpie"/>
          <w:szCs w:val="18"/>
        </w:rPr>
        <w:footnoteRef/>
      </w:r>
      <w:r w:rsidR="005E7C3B" w:rsidRPr="00E10ABC">
        <w:t xml:space="preserve"> </w:t>
      </w:r>
      <w:r w:rsidRPr="00E10ABC">
        <w:tab/>
      </w:r>
      <w:r w:rsidRPr="00E10ABC">
        <w:tab/>
      </w:r>
      <w:r w:rsidR="005E7C3B" w:rsidRPr="00E10ABC">
        <w:rPr>
          <w:rStyle w:val="normaltextrun"/>
          <w:rFonts w:eastAsiaTheme="majorEastAsia"/>
          <w:color w:val="000000"/>
          <w:szCs w:val="18"/>
        </w:rPr>
        <w:t xml:space="preserve">La Política </w:t>
      </w:r>
      <w:r w:rsidR="005E7C3B" w:rsidRPr="00777F90">
        <w:rPr>
          <w:rStyle w:val="normaltextrun"/>
          <w:rFonts w:eastAsiaTheme="majorEastAsia"/>
        </w:rPr>
        <w:t>Pública</w:t>
      </w:r>
      <w:r w:rsidR="005E7C3B" w:rsidRPr="00E10ABC">
        <w:rPr>
          <w:rStyle w:val="normaltextrun"/>
          <w:rFonts w:eastAsiaTheme="majorEastAsia"/>
          <w:color w:val="000000"/>
          <w:szCs w:val="18"/>
        </w:rPr>
        <w:t xml:space="preserve"> puede ser consultada </w:t>
      </w:r>
      <w:r w:rsidR="005E7C3B" w:rsidRPr="00735447">
        <w:rPr>
          <w:rStyle w:val="normaltextrun"/>
          <w:rFonts w:eastAsiaTheme="majorEastAsia"/>
          <w:szCs w:val="18"/>
        </w:rPr>
        <w:t xml:space="preserve">en </w:t>
      </w:r>
      <w:hyperlink r:id="rId1" w:history="1">
        <w:r w:rsidR="005E7C3B" w:rsidRPr="00735447">
          <w:rPr>
            <w:rStyle w:val="Hipervnculo"/>
            <w:rFonts w:eastAsiaTheme="majorEastAsia"/>
            <w:color w:val="auto"/>
            <w:szCs w:val="18"/>
          </w:rPr>
          <w:t>https://portalparalapaz.gov.co/aprobada-politica-de-desmantelamiento-de-organizaciones-criminales/08/</w:t>
        </w:r>
      </w:hyperlink>
      <w:r w:rsidRPr="00735447">
        <w:rPr>
          <w:rStyle w:val="Hipervnculo"/>
          <w:rFonts w:eastAsiaTheme="majorEastAsia"/>
          <w:color w:val="auto"/>
          <w:szCs w:val="18"/>
        </w:rPr>
        <w:t>.</w:t>
      </w:r>
      <w:r w:rsidR="005E7C3B" w:rsidRPr="00735447">
        <w:rPr>
          <w:rStyle w:val="normaltextrun"/>
          <w:rFonts w:eastAsiaTheme="majorEastAsia"/>
          <w:szCs w:val="18"/>
        </w:rPr>
        <w:t xml:space="preserve"> </w:t>
      </w:r>
    </w:p>
  </w:footnote>
  <w:footnote w:id="3">
    <w:p w14:paraId="7B7C02E5" w14:textId="432EAB17" w:rsidR="005E7C3B" w:rsidRPr="00CC05E3" w:rsidRDefault="00323F4B" w:rsidP="00777F90">
      <w:pPr>
        <w:pStyle w:val="Textonotapie"/>
        <w:rPr>
          <w:sz w:val="16"/>
          <w:szCs w:val="16"/>
        </w:rPr>
      </w:pPr>
      <w:r>
        <w:rPr>
          <w:sz w:val="16"/>
          <w:szCs w:val="16"/>
        </w:rPr>
        <w:tab/>
      </w:r>
      <w:r w:rsidR="005E7C3B" w:rsidRPr="00CC05E3">
        <w:rPr>
          <w:rStyle w:val="Refdenotaalpie"/>
          <w:sz w:val="16"/>
          <w:szCs w:val="16"/>
        </w:rPr>
        <w:footnoteRef/>
      </w:r>
      <w:r w:rsidR="005E7C3B" w:rsidRPr="00CC05E3">
        <w:rPr>
          <w:sz w:val="16"/>
          <w:szCs w:val="16"/>
        </w:rPr>
        <w:t xml:space="preserve"> </w:t>
      </w:r>
      <w:r>
        <w:rPr>
          <w:sz w:val="16"/>
          <w:szCs w:val="16"/>
        </w:rPr>
        <w:tab/>
      </w:r>
      <w:r>
        <w:rPr>
          <w:sz w:val="16"/>
          <w:szCs w:val="16"/>
        </w:rPr>
        <w:tab/>
      </w:r>
      <w:r w:rsidR="005E7C3B" w:rsidRPr="00323F4B">
        <w:t xml:space="preserve">Para conocer el estado actual del Proyecto de ley consulte el siguiente enlace: </w:t>
      </w:r>
      <w:hyperlink r:id="rId2" w:history="1">
        <w:r w:rsidR="005E7C3B" w:rsidRPr="007B5204">
          <w:rPr>
            <w:rStyle w:val="Hipervnculo"/>
            <w:color w:val="auto"/>
            <w:szCs w:val="18"/>
          </w:rPr>
          <w:t>https://www.camara.gov.co/protocolo-contra-la-tortura</w:t>
        </w:r>
      </w:hyperlink>
      <w:r w:rsidRPr="007B5204">
        <w:rPr>
          <w:rStyle w:val="Hipervnculo"/>
          <w:color w:val="auto"/>
          <w:szCs w:val="18"/>
        </w:rPr>
        <w:t>.</w:t>
      </w:r>
      <w:r w:rsidR="005E7C3B" w:rsidRPr="007B5204">
        <w:rPr>
          <w:sz w:val="16"/>
          <w:szCs w:val="16"/>
        </w:rPr>
        <w:t xml:space="preserve"> </w:t>
      </w:r>
    </w:p>
  </w:footnote>
  <w:footnote w:id="4">
    <w:p w14:paraId="5F87FD9B" w14:textId="73547735" w:rsidR="005E7C3B" w:rsidRPr="007D32A3" w:rsidRDefault="00B77019" w:rsidP="00777F90">
      <w:pPr>
        <w:pStyle w:val="Textonotapie"/>
        <w:rPr>
          <w:szCs w:val="18"/>
        </w:rPr>
      </w:pPr>
      <w:r>
        <w:rPr>
          <w:sz w:val="16"/>
          <w:szCs w:val="16"/>
        </w:rPr>
        <w:tab/>
      </w:r>
      <w:r w:rsidR="005E7C3B" w:rsidRPr="007D32A3">
        <w:rPr>
          <w:rStyle w:val="Refdenotaalpie"/>
          <w:szCs w:val="18"/>
        </w:rPr>
        <w:footnoteRef/>
      </w:r>
      <w:r w:rsidR="005E7C3B" w:rsidRPr="007D32A3">
        <w:rPr>
          <w:szCs w:val="18"/>
        </w:rPr>
        <w:t xml:space="preserve"> </w:t>
      </w:r>
      <w:r w:rsidR="00323F4B" w:rsidRPr="007D32A3">
        <w:rPr>
          <w:szCs w:val="18"/>
        </w:rPr>
        <w:tab/>
      </w:r>
      <w:r w:rsidR="005E7C3B" w:rsidRPr="007D32A3">
        <w:rPr>
          <w:rStyle w:val="normaltextrun"/>
          <w:rFonts w:eastAsiaTheme="majorEastAsia"/>
          <w:szCs w:val="18"/>
        </w:rPr>
        <w:t>La víctima directa de desaparición forzada de tortura física y psicológica y, sus familiares de tortura psicológica</w:t>
      </w:r>
      <w:r w:rsidR="00777F90">
        <w:rPr>
          <w:rStyle w:val="normaltextrun"/>
          <w:rFonts w:eastAsiaTheme="majorEastAsia"/>
          <w:szCs w:val="18"/>
        </w:rPr>
        <w:t xml:space="preserve"> </w:t>
      </w:r>
      <w:r w:rsidR="005E7C3B" w:rsidRPr="007D32A3">
        <w:rPr>
          <w:rStyle w:val="normaltextrun"/>
          <w:rFonts w:eastAsiaTheme="majorEastAsia"/>
          <w:szCs w:val="18"/>
        </w:rPr>
        <w:t>por la incertidumbre provocada con la desaparición.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996D2" w14:textId="77777777" w:rsidR="00566A9D" w:rsidRDefault="00A52C6E">
    <w:pPr>
      <w:pStyle w:val="Encabezado"/>
    </w:pPr>
    <w:r>
      <w:t>CAT/C/COL/FCO/6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07D3B" w14:textId="77777777" w:rsidR="00566A9D" w:rsidRDefault="00A52C6E">
    <w:pPr>
      <w:pStyle w:val="Encabezado"/>
      <w:jc w:val="right"/>
      <w:rPr>
        <w:u w:val="double"/>
      </w:rPr>
    </w:pPr>
    <w:r>
      <w:t>CAT/C/COL/FCO/6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EB7E3" w14:textId="77777777" w:rsidR="00566A9D"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F12FD3"/>
    <w:multiLevelType w:val="hybridMultilevel"/>
    <w:tmpl w:val="BAC4714C"/>
    <w:lvl w:ilvl="0" w:tplc="A42A7D48">
      <w:start w:val="1"/>
      <w:numFmt w:val="upperLetter"/>
      <w:lvlText w:val="%1."/>
      <w:lvlJc w:val="left"/>
      <w:pPr>
        <w:ind w:left="-207" w:hanging="360"/>
      </w:pPr>
      <w:rPr>
        <w:rFonts w:eastAsia="Times New Roman"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1" w15:restartNumberingAfterBreak="0">
    <w:nsid w:val="0D954887"/>
    <w:multiLevelType w:val="hybridMultilevel"/>
    <w:tmpl w:val="5A48E46A"/>
    <w:lvl w:ilvl="0" w:tplc="A81E21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342B508" w:tentative="1">
      <w:start w:val="1"/>
      <w:numFmt w:val="lowerLetter"/>
      <w:lvlText w:val="%2."/>
      <w:lvlJc w:val="left"/>
      <w:pPr>
        <w:tabs>
          <w:tab w:val="num" w:pos="1440"/>
        </w:tabs>
        <w:ind w:left="1440" w:hanging="360"/>
      </w:pPr>
    </w:lvl>
    <w:lvl w:ilvl="2" w:tplc="9D649386" w:tentative="1">
      <w:start w:val="1"/>
      <w:numFmt w:val="lowerRoman"/>
      <w:lvlText w:val="%3."/>
      <w:lvlJc w:val="right"/>
      <w:pPr>
        <w:tabs>
          <w:tab w:val="num" w:pos="2160"/>
        </w:tabs>
        <w:ind w:left="2160" w:hanging="180"/>
      </w:pPr>
    </w:lvl>
    <w:lvl w:ilvl="3" w:tplc="00E6C196" w:tentative="1">
      <w:start w:val="1"/>
      <w:numFmt w:val="decimal"/>
      <w:lvlText w:val="%4."/>
      <w:lvlJc w:val="left"/>
      <w:pPr>
        <w:tabs>
          <w:tab w:val="num" w:pos="2880"/>
        </w:tabs>
        <w:ind w:left="2880" w:hanging="360"/>
      </w:pPr>
    </w:lvl>
    <w:lvl w:ilvl="4" w:tplc="37D67938" w:tentative="1">
      <w:start w:val="1"/>
      <w:numFmt w:val="lowerLetter"/>
      <w:lvlText w:val="%5."/>
      <w:lvlJc w:val="left"/>
      <w:pPr>
        <w:tabs>
          <w:tab w:val="num" w:pos="3600"/>
        </w:tabs>
        <w:ind w:left="3600" w:hanging="360"/>
      </w:pPr>
    </w:lvl>
    <w:lvl w:ilvl="5" w:tplc="C8E816D2" w:tentative="1">
      <w:start w:val="1"/>
      <w:numFmt w:val="lowerRoman"/>
      <w:lvlText w:val="%6."/>
      <w:lvlJc w:val="right"/>
      <w:pPr>
        <w:tabs>
          <w:tab w:val="num" w:pos="4320"/>
        </w:tabs>
        <w:ind w:left="4320" w:hanging="180"/>
      </w:pPr>
    </w:lvl>
    <w:lvl w:ilvl="6" w:tplc="D66C87AE" w:tentative="1">
      <w:start w:val="1"/>
      <w:numFmt w:val="decimal"/>
      <w:lvlText w:val="%7."/>
      <w:lvlJc w:val="left"/>
      <w:pPr>
        <w:tabs>
          <w:tab w:val="num" w:pos="5040"/>
        </w:tabs>
        <w:ind w:left="5040" w:hanging="360"/>
      </w:pPr>
    </w:lvl>
    <w:lvl w:ilvl="7" w:tplc="C77093CC" w:tentative="1">
      <w:start w:val="1"/>
      <w:numFmt w:val="lowerLetter"/>
      <w:lvlText w:val="%8."/>
      <w:lvlJc w:val="left"/>
      <w:pPr>
        <w:tabs>
          <w:tab w:val="num" w:pos="5760"/>
        </w:tabs>
        <w:ind w:left="5760" w:hanging="360"/>
      </w:pPr>
    </w:lvl>
    <w:lvl w:ilvl="8" w:tplc="89CE4136" w:tentative="1">
      <w:start w:val="1"/>
      <w:numFmt w:val="lowerRoman"/>
      <w:lvlText w:val="%9."/>
      <w:lvlJc w:val="right"/>
      <w:pPr>
        <w:tabs>
          <w:tab w:val="num" w:pos="6480"/>
        </w:tabs>
        <w:ind w:left="6480" w:hanging="180"/>
      </w:pPr>
    </w:lvl>
  </w:abstractNum>
  <w:abstractNum w:abstractNumId="12" w15:restartNumberingAfterBreak="0">
    <w:nsid w:val="27440E2E"/>
    <w:multiLevelType w:val="hybridMultilevel"/>
    <w:tmpl w:val="6D64153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3" w15:restartNumberingAfterBreak="0">
    <w:nsid w:val="34E87225"/>
    <w:multiLevelType w:val="hybridMultilevel"/>
    <w:tmpl w:val="E2F2DFD4"/>
    <w:lvl w:ilvl="0" w:tplc="53706B18">
      <w:start w:val="4"/>
      <w:numFmt w:val="upperLetter"/>
      <w:lvlText w:val="%1."/>
      <w:lvlJc w:val="left"/>
      <w:pPr>
        <w:ind w:left="361" w:hanging="360"/>
      </w:pPr>
      <w:rPr>
        <w:rFonts w:eastAsia="Times New Roman"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4" w15:restartNumberingAfterBreak="0">
    <w:nsid w:val="36A7743B"/>
    <w:multiLevelType w:val="hybridMultilevel"/>
    <w:tmpl w:val="165289D8"/>
    <w:lvl w:ilvl="0" w:tplc="14E61C82">
      <w:start w:val="1"/>
      <w:numFmt w:val="bullet"/>
      <w:pStyle w:val="Bullet2G"/>
      <w:lvlText w:val="•"/>
      <w:lvlJc w:val="left"/>
      <w:pPr>
        <w:tabs>
          <w:tab w:val="num" w:pos="2268"/>
        </w:tabs>
        <w:ind w:left="2268" w:hanging="170"/>
      </w:pPr>
      <w:rPr>
        <w:rFonts w:ascii="Times New Roman" w:hAnsi="Times New Roman" w:cs="Times New Roman" w:hint="default"/>
      </w:rPr>
    </w:lvl>
    <w:lvl w:ilvl="1" w:tplc="066A74F6" w:tentative="1">
      <w:start w:val="1"/>
      <w:numFmt w:val="bullet"/>
      <w:lvlText w:val="o"/>
      <w:lvlJc w:val="left"/>
      <w:pPr>
        <w:tabs>
          <w:tab w:val="num" w:pos="1440"/>
        </w:tabs>
        <w:ind w:left="1440" w:hanging="360"/>
      </w:pPr>
      <w:rPr>
        <w:rFonts w:ascii="Courier New" w:hAnsi="Courier New" w:hint="default"/>
      </w:rPr>
    </w:lvl>
    <w:lvl w:ilvl="2" w:tplc="926E07BC" w:tentative="1">
      <w:start w:val="1"/>
      <w:numFmt w:val="bullet"/>
      <w:lvlText w:val=""/>
      <w:lvlJc w:val="left"/>
      <w:pPr>
        <w:tabs>
          <w:tab w:val="num" w:pos="2160"/>
        </w:tabs>
        <w:ind w:left="2160" w:hanging="360"/>
      </w:pPr>
      <w:rPr>
        <w:rFonts w:ascii="Wingdings" w:hAnsi="Wingdings" w:hint="default"/>
      </w:rPr>
    </w:lvl>
    <w:lvl w:ilvl="3" w:tplc="1C58C716" w:tentative="1">
      <w:start w:val="1"/>
      <w:numFmt w:val="bullet"/>
      <w:lvlText w:val=""/>
      <w:lvlJc w:val="left"/>
      <w:pPr>
        <w:tabs>
          <w:tab w:val="num" w:pos="2880"/>
        </w:tabs>
        <w:ind w:left="2880" w:hanging="360"/>
      </w:pPr>
      <w:rPr>
        <w:rFonts w:ascii="Symbol" w:hAnsi="Symbol" w:hint="default"/>
      </w:rPr>
    </w:lvl>
    <w:lvl w:ilvl="4" w:tplc="266A29AE" w:tentative="1">
      <w:start w:val="1"/>
      <w:numFmt w:val="bullet"/>
      <w:lvlText w:val="o"/>
      <w:lvlJc w:val="left"/>
      <w:pPr>
        <w:tabs>
          <w:tab w:val="num" w:pos="3600"/>
        </w:tabs>
        <w:ind w:left="3600" w:hanging="360"/>
      </w:pPr>
      <w:rPr>
        <w:rFonts w:ascii="Courier New" w:hAnsi="Courier New" w:hint="default"/>
      </w:rPr>
    </w:lvl>
    <w:lvl w:ilvl="5" w:tplc="6BA65090" w:tentative="1">
      <w:start w:val="1"/>
      <w:numFmt w:val="bullet"/>
      <w:lvlText w:val=""/>
      <w:lvlJc w:val="left"/>
      <w:pPr>
        <w:tabs>
          <w:tab w:val="num" w:pos="4320"/>
        </w:tabs>
        <w:ind w:left="4320" w:hanging="360"/>
      </w:pPr>
      <w:rPr>
        <w:rFonts w:ascii="Wingdings" w:hAnsi="Wingdings" w:hint="default"/>
      </w:rPr>
    </w:lvl>
    <w:lvl w:ilvl="6" w:tplc="028AAB6A" w:tentative="1">
      <w:start w:val="1"/>
      <w:numFmt w:val="bullet"/>
      <w:lvlText w:val=""/>
      <w:lvlJc w:val="left"/>
      <w:pPr>
        <w:tabs>
          <w:tab w:val="num" w:pos="5040"/>
        </w:tabs>
        <w:ind w:left="5040" w:hanging="360"/>
      </w:pPr>
      <w:rPr>
        <w:rFonts w:ascii="Symbol" w:hAnsi="Symbol" w:hint="default"/>
      </w:rPr>
    </w:lvl>
    <w:lvl w:ilvl="7" w:tplc="8C54FB4E" w:tentative="1">
      <w:start w:val="1"/>
      <w:numFmt w:val="bullet"/>
      <w:lvlText w:val="o"/>
      <w:lvlJc w:val="left"/>
      <w:pPr>
        <w:tabs>
          <w:tab w:val="num" w:pos="5760"/>
        </w:tabs>
        <w:ind w:left="5760" w:hanging="360"/>
      </w:pPr>
      <w:rPr>
        <w:rFonts w:ascii="Courier New" w:hAnsi="Courier New" w:hint="default"/>
      </w:rPr>
    </w:lvl>
    <w:lvl w:ilvl="8" w:tplc="7D54895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2A5FA7"/>
    <w:multiLevelType w:val="hybridMultilevel"/>
    <w:tmpl w:val="91BEB3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D40A27"/>
    <w:multiLevelType w:val="hybridMultilevel"/>
    <w:tmpl w:val="41641ABE"/>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7" w15:restartNumberingAfterBreak="0">
    <w:nsid w:val="5DFB3C40"/>
    <w:multiLevelType w:val="hybridMultilevel"/>
    <w:tmpl w:val="3D38F8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ACB66ACC">
      <w:start w:val="1"/>
      <w:numFmt w:val="bullet"/>
      <w:pStyle w:val="Bullet1G"/>
      <w:lvlText w:val="•"/>
      <w:lvlJc w:val="left"/>
      <w:pPr>
        <w:tabs>
          <w:tab w:val="num" w:pos="1701"/>
        </w:tabs>
        <w:ind w:left="1701" w:hanging="170"/>
      </w:pPr>
      <w:rPr>
        <w:rFonts w:ascii="Times New Roman" w:hAnsi="Times New Roman" w:cs="Times New Roman" w:hint="default"/>
      </w:rPr>
    </w:lvl>
    <w:lvl w:ilvl="1" w:tplc="A5EA9FDE" w:tentative="1">
      <w:start w:val="1"/>
      <w:numFmt w:val="bullet"/>
      <w:lvlText w:val="o"/>
      <w:lvlJc w:val="left"/>
      <w:pPr>
        <w:tabs>
          <w:tab w:val="num" w:pos="1440"/>
        </w:tabs>
        <w:ind w:left="1440" w:hanging="360"/>
      </w:pPr>
      <w:rPr>
        <w:rFonts w:ascii="Courier New" w:hAnsi="Courier New" w:hint="default"/>
      </w:rPr>
    </w:lvl>
    <w:lvl w:ilvl="2" w:tplc="AABC81C8" w:tentative="1">
      <w:start w:val="1"/>
      <w:numFmt w:val="bullet"/>
      <w:lvlText w:val=""/>
      <w:lvlJc w:val="left"/>
      <w:pPr>
        <w:tabs>
          <w:tab w:val="num" w:pos="2160"/>
        </w:tabs>
        <w:ind w:left="2160" w:hanging="360"/>
      </w:pPr>
      <w:rPr>
        <w:rFonts w:ascii="Wingdings" w:hAnsi="Wingdings" w:hint="default"/>
      </w:rPr>
    </w:lvl>
    <w:lvl w:ilvl="3" w:tplc="7F043B48" w:tentative="1">
      <w:start w:val="1"/>
      <w:numFmt w:val="bullet"/>
      <w:lvlText w:val=""/>
      <w:lvlJc w:val="left"/>
      <w:pPr>
        <w:tabs>
          <w:tab w:val="num" w:pos="2880"/>
        </w:tabs>
        <w:ind w:left="2880" w:hanging="360"/>
      </w:pPr>
      <w:rPr>
        <w:rFonts w:ascii="Symbol" w:hAnsi="Symbol" w:hint="default"/>
      </w:rPr>
    </w:lvl>
    <w:lvl w:ilvl="4" w:tplc="A83EFECC" w:tentative="1">
      <w:start w:val="1"/>
      <w:numFmt w:val="bullet"/>
      <w:lvlText w:val="o"/>
      <w:lvlJc w:val="left"/>
      <w:pPr>
        <w:tabs>
          <w:tab w:val="num" w:pos="3600"/>
        </w:tabs>
        <w:ind w:left="3600" w:hanging="360"/>
      </w:pPr>
      <w:rPr>
        <w:rFonts w:ascii="Courier New" w:hAnsi="Courier New" w:hint="default"/>
      </w:rPr>
    </w:lvl>
    <w:lvl w:ilvl="5" w:tplc="8E4C5BEC" w:tentative="1">
      <w:start w:val="1"/>
      <w:numFmt w:val="bullet"/>
      <w:lvlText w:val=""/>
      <w:lvlJc w:val="left"/>
      <w:pPr>
        <w:tabs>
          <w:tab w:val="num" w:pos="4320"/>
        </w:tabs>
        <w:ind w:left="4320" w:hanging="360"/>
      </w:pPr>
      <w:rPr>
        <w:rFonts w:ascii="Wingdings" w:hAnsi="Wingdings" w:hint="default"/>
      </w:rPr>
    </w:lvl>
    <w:lvl w:ilvl="6" w:tplc="E034ECFA" w:tentative="1">
      <w:start w:val="1"/>
      <w:numFmt w:val="bullet"/>
      <w:lvlText w:val=""/>
      <w:lvlJc w:val="left"/>
      <w:pPr>
        <w:tabs>
          <w:tab w:val="num" w:pos="5040"/>
        </w:tabs>
        <w:ind w:left="5040" w:hanging="360"/>
      </w:pPr>
      <w:rPr>
        <w:rFonts w:ascii="Symbol" w:hAnsi="Symbol" w:hint="default"/>
      </w:rPr>
    </w:lvl>
    <w:lvl w:ilvl="7" w:tplc="D3FACC6C" w:tentative="1">
      <w:start w:val="1"/>
      <w:numFmt w:val="bullet"/>
      <w:lvlText w:val="o"/>
      <w:lvlJc w:val="left"/>
      <w:pPr>
        <w:tabs>
          <w:tab w:val="num" w:pos="5760"/>
        </w:tabs>
        <w:ind w:left="5760" w:hanging="360"/>
      </w:pPr>
      <w:rPr>
        <w:rFonts w:ascii="Courier New" w:hAnsi="Courier New" w:hint="default"/>
      </w:rPr>
    </w:lvl>
    <w:lvl w:ilvl="8" w:tplc="C1AA262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900929">
    <w:abstractNumId w:val="19"/>
  </w:num>
  <w:num w:numId="2" w16cid:durableId="1082527288">
    <w:abstractNumId w:val="14"/>
  </w:num>
  <w:num w:numId="3" w16cid:durableId="1827477278">
    <w:abstractNumId w:val="21"/>
  </w:num>
  <w:num w:numId="4" w16cid:durableId="1811557907">
    <w:abstractNumId w:val="20"/>
  </w:num>
  <w:num w:numId="5" w16cid:durableId="707611298">
    <w:abstractNumId w:val="18"/>
  </w:num>
  <w:num w:numId="6" w16cid:durableId="899171325">
    <w:abstractNumId w:val="8"/>
  </w:num>
  <w:num w:numId="7" w16cid:durableId="1845633596">
    <w:abstractNumId w:val="3"/>
  </w:num>
  <w:num w:numId="8" w16cid:durableId="694384996">
    <w:abstractNumId w:val="2"/>
  </w:num>
  <w:num w:numId="9" w16cid:durableId="1783258176">
    <w:abstractNumId w:val="1"/>
  </w:num>
  <w:num w:numId="10" w16cid:durableId="89935738">
    <w:abstractNumId w:val="0"/>
  </w:num>
  <w:num w:numId="11" w16cid:durableId="549997289">
    <w:abstractNumId w:val="9"/>
  </w:num>
  <w:num w:numId="12" w16cid:durableId="1036925074">
    <w:abstractNumId w:val="7"/>
  </w:num>
  <w:num w:numId="13" w16cid:durableId="175465687">
    <w:abstractNumId w:val="6"/>
  </w:num>
  <w:num w:numId="14" w16cid:durableId="388647424">
    <w:abstractNumId w:val="5"/>
  </w:num>
  <w:num w:numId="15" w16cid:durableId="971984416">
    <w:abstractNumId w:val="4"/>
  </w:num>
  <w:num w:numId="16" w16cid:durableId="450637356">
    <w:abstractNumId w:val="19"/>
  </w:num>
  <w:num w:numId="17" w16cid:durableId="627584345">
    <w:abstractNumId w:val="14"/>
  </w:num>
  <w:num w:numId="18" w16cid:durableId="924649759">
    <w:abstractNumId w:val="21"/>
  </w:num>
  <w:num w:numId="19" w16cid:durableId="261766132">
    <w:abstractNumId w:val="20"/>
  </w:num>
  <w:num w:numId="20" w16cid:durableId="1706909632">
    <w:abstractNumId w:val="18"/>
  </w:num>
  <w:num w:numId="21" w16cid:durableId="1351495828">
    <w:abstractNumId w:val="8"/>
  </w:num>
  <w:num w:numId="22" w16cid:durableId="274362867">
    <w:abstractNumId w:val="3"/>
  </w:num>
  <w:num w:numId="23" w16cid:durableId="432751004">
    <w:abstractNumId w:val="2"/>
  </w:num>
  <w:num w:numId="24" w16cid:durableId="1355377991">
    <w:abstractNumId w:val="1"/>
  </w:num>
  <w:num w:numId="25" w16cid:durableId="1782872374">
    <w:abstractNumId w:val="0"/>
  </w:num>
  <w:num w:numId="26" w16cid:durableId="1487087755">
    <w:abstractNumId w:val="9"/>
  </w:num>
  <w:num w:numId="27" w16cid:durableId="1035538888">
    <w:abstractNumId w:val="7"/>
  </w:num>
  <w:num w:numId="28" w16cid:durableId="742071758">
    <w:abstractNumId w:val="6"/>
  </w:num>
  <w:num w:numId="29" w16cid:durableId="393742270">
    <w:abstractNumId w:val="5"/>
  </w:num>
  <w:num w:numId="30" w16cid:durableId="896357303">
    <w:abstractNumId w:val="4"/>
  </w:num>
  <w:num w:numId="31" w16cid:durableId="1582760325">
    <w:abstractNumId w:val="11"/>
  </w:num>
  <w:num w:numId="32" w16cid:durableId="335228248">
    <w:abstractNumId w:val="15"/>
  </w:num>
  <w:num w:numId="33" w16cid:durableId="954870404">
    <w:abstractNumId w:val="17"/>
  </w:num>
  <w:num w:numId="34" w16cid:durableId="1446850802">
    <w:abstractNumId w:val="12"/>
  </w:num>
  <w:num w:numId="35" w16cid:durableId="39863571">
    <w:abstractNumId w:val="10"/>
  </w:num>
  <w:num w:numId="36" w16cid:durableId="1014191190">
    <w:abstractNumId w:val="13"/>
  </w:num>
  <w:num w:numId="37" w16cid:durableId="849216183">
    <w:abstractNumId w:val="16"/>
  </w:num>
  <w:num w:numId="38" w16cid:durableId="1819957210">
    <w:abstractNumId w:val="19"/>
  </w:num>
  <w:num w:numId="39" w16cid:durableId="313531123">
    <w:abstractNumId w:val="19"/>
  </w:num>
  <w:num w:numId="40" w16cid:durableId="1354648127">
    <w:abstractNumId w:val="19"/>
  </w:num>
  <w:num w:numId="41" w16cid:durableId="779956449">
    <w:abstractNumId w:val="19"/>
  </w:num>
  <w:num w:numId="42" w16cid:durableId="53759278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3707E"/>
    <w:rsid w:val="000B50AC"/>
    <w:rsid w:val="000B66D8"/>
    <w:rsid w:val="000F1574"/>
    <w:rsid w:val="00107F43"/>
    <w:rsid w:val="001465B9"/>
    <w:rsid w:val="00150A36"/>
    <w:rsid w:val="00174101"/>
    <w:rsid w:val="001D3688"/>
    <w:rsid w:val="002149D4"/>
    <w:rsid w:val="002416DC"/>
    <w:rsid w:val="00291111"/>
    <w:rsid w:val="002C0622"/>
    <w:rsid w:val="002C612C"/>
    <w:rsid w:val="00323F4B"/>
    <w:rsid w:val="003535E3"/>
    <w:rsid w:val="00392A4E"/>
    <w:rsid w:val="003C18BE"/>
    <w:rsid w:val="003F3620"/>
    <w:rsid w:val="00431864"/>
    <w:rsid w:val="004318FF"/>
    <w:rsid w:val="004C2DC6"/>
    <w:rsid w:val="00501239"/>
    <w:rsid w:val="0056510B"/>
    <w:rsid w:val="00566A9D"/>
    <w:rsid w:val="005D6F66"/>
    <w:rsid w:val="005E7C3B"/>
    <w:rsid w:val="005F1EE7"/>
    <w:rsid w:val="00631849"/>
    <w:rsid w:val="006607FD"/>
    <w:rsid w:val="00722158"/>
    <w:rsid w:val="00735447"/>
    <w:rsid w:val="00775628"/>
    <w:rsid w:val="00777F90"/>
    <w:rsid w:val="007B5204"/>
    <w:rsid w:val="007C6D6D"/>
    <w:rsid w:val="007D32A3"/>
    <w:rsid w:val="007F253E"/>
    <w:rsid w:val="00886987"/>
    <w:rsid w:val="009142DE"/>
    <w:rsid w:val="0092286C"/>
    <w:rsid w:val="00922D6C"/>
    <w:rsid w:val="00935369"/>
    <w:rsid w:val="00936F06"/>
    <w:rsid w:val="00A52C6E"/>
    <w:rsid w:val="00A87075"/>
    <w:rsid w:val="00B1586C"/>
    <w:rsid w:val="00B2240F"/>
    <w:rsid w:val="00B77019"/>
    <w:rsid w:val="00B86C77"/>
    <w:rsid w:val="00C00885"/>
    <w:rsid w:val="00C30588"/>
    <w:rsid w:val="00D059F5"/>
    <w:rsid w:val="00D13E26"/>
    <w:rsid w:val="00D447EE"/>
    <w:rsid w:val="00D919DF"/>
    <w:rsid w:val="00DF13A7"/>
    <w:rsid w:val="00E10ABC"/>
    <w:rsid w:val="00E34E93"/>
    <w:rsid w:val="00E40F02"/>
    <w:rsid w:val="00EA0E3C"/>
    <w:rsid w:val="00EB1E69"/>
    <w:rsid w:val="00EC4E03"/>
    <w:rsid w:val="00EC50D6"/>
    <w:rsid w:val="00F02477"/>
    <w:rsid w:val="00F069FD"/>
    <w:rsid w:val="00F14496"/>
    <w:rsid w:val="00F73568"/>
    <w:rsid w:val="00FD59B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D719BA"/>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rsid w:val="00B1586C"/>
    <w:pPr>
      <w:keepNext/>
      <w:keepLines/>
      <w:suppressAutoHyphens/>
      <w:kinsoku w:val="0"/>
      <w:overflowPunct w:val="0"/>
      <w:autoSpaceDE w:val="0"/>
      <w:autoSpaceDN w:val="0"/>
      <w:adjustRightInd w:val="0"/>
      <w:snapToGrid w:val="0"/>
      <w:spacing w:after="0" w:line="240" w:lineRule="auto"/>
      <w:ind w:right="0"/>
      <w:jc w:val="left"/>
      <w:outlineLvl w:val="0"/>
    </w:pPr>
    <w:rPr>
      <w:rFonts w:eastAsiaTheme="majorEastAsia"/>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uiPriority w:val="3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sid w:val="00B1586C"/>
    <w:rPr>
      <w:rFonts w:eastAsiaTheme="majorEastAsia"/>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uiPriority w:val="99"/>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Prrafodelista">
    <w:name w:val="List Paragraph"/>
    <w:basedOn w:val="Normal"/>
    <w:uiPriority w:val="34"/>
    <w:qFormat/>
    <w:rsid w:val="005E7C3B"/>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paragraph">
    <w:name w:val="paragraph"/>
    <w:basedOn w:val="Normal"/>
    <w:rsid w:val="005E7C3B"/>
    <w:pPr>
      <w:spacing w:before="100" w:beforeAutospacing="1" w:after="100" w:afterAutospacing="1" w:line="240" w:lineRule="auto"/>
    </w:pPr>
    <w:rPr>
      <w:sz w:val="24"/>
      <w:szCs w:val="24"/>
      <w:lang w:val="es-CO" w:eastAsia="es-CO"/>
    </w:rPr>
  </w:style>
  <w:style w:type="character" w:customStyle="1" w:styleId="normaltextrun">
    <w:name w:val="normaltextrun"/>
    <w:basedOn w:val="Fuentedeprrafopredeter"/>
    <w:rsid w:val="005E7C3B"/>
  </w:style>
  <w:style w:type="character" w:customStyle="1" w:styleId="eop">
    <w:name w:val="eop"/>
    <w:basedOn w:val="Fuentedeprrafopredeter"/>
    <w:rsid w:val="005E7C3B"/>
  </w:style>
  <w:style w:type="character" w:customStyle="1" w:styleId="wacimagecontainer">
    <w:name w:val="wacimagecontainer"/>
    <w:basedOn w:val="Fuentedeprrafopredeter"/>
    <w:rsid w:val="005E7C3B"/>
  </w:style>
  <w:style w:type="paragraph" w:styleId="Revisin">
    <w:name w:val="Revision"/>
    <w:hidden/>
    <w:uiPriority w:val="99"/>
    <w:semiHidden/>
    <w:rsid w:val="00C0088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cia.gov.co/losmasbuscado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amara.gov.co/protocolo-contra-la-tortura" TargetMode="External"/><Relationship Id="rId1" Type="http://schemas.openxmlformats.org/officeDocument/2006/relationships/hyperlink" Target="https://portalparalapaz.gov.co/aprobada-politica-de-desmantelamiento-de-organizaciones-criminales/0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3C6C52-C643-4CFC-BB7A-EE86BC44A599}">
  <ds:schemaRefs>
    <ds:schemaRef ds:uri="http://schemas.microsoft.com/sharepoint/v3/contenttype/forms"/>
  </ds:schemaRefs>
</ds:datastoreItem>
</file>

<file path=customXml/itemProps3.xml><?xml version="1.0" encoding="utf-8"?>
<ds:datastoreItem xmlns:ds="http://schemas.openxmlformats.org/officeDocument/2006/customXml" ds:itemID="{ADFDE589-E9BD-4600-85A9-7EAF532A7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8205</Words>
  <Characters>45795</Characters>
  <Application>Microsoft Office Word</Application>
  <DocSecurity>0</DocSecurity>
  <Lines>914</Lines>
  <Paragraphs>368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CAT/C/COL/FCO/6</vt:lpstr>
      <vt:lpstr/>
      <vt:lpstr>CAT/C/XXX/Y</vt:lpstr>
    </vt:vector>
  </TitlesOfParts>
  <Company>DCM</Company>
  <LinksUpToDate>false</LinksUpToDate>
  <CharactersWithSpaces>53778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CAT/C/COL/FCO/6</dc:title>
  <dc:subject/>
  <dc:creator>Gloria</dc:creator>
  <cp:keywords/>
  <cp:lastModifiedBy>Romina Merino Mac-Kay</cp:lastModifiedBy>
  <cp:revision>2</cp:revision>
  <cp:lastPrinted>2017-04-25T13:54:00Z</cp:lastPrinted>
  <dcterms:created xsi:type="dcterms:W3CDTF">2024-06-10T09:49:00Z</dcterms:created>
  <dcterms:modified xsi:type="dcterms:W3CDTF">2024-06-10T09:49:00Z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4 de junio de 2024</vt:lpwstr>
  </property>
  <property fmtid="{D5CDD505-2E9C-101B-9397-08002B2CF9AE}" pid="12" name="Date-Generated">
    <vt:filetime>2024-06-03T15:01:29Z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246000</vt:r8>
  </property>
  <property fmtid="{D5CDD505-2E9C-101B-9397-08002B2CF9AE}" pid="22" name="Org">
    <vt:lpwstr>OHCHR</vt:lpwstr>
  </property>
  <property fmtid="{D5CDD505-2E9C-101B-9397-08002B2CF9AE}" pid="23" name="prep">
    <vt:lpwstr>al sexto informe periódico de Colombia</vt:lpwstr>
  </property>
  <property fmtid="{D5CDD505-2E9C-101B-9397-08002B2CF9AE}" pid="24" name="preps">
    <vt:lpwstr>sexto informe periódico de Colombia</vt:lpwstr>
  </property>
  <property fmtid="{D5CDD505-2E9C-101B-9397-08002B2CF9AE}" pid="25" name="prepw">
    <vt:lpwstr>al sexto informe periódico </vt:lpwstr>
  </property>
  <property fmtid="{D5CDD505-2E9C-101B-9397-08002B2CF9AE}" pid="26" name="prepwc">
    <vt:lpwstr>Sexto informe periódico </vt:lpwstr>
  </property>
  <property fmtid="{D5CDD505-2E9C-101B-9397-08002B2CF9AE}" pid="27" name="prepws">
    <vt:lpwstr>sexto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C/COL/FCO/6</vt:lpwstr>
  </property>
  <property fmtid="{D5CDD505-2E9C-101B-9397-08002B2CF9AE}" pid="33" name="symh">
    <vt:lpwstr>CAT/C/COL/FCO/6</vt:lpwstr>
  </property>
  <property fmtid="{D5CDD505-2E9C-101B-9397-08002B2CF9AE}" pid="34" name="Title">
    <vt:lpwstr>CAT/C/COL/FCO/6</vt:lpwstr>
  </property>
  <property fmtid="{D5CDD505-2E9C-101B-9397-08002B2CF9AE}" pid="35" name="tlang">
    <vt:lpwstr/>
  </property>
  <property fmtid="{D5CDD505-2E9C-101B-9397-08002B2CF9AE}" pid="36" name="virs">
    <vt:lpwstr>Español, francés e inglés únicamente</vt:lpwstr>
  </property>
</Properties>
</file>