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rPr>
          <w:lang w:val="en-US"/>
        </w:rPr>
        <w:br/>
      </w:r>
      <w:r>
        <w:t>в</w:t>
      </w:r>
      <w:r>
        <w:rPr>
          <w:lang w:val="en-US"/>
        </w:rPr>
        <w:t xml:space="preserve"> </w:t>
      </w:r>
      <w:r>
        <w:t>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663-м заседании,</w:t>
      </w:r>
    </w:p>
    <w:p w:rsidR="00000000" w:rsidRDefault="00000000">
      <w:r>
        <w:t>состоявшемся в Центральных учреждениях, Нью-Йорк, в понедельник, 19 июля 2004 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260"/>
          <w:tab w:val="left" w:pos="2477"/>
          <w:tab w:val="right" w:leader="dot" w:pos="8568"/>
        </w:tabs>
        <w:ind w:right="1267"/>
      </w:pPr>
      <w:r>
        <w:rPr>
          <w:i/>
        </w:rPr>
        <w:t xml:space="preserve">Председатель:  </w:t>
      </w:r>
      <w:r>
        <w:t>г</w:t>
      </w:r>
      <w:r>
        <w:noBreakHyphen/>
        <w:t>жа Шин (заместитель Председателя)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  <w:rPr>
          <w:lang w:val="en-US"/>
        </w:rPr>
      </w:pPr>
      <w:r>
        <w:t xml:space="preserve">Рассмотрение докладов, представленных государствами-участниками в рамках статьи 18 Конвенции </w:t>
      </w:r>
      <w:r>
        <w:rPr>
          <w:lang w:val="en-US"/>
        </w:rPr>
        <w:t>(продолжение)</w:t>
      </w:r>
    </w:p>
    <w:p w:rsidR="00000000" w:rsidRDefault="00000000">
      <w:pPr>
        <w:pStyle w:val="SingleTxt"/>
        <w:tabs>
          <w:tab w:val="clear" w:pos="1267"/>
        </w:tabs>
        <w:ind w:left="1755" w:hanging="18"/>
        <w:jc w:val="left"/>
        <w:rPr>
          <w:lang w:val="en-US"/>
        </w:rPr>
      </w:pPr>
      <w:r>
        <w:rPr>
          <w:lang w:val="en-US"/>
        </w:rPr>
        <w:tab/>
      </w:r>
      <w:r>
        <w:rPr>
          <w:i/>
        </w:rPr>
        <w:t>Сводные первоначальный, второй и третий периодические доклады Мальты (продолжение)</w:t>
      </w: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spacing w:after="0" w:line="240" w:lineRule="auto"/>
        <w:jc w:val="left"/>
        <w:rPr>
          <w:sz w:val="2"/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pStyle w:val="DualTxt"/>
        <w:suppressAutoHyphens/>
        <w:jc w:val="left"/>
        <w:rPr>
          <w:i/>
        </w:rPr>
      </w:pPr>
      <w:r>
        <w:rPr>
          <w:i/>
        </w:rPr>
        <w:t>В отсутствие Председателя заседание возглавляет г</w:t>
      </w:r>
      <w:r>
        <w:rPr>
          <w:i/>
        </w:rPr>
        <w:noBreakHyphen/>
        <w:t xml:space="preserve">жа Шин ,заместитель председателя. </w:t>
      </w:r>
    </w:p>
    <w:p w:rsidR="00000000" w:rsidRDefault="00000000">
      <w:pPr>
        <w:pStyle w:val="H4"/>
        <w:tabs>
          <w:tab w:val="left" w:pos="45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Заседание открывается в 15 ч. 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uppressAutoHyphens/>
        <w:jc w:val="left"/>
      </w:pPr>
      <w:r>
        <w:rPr>
          <w:b/>
        </w:rPr>
        <w:t>Рассмотрение докладов, представленных государствами-участниками в рамках статьи 18 Конвенции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DualTxt"/>
        <w:suppressAutoHyphens/>
        <w:ind w:left="475"/>
        <w:jc w:val="left"/>
        <w:rPr>
          <w:b/>
          <w:lang w:val="en-US"/>
        </w:rPr>
      </w:pPr>
      <w:r>
        <w:rPr>
          <w:i/>
        </w:rPr>
        <w:t xml:space="preserve">Сводные первоначальный, второй и третий периодические доклады Мальты (продолжение) </w:t>
      </w:r>
      <w:r>
        <w:t>(</w:t>
      </w:r>
      <w:r>
        <w:rPr>
          <w:lang w:val="en-US"/>
        </w:rPr>
        <w:t>CEDAW/C/MLT/1-3)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Мальты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Председатель </w:t>
      </w:r>
      <w:r>
        <w:t>предлагает делегации ответить на вопросы, поднятые на предыдущем заседании.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 xml:space="preserve">Г-жа Бугежа </w:t>
      </w:r>
      <w:r>
        <w:t>(Мальта) объяснила, что Ко</w:t>
      </w:r>
      <w:r>
        <w:t>н</w:t>
      </w:r>
      <w:r>
        <w:t>венция не была инкорпорирована во внутреннее з</w:t>
      </w:r>
      <w:r>
        <w:t>а</w:t>
      </w:r>
      <w:r>
        <w:t>конодательство, поскольку внутренние законы по</w:t>
      </w:r>
      <w:r>
        <w:t>л</w:t>
      </w:r>
      <w:r>
        <w:t>ностью соответствуют положениям Конвенции. О</w:t>
      </w:r>
      <w:r>
        <w:t>д</w:t>
      </w:r>
      <w:r>
        <w:t>нако вполне возможно, что мальтийские суды обр</w:t>
      </w:r>
      <w:r>
        <w:t>а</w:t>
      </w:r>
      <w:r>
        <w:t>тятся к Конвенции как к источнику толкования. Мальта приложила все усилия, чтобы ознакомить население с Конвенцией, и копии текста были ра</w:t>
      </w:r>
      <w:r>
        <w:t>с</w:t>
      </w:r>
      <w:r>
        <w:t>пространены среди должностных лиц в правител</w:t>
      </w:r>
      <w:r>
        <w:t>ь</w:t>
      </w:r>
      <w:r>
        <w:t>стве, школах, женских организациях и других н</w:t>
      </w:r>
      <w:r>
        <w:t>а</w:t>
      </w:r>
      <w:r>
        <w:t>циональных учреждениях. С целью содействия до</w:t>
      </w:r>
      <w:r>
        <w:t>с</w:t>
      </w:r>
      <w:r>
        <w:t>тижению гендерного равенства в департаментах правительства и государственных организациях б</w:t>
      </w:r>
      <w:r>
        <w:t>ы</w:t>
      </w:r>
      <w:r>
        <w:t>ли созданы подразделения по гендерным вопросам. Конвенция не была переведена на мальтийский язык, поскольку в этой стране официальным языком является английский, и большинство населения г</w:t>
      </w:r>
      <w:r>
        <w:t>о</w:t>
      </w:r>
      <w:r>
        <w:t>ворит на обоих языках. Факультативный протокол еще не подписан, поскольку правительство ждало вердикта министерства юстиции по поводу наличия законных препятствий к его подписанию. Протокол вступит в действие в соответствии с пунктом 2 ст</w:t>
      </w:r>
      <w:r>
        <w:t>а</w:t>
      </w:r>
      <w:r>
        <w:t>тьи 16, не будучи включенным во внутреннее зак</w:t>
      </w:r>
      <w:r>
        <w:t>о</w:t>
      </w:r>
      <w:r>
        <w:t xml:space="preserve">нодательство </w:t>
      </w:r>
    </w:p>
    <w:p w:rsidR="00000000" w:rsidRDefault="00000000">
      <w:pPr>
        <w:pStyle w:val="DualTxt"/>
      </w:pPr>
      <w:r>
        <w:t>4.</w:t>
      </w:r>
      <w:r>
        <w:tab/>
        <w:t>Право индивидуального ходатайства было предоставлено Правительственной декларацией от 1 мая 1987 года, до вступления в силу Закона о Е</w:t>
      </w:r>
      <w:r>
        <w:t>в</w:t>
      </w:r>
      <w:r>
        <w:t>ропейской конвенции. Первоначальный, второй и третий периодические доклады Мальты были пре</w:t>
      </w:r>
      <w:r>
        <w:t>д</w:t>
      </w:r>
      <w:r>
        <w:t>ставлены в декабре 2002 года. Они были подгото</w:t>
      </w:r>
      <w:r>
        <w:t>в</w:t>
      </w:r>
      <w:r>
        <w:t>лены консультантом, приглашенным тогдашним министерством социальной политики, после его с</w:t>
      </w:r>
      <w:r>
        <w:t>о</w:t>
      </w:r>
      <w:r>
        <w:t>вещаний с соответствующими департаментами, предприятиями и частными лицами. Доклады не были формально приняты правительством и не б</w:t>
      </w:r>
      <w:r>
        <w:t>ы</w:t>
      </w:r>
      <w:r>
        <w:t>ли представлены парламенту. Правительство не с</w:t>
      </w:r>
      <w:r>
        <w:t>о</w:t>
      </w:r>
      <w:r>
        <w:t>чло нужным представлять отчеты парламенту, п</w:t>
      </w:r>
      <w:r>
        <w:t>о</w:t>
      </w:r>
      <w:r>
        <w:t>скольку к тому времени Европейский союз уже скрупулезно изучил внутреннее законодательство Мальты, в которое были внесены необходимые п</w:t>
      </w:r>
      <w:r>
        <w:t>о</w:t>
      </w:r>
      <w:r>
        <w:t>правки, обеспечивающие гендерное равенство. По твердому убеждению правительства, в законод</w:t>
      </w:r>
      <w:r>
        <w:t>а</w:t>
      </w:r>
      <w:r>
        <w:t>тельстве не осталось ни одного положения дискр</w:t>
      </w:r>
      <w:r>
        <w:t>и</w:t>
      </w:r>
      <w:r>
        <w:t>минационного характера. В случае необходимости доклады будут доступны для неправительственных организаций. Правительство Мальты примет все необходимые меры для осмысления комментариев Комитета и будет следовать новому руководству, принятому для докладов, представленных после 31 декабря 2002 года. В то же время Национальная комиссия по поощрению равенства между мужч</w:t>
      </w:r>
      <w:r>
        <w:t>и</w:t>
      </w:r>
      <w:r>
        <w:t>нами и женщинами примет все меры к распростр</w:t>
      </w:r>
      <w:r>
        <w:t>а</w:t>
      </w:r>
      <w:r>
        <w:t>нению Конвенции.</w:t>
      </w:r>
    </w:p>
    <w:p w:rsidR="00000000" w:rsidRDefault="00000000">
      <w:pPr>
        <w:pStyle w:val="DualTxt"/>
      </w:pPr>
      <w:r>
        <w:t>5.</w:t>
      </w:r>
      <w:r>
        <w:tab/>
        <w:t>Что касается оговорок, Мальта ввела оговорку к статье 11, разрешающую законодательству защ</w:t>
      </w:r>
      <w:r>
        <w:t>и</w:t>
      </w:r>
      <w:r>
        <w:t>щать здоровье и безопасность женщин или челов</w:t>
      </w:r>
      <w:r>
        <w:t>е</w:t>
      </w:r>
      <w:r>
        <w:t>ческого плода, принимая во внимание запреты, ог</w:t>
      </w:r>
      <w:r>
        <w:t>о</w:t>
      </w:r>
      <w:r>
        <w:t>ворки или условия, вытекающие из других межд</w:t>
      </w:r>
      <w:r>
        <w:t>у</w:t>
      </w:r>
      <w:r>
        <w:t>народных обязательств. Оговорка к статье 16 была сделана для того, чтобы положения пункта 1 (е) не могли быть истолкованы как обязательство легал</w:t>
      </w:r>
      <w:r>
        <w:t>и</w:t>
      </w:r>
      <w:r>
        <w:t>зовать аборты. Что касается оговорки к статье 13, хотя закон о социальном страховании изначально признавал главой семьи мужа, в соответствии с п</w:t>
      </w:r>
      <w:r>
        <w:t>о</w:t>
      </w:r>
      <w:r>
        <w:t>правкой 1996 года правом назначать официального главу семьи обладает директор службы социального страхования. В 2003 году с целью устранения о</w:t>
      </w:r>
      <w:r>
        <w:t>с</w:t>
      </w:r>
      <w:r>
        <w:t>тающихся положений дискриминационного хара</w:t>
      </w:r>
      <w:r>
        <w:t>к</w:t>
      </w:r>
      <w:r>
        <w:t>тера к закону о социальном страховании была сд</w:t>
      </w:r>
      <w:r>
        <w:t>е</w:t>
      </w:r>
      <w:r>
        <w:t>лана последняя поправка. Относительно отмены оговорки к статье 15, министерство по делам семьи и социальной солидарности собирается провести юридическую консультацию по поводу наличия т</w:t>
      </w:r>
      <w:r>
        <w:t>а</w:t>
      </w:r>
      <w:r>
        <w:t>кой возможности.</w:t>
      </w:r>
    </w:p>
    <w:p w:rsidR="00000000" w:rsidRDefault="00000000">
      <w:pPr>
        <w:pStyle w:val="DualTxt"/>
      </w:pPr>
      <w:r>
        <w:t>6.</w:t>
      </w:r>
      <w:r>
        <w:tab/>
        <w:t>В ответ на вопрос о неправительственных о</w:t>
      </w:r>
      <w:r>
        <w:t>р</w:t>
      </w:r>
      <w:r>
        <w:t>ганизациях (НПО) сообщается, что ряд междун</w:t>
      </w:r>
      <w:r>
        <w:t>а</w:t>
      </w:r>
      <w:r>
        <w:t>родных женских организаций, в том числе Наци</w:t>
      </w:r>
      <w:r>
        <w:t>о</w:t>
      </w:r>
      <w:r>
        <w:t>нальный совет женщин, имеет филиал на Мальте. НПО могут подать заявку на государственное ф</w:t>
      </w:r>
      <w:r>
        <w:t>и</w:t>
      </w:r>
      <w:r>
        <w:t>нансирование, представив запрос на финансиров</w:t>
      </w:r>
      <w:r>
        <w:t>а</w:t>
      </w:r>
      <w:r>
        <w:t>ние и бизнес-план в отделение негосударственных организаций департамента по делам семьи. Ком</w:t>
      </w:r>
      <w:r>
        <w:t>и</w:t>
      </w:r>
      <w:r>
        <w:t>тет, назначенный министерством по делам семьи и социальной солидарности, ежегодно обрабатывает запросы и представляет министру свои рекоменд</w:t>
      </w:r>
      <w:r>
        <w:t>а</w:t>
      </w:r>
      <w:r>
        <w:t>ции по поводу выделения финансирования. Наци</w:t>
      </w:r>
      <w:r>
        <w:t>о</w:t>
      </w:r>
      <w:r>
        <w:t>нальная комиссия по поощрению равенства между мужчинами и женщинами была создана в январе 2004 года и состояла из семи членов, имеющих зн</w:t>
      </w:r>
      <w:r>
        <w:t>а</w:t>
      </w:r>
      <w:r>
        <w:t>ния в области права, образования, гендерных в</w:t>
      </w:r>
      <w:r>
        <w:t>о</w:t>
      </w:r>
      <w:r>
        <w:t>просов и т.д. 2,7 процента последнего бюджета бывшей Комиссии по улучшению положения же</w:t>
      </w:r>
      <w:r>
        <w:t>н</w:t>
      </w:r>
      <w:r>
        <w:t>щин составили правительственные средства, выд</w:t>
      </w:r>
      <w:r>
        <w:t>е</w:t>
      </w:r>
      <w:r>
        <w:t>ленные министерству по делам семьи и социальной солидарн</w:t>
      </w:r>
      <w:r>
        <w:t>о</w:t>
      </w:r>
      <w:r>
        <w:t>сти.</w:t>
      </w:r>
    </w:p>
    <w:p w:rsidR="00000000" w:rsidRDefault="00000000">
      <w:pPr>
        <w:pStyle w:val="DualTxt"/>
      </w:pPr>
      <w:r>
        <w:t>7.</w:t>
      </w:r>
      <w:r>
        <w:tab/>
        <w:t>Национальная комиссия по поощрению раве</w:t>
      </w:r>
      <w:r>
        <w:t>н</w:t>
      </w:r>
      <w:r>
        <w:t>ства между мужчинами и женщинами сотрудничала со всеми департаментами и министерствами с ц</w:t>
      </w:r>
      <w:r>
        <w:t>е</w:t>
      </w:r>
      <w:r>
        <w:t>лью выработки и внедрения политики равенства. Она заботилась о том, чтобы должностные лица в правительстве обладали необходимыми знаниями для инкорпорирования гендерной перспективы в свою работу и чтобы проблемы женщин были включены во все законодательство и политику в с</w:t>
      </w:r>
      <w:r>
        <w:t>о</w:t>
      </w:r>
      <w:r>
        <w:t>ответствии с Конвенцией. С Национальной Коми</w:t>
      </w:r>
      <w:r>
        <w:t>с</w:t>
      </w:r>
      <w:r>
        <w:t>сией по поощрению равенства между мужчинами и женщинами проводились консультации при соста</w:t>
      </w:r>
      <w:r>
        <w:t>в</w:t>
      </w:r>
      <w:r>
        <w:t>лении любых новых законов, и она была юридич</w:t>
      </w:r>
      <w:r>
        <w:t>е</w:t>
      </w:r>
      <w:r>
        <w:t>ским лицом, ответственным за мониторинг соотве</w:t>
      </w:r>
      <w:r>
        <w:t>т</w:t>
      </w:r>
      <w:r>
        <w:t>ствия с Законом о поощрении равенства между мужчинами и женщинами. Гендерное равенство контролировалось посредством изучения ежего</w:t>
      </w:r>
      <w:r>
        <w:t>д</w:t>
      </w:r>
      <w:r>
        <w:t>ных докладов, представляемых подразделениями по гендерным вопросам, созданными в правительс</w:t>
      </w:r>
      <w:r>
        <w:t>т</w:t>
      </w:r>
      <w:r>
        <w:t>венных департаментах и общественных организ</w:t>
      </w:r>
      <w:r>
        <w:t>а</w:t>
      </w:r>
      <w:r>
        <w:t>циях. Национальная комиссия сделала все возмо</w:t>
      </w:r>
      <w:r>
        <w:t>ж</w:t>
      </w:r>
      <w:r>
        <w:t>ное, чтобы ознакомить мальтийское общество с п</w:t>
      </w:r>
      <w:r>
        <w:t>о</w:t>
      </w:r>
      <w:r>
        <w:t>ложениями Закона о поощрении равенства между мужчинами и женщинами. Она общалась с рекла</w:t>
      </w:r>
      <w:r>
        <w:t>м</w:t>
      </w:r>
      <w:r>
        <w:t>ными агентствами, банковскими учреждениями и средствами массовой информации, чтобы убедиться в том, что они соблюдают гендерное равенство, а также контролировала публикацию рекламных об</w:t>
      </w:r>
      <w:r>
        <w:t>ъ</w:t>
      </w:r>
      <w:r>
        <w:t>явлений с целью выявления заявлений, продикт</w:t>
      </w:r>
      <w:r>
        <w:t>о</w:t>
      </w:r>
      <w:r>
        <w:t>ванных гендерными стереотипами, и других ди</w:t>
      </w:r>
      <w:r>
        <w:t>с</w:t>
      </w:r>
      <w:r>
        <w:t>криминационных пра</w:t>
      </w:r>
      <w:r>
        <w:t>к</w:t>
      </w:r>
      <w:r>
        <w:t>тик.</w:t>
      </w:r>
    </w:p>
    <w:p w:rsidR="00000000" w:rsidRDefault="00000000">
      <w:pPr>
        <w:pStyle w:val="DualTxt"/>
      </w:pPr>
      <w:r>
        <w:t>8.</w:t>
      </w:r>
      <w:r>
        <w:tab/>
        <w:t>За первые шесть месяцев 2004 года Наци</w:t>
      </w:r>
      <w:r>
        <w:t>о</w:t>
      </w:r>
      <w:r>
        <w:t>нальная комиссия по поощрению равенства между мужчинами и женщинами получила 26 жалоб на гендерную дискриминацию. Отвечая на жалобы, касающиеся государственной сферы услуг, она в первую очередь консультировалась с Отделом по вопросам управления и кадров кабинета премьер-министра. Вопросы, касающиеся работников в ч</w:t>
      </w:r>
      <w:r>
        <w:t>а</w:t>
      </w:r>
      <w:r>
        <w:t>стном секторе, обсуждались с Департаментом по вопросам производственных и трудовых отнош</w:t>
      </w:r>
      <w:r>
        <w:t>е</w:t>
      </w:r>
      <w:r>
        <w:t>ний. Хотя Национальная комиссия по поощрению равенства между мужчинами и женщинами являе</w:t>
      </w:r>
      <w:r>
        <w:t>т</w:t>
      </w:r>
      <w:r>
        <w:t>ся частью министерства по делам семьи и социал</w:t>
      </w:r>
      <w:r>
        <w:t>ь</w:t>
      </w:r>
      <w:r>
        <w:t>ной солидарности, она обладает полной свободой действий в своих решениях и действиях. Она пре</w:t>
      </w:r>
      <w:r>
        <w:t>д</w:t>
      </w:r>
      <w:r>
        <w:t>ставила ежегодный доклад о своей деятельности министру, однако не получила от нее никаких ук</w:t>
      </w:r>
      <w:r>
        <w:t>а</w:t>
      </w:r>
      <w:r>
        <w:t>заний. Со времени своего создания в 2004 году Н</w:t>
      </w:r>
      <w:r>
        <w:t>а</w:t>
      </w:r>
      <w:r>
        <w:t>циональная комиссия выполняла собственную двухлетнюю директиву о стратегической политике на 2004-2006 год. Был определен ряд мер, которые могли бы исправить текущую ситуацию, в том чи</w:t>
      </w:r>
      <w:r>
        <w:t>с</w:t>
      </w:r>
      <w:r>
        <w:t>ле: усиление внимания к гендерным вопросам во всех видах политики и на всех уровнях правител</w:t>
      </w:r>
      <w:r>
        <w:t>ь</w:t>
      </w:r>
      <w:r>
        <w:t>ства и частных предприятий; обеспечение адеква</w:t>
      </w:r>
      <w:r>
        <w:t>т</w:t>
      </w:r>
      <w:r>
        <w:t>ного гендерного представительства на всех уровнях политических партий, профсоюзов и других соц</w:t>
      </w:r>
      <w:r>
        <w:t>и</w:t>
      </w:r>
      <w:r>
        <w:t>альных партнеров; повышение осведомленности по гендерным вопросам в университетских курсах, н</w:t>
      </w:r>
      <w:r>
        <w:t>а</w:t>
      </w:r>
      <w:r>
        <w:t>учной работе и медицинских службах; и уничтож</w:t>
      </w:r>
      <w:r>
        <w:t>е</w:t>
      </w:r>
      <w:r>
        <w:t>ние стереотипов с помощью образовательных пр</w:t>
      </w:r>
      <w:r>
        <w:t>о</w:t>
      </w:r>
      <w:r>
        <w:t>грамм и кампаний в средствах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9.</w:t>
      </w:r>
      <w:r>
        <w:tab/>
        <w:t>Что касается выполнения конституции Мал</w:t>
      </w:r>
      <w:r>
        <w:t>ь</w:t>
      </w:r>
      <w:r>
        <w:t>ты, жалобы на нарушения ее положений могут быть поданы в Первую палату Гражданского суда и в Конституционный суд. Соблюдение основных прав и свобод, в том числе права на защиту от дискр</w:t>
      </w:r>
      <w:r>
        <w:t>и</w:t>
      </w:r>
      <w:r>
        <w:t>минации по признаку пола, обеспечивается мал</w:t>
      </w:r>
      <w:r>
        <w:t>ь</w:t>
      </w:r>
      <w:r>
        <w:t>тийскими судами в соответствии со статьей 46 Ко</w:t>
      </w:r>
      <w:r>
        <w:t>н</w:t>
      </w:r>
      <w:r>
        <w:t>ституции. Хотя в докладе ни разу не упоминается омбудсмен, Национальная комиссия по поощрению равенства между мужчинами и женщинами тесно сотрудничала с его бюро и будет продолжать по</w:t>
      </w:r>
      <w:r>
        <w:t>д</w:t>
      </w:r>
      <w:r>
        <w:t>черкивать важность Конвенции.</w:t>
      </w:r>
    </w:p>
    <w:p w:rsidR="00000000" w:rsidRDefault="00000000">
      <w:pPr>
        <w:pStyle w:val="DualTxt"/>
      </w:pPr>
      <w:r>
        <w:t>10.</w:t>
      </w:r>
      <w:r>
        <w:tab/>
        <w:t>Законопроект о бытовом насилии в настоящее время составляется министром юстиции, а впосле</w:t>
      </w:r>
      <w:r>
        <w:t>д</w:t>
      </w:r>
      <w:r>
        <w:t>ствии будет представлен на рассмотрение кабинету и парламенту. Проект охватывает такие аспекты, как защита жертвы, арест и приведение в суд пр</w:t>
      </w:r>
      <w:r>
        <w:t>е</w:t>
      </w:r>
      <w:r>
        <w:t>ступника, обращение с преступником и вмешател</w:t>
      </w:r>
      <w:r>
        <w:t>ь</w:t>
      </w:r>
      <w:r>
        <w:t>ство государства в процесс на стороне жертвы в случае повторяющихся актов насилия. Особый з</w:t>
      </w:r>
      <w:r>
        <w:t>а</w:t>
      </w:r>
      <w:r>
        <w:t>кон о бытовом насилии был сочтен необходимым, поскольку положения уголовного кодекса допуск</w:t>
      </w:r>
      <w:r>
        <w:t>а</w:t>
      </w:r>
      <w:r>
        <w:t>ют слишком широкое толкование.</w:t>
      </w:r>
    </w:p>
    <w:p w:rsidR="00000000" w:rsidRDefault="00000000">
      <w:pPr>
        <w:pStyle w:val="DualTxt"/>
      </w:pPr>
      <w:r>
        <w:t>11.</w:t>
      </w:r>
      <w:r>
        <w:tab/>
        <w:t>Что касается поддержки матерей-подростков, для них до сих пор существует ряд центров, сп</w:t>
      </w:r>
      <w:r>
        <w:t>е</w:t>
      </w:r>
      <w:r>
        <w:t>циализирующихся на подростковой беременности. До сих пор неясно, способствует ли наличие таких центров раннему началу половой жизни д</w:t>
      </w:r>
      <w:r>
        <w:t>е</w:t>
      </w:r>
      <w:r>
        <w:t>вочками-подростками, поскольку количество подростковых беременностей не увеличилось. Одна из целей т</w:t>
      </w:r>
      <w:r>
        <w:t>а</w:t>
      </w:r>
      <w:r>
        <w:t>ких центров - обеспечить беременным подросткам возможность продолжать образование и получить хорошую работу. Различные виды поддержки были оказаны также и отцам, ожидающим прибавления семейства.</w:t>
      </w:r>
    </w:p>
    <w:p w:rsidR="00000000" w:rsidRDefault="00000000">
      <w:pPr>
        <w:pStyle w:val="DualTxt"/>
      </w:pPr>
      <w:r>
        <w:t>12.</w:t>
      </w:r>
      <w:r>
        <w:tab/>
        <w:t>В рамках выполнения Плана по учету генде</w:t>
      </w:r>
      <w:r>
        <w:t>р</w:t>
      </w:r>
      <w:r>
        <w:t>ных аспектов в правительстве был проведен ряд с</w:t>
      </w:r>
      <w:r>
        <w:t>е</w:t>
      </w:r>
      <w:r>
        <w:t>минаров по тренингу в области информации по гендерным вопросам и оценке гендерных последс</w:t>
      </w:r>
      <w:r>
        <w:t>т</w:t>
      </w:r>
      <w:r>
        <w:t>вий для должностных лиц среднего и старшего зв</w:t>
      </w:r>
      <w:r>
        <w:t>е</w:t>
      </w:r>
      <w:r>
        <w:t>на, после чего были выработаны рекомендации, п</w:t>
      </w:r>
      <w:r>
        <w:t>е</w:t>
      </w:r>
      <w:r>
        <w:t>реданные должностным лицам высшего звена. Тр</w:t>
      </w:r>
      <w:r>
        <w:t>е</w:t>
      </w:r>
      <w:r>
        <w:t>нинг по оценке гендерных последствий также включал разработку пилотных проектов различн</w:t>
      </w:r>
      <w:r>
        <w:t>ы</w:t>
      </w:r>
      <w:r>
        <w:t>ми министерствами. В 1999 году правительство п</w:t>
      </w:r>
      <w:r>
        <w:t>о</w:t>
      </w:r>
      <w:r>
        <w:t>вторило свое обязательство обеспечить гендерное равенство и включить гендерную перспективу на  всех уровнях и во все области государственного управления. Этого предполагалось достичь, сделав государственных чиновников всех уровней и во всех правительственных департаментах и предпр</w:t>
      </w:r>
      <w:r>
        <w:t>и</w:t>
      </w:r>
      <w:r>
        <w:t>ятиях ответственными за внедрение плана по пр</w:t>
      </w:r>
      <w:r>
        <w:t>и</w:t>
      </w:r>
      <w:r>
        <w:t>влечению внимания к гендерным вопросам в 2000 году. Однако цели по учету гендерных аспе</w:t>
      </w:r>
      <w:r>
        <w:t>к</w:t>
      </w:r>
      <w:r>
        <w:t>тов пока были поставлены лишь в нескольких ос</w:t>
      </w:r>
      <w:r>
        <w:t>о</w:t>
      </w:r>
      <w:r>
        <w:t>бых министерс</w:t>
      </w:r>
      <w:r>
        <w:t>т</w:t>
      </w:r>
      <w:r>
        <w:t>вах.</w:t>
      </w:r>
    </w:p>
    <w:p w:rsidR="00000000" w:rsidRDefault="00000000">
      <w:pPr>
        <w:pStyle w:val="DualTxt"/>
      </w:pPr>
      <w:r>
        <w:t>13.</w:t>
      </w:r>
      <w:r>
        <w:tab/>
        <w:t>Обращаясь к статье 4 Пакта, она сказала, что согласна с утверждением о необходимости выхода за рамки формального законодательства для дост</w:t>
      </w:r>
      <w:r>
        <w:t>и</w:t>
      </w:r>
      <w:r>
        <w:t>жения фактического равенства между мужчинами и женщинами. Что же касается того, собирается ли правительство Мальты принять временные спец</w:t>
      </w:r>
      <w:r>
        <w:t>и</w:t>
      </w:r>
      <w:r>
        <w:t>альные меры, в частности в сфере трудоустройства и увеличения политического представительства, она предположила, что правительство примет все нео</w:t>
      </w:r>
      <w:r>
        <w:t>б</w:t>
      </w:r>
      <w:r>
        <w:t>ходимые меры для того, чтобы гарантировать по</w:t>
      </w:r>
      <w:r>
        <w:t>л</w:t>
      </w:r>
      <w:r>
        <w:t>ное выполнение</w:t>
      </w:r>
      <w:r>
        <w:rPr>
          <w:lang w:val="en-US"/>
        </w:rPr>
        <w:t xml:space="preserve"> </w:t>
      </w:r>
      <w:r>
        <w:t>законодательства с целью дост</w:t>
      </w:r>
      <w:r>
        <w:t>и</w:t>
      </w:r>
      <w:r>
        <w:t>жения фактического равенства между мужчинами и женщинами. Обращаясь к точной формулировке Конституции, касающейся временных специальных мер, она указала, что статья 45 (11) Конституции гласит: "Ничто в предписаниях этой статьи не должно применяться к любому закону или к чему-то сделанному на основании закона или к любой процедуре или соглашению, если такой закон, де</w:t>
      </w:r>
      <w:r>
        <w:t>й</w:t>
      </w:r>
      <w:r>
        <w:t>ствие, процедура или соглашение предусматривает принятие особых мер, направленных на ускорение установления де-факто равенства между мужчин</w:t>
      </w:r>
      <w:r>
        <w:t>а</w:t>
      </w:r>
      <w:r>
        <w:t>ми и женщинами, и лишь настолько, насколько т</w:t>
      </w:r>
      <w:r>
        <w:t>а</w:t>
      </w:r>
      <w:r>
        <w:t>кие меры с учетом устройства общества Мальты оказалось возможным разумно обосновать в дем</w:t>
      </w:r>
      <w:r>
        <w:t>о</w:t>
      </w:r>
      <w:r>
        <w:t>кратическом обществе".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  <w:r>
        <w:t>14.</w:t>
      </w:r>
      <w:r>
        <w:tab/>
        <w:t>Обращаясь к статье 5, она сказала, что, хотя насилие, несомненно, совершается не только в о</w:t>
      </w:r>
      <w:r>
        <w:t>т</w:t>
      </w:r>
      <w:r>
        <w:t>ношении женщин, заявления Комитета не подкре</w:t>
      </w:r>
      <w:r>
        <w:t>п</w:t>
      </w:r>
      <w:r>
        <w:t>ляются содержанием раздела 5.19 объединенных докладов, озаглавленного "Насилие в отношении женщин", или раздела 16.19, имеющего такое же название. Приписывание недостатка информации или осведомленности о гендерной специфике нас</w:t>
      </w:r>
      <w:r>
        <w:t>и</w:t>
      </w:r>
      <w:r>
        <w:t>лия задержке в завершении внутреннего законод</w:t>
      </w:r>
      <w:r>
        <w:t>а</w:t>
      </w:r>
      <w:r>
        <w:t>тельства о бытовом насилии совершенно необосн</w:t>
      </w:r>
      <w:r>
        <w:t>о</w:t>
      </w:r>
      <w:r>
        <w:t>ванно, п</w:t>
      </w:r>
      <w:r>
        <w:t>о</w:t>
      </w:r>
      <w:r>
        <w:t>скольку последнее не является причиной.</w:t>
      </w:r>
    </w:p>
    <w:p w:rsidR="00000000" w:rsidRDefault="00000000">
      <w:pPr>
        <w:pStyle w:val="DualTxt"/>
      </w:pPr>
      <w:r>
        <w:t>15.</w:t>
      </w:r>
      <w:r>
        <w:tab/>
        <w:t>Касаясь вопроса о том, что в мальтийском уг</w:t>
      </w:r>
      <w:r>
        <w:t>о</w:t>
      </w:r>
      <w:r>
        <w:t>ловном кодексе изнасилование классифицируется как преступление против порядка в семье и о том, что такое толкование устарело и должно быть н</w:t>
      </w:r>
      <w:r>
        <w:t>е</w:t>
      </w:r>
      <w:r>
        <w:t>медленно исправлено, поскольку изнасилование - преступление против личности, она сказала, что фактически изнасилование классифицируется как уголовное преступление из разряда "преступлений против мира и чести семей и против морали". Кла</w:t>
      </w:r>
      <w:r>
        <w:t>с</w:t>
      </w:r>
      <w:r>
        <w:t>сификация изнасилования как уголовного престу</w:t>
      </w:r>
      <w:r>
        <w:t>п</w:t>
      </w:r>
      <w:r>
        <w:t>ления против морали не считается устаревшей, и отнесение его как к преступлениям против личн</w:t>
      </w:r>
      <w:r>
        <w:t>о</w:t>
      </w:r>
      <w:r>
        <w:t>сти, так и к преступлениям против морали не вли</w:t>
      </w:r>
      <w:r>
        <w:t>я</w:t>
      </w:r>
      <w:r>
        <w:t xml:space="preserve">ет на тяжесть преступления и на соответствующее ему наказание. </w:t>
      </w:r>
    </w:p>
    <w:p w:rsidR="00000000" w:rsidRDefault="00000000">
      <w:pPr>
        <w:pStyle w:val="DualTxt"/>
        <w:rPr>
          <w:lang w:val="en-US"/>
        </w:rPr>
      </w:pPr>
      <w:r>
        <w:t>16.</w:t>
      </w:r>
      <w:r>
        <w:tab/>
        <w:t>Отделение по борьбе с насилием в семье явл</w:t>
      </w:r>
      <w:r>
        <w:t>я</w:t>
      </w:r>
      <w:r>
        <w:t>лось частью национального агентства, предоста</w:t>
      </w:r>
      <w:r>
        <w:t>в</w:t>
      </w:r>
      <w:r>
        <w:t>лявшего услуги по социальной поддержке и пол</w:t>
      </w:r>
      <w:r>
        <w:t>у</w:t>
      </w:r>
      <w:r>
        <w:t>чавшего 850 000 мальтийских лир (примерно 2,5 млн. долларов) от правительства, что предста</w:t>
      </w:r>
      <w:r>
        <w:t>в</w:t>
      </w:r>
      <w:r>
        <w:t>ляло собой 32 процента бюджета, выделяемого м</w:t>
      </w:r>
      <w:r>
        <w:t>и</w:t>
      </w:r>
      <w:r>
        <w:t>нистерству по делам семьи и социальной солида</w:t>
      </w:r>
      <w:r>
        <w:t>р</w:t>
      </w:r>
      <w:r>
        <w:t>ности. Агентство также приглашало большое кол</w:t>
      </w:r>
      <w:r>
        <w:t>и</w:t>
      </w:r>
      <w:r>
        <w:t>чество квалифицированных социальных работников для работы в разных сферах, одной из которых б</w:t>
      </w:r>
      <w:r>
        <w:t>ы</w:t>
      </w:r>
      <w:r>
        <w:t>ло насилие в семье. Это отделение также тесно с</w:t>
      </w:r>
      <w:r>
        <w:t>о</w:t>
      </w:r>
      <w:r>
        <w:t>трудничало с полицией. Поддержка в форме псих</w:t>
      </w:r>
      <w:r>
        <w:t>о</w:t>
      </w:r>
      <w:r>
        <w:t>терапии и юридической помощи оказывалась всем клиентам с использованием услуг отделения. Ну</w:t>
      </w:r>
      <w:r>
        <w:t>ж</w:t>
      </w:r>
      <w:r>
        <w:t>дающимся клиентам оказывалась также финансовая помощь, предоставляемая по Закону о социальном страховании. Другие формы поддержки оказыв</w:t>
      </w:r>
      <w:r>
        <w:t>а</w:t>
      </w:r>
      <w:r>
        <w:t>лись церковными организациями, которые очень тесно сотрудничали с агентством. Что касается в</w:t>
      </w:r>
      <w:r>
        <w:t>о</w:t>
      </w:r>
      <w:r>
        <w:t>проса об отсутствии финансового эквивалента р</w:t>
      </w:r>
      <w:r>
        <w:t>а</w:t>
      </w:r>
      <w:r>
        <w:t>боты по дому и добровольной работы, а также в</w:t>
      </w:r>
      <w:r>
        <w:t>о</w:t>
      </w:r>
      <w:r>
        <w:t>проса о том, как отсутствие права на пенсию отр</w:t>
      </w:r>
      <w:r>
        <w:t>а</w:t>
      </w:r>
      <w:r>
        <w:t>жает равенство, она сказала. что ситуация попала в поле зрения Национальной комиссии по поощр</w:t>
      </w:r>
      <w:r>
        <w:t>е</w:t>
      </w:r>
      <w:r>
        <w:t>нию равенства между мужчинами и женщинами и будет вестись работа по ее исправлению.</w:t>
      </w:r>
    </w:p>
    <w:p w:rsidR="00000000" w:rsidRDefault="00000000">
      <w:pPr>
        <w:pStyle w:val="DualTxt"/>
        <w:rPr>
          <w:lang w:val="en-US"/>
        </w:rPr>
      </w:pPr>
      <w:r>
        <w:t>17.</w:t>
      </w:r>
      <w:r>
        <w:tab/>
        <w:t>Касаясь темы образования, она указала, что новая национальная минимальная учебная пр</w:t>
      </w:r>
      <w:r>
        <w:t>о</w:t>
      </w:r>
      <w:r>
        <w:t>грамма, принятая в декабре 1999 года, базируется на принципе гендерного равенства и учитывает принципы Конвенции. Проводится соответству</w:t>
      </w:r>
      <w:r>
        <w:t>ю</w:t>
      </w:r>
      <w:r>
        <w:t>щая работа с преподавателями, однако влияние на студентов пока не оценивалось. Что касается оце</w:t>
      </w:r>
      <w:r>
        <w:t>н</w:t>
      </w:r>
      <w:r>
        <w:t>ки, проведенной Комитетом по гендерным вопр</w:t>
      </w:r>
      <w:r>
        <w:t>о</w:t>
      </w:r>
      <w:r>
        <w:t>сам в Университете Мальты, в протоколах ежем</w:t>
      </w:r>
      <w:r>
        <w:t>е</w:t>
      </w:r>
      <w:r>
        <w:t>сячных заседаний Комитета упоминалось об опр</w:t>
      </w:r>
      <w:r>
        <w:t>е</w:t>
      </w:r>
      <w:r>
        <w:t>делении источников неравных возможностей или неравного обращения. Были предприняты некот</w:t>
      </w:r>
      <w:r>
        <w:t>о</w:t>
      </w:r>
      <w:r>
        <w:t>рые действия в отношении специфических проблем, и Комитет консультировался с университетским о</w:t>
      </w:r>
      <w:r>
        <w:t>м</w:t>
      </w:r>
      <w:r>
        <w:t>будсменом по поводу специальных мер. Он пытался провести политику учета гендерного баланса на всех уровнях осуществления политики и принятия р</w:t>
      </w:r>
      <w:r>
        <w:t>е</w:t>
      </w:r>
      <w:r>
        <w:t>шений.</w:t>
      </w:r>
    </w:p>
    <w:p w:rsidR="00000000" w:rsidRDefault="00000000">
      <w:pPr>
        <w:pStyle w:val="DualTxt"/>
      </w:pPr>
      <w:r>
        <w:t>18.</w:t>
      </w:r>
      <w:r>
        <w:tab/>
        <w:t>Комитет по гендерным вопросам был озабочен проведением политики равных возможностей, в том числе оказанием особой помощи женщинам в ус</w:t>
      </w:r>
      <w:r>
        <w:t>т</w:t>
      </w:r>
      <w:r>
        <w:t>ранении проблем, путем поиска способов облегчить условия для женщин и мужчин с особыми семе</w:t>
      </w:r>
      <w:r>
        <w:t>й</w:t>
      </w:r>
      <w:r>
        <w:t>ными обязательствами и путем организации сем</w:t>
      </w:r>
      <w:r>
        <w:t>и</w:t>
      </w:r>
      <w:r>
        <w:t>наров и тренингов по повышению осведомленн</w:t>
      </w:r>
      <w:r>
        <w:t>о</w:t>
      </w:r>
      <w:r>
        <w:t>сти, особенно когда обсуждалось национальное з</w:t>
      </w:r>
      <w:r>
        <w:t>а</w:t>
      </w:r>
      <w:r>
        <w:t>конодательство, связанное с этими вопросами. К</w:t>
      </w:r>
      <w:r>
        <w:t>о</w:t>
      </w:r>
      <w:r>
        <w:t>митет получал и отслеживал жалобы, поступающие от преподавателей и студентов университета и к</w:t>
      </w:r>
      <w:r>
        <w:t>а</w:t>
      </w:r>
      <w:r>
        <w:t>сающиеся случаев дискриминации по признаку п</w:t>
      </w:r>
      <w:r>
        <w:t>о</w:t>
      </w:r>
      <w:r>
        <w:t>ла, а также работали со специальными советниками по сексуальным домогательствам, рекомендуя соо</w:t>
      </w:r>
      <w:r>
        <w:t>т</w:t>
      </w:r>
      <w:r>
        <w:t>ветствующую политику и процедуры. Комитет пр</w:t>
      </w:r>
      <w:r>
        <w:t>о</w:t>
      </w:r>
      <w:r>
        <w:t>пагандировал ведение научной работы и препод</w:t>
      </w:r>
      <w:r>
        <w:t>а</w:t>
      </w:r>
      <w:r>
        <w:t>вание, которые отражали знания, опыт и стремл</w:t>
      </w:r>
      <w:r>
        <w:t>е</w:t>
      </w:r>
      <w:r>
        <w:t>ние как мужчин, так и женщин, составлял ежего</w:t>
      </w:r>
      <w:r>
        <w:t>д</w:t>
      </w:r>
      <w:r>
        <w:t>ные списки диссертаций, в которых рассматрив</w:t>
      </w:r>
      <w:r>
        <w:t>а</w:t>
      </w:r>
      <w:r>
        <w:t>лись гендерные вопросы и политика всех факульт</w:t>
      </w:r>
      <w:r>
        <w:t>е</w:t>
      </w:r>
      <w:r>
        <w:t>тов и институтов университета, которые затем пу</w:t>
      </w:r>
      <w:r>
        <w:t>б</w:t>
      </w:r>
      <w:r>
        <w:t>ликовались на веб-страницах и в газетах, составлял ежегодные списки новых курсов различных отдел</w:t>
      </w:r>
      <w:r>
        <w:t>е</w:t>
      </w:r>
      <w:r>
        <w:t>ний, рассматривающих гендерные вопросы, и ра</w:t>
      </w:r>
      <w:r>
        <w:t>с</w:t>
      </w:r>
      <w:r>
        <w:t>пространял газеты, статьи и дискуссии по генде</w:t>
      </w:r>
      <w:r>
        <w:t>р</w:t>
      </w:r>
      <w:r>
        <w:t>ным вопросам и вопросам учета гендерных пр</w:t>
      </w:r>
      <w:r>
        <w:t>о</w:t>
      </w:r>
      <w:r>
        <w:t>блем.</w:t>
      </w:r>
    </w:p>
    <w:p w:rsidR="00000000" w:rsidRDefault="00000000">
      <w:pPr>
        <w:pStyle w:val="DualTxt"/>
      </w:pPr>
      <w:r>
        <w:t>19.</w:t>
      </w:r>
      <w:r>
        <w:tab/>
        <w:t>Комитет по гендерным вопросам создал сети, состоящие из частных лиц и организаций, имеющих одинаковые цели на Мальте и в международном масштабе, а также служил центром университета по гендерным вопросам. Он работал вместе с Наци</w:t>
      </w:r>
      <w:r>
        <w:t>о</w:t>
      </w:r>
      <w:r>
        <w:t>нальным статистическим управлением, анализируя новые гендерные статистические данные с целью выявления дисбаланса в позициях, занимаемых мужчинами и женщинами, чтобы улучшения были явно оправданы.</w:t>
      </w:r>
      <w:r>
        <w:rPr>
          <w:lang w:val="en-US"/>
        </w:rPr>
        <w:t xml:space="preserve"> </w:t>
      </w:r>
      <w:r>
        <w:t>Он отслеживал условия найма на работу в университет, наградные стипендии, крит</w:t>
      </w:r>
      <w:r>
        <w:t>е</w:t>
      </w:r>
      <w:r>
        <w:t>рии отбора и продвижения по службе, политику проведения интервью и представленность женщин в комитетах, советах, а также в Сенате и Совете Университета. В последнее время этот Комитет и</w:t>
      </w:r>
      <w:r>
        <w:t>г</w:t>
      </w:r>
      <w:r>
        <w:t>рал роль консультанта по вопросам политики для национальных правительственных и неправител</w:t>
      </w:r>
      <w:r>
        <w:t>ь</w:t>
      </w:r>
      <w:r>
        <w:t>ственных организаций, а также учебной системы, которая давала студентам возможность доступа к руководству в вопросах разработки курса и разв</w:t>
      </w:r>
      <w:r>
        <w:t>и</w:t>
      </w:r>
      <w:r>
        <w:t>тия карьеры, а кроме того, повышал осведомле</w:t>
      </w:r>
      <w:r>
        <w:t>н</w:t>
      </w:r>
      <w:r>
        <w:t>ность женщин-ученых и административных рабо</w:t>
      </w:r>
      <w:r>
        <w:t>т</w:t>
      </w:r>
      <w:r>
        <w:t>ников, побуждая все органы и национальные дел</w:t>
      </w:r>
      <w:r>
        <w:t>е</w:t>
      </w:r>
      <w:r>
        <w:t>гации к участию в них представителей женщин.</w:t>
      </w:r>
    </w:p>
    <w:p w:rsidR="00000000" w:rsidRDefault="00000000">
      <w:pPr>
        <w:pStyle w:val="DualTxt"/>
      </w:pPr>
      <w:r>
        <w:t>20.</w:t>
      </w:r>
      <w:r>
        <w:tab/>
        <w:t>Диплом гендера и развития, спонсированный правительством, был предложен Центром повыш</w:t>
      </w:r>
      <w:r>
        <w:t>е</w:t>
      </w:r>
      <w:r>
        <w:t>ния социальной активности трудящихся при Ун</w:t>
      </w:r>
      <w:r>
        <w:t>и</w:t>
      </w:r>
      <w:r>
        <w:t>верситете Мальты для государственных чиновн</w:t>
      </w:r>
      <w:r>
        <w:t>и</w:t>
      </w:r>
      <w:r>
        <w:t>ков, желающих прослушать курс, который начался в 1995 году и был необязательным. Благодаря дипл</w:t>
      </w:r>
      <w:r>
        <w:t>о</w:t>
      </w:r>
      <w:r>
        <w:t>му участники приобрели значительные знания в о</w:t>
      </w:r>
      <w:r>
        <w:t>б</w:t>
      </w:r>
      <w:r>
        <w:t>ласти гендерных вопросов, что оказалось весьма эффективным и полезным, особенно для государс</w:t>
      </w:r>
      <w:r>
        <w:t>т</w:t>
      </w:r>
      <w:r>
        <w:t>венных чиновников, которые являются ключевыми лицами в достижении гендерного р</w:t>
      </w:r>
      <w:r>
        <w:t>а</w:t>
      </w:r>
      <w:r>
        <w:t>венства.</w:t>
      </w:r>
    </w:p>
    <w:p w:rsidR="00000000" w:rsidRDefault="00000000">
      <w:pPr>
        <w:pStyle w:val="DualTxt"/>
      </w:pPr>
      <w:r>
        <w:t>21.</w:t>
      </w:r>
      <w:r>
        <w:tab/>
        <w:t>Обращаясь к статье 6, она сказала, что хотя з</w:t>
      </w:r>
      <w:r>
        <w:t>а</w:t>
      </w:r>
      <w:r>
        <w:t>кон о запрещении торговли белыми рабынями был принят в 1930 году, впоследствии в него было вн</w:t>
      </w:r>
      <w:r>
        <w:t>е</w:t>
      </w:r>
      <w:r>
        <w:t>сено значительное количество поправок и он был приведен в соответствие с текущей ситуацией и требованиями. Последние пять или шесть лет в п</w:t>
      </w:r>
      <w:r>
        <w:t>о</w:t>
      </w:r>
      <w:r>
        <w:t>лицию поступают отчеты о женщинах-иностранках, занимающихся проституцией на Мальте. Недавно появились сообщения о торговле женщинами из Российской Федерации и Украины. Несколько чел</w:t>
      </w:r>
      <w:r>
        <w:t>о</w:t>
      </w:r>
      <w:r>
        <w:t>век были осуждены, а ряд дел до сих пор находятся на рассмотрении суда.</w:t>
      </w:r>
    </w:p>
    <w:p w:rsidR="00000000" w:rsidRDefault="00000000">
      <w:pPr>
        <w:pStyle w:val="DualTxt"/>
      </w:pPr>
      <w:r>
        <w:t>22.</w:t>
      </w:r>
      <w:r>
        <w:tab/>
        <w:t>Кроме вышеупомянутого закона в уголовном кодексе содержатся и другие положения, относ</w:t>
      </w:r>
      <w:r>
        <w:t>я</w:t>
      </w:r>
      <w:r>
        <w:t>щиеся к торговле людьми. В разделе 248 В Уголо</w:t>
      </w:r>
      <w:r>
        <w:t>в</w:t>
      </w:r>
      <w:r>
        <w:t>ного кодекса говорится: "Если какое-либо лицо, и</w:t>
      </w:r>
      <w:r>
        <w:t>с</w:t>
      </w:r>
      <w:r>
        <w:t>пользующее средства, упомянутые в ст</w:t>
      </w:r>
      <w:r>
        <w:t>а</w:t>
      </w:r>
      <w:r>
        <w:t>тье 248 А (2), будет замечен в торговле человеком с целью эксплуатации этого человека в проституции, либо в порнографических представлениях, либо в производстве порнографических материалов, будет осужден и приговорен к наказанию в форме лиш</w:t>
      </w:r>
      <w:r>
        <w:t>е</w:t>
      </w:r>
      <w:r>
        <w:t>ния свободы на срок от двух до девяти лет". Ра</w:t>
      </w:r>
      <w:r>
        <w:t>з</w:t>
      </w:r>
      <w:r>
        <w:t xml:space="preserve">дел 248 А (2) кодекса гласит: "средства, упомянутые в подстатье 1, следующие: а) насилия или угрозы, в том числе угроза похищения; </w:t>
      </w:r>
      <w:r>
        <w:rPr>
          <w:lang w:val="en-US"/>
        </w:rPr>
        <w:t>b) </w:t>
      </w:r>
      <w:r>
        <w:t>обман или моше</w:t>
      </w:r>
      <w:r>
        <w:t>н</w:t>
      </w:r>
      <w:r>
        <w:t xml:space="preserve">ничество; с) превышение служебных полномочий, влияние или давление; </w:t>
      </w:r>
      <w:r>
        <w:rPr>
          <w:lang w:val="en-US"/>
        </w:rPr>
        <w:t>d) </w:t>
      </w:r>
      <w:r>
        <w:t>произведение или пол</w:t>
      </w:r>
      <w:r>
        <w:t>у</w:t>
      </w:r>
      <w:r>
        <w:t>чение платежей или выгод с целью достижения с</w:t>
      </w:r>
      <w:r>
        <w:t>о</w:t>
      </w:r>
      <w:r>
        <w:t>гласия л</w:t>
      </w:r>
      <w:r>
        <w:t>и</w:t>
      </w:r>
      <w:r>
        <w:t>ца, имеющего власть над другим лицом".</w:t>
      </w:r>
    </w:p>
    <w:p w:rsidR="00000000" w:rsidRDefault="00000000">
      <w:pPr>
        <w:pStyle w:val="DualTxt"/>
      </w:pPr>
      <w:r>
        <w:t>23.</w:t>
      </w:r>
      <w:r>
        <w:tab/>
        <w:t>Сообщалось о нескольких случаях простит</w:t>
      </w:r>
      <w:r>
        <w:t>у</w:t>
      </w:r>
      <w:r>
        <w:t>ции, однако каждый из таких случаев подлежит проверке. По данным полиции, с января 2003 года было сообщено о четырех основных делах с уч</w:t>
      </w:r>
      <w:r>
        <w:t>а</w:t>
      </w:r>
      <w:r>
        <w:t>стием женщин-иностранок. По этим делам было проведено расследование и судебное разбирател</w:t>
      </w:r>
      <w:r>
        <w:t>ь</w:t>
      </w:r>
      <w:r>
        <w:t>ство. В процессе рассмотрения этих дел к суду б</w:t>
      </w:r>
      <w:r>
        <w:t>ы</w:t>
      </w:r>
      <w:r>
        <w:t>ло привлечено 17 мужчин и 2 женщины. Что кас</w:t>
      </w:r>
      <w:r>
        <w:t>а</w:t>
      </w:r>
      <w:r>
        <w:t>ется поддержки жертв, Закон о полиции предусма</w:t>
      </w:r>
      <w:r>
        <w:t>т</w:t>
      </w:r>
      <w:r>
        <w:t>ривает, что министр юстиции, по запросу полиции, может включить в программу защиты свидетелей любого человека, который был либо жертвой пр</w:t>
      </w:r>
      <w:r>
        <w:t>е</w:t>
      </w:r>
      <w:r>
        <w:t>ступления, либо соучастником в любом серьезном преступлении, позже решившим передать информ</w:t>
      </w:r>
      <w:r>
        <w:t>а</w:t>
      </w:r>
      <w:r>
        <w:t>цию полиции и дать показания против главного преступника. В рамках данной программ жертва преступления также может пользоваться опред</w:t>
      </w:r>
      <w:r>
        <w:t>е</w:t>
      </w:r>
      <w:r>
        <w:t>ленными правами на защиту своей жизни и собс</w:t>
      </w:r>
      <w:r>
        <w:t>т</w:t>
      </w:r>
      <w:r>
        <w:t>венности. По закону жертва, дающая устные пок</w:t>
      </w:r>
      <w:r>
        <w:t>а</w:t>
      </w:r>
      <w:r>
        <w:t>зания на суде, отгораживается экраном от обвиня</w:t>
      </w:r>
      <w:r>
        <w:t>е</w:t>
      </w:r>
      <w:r>
        <w:t>мого и от телевизионных съемок. Жертвы престу</w:t>
      </w:r>
      <w:r>
        <w:t>п</w:t>
      </w:r>
      <w:r>
        <w:t>лений могут присутствовать на судебных процед</w:t>
      </w:r>
      <w:r>
        <w:t>у</w:t>
      </w:r>
      <w:r>
        <w:t>рах.</w:t>
      </w:r>
    </w:p>
    <w:p w:rsidR="00000000" w:rsidRDefault="00000000">
      <w:pPr>
        <w:pStyle w:val="DualTxt"/>
      </w:pPr>
      <w:r>
        <w:t>24.</w:t>
      </w:r>
      <w:r>
        <w:tab/>
        <w:t>По мальтийскому законодательству уголовное преступление составляет склонение к проституции, а не сам акт проституции. Департамент медико-социального просвещения министерства здрав</w:t>
      </w:r>
      <w:r>
        <w:t>о</w:t>
      </w:r>
      <w:r>
        <w:t>охранения занимается вопросами, касающимися сексуального здоровья. Вопросы проституции и секс-индустрии поднимались и обсуждались в шк</w:t>
      </w:r>
      <w:r>
        <w:t>о</w:t>
      </w:r>
      <w:r>
        <w:t>лах. Женщинам, которых застали при склонении клиента к проституции и привлекли к суду, были предложены добровольные юридические консул</w:t>
      </w:r>
      <w:r>
        <w:t>ь</w:t>
      </w:r>
      <w:r>
        <w:t>тации. Полиция также участвовала в защите тех женщин, которые больше не хотели заниматься проституцией, в частности, от тех, кому их услуги приносят доход.</w:t>
      </w:r>
    </w:p>
    <w:p w:rsidR="00000000" w:rsidRDefault="00000000">
      <w:pPr>
        <w:pStyle w:val="DualTxt"/>
      </w:pPr>
      <w:r>
        <w:t>25.</w:t>
      </w:r>
      <w:r>
        <w:tab/>
        <w:t>Обращаясь к статье 7, она сказала, что на п</w:t>
      </w:r>
      <w:r>
        <w:t>о</w:t>
      </w:r>
      <w:r>
        <w:t>следних выборах в Европейский парламент из 8 кандидатов от националистической партии 2 были женщинами. Одна из них была очень близка к и</w:t>
      </w:r>
      <w:r>
        <w:t>з</w:t>
      </w:r>
      <w:r>
        <w:t>бранию. Доказательством выполнения нынешним премьер-министром своего обязательства активно поощрять участие женщин в политике может сл</w:t>
      </w:r>
      <w:r>
        <w:t>у</w:t>
      </w:r>
      <w:r>
        <w:t>жить кабинет, назначенный им в марте 2004 года, где трем женщинам - членам парламента, избра</w:t>
      </w:r>
      <w:r>
        <w:t>н</w:t>
      </w:r>
      <w:r>
        <w:t>ным от его партии, были даны министерские посты, двум - посты членов кабинета и одной - пост мла</w:t>
      </w:r>
      <w:r>
        <w:t>д</w:t>
      </w:r>
      <w:r>
        <w:t>шего министра. В мальтийской лейбористкой па</w:t>
      </w:r>
      <w:r>
        <w:t>р</w:t>
      </w:r>
      <w:r>
        <w:t>тии и "Альтернатива Демократика" существовала система квот, однако в последнее время голосовать может любой гражданин, имеющий на это право. С 1947 года женщины и мужчины имеют равные права голосовать и участвовать в национальных общих выборах, а также в выборах в местный совет со времени их учреждения в 1993 году. В нынешнем парламенте женщины составляют 9,2 процента его членов; 17,6 процента местных советников, а также 43,6 процента десяти высших классов правительс</w:t>
      </w:r>
      <w:r>
        <w:t>т</w:t>
      </w:r>
      <w:r>
        <w:t>венной службы укомплектованы женщинами, хотя в высших двух классах женщин нет.</w:t>
      </w:r>
    </w:p>
    <w:p w:rsidR="00000000" w:rsidRDefault="00000000">
      <w:pPr>
        <w:pStyle w:val="DualTxt"/>
      </w:pPr>
      <w:r>
        <w:t>26.</w:t>
      </w:r>
      <w:r>
        <w:tab/>
        <w:t>Что касается статьи 8, она сказала, что все женщины, сдавшие экзамен для зачисления на д</w:t>
      </w:r>
      <w:r>
        <w:t>и</w:t>
      </w:r>
      <w:r>
        <w:t>пломатическую службу и желавшие работать в этой сфере, были приняты на работу. Новый постоянный секретарь министерства иностранных дел</w:t>
      </w:r>
      <w:r>
        <w:rPr>
          <w:lang w:val="en-US"/>
        </w:rPr>
        <w:t xml:space="preserve"> — </w:t>
      </w:r>
      <w:r>
        <w:t>же</w:t>
      </w:r>
      <w:r>
        <w:t>н</w:t>
      </w:r>
      <w:r>
        <w:t>щина, сделавшая карьеру государственного служ</w:t>
      </w:r>
      <w:r>
        <w:t>а</w:t>
      </w:r>
      <w:r>
        <w:t>щего. Обращаясь к статье 9, она сказала, что треб</w:t>
      </w:r>
      <w:r>
        <w:t>о</w:t>
      </w:r>
      <w:r>
        <w:t>вание получения женщиной нового паспорта после замужества не носит дискриминационного характ</w:t>
      </w:r>
      <w:r>
        <w:t>е</w:t>
      </w:r>
      <w:r>
        <w:t>ра. Получение нового паспорта требуется только от тех женщин, которые после замужества берут ф</w:t>
      </w:r>
      <w:r>
        <w:t>а</w:t>
      </w:r>
      <w:r>
        <w:t>милию своего мужа. Женщинам, оставляющим п</w:t>
      </w:r>
      <w:r>
        <w:t>о</w:t>
      </w:r>
      <w:r>
        <w:t>сле замужества девичью фамилию, менять паспорт не нужно. Женщине, вышедшей замуж на Мальте, необязательно предъявлять свидетельство о браке при получении паспорта.</w:t>
      </w:r>
    </w:p>
    <w:p w:rsidR="00000000" w:rsidRDefault="00000000">
      <w:pPr>
        <w:pStyle w:val="DualTxt"/>
      </w:pPr>
      <w:r>
        <w:t>27.</w:t>
      </w:r>
      <w:r>
        <w:tab/>
        <w:t>Были случаи, когда женщине</w:t>
      </w:r>
      <w:r>
        <w:rPr>
          <w:lang w:val="en-US"/>
        </w:rPr>
        <w:t xml:space="preserve"> — </w:t>
      </w:r>
      <w:r>
        <w:t>уроженке Мальты после замужества разрешалось принять гражданство своего мужа. Некоторые страны не разрешают иметь двойное гражданство, и в таких случаях, если женщина отказывалась от мальти</w:t>
      </w:r>
      <w:r>
        <w:t>й</w:t>
      </w:r>
      <w:r>
        <w:t>ского гражданства и принимала гражданство своего мужа, ей не разрешалось иметь мальтийский па</w:t>
      </w:r>
      <w:r>
        <w:t>с</w:t>
      </w:r>
      <w:r>
        <w:t>порт. Замужней женщине было необходимо соо</w:t>
      </w:r>
      <w:r>
        <w:t>б</w:t>
      </w:r>
      <w:r>
        <w:t>щить номер паспорта своего мужа для того, чтобы паспортная служба могла определить, разрешается ли ей иметь мальтийский паспорт. Замужней же</w:t>
      </w:r>
      <w:r>
        <w:t>н</w:t>
      </w:r>
      <w:r>
        <w:t xml:space="preserve">щине, имеющей мальтийский паспорт, выданный после 1 января 1998 года, не требовалось указывать данные своего мужа в заявлении на новый паспорт, если ее личные данные оставались неизменными. </w:t>
      </w:r>
    </w:p>
    <w:p w:rsidR="00000000" w:rsidRDefault="00000000">
      <w:pPr>
        <w:pStyle w:val="DualTxt"/>
      </w:pPr>
      <w:r>
        <w:t>28.</w:t>
      </w:r>
      <w:r>
        <w:tab/>
        <w:t>Обращаясь к статье 10, она сказала, что н</w:t>
      </w:r>
      <w:r>
        <w:t>а</w:t>
      </w:r>
      <w:r>
        <w:t>чальное и среднее образование являются на Мальте обязательными. Получение специального и высш</w:t>
      </w:r>
      <w:r>
        <w:t>е</w:t>
      </w:r>
      <w:r>
        <w:t>го образования считается необязательным. В 2003 году вечерние курсы для взрослых посещали 9000 человек, большинство из которых составляли же</w:t>
      </w:r>
      <w:r>
        <w:t>н</w:t>
      </w:r>
      <w:r>
        <w:t>щины. Эти курсы охватывали широкий спектр предметов различных уровней, начиная от базовой грамотности и заканчивая теоретическими дисци</w:t>
      </w:r>
      <w:r>
        <w:t>п</w:t>
      </w:r>
      <w:r>
        <w:t>линами, варьирующимися от прикладного искусс</w:t>
      </w:r>
      <w:r>
        <w:t>т</w:t>
      </w:r>
      <w:r>
        <w:t>ва и музыки до профессионального обучения. Они не содержали компонента профессиональной ор</w:t>
      </w:r>
      <w:r>
        <w:t>и</w:t>
      </w:r>
      <w:r>
        <w:t>ентации. Количество женщин, успешно проходящих обучение в высших учебных заведениях, сохраняе</w:t>
      </w:r>
      <w:r>
        <w:t>т</w:t>
      </w:r>
      <w:r>
        <w:t>ся: среди женщин процент успешно окончивших обучение в высших учебных заведениях выше, чем среди мужчин. В 2003 году женщины составляли 57 процентов всех выпускников Университета Мальты. Женщины показывают лучшие результаты, чем мужчины, и в среднем образ</w:t>
      </w:r>
      <w:r>
        <w:t>о</w:t>
      </w:r>
      <w:r>
        <w:t>вании.</w:t>
      </w:r>
    </w:p>
    <w:p w:rsidR="00000000" w:rsidRDefault="00000000">
      <w:pPr>
        <w:pStyle w:val="DualTxt"/>
      </w:pPr>
      <w:r>
        <w:t>29.</w:t>
      </w:r>
      <w:r>
        <w:tab/>
        <w:t>В период обучения все студенты Университета Мальты получали правительственные стипендии, поэтому вопрос о стипендиях и грантах не возн</w:t>
      </w:r>
      <w:r>
        <w:t>и</w:t>
      </w:r>
      <w:r>
        <w:t>кал. В государственных школах совместное обуч</w:t>
      </w:r>
      <w:r>
        <w:t>е</w:t>
      </w:r>
      <w:r>
        <w:t>ние ограничивается только начальным образован</w:t>
      </w:r>
      <w:r>
        <w:t>и</w:t>
      </w:r>
      <w:r>
        <w:t>ем и дальнейшим обучением. Многие частные шк</w:t>
      </w:r>
      <w:r>
        <w:t>о</w:t>
      </w:r>
      <w:r>
        <w:t>лы разделяют учеников по признаку пола, и лишь несколько из них предлагают совместное обучение. Независимые школы в основном практикуют совм</w:t>
      </w:r>
      <w:r>
        <w:t>е</w:t>
      </w:r>
      <w:r>
        <w:t>стное обучение. Гендерный вопрос был включен в программу подготовки преподавателей. На вопрос о том, делает ли правительство что-либо для того, чтобы студенты-мужчины записывались на курсы, преподаваемые женщинами, она ответила, что это делается в основном путем профессиональной ор</w:t>
      </w:r>
      <w:r>
        <w:t>и</w:t>
      </w:r>
      <w:r>
        <w:t>ентации и консультирования на уровне среднего о</w:t>
      </w:r>
      <w:r>
        <w:t>б</w:t>
      </w:r>
      <w:r>
        <w:t>разования. В общем и целом женщины участвуют в спортивных состязаниях в достаточном объеме. Во всех школах согласно принципу гендерного раве</w:t>
      </w:r>
      <w:r>
        <w:t>н</w:t>
      </w:r>
      <w:r>
        <w:t>ства мужчинам и женщинам предоставляются од</w:t>
      </w:r>
      <w:r>
        <w:t>и</w:t>
      </w:r>
      <w:r>
        <w:t>наковые возможности заниматься по</w:t>
      </w:r>
      <w:r>
        <w:t>р</w:t>
      </w:r>
      <w:r>
        <w:t>том.</w:t>
      </w:r>
    </w:p>
    <w:p w:rsidR="00000000" w:rsidRDefault="00000000">
      <w:pPr>
        <w:pStyle w:val="DualTxt"/>
      </w:pPr>
      <w:r>
        <w:t>30.</w:t>
      </w:r>
      <w:r>
        <w:tab/>
        <w:t>Обращаясь к статье 11, она сказала, что бол</w:t>
      </w:r>
      <w:r>
        <w:t>ь</w:t>
      </w:r>
      <w:r>
        <w:t>шинство мер по достижению баланса между раб</w:t>
      </w:r>
      <w:r>
        <w:t>о</w:t>
      </w:r>
      <w:r>
        <w:t>той и личной жизнью применимы как к мужчинам, так и к женщинам. Такие меры также способствуют достижению лучшей пропорции мужчин и женщин на рабочем месте. Государственная служба отстояла эти меры, и в настоящее время их результаты обс</w:t>
      </w:r>
      <w:r>
        <w:t>у</w:t>
      </w:r>
      <w:r>
        <w:t>ждаются с частным сектором. Политика мальти</w:t>
      </w:r>
      <w:r>
        <w:t>й</w:t>
      </w:r>
      <w:r>
        <w:t>ского правительства предусматривала обучение всех государственных служащих и менеджеров по людским ресурсам с целью ускорения достижения фактического равенства. Любые остающиеся разл</w:t>
      </w:r>
      <w:r>
        <w:t>и</w:t>
      </w:r>
      <w:r>
        <w:t>чия в оплате труда вызваны различиями в среднег</w:t>
      </w:r>
      <w:r>
        <w:t>о</w:t>
      </w:r>
      <w:r>
        <w:t>довой зарплате мужчин и женщин, проистекающ</w:t>
      </w:r>
      <w:r>
        <w:t>и</w:t>
      </w:r>
      <w:r>
        <w:t>ми из различных категорий занятости, в которых они работают. Таким образом, различия в доходе, а не в оплате труда мужчин и женщин, являются р</w:t>
      </w:r>
      <w:r>
        <w:t>е</w:t>
      </w:r>
      <w:r>
        <w:t>зультатом скорее невыполнения обязательств, чем прямой дискриминации. Вопрос о различии в зар</w:t>
      </w:r>
      <w:r>
        <w:t>а</w:t>
      </w:r>
      <w:r>
        <w:t>ботной плате задавался на семинарах, проводимых группами, представляющими основных посредн</w:t>
      </w:r>
      <w:r>
        <w:t>и</w:t>
      </w:r>
      <w:r>
        <w:t>ков, таких, как союзы, ассоциации работодателей, а также промышленные организации и организации по вопросам занятости. Национальная комиссия по поощрению равенства между мужчинами и женщ</w:t>
      </w:r>
      <w:r>
        <w:t>и</w:t>
      </w:r>
      <w:r>
        <w:t>нами также собиралась провести исследование ра</w:t>
      </w:r>
      <w:r>
        <w:t>з</w:t>
      </w:r>
      <w:r>
        <w:t>личий в заработной плане мужчин и женщин, кот</w:t>
      </w:r>
      <w:r>
        <w:t>о</w:t>
      </w:r>
      <w:r>
        <w:t>рое должно было составлять часть проекта Евр</w:t>
      </w:r>
      <w:r>
        <w:t>о</w:t>
      </w:r>
      <w:r>
        <w:t>пейского социального фонда, который должен быть выполнен в период с 2004 по 2006 год.</w:t>
      </w:r>
    </w:p>
    <w:p w:rsidR="00000000" w:rsidRDefault="00000000">
      <w:pPr>
        <w:pStyle w:val="DualTxt"/>
      </w:pPr>
      <w:r>
        <w:t>31.</w:t>
      </w:r>
      <w:r>
        <w:tab/>
        <w:t>В декабре 2002 года Закон о регулировании условий занятости и Закон об отношениях в пр</w:t>
      </w:r>
      <w:r>
        <w:t>о</w:t>
      </w:r>
      <w:r>
        <w:t>мышленности были аннулированы и заменены З</w:t>
      </w:r>
      <w:r>
        <w:t>а</w:t>
      </w:r>
      <w:r>
        <w:t>коном о занятости и отношениях в промышленн</w:t>
      </w:r>
      <w:r>
        <w:t>о</w:t>
      </w:r>
      <w:r>
        <w:t>сти, который устанавливал условия работы сотру</w:t>
      </w:r>
      <w:r>
        <w:t>д</w:t>
      </w:r>
      <w:r>
        <w:t>ников частных предприятий и ведомственных у</w:t>
      </w:r>
      <w:r>
        <w:t>ч</w:t>
      </w:r>
      <w:r>
        <w:t>реждений. Данный закон не отводит какой-либо о</w:t>
      </w:r>
      <w:r>
        <w:t>п</w:t>
      </w:r>
      <w:r>
        <w:t>ределенной роли омбудсмену, чьи обязанности б</w:t>
      </w:r>
      <w:r>
        <w:t>ы</w:t>
      </w:r>
      <w:r>
        <w:t>ли определены Законом об омбудсмене 1995 года. Туристический сектор был укомплектован в осно</w:t>
      </w:r>
      <w:r>
        <w:t>в</w:t>
      </w:r>
      <w:r>
        <w:t>ном работниками-мальтийцами. Количество рабо</w:t>
      </w:r>
      <w:r>
        <w:t>т</w:t>
      </w:r>
      <w:r>
        <w:t>ников-мигрантов в этом секторе было минимал</w:t>
      </w:r>
      <w:r>
        <w:t>ь</w:t>
      </w:r>
      <w:r>
        <w:t>ным. С вступлением Мальты в Европейский союз граждане других государств</w:t>
      </w:r>
      <w:r>
        <w:rPr>
          <w:lang w:val="en-US"/>
        </w:rPr>
        <w:t xml:space="preserve"> — </w:t>
      </w:r>
      <w:r>
        <w:t>членов Европейск</w:t>
      </w:r>
      <w:r>
        <w:t>о</w:t>
      </w:r>
      <w:r>
        <w:t>го союза работавшие на Мальте, будут пользоваться теми же привилегиями и условиями, что и работн</w:t>
      </w:r>
      <w:r>
        <w:t>и</w:t>
      </w:r>
      <w:r>
        <w:t>ки-мальтийцы. Департамент по вопросам произво</w:t>
      </w:r>
      <w:r>
        <w:t>д</w:t>
      </w:r>
      <w:r>
        <w:t>ственных и трудовых отношений обеспечил прим</w:t>
      </w:r>
      <w:r>
        <w:t>е</w:t>
      </w:r>
      <w:r>
        <w:t>нимость Закона о занятости и отношениях в пр</w:t>
      </w:r>
      <w:r>
        <w:t>о</w:t>
      </w:r>
      <w:r>
        <w:t>мышленности ко всем работникам на Мальте, нез</w:t>
      </w:r>
      <w:r>
        <w:t>а</w:t>
      </w:r>
      <w:r>
        <w:t>висимо от их гражданства, в течение всего периода их работы в соответствии с установленными проц</w:t>
      </w:r>
      <w:r>
        <w:t>е</w:t>
      </w:r>
      <w:r>
        <w:t>д</w:t>
      </w:r>
      <w:r>
        <w:t>у</w:t>
      </w:r>
      <w:r>
        <w:t xml:space="preserve">рами. </w:t>
      </w:r>
    </w:p>
    <w:p w:rsidR="00000000" w:rsidRDefault="00000000">
      <w:pPr>
        <w:pStyle w:val="DualTxt"/>
        <w:rPr>
          <w:lang w:val="en-US"/>
        </w:rPr>
      </w:pPr>
      <w:r>
        <w:t>32.</w:t>
      </w:r>
      <w:r>
        <w:tab/>
        <w:t>В ответ на вопрос, касающийся явной моноп</w:t>
      </w:r>
      <w:r>
        <w:t>о</w:t>
      </w:r>
      <w:r>
        <w:t>лии мужчин на административном уровне, она ск</w:t>
      </w:r>
      <w:r>
        <w:t>а</w:t>
      </w:r>
      <w:r>
        <w:t>зала, что студенты-женщины начали посещать ку</w:t>
      </w:r>
      <w:r>
        <w:t>р</w:t>
      </w:r>
      <w:r>
        <w:t>сы, требуемые для занятия таких позиций, сравн</w:t>
      </w:r>
      <w:r>
        <w:t>и</w:t>
      </w:r>
      <w:r>
        <w:t>тельно недавно, поскольку эти курсы требуют пр</w:t>
      </w:r>
      <w:r>
        <w:t>о</w:t>
      </w:r>
      <w:r>
        <w:t>должительных занятий и противоречат давнишней практике, по которой первоочередной обязанностью женщины считалась забота о семье. В ближайшие годы ситуация должна улучшиться, поскольку были приняты меры, направленные на укрепление семьи, и увеличилось количество выпускников-женщин. Правительство приветствует стремление женщин занимать ведущие посты. Государственный аппарат работает над достижением этой цели совместно с органами по найму и рекрутингу, а также подде</w:t>
      </w:r>
      <w:r>
        <w:t>р</w:t>
      </w:r>
      <w:r>
        <w:t>живает обучение в этой сфере. Корпорация по в</w:t>
      </w:r>
      <w:r>
        <w:t>о</w:t>
      </w:r>
      <w:r>
        <w:t>просам трудоустройства и профессиональной по</w:t>
      </w:r>
      <w:r>
        <w:t>д</w:t>
      </w:r>
      <w:r>
        <w:t>готовки предлагает особые курсы для женщин, ж</w:t>
      </w:r>
      <w:r>
        <w:t>е</w:t>
      </w:r>
      <w:r>
        <w:t>лающих вернуться на рынок труда, а также предл</w:t>
      </w:r>
      <w:r>
        <w:t>а</w:t>
      </w:r>
      <w:r>
        <w:t>гает разнообразный набор курсов, облегчающих возможность трудоустройства лиц, которые отсу</w:t>
      </w:r>
      <w:r>
        <w:t>т</w:t>
      </w:r>
      <w:r>
        <w:t>ствовали на рынке труда дл</w:t>
      </w:r>
      <w:r>
        <w:t>и</w:t>
      </w:r>
      <w:r>
        <w:t>тельное время.</w:t>
      </w:r>
    </w:p>
    <w:p w:rsidR="00000000" w:rsidRDefault="00000000">
      <w:pPr>
        <w:pStyle w:val="DualTxt"/>
      </w:pPr>
      <w:r>
        <w:t>33.</w:t>
      </w:r>
      <w:r>
        <w:tab/>
        <w:t>Программы профессиональной подготовки п</w:t>
      </w:r>
      <w:r>
        <w:t>о</w:t>
      </w:r>
      <w:r>
        <w:t>стоянно пересматриваются, чтобы отражать нужды рынка труда, и включают, например, все возра</w:t>
      </w:r>
      <w:r>
        <w:t>с</w:t>
      </w:r>
      <w:r>
        <w:t>тающее количество модулей по информационным технологиям. Дополнительное законодательство по вопросам трудовых отношений обеспечило право на равные условия трудоустройства. В частном се</w:t>
      </w:r>
      <w:r>
        <w:t>к</w:t>
      </w:r>
      <w:r>
        <w:t>торе экономики количество мер, принятых для о</w:t>
      </w:r>
      <w:r>
        <w:t>б</w:t>
      </w:r>
      <w:r>
        <w:t>легчения достижения баланса между работой и личной жизнью, меньше по сравнению с государс</w:t>
      </w:r>
      <w:r>
        <w:t>т</w:t>
      </w:r>
      <w:r>
        <w:t>венным сектором. Поэтому одной из целей госуда</w:t>
      </w:r>
      <w:r>
        <w:t>р</w:t>
      </w:r>
      <w:r>
        <w:t>ственного аппарата является достижение прогресса в этой области. Таким образом, государственный сектор используется в качестве модели для частного сект</w:t>
      </w:r>
      <w:r>
        <w:t>о</w:t>
      </w:r>
      <w:r>
        <w:t>ра.</w:t>
      </w:r>
    </w:p>
    <w:p w:rsidR="00000000" w:rsidRDefault="00000000">
      <w:pPr>
        <w:pStyle w:val="DualTxt"/>
      </w:pPr>
      <w:r>
        <w:t>34.</w:t>
      </w:r>
      <w:r>
        <w:tab/>
        <w:t>Хотя министерство по вопросам образования, молодежи и трудоустройства пока не предоставило никаких учреждений по уходу за детьми, однако этот вопрос рассматривался как часть национальн</w:t>
      </w:r>
      <w:r>
        <w:t>о</w:t>
      </w:r>
      <w:r>
        <w:t>го плана действий по трудоустройству, который с</w:t>
      </w:r>
      <w:r>
        <w:t>о</w:t>
      </w:r>
      <w:r>
        <w:t>ставляется в настоящее время. По данному вопросу был представлен ряд докладов, и правительство в настоящий момент заканчивает составление инс</w:t>
      </w:r>
      <w:r>
        <w:t>т</w:t>
      </w:r>
      <w:r>
        <w:t>рукций в отношении учреждений по уходу за дет</w:t>
      </w:r>
      <w:r>
        <w:t>ь</w:t>
      </w:r>
      <w:r>
        <w:t>ми. Хотя сейчас как государственные, так и частные детские сады принимают детей с трех лет, в пол</w:t>
      </w:r>
      <w:r>
        <w:t>и</w:t>
      </w:r>
      <w:r>
        <w:t>тику правительства входит намерение обеспечить предоставление услуг с рождения до пяти лет и сделать это частью пожизненного образования. Обычно занятия в школе продолжаются с 8 часов утра (самое раннее) до 3 часов дня (самое позднее). Правительство, церковь и независимые школы у</w:t>
      </w:r>
      <w:r>
        <w:t>с</w:t>
      </w:r>
      <w:r>
        <w:t>тановили эти часы в соответствии со своими ос</w:t>
      </w:r>
      <w:r>
        <w:t>о</w:t>
      </w:r>
      <w:r>
        <w:t>быми нуждами и с должным вниманием к наци</w:t>
      </w:r>
      <w:r>
        <w:t>о</w:t>
      </w:r>
      <w:r>
        <w:t>нальной минимальной учебной программе.</w:t>
      </w:r>
    </w:p>
    <w:p w:rsidR="00000000" w:rsidRDefault="00000000">
      <w:pPr>
        <w:pStyle w:val="DualTxt"/>
        <w:rPr>
          <w:lang w:val="en-US"/>
        </w:rPr>
      </w:pPr>
      <w:r>
        <w:t>35.</w:t>
      </w:r>
      <w:r>
        <w:tab/>
        <w:t>Трудно точно оценить количество женщин, работающих в теневом секторе экономики, п</w:t>
      </w:r>
      <w:r>
        <w:t>о</w:t>
      </w:r>
      <w:r>
        <w:t>скольку в данном секторе статистика не ведется. Однако одной из сфер, где такая практика широко распространена, является помощь по хозяйству, и обычно это делается по просьбе работника с целью избежать уплаты социальных отчислений и налога на добавленную стоимость с оказанных услуг. Была приведена ссылка на женщин, работавших в гос</w:t>
      </w:r>
      <w:r>
        <w:t>у</w:t>
      </w:r>
      <w:r>
        <w:t>дарственном секторе до 1981 года, которые были вынуждены оставить службу после замужества. Их спросили, был ли предыдущий период учтен при повторном трудоустройстве и была ли выплачена какая-либо компенсация. В обоих случаях ответ был отрицательным. Дополнительное законодател</w:t>
      </w:r>
      <w:r>
        <w:t>ь</w:t>
      </w:r>
      <w:r>
        <w:t>ство, гарантируя работникам по совместительству защиту от неравенства и дискриминации, примен</w:t>
      </w:r>
      <w:r>
        <w:t>и</w:t>
      </w:r>
      <w:r>
        <w:t>ло положения Конвенции, поскольку директивы Е</w:t>
      </w:r>
      <w:r>
        <w:t>в</w:t>
      </w:r>
      <w:r>
        <w:t>ропе</w:t>
      </w:r>
      <w:r>
        <w:t>й</w:t>
      </w:r>
      <w:r>
        <w:t>ского союза отражают Конвенцию</w:t>
      </w:r>
      <w:r>
        <w:rPr>
          <w:lang w:val="en-US"/>
        </w:rPr>
        <w:t>.</w:t>
      </w:r>
    </w:p>
    <w:p w:rsidR="00000000" w:rsidRDefault="00000000">
      <w:pPr>
        <w:pStyle w:val="DualTxt"/>
      </w:pPr>
      <w:r>
        <w:t>36.</w:t>
      </w:r>
      <w:r>
        <w:tab/>
        <w:t>Отвечая на вопрос о том, как женщинам удае</w:t>
      </w:r>
      <w:r>
        <w:t>т</w:t>
      </w:r>
      <w:r>
        <w:t>ся совмещать работу на полный рабочий день или работу по совместительству и выполнение дома</w:t>
      </w:r>
      <w:r>
        <w:t>ш</w:t>
      </w:r>
      <w:r>
        <w:t>них обязанностей, она сказала, что супруги, раб</w:t>
      </w:r>
      <w:r>
        <w:t>о</w:t>
      </w:r>
      <w:r>
        <w:t>тающие в нескольких местах, часто выбирают раб</w:t>
      </w:r>
      <w:r>
        <w:t>о</w:t>
      </w:r>
      <w:r>
        <w:t>ту с нетипичным расписанием, например, в индус</w:t>
      </w:r>
      <w:r>
        <w:t>т</w:t>
      </w:r>
      <w:r>
        <w:t>рии туризма, или работу посменно, чтобы быть в состоянии совмещать то и другое. В некоторых сл</w:t>
      </w:r>
      <w:r>
        <w:t>у</w:t>
      </w:r>
      <w:r>
        <w:t>чаях работодатели предлагали возможность орган</w:t>
      </w:r>
      <w:r>
        <w:t>и</w:t>
      </w:r>
      <w:r>
        <w:t>зации рабочего расписания таким образом, чтобы оно соответствовало личным (часто семейным ну</w:t>
      </w:r>
      <w:r>
        <w:t>ж</w:t>
      </w:r>
      <w:r>
        <w:t>дам), хотя это было скорее неофициальной догов</w:t>
      </w:r>
      <w:r>
        <w:t>о</w:t>
      </w:r>
      <w:r>
        <w:t>ренностью, чем общепринятой системой. Данных о количестве женщин, работающих меньше 20 часов, не имеется. План действий по повышению пре</w:t>
      </w:r>
      <w:r>
        <w:t>д</w:t>
      </w:r>
      <w:r>
        <w:t>ставленности женщин на постах старших должн</w:t>
      </w:r>
      <w:r>
        <w:t>о</w:t>
      </w:r>
      <w:r>
        <w:t>стных лиц в государственной службе до сих пор н</w:t>
      </w:r>
      <w:r>
        <w:t>а</w:t>
      </w:r>
      <w:r>
        <w:t>ходится на стадии выполнения, и прилагаются все усилия, чтобы обеспечить его успех. Удачным пр</w:t>
      </w:r>
      <w:r>
        <w:t>и</w:t>
      </w:r>
      <w:r>
        <w:t>мером стало назначение первой женщины на дол</w:t>
      </w:r>
      <w:r>
        <w:t>ж</w:t>
      </w:r>
      <w:r>
        <w:t>ность Постоянного секретаря, второй по значим</w:t>
      </w:r>
      <w:r>
        <w:t>о</w:t>
      </w:r>
      <w:r>
        <w:t>сти пост в государственной службе.</w:t>
      </w:r>
    </w:p>
    <w:p w:rsidR="00000000" w:rsidRDefault="00000000">
      <w:pPr>
        <w:pStyle w:val="DualTxt"/>
        <w:rPr>
          <w:lang w:val="en-US"/>
        </w:rPr>
      </w:pPr>
      <w:r>
        <w:t>37.</w:t>
      </w:r>
      <w:r>
        <w:tab/>
        <w:t>Говоря о деятельности по ликвидации глубоко укоренившихся стереотипов, касающихся роли женщины в семье, она сказала, что кроме внесения поправок в законодательство, которое теперь обе</w:t>
      </w:r>
      <w:r>
        <w:t>с</w:t>
      </w:r>
      <w:r>
        <w:t>печивает равенство мужчин и женщин в отношении их ролей в семье и домашних обязанностей, Наци</w:t>
      </w:r>
      <w:r>
        <w:t>о</w:t>
      </w:r>
      <w:r>
        <w:t>нальная комиссия по поощрению равенства между мужчинами и женщинами делает все возможное, особенно в средствах массовой информации, чтобы достичь перемены в менталитете, которая навсегда устранит такие стереотипные понятия. Система о</w:t>
      </w:r>
      <w:r>
        <w:t>б</w:t>
      </w:r>
      <w:r>
        <w:t>разования также поддерживает возможность подо</w:t>
      </w:r>
      <w:r>
        <w:t>б</w:t>
      </w:r>
      <w:r>
        <w:t>ной перемены. Со времени вступления в силу в 2001 году Закона о занятости и отношениях в пр</w:t>
      </w:r>
      <w:r>
        <w:t>о</w:t>
      </w:r>
      <w:r>
        <w:t>мышленности в полицию было сообщено о двух случаях сексуальных домогательств. Характер ж</w:t>
      </w:r>
      <w:r>
        <w:t>а</w:t>
      </w:r>
      <w:r>
        <w:t>лоб, полученных Национальной комиссией по п</w:t>
      </w:r>
      <w:r>
        <w:t>о</w:t>
      </w:r>
      <w:r>
        <w:t>ощрению равенства между мужчинами и женщин</w:t>
      </w:r>
      <w:r>
        <w:t>а</w:t>
      </w:r>
      <w:r>
        <w:t>ми, большинство из которых было связано с усл</w:t>
      </w:r>
      <w:r>
        <w:t>о</w:t>
      </w:r>
      <w:r>
        <w:t>виями трудоустройства и касалось сексуальных д</w:t>
      </w:r>
      <w:r>
        <w:t>о</w:t>
      </w:r>
      <w:r>
        <w:t>могательств, показал, что многие женщины осв</w:t>
      </w:r>
      <w:r>
        <w:t>е</w:t>
      </w:r>
      <w:r>
        <w:t>домлены о возможности обратиться к правосудию. Планировалась национальная кампания в средствах массовой информации, нацеленная на информир</w:t>
      </w:r>
      <w:r>
        <w:t>о</w:t>
      </w:r>
      <w:r>
        <w:t>вание широкой общественности о ее правах и об</w:t>
      </w:r>
      <w:r>
        <w:t>я</w:t>
      </w:r>
      <w:r>
        <w:t>занностях, а также о законодательстве по вопросам равенства, в том числе о его положениях, каса</w:t>
      </w:r>
      <w:r>
        <w:t>ю</w:t>
      </w:r>
      <w:r>
        <w:t>щихся сексуальных домог</w:t>
      </w:r>
      <w:r>
        <w:t>а</w:t>
      </w:r>
      <w:r>
        <w:t>тельств.</w:t>
      </w:r>
    </w:p>
    <w:p w:rsidR="00000000" w:rsidRDefault="00000000">
      <w:pPr>
        <w:pStyle w:val="DualTxt"/>
      </w:pPr>
      <w:r>
        <w:t>38.</w:t>
      </w:r>
      <w:r>
        <w:tab/>
        <w:t>Обращаясь к статье 12, она сказала, что в о</w:t>
      </w:r>
      <w:r>
        <w:t>т</w:t>
      </w:r>
      <w:r>
        <w:t>личие от фармацевтической продукции услуги пе</w:t>
      </w:r>
      <w:r>
        <w:t>р</w:t>
      </w:r>
      <w:r>
        <w:t>вой медицинской помощи являются бесплатными для всех независимо от средств к существованию. Бесплатная фармацевтическая продукция полагае</w:t>
      </w:r>
      <w:r>
        <w:t>т</w:t>
      </w:r>
      <w:r>
        <w:t>ся больному в течение периода пребывания в бол</w:t>
      </w:r>
      <w:r>
        <w:t>ь</w:t>
      </w:r>
      <w:r>
        <w:t>нице в государственной системе здравоохранения, независимо от средств к существованию; людям, страдающим определенными особыми хроническ</w:t>
      </w:r>
      <w:r>
        <w:t>и</w:t>
      </w:r>
      <w:r>
        <w:t>ми расстройствами, независимо от средств к сущ</w:t>
      </w:r>
      <w:r>
        <w:t>е</w:t>
      </w:r>
      <w:r>
        <w:t>ствованию; и всем, удовлетворяющим требования специального теста на наличие средств к существ</w:t>
      </w:r>
      <w:r>
        <w:t>о</w:t>
      </w:r>
      <w:r>
        <w:t>ванию. Однако отдел здравоохранения предоставл</w:t>
      </w:r>
      <w:r>
        <w:t>я</w:t>
      </w:r>
      <w:r>
        <w:t>ет не всю фармацевтическую продукцию, а приде</w:t>
      </w:r>
      <w:r>
        <w:t>р</w:t>
      </w:r>
      <w:r>
        <w:t>живается основного списка лекарств, в который не входит ряд медицинских препаратов, таких, как противозачаточные средства. На вопрос о том. представляет ли введение внутриматочных контр</w:t>
      </w:r>
      <w:r>
        <w:t>а</w:t>
      </w:r>
      <w:r>
        <w:t>цептивов, основывающееся на моральных или р</w:t>
      </w:r>
      <w:r>
        <w:t>е</w:t>
      </w:r>
      <w:r>
        <w:t>лигиозных убеждениях лица, оказывающего данную услугу, препятствие свободному выбору женщины, она ответила, что здесь нужно вновь искать баланс между правами клиента и правами лица, оказ</w:t>
      </w:r>
      <w:r>
        <w:t>ы</w:t>
      </w:r>
      <w:r>
        <w:t>вающего услугу. Эта цель не всегда достигается легко, в частности, потому, что медицинская лит</w:t>
      </w:r>
      <w:r>
        <w:t>е</w:t>
      </w:r>
      <w:r>
        <w:t>ратура не дает единого мнения по поводу использ</w:t>
      </w:r>
      <w:r>
        <w:t>о</w:t>
      </w:r>
      <w:r>
        <w:t>вания внутриматочных контрацептивов. Поэтому трудно применить единый стандарт ко всем случ</w:t>
      </w:r>
      <w:r>
        <w:t>а</w:t>
      </w:r>
      <w:r>
        <w:t>ям.</w:t>
      </w:r>
    </w:p>
    <w:p w:rsidR="00000000" w:rsidRDefault="00000000">
      <w:pPr>
        <w:pStyle w:val="DualTxt"/>
      </w:pPr>
      <w:r>
        <w:t>39.</w:t>
      </w:r>
      <w:r>
        <w:tab/>
        <w:t>Все школы должны следовать национальной минимальной образовательной программе, и это о</w:t>
      </w:r>
      <w:r>
        <w:t>з</w:t>
      </w:r>
      <w:r>
        <w:t>начает, что занятия по вопросам личного и соц</w:t>
      </w:r>
      <w:r>
        <w:t>и</w:t>
      </w:r>
      <w:r>
        <w:t>ального развития, в том числе по человеческой се</w:t>
      </w:r>
      <w:r>
        <w:t>к</w:t>
      </w:r>
      <w:r>
        <w:t>суальности, должны быть неотъемлемой частью школьной программы. Отсутствие в школе обуч</w:t>
      </w:r>
      <w:r>
        <w:t>е</w:t>
      </w:r>
      <w:r>
        <w:t>ния по данным вопросам противоречит минимал</w:t>
      </w:r>
      <w:r>
        <w:t>ь</w:t>
      </w:r>
      <w:r>
        <w:t>ной национальной образовательной программе, и против такой школы будут приняты соответству</w:t>
      </w:r>
      <w:r>
        <w:t>ю</w:t>
      </w:r>
      <w:r>
        <w:t>щие меры. Личное и общественное развитие - предмет, который разрабатывается с момента вв</w:t>
      </w:r>
      <w:r>
        <w:t>е</w:t>
      </w:r>
      <w:r>
        <w:t>дения минимальной национальной образовательной программы. Занятия по нему проводятся во всех г</w:t>
      </w:r>
      <w:r>
        <w:t>о</w:t>
      </w:r>
      <w:r>
        <w:t>сударственных, церковных и частных школах и о</w:t>
      </w:r>
      <w:r>
        <w:t>х</w:t>
      </w:r>
      <w:r>
        <w:t>ватывают такие темы, как отношения, развитие карьеры, сексуальное образование, злоупотребление наркотиками, алкоголем и табаком, и другие вопр</w:t>
      </w:r>
      <w:r>
        <w:t>о</w:t>
      </w:r>
      <w:r>
        <w:t>сы, поднимаемые самими студентами. Преподав</w:t>
      </w:r>
      <w:r>
        <w:t>а</w:t>
      </w:r>
      <w:r>
        <w:t>тели данного предмета были обучены разработке советов и рекомендаций, проводя уроки в форме дискуссий в группах не более 15 студентов.</w:t>
      </w:r>
    </w:p>
    <w:p w:rsidR="00000000" w:rsidRDefault="00000000">
      <w:pPr>
        <w:pStyle w:val="DualTxt"/>
      </w:pPr>
      <w:r>
        <w:t>40.</w:t>
      </w:r>
      <w:r>
        <w:tab/>
        <w:t>Сексуальное образование обсуждалось очень широко, но не считалось частью религиозного о</w:t>
      </w:r>
      <w:r>
        <w:t>б</w:t>
      </w:r>
      <w:r>
        <w:t>разования, хотя ничто не мешало преподавателям религии обсуждать позицию церкви по этому в</w:t>
      </w:r>
      <w:r>
        <w:t>о</w:t>
      </w:r>
      <w:r>
        <w:t>просу. Открыто и свободно обсуждались все соо</w:t>
      </w:r>
      <w:r>
        <w:t>т</w:t>
      </w:r>
      <w:r>
        <w:t>ветствующие темы, в том числе тема искусстве</w:t>
      </w:r>
      <w:r>
        <w:t>н</w:t>
      </w:r>
      <w:r>
        <w:t>ных средств контрацепции и основные биологич</w:t>
      </w:r>
      <w:r>
        <w:t>е</w:t>
      </w:r>
      <w:r>
        <w:t>ские функции организма. Вся приводимая инфо</w:t>
      </w:r>
      <w:r>
        <w:t>р</w:t>
      </w:r>
      <w:r>
        <w:t>мация была точной и основанной на реальных фа</w:t>
      </w:r>
      <w:r>
        <w:t>к</w:t>
      </w:r>
      <w:r>
        <w:t>тах. Полиция должны была ответить на все подн</w:t>
      </w:r>
      <w:r>
        <w:t>я</w:t>
      </w:r>
      <w:r>
        <w:t>тые вопросы. Департамент медико-социального просвещения тесно сотрудничал с Департаментом личного и общественного развития и также счел целесообразным проведение занятий по сексуал</w:t>
      </w:r>
      <w:r>
        <w:t>ь</w:t>
      </w:r>
      <w:r>
        <w:t>ному здор</w:t>
      </w:r>
      <w:r>
        <w:t>о</w:t>
      </w:r>
      <w:r>
        <w:t>вью. Специалисты по медико-социальному просвещению регулярно посещали школы и предлагали такие вопросы для обсужд</w:t>
      </w:r>
      <w:r>
        <w:t>е</w:t>
      </w:r>
      <w:r>
        <w:t xml:space="preserve">ния. </w:t>
      </w:r>
    </w:p>
    <w:p w:rsidR="00000000" w:rsidRDefault="00000000">
      <w:pPr>
        <w:pStyle w:val="DualTxt"/>
        <w:rPr>
          <w:lang w:val="en-US"/>
        </w:rPr>
      </w:pPr>
      <w:r>
        <w:t>41.</w:t>
      </w:r>
      <w:r>
        <w:tab/>
        <w:t>В отношении контрацепции как средства ко</w:t>
      </w:r>
      <w:r>
        <w:t>н</w:t>
      </w:r>
      <w:r>
        <w:t>троля над подростковой беременностью в свете о</w:t>
      </w:r>
      <w:r>
        <w:t>б</w:t>
      </w:r>
      <w:r>
        <w:t>щей рекомендации № 24, она сказала, что увелич</w:t>
      </w:r>
      <w:r>
        <w:t>е</w:t>
      </w:r>
      <w:r>
        <w:t>ние количества случаев подростковой беременн</w:t>
      </w:r>
      <w:r>
        <w:t>о</w:t>
      </w:r>
      <w:r>
        <w:t>сти - международное явление, и исходя из опыта других стран, становится понятным, что только доступная контрацепция не является решением проблемы. Согласно политике Мальты, в любой стратегии предупреждения центральную роль должно играть образование. Отвечая на вопрос, к</w:t>
      </w:r>
      <w:r>
        <w:t>а</w:t>
      </w:r>
      <w:r>
        <w:t>сающийся диагностики депрессии среди женщин, она сказала, что гендерная перспектива включена в недавно введенный полумодуль по медицинской социологии для студентов последних курсов мед</w:t>
      </w:r>
      <w:r>
        <w:t>и</w:t>
      </w:r>
      <w:r>
        <w:t>цинских учебных заведений. Обращаясь к статье 15 Конвенции, она сказала, что обеспечение внесения поправок в законодательство в соответствии с ну</w:t>
      </w:r>
      <w:r>
        <w:t>ж</w:t>
      </w:r>
      <w:r>
        <w:t>дами общества - функция правительства и его орг</w:t>
      </w:r>
      <w:r>
        <w:t>а</w:t>
      </w:r>
      <w:r>
        <w:t>нов, а также организаций и комиссий, учрежденных законодательным актом. В плюралистичном дем</w:t>
      </w:r>
      <w:r>
        <w:t>о</w:t>
      </w:r>
      <w:r>
        <w:t>кратическом обществе задача гражданского общ</w:t>
      </w:r>
      <w:r>
        <w:t>е</w:t>
      </w:r>
      <w:r>
        <w:t>ства - обеспечить выполнение вышесказанного без ненужных задержек.</w:t>
      </w:r>
    </w:p>
    <w:p w:rsidR="00000000" w:rsidRDefault="00000000">
      <w:pPr>
        <w:pStyle w:val="DualTxt"/>
      </w:pPr>
      <w:r>
        <w:t>42.</w:t>
      </w:r>
      <w:r>
        <w:tab/>
        <w:t>Говоря о нехватке женщин-судей на Мальте, она объяснила, что человек может быть назначен судьей только в том случае, если он/она был(а) практикующим адвокатом на Мальте в течение с</w:t>
      </w:r>
      <w:r>
        <w:t>о</w:t>
      </w:r>
      <w:r>
        <w:t>вокупного периода 10 лет, был(а) мировым судьей на Мальте, либо частично практиковал(а) и части</w:t>
      </w:r>
      <w:r>
        <w:t>ч</w:t>
      </w:r>
      <w:r>
        <w:t>но выполнял(а) функции мирового судьи. Хотя на Мальте немало женщин-юристов, большинство из них не удовлетворяют этим критериям. Не секрет, что правительство сталкивается с трудностями при попытках найти лиц соответствующей квалифик</w:t>
      </w:r>
      <w:r>
        <w:t>а</w:t>
      </w:r>
      <w:r>
        <w:t>ции, даже мужчин, для назначения на должность судьи, главным образом потому, что человек с нео</w:t>
      </w:r>
      <w:r>
        <w:t>б</w:t>
      </w:r>
      <w:r>
        <w:t>ходимым опытом предпочитает продолжать час</w:t>
      </w:r>
      <w:r>
        <w:t>т</w:t>
      </w:r>
      <w:r>
        <w:t>ную практику, что приносит куда больший доход, чем должность судьи. Ряд женщин-юристов были назначены мировыми судьями в суды низшей и</w:t>
      </w:r>
      <w:r>
        <w:t>н</w:t>
      </w:r>
      <w:r>
        <w:t>станции, поскольку там требования ниже, чем для назначения в суды высшей инстанции. Женщина-юрист была назначена первым мальтийским судьей в Суд первой инстанции Европейского союза.</w:t>
      </w:r>
    </w:p>
    <w:p w:rsidR="00000000" w:rsidRDefault="00000000">
      <w:pPr>
        <w:pStyle w:val="DualTxt"/>
      </w:pPr>
      <w:r>
        <w:t>43.</w:t>
      </w:r>
      <w:r>
        <w:tab/>
        <w:t>Отвечая на вопрос, почему после объединения родительской ответственности директор социальн</w:t>
      </w:r>
      <w:r>
        <w:t>о</w:t>
      </w:r>
      <w:r>
        <w:t>го страхования оставался лицом, определяющим главу семьи, и нет ли противоречия между Законом о социальном страховании и гражданским коде</w:t>
      </w:r>
      <w:r>
        <w:t>к</w:t>
      </w:r>
      <w:r>
        <w:t>сом, она предложила вернуться к ответу, данному при рассмотрении оговорок к Конвенции. Закон о социальном страховании не регулирует родител</w:t>
      </w:r>
      <w:r>
        <w:t>ь</w:t>
      </w:r>
      <w:r>
        <w:t>скую ответственность. Нельзя сказать, что между двумя правовыми документами существует прот</w:t>
      </w:r>
      <w:r>
        <w:t>и</w:t>
      </w:r>
      <w:r>
        <w:t>воречие, поскольку Закон о социальном страхов</w:t>
      </w:r>
      <w:r>
        <w:t>а</w:t>
      </w:r>
      <w:r>
        <w:t>нии регулирует право на услуги социального стр</w:t>
      </w:r>
      <w:r>
        <w:t>а</w:t>
      </w:r>
      <w:r>
        <w:t>хования, пенсии и пособия в соответствии с Зак</w:t>
      </w:r>
      <w:r>
        <w:t>о</w:t>
      </w:r>
      <w:r>
        <w:t>ном, а также выплату отчислений, в то время, как гражданский кодекс регулирует вопросы гражда</w:t>
      </w:r>
      <w:r>
        <w:t>н</w:t>
      </w:r>
      <w:r>
        <w:t>ского характера. Что же касается данных о женщ</w:t>
      </w:r>
      <w:r>
        <w:t>и</w:t>
      </w:r>
      <w:r>
        <w:t>нах-владельцах земли, она указала, что вряд ли по этому вопросу имеется информация, разделенная по признаку пола. В случае, если она действительно имеется, она будет непременно включена в сл</w:t>
      </w:r>
      <w:r>
        <w:t>е</w:t>
      </w:r>
      <w:r>
        <w:t>дующий отчет. Отвечая на вопрос, касающийся с</w:t>
      </w:r>
      <w:r>
        <w:t>о</w:t>
      </w:r>
      <w:r>
        <w:t>гласия между мужем и женой в отношении прав на возврат налогов, она сказала, что если вопрос о с</w:t>
      </w:r>
      <w:r>
        <w:t>о</w:t>
      </w:r>
      <w:r>
        <w:t>гласии относится к декларации о доходах, тогда мужу требуется подпись жены на декларации.</w:t>
      </w:r>
    </w:p>
    <w:p w:rsidR="00000000" w:rsidRDefault="00000000">
      <w:pPr>
        <w:pStyle w:val="DualTxt"/>
      </w:pPr>
      <w:r>
        <w:t>44.</w:t>
      </w:r>
      <w:r>
        <w:tab/>
        <w:t>Обращаясь к вопросу о разводе, она объясн</w:t>
      </w:r>
      <w:r>
        <w:t>и</w:t>
      </w:r>
      <w:r>
        <w:t>ла, что доступ к разводу не считается основным правом человека и никогда не интерпретировался как таковой в главных международных конвенциях или договорах о правах человека. Семейное закон</w:t>
      </w:r>
      <w:r>
        <w:t>о</w:t>
      </w:r>
      <w:r>
        <w:t>дательство обычно считается подпадающим под компетенцию национального законодательства. К</w:t>
      </w:r>
      <w:r>
        <w:t>о</w:t>
      </w:r>
      <w:r>
        <w:t>гда брак распадается, семья может разойтись как через суд, так и частным образом, заключив нот</w:t>
      </w:r>
      <w:r>
        <w:t>а</w:t>
      </w:r>
      <w:r>
        <w:t>риальную сделку. Со времени представления до</w:t>
      </w:r>
      <w:r>
        <w:t>к</w:t>
      </w:r>
      <w:r>
        <w:t>лада был создан семейный суд, предназначенный для рассмотрения дел о разводе, когда стороны не могли прийти к согласию. Любой из супругов м</w:t>
      </w:r>
      <w:r>
        <w:t>о</w:t>
      </w:r>
      <w:r>
        <w:t>жет потребовать выплаты ему другим супругом м</w:t>
      </w:r>
      <w:r>
        <w:t>а</w:t>
      </w:r>
      <w:r>
        <w:t>териального обеспечения. Невыплата супругом м</w:t>
      </w:r>
      <w:r>
        <w:t>а</w:t>
      </w:r>
      <w:r>
        <w:t>териального обеспечения считается уголовным пр</w:t>
      </w:r>
      <w:r>
        <w:t>е</w:t>
      </w:r>
      <w:r>
        <w:t>ступлением и может служить причиной для начала судебного преследования ответчика. В тех случаях, когда никакого материального обеспечения не пол</w:t>
      </w:r>
      <w:r>
        <w:t>а</w:t>
      </w:r>
      <w:r>
        <w:t>гается, заинтересованная сторона может обратиться за выплатой социальных пособий по Закону о соц</w:t>
      </w:r>
      <w:r>
        <w:t>и</w:t>
      </w:r>
      <w:r>
        <w:t>альном страховании. Наконец, касаясь юридических обязательств разведенных супругов по отношению друг к другу, она привлекла внимание Комитета к разделам 16.14, 16.16 и 16.17 рассматриваемых об</w:t>
      </w:r>
      <w:r>
        <w:t>ъ</w:t>
      </w:r>
      <w:r>
        <w:t>единенных докладов.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Председатель</w:t>
      </w:r>
      <w:r>
        <w:t xml:space="preserve"> предложила членам Комитета задать допо</w:t>
      </w:r>
      <w:r>
        <w:t>л</w:t>
      </w:r>
      <w:r>
        <w:t>нительные вопросы.</w:t>
      </w:r>
    </w:p>
    <w:p w:rsidR="00000000" w:rsidRDefault="00000000">
      <w:pPr>
        <w:pStyle w:val="DualTxt"/>
        <w:rPr>
          <w:lang w:val="en-US"/>
        </w:rPr>
      </w:pPr>
      <w:r>
        <w:t>46.</w:t>
      </w:r>
      <w:r>
        <w:tab/>
      </w:r>
      <w:r>
        <w:rPr>
          <w:b/>
        </w:rPr>
        <w:t xml:space="preserve">Г-жа Шепп-Шиллинг </w:t>
      </w:r>
      <w:r>
        <w:t>сказала, что, нес</w:t>
      </w:r>
      <w:r>
        <w:t>о</w:t>
      </w:r>
      <w:r>
        <w:t>мненно, государство имеет право формулировать оговорки, но только в том случае, если они совме</w:t>
      </w:r>
      <w:r>
        <w:t>с</w:t>
      </w:r>
      <w:r>
        <w:t>тимы с предметом и целью Конвенции. Комитет выражает обеспокоенность тем, что оговорки могут повредить универсальности Конвенции, и поэтому он приветствует пересмотр оговорок государств</w:t>
      </w:r>
      <w:r>
        <w:t>а</w:t>
      </w:r>
      <w:r>
        <w:t>ми-участниками. В свете вышесказанного она п</w:t>
      </w:r>
      <w:r>
        <w:t>о</w:t>
      </w:r>
      <w:r>
        <w:t>интересовалась, не может ли оговорка к статье 13 быть пересмотрена одновременно с оговоркой к статье 15. Что касается депрессии среди женщин, опыт показывает, что доктора с большей готовн</w:t>
      </w:r>
      <w:r>
        <w:t>о</w:t>
      </w:r>
      <w:r>
        <w:t>стью диагностируют депрессию у женщин, чем у мужчин, из-за гендерных стереотипов. Она поинт</w:t>
      </w:r>
      <w:r>
        <w:t>е</w:t>
      </w:r>
      <w:r>
        <w:t>ресовалась, не может ли высокий процент депре</w:t>
      </w:r>
      <w:r>
        <w:t>с</w:t>
      </w:r>
      <w:r>
        <w:t>сий и употребления транквилизаторов, отмеченный на Мальте, быть результатом такой чрезмерной д</w:t>
      </w:r>
      <w:r>
        <w:t>и</w:t>
      </w:r>
      <w:r>
        <w:t>агностики, и приняла ли система обеспечения ра</w:t>
      </w:r>
      <w:r>
        <w:t>в</w:t>
      </w:r>
      <w:r>
        <w:t>ноправия мужчин и женщин в секторе здравоохр</w:t>
      </w:r>
      <w:r>
        <w:t>а</w:t>
      </w:r>
      <w:r>
        <w:t>нения какие-либо меры в отношении этого пред</w:t>
      </w:r>
      <w:r>
        <w:t>у</w:t>
      </w:r>
      <w:r>
        <w:t>беждения. Наконец, поскольку текст Конституции требовал, чтобы временные специальные меры б</w:t>
      </w:r>
      <w:r>
        <w:t>ы</w:t>
      </w:r>
      <w:r>
        <w:t>ли разумно обоснованными в демократическом о</w:t>
      </w:r>
      <w:r>
        <w:t>б</w:t>
      </w:r>
      <w:r>
        <w:t>ществе, она спросила, какие критерии применялись при выработке данного определ</w:t>
      </w:r>
      <w:r>
        <w:t>е</w:t>
      </w:r>
      <w:r>
        <w:t>ния.</w:t>
      </w:r>
    </w:p>
    <w:p w:rsidR="00000000" w:rsidRDefault="00000000">
      <w:pPr>
        <w:pStyle w:val="DualTxt"/>
        <w:rPr>
          <w:lang w:val="en-US"/>
        </w:rPr>
      </w:pPr>
      <w:r>
        <w:t>47.</w:t>
      </w:r>
      <w:r>
        <w:tab/>
      </w:r>
      <w:r>
        <w:rPr>
          <w:b/>
        </w:rPr>
        <w:t>Г-жа Манало</w:t>
      </w:r>
      <w:r>
        <w:t xml:space="preserve"> сказала, что хотела бы получить дальнейшее разъяснение по поводу участия непр</w:t>
      </w:r>
      <w:r>
        <w:t>а</w:t>
      </w:r>
      <w:r>
        <w:t>вительственных организаций в подготовке доклада. По словам государства-докладчика, объединенные доклады были составлены после консультаций "с соответствующими департаментами, предпр</w:t>
      </w:r>
      <w:r>
        <w:t>и</w:t>
      </w:r>
      <w:r>
        <w:t>ятиями и отдельными лицами". Ей хотелось бы знать, присутствовали ли среди этих предприятий неправительственные организации, и если прису</w:t>
      </w:r>
      <w:r>
        <w:t>т</w:t>
      </w:r>
      <w:r>
        <w:t>ствовали, какие организации и каким образом, к</w:t>
      </w:r>
      <w:r>
        <w:t>а</w:t>
      </w:r>
      <w:r>
        <w:t>кое участие они принимали в этом процессе. Кас</w:t>
      </w:r>
      <w:r>
        <w:t>а</w:t>
      </w:r>
      <w:r>
        <w:t>тельно классификации изнасилования как уголо</w:t>
      </w:r>
      <w:r>
        <w:t>в</w:t>
      </w:r>
      <w:r>
        <w:t>ного преступления, подпадающего под раздел пр</w:t>
      </w:r>
      <w:r>
        <w:t>е</w:t>
      </w:r>
      <w:r>
        <w:t>ступлений против мира и чести семьи и против м</w:t>
      </w:r>
      <w:r>
        <w:t>о</w:t>
      </w:r>
      <w:r>
        <w:t>рали, она выразила удивление, что государство-участник не считает такую классификацию уст</w:t>
      </w:r>
      <w:r>
        <w:t>а</w:t>
      </w:r>
      <w:r>
        <w:t>ревшей. Такая классификация предполагает, что преступление совершается против института семьи, в то время как Конвенция рассматривает изнасил</w:t>
      </w:r>
      <w:r>
        <w:t>о</w:t>
      </w:r>
      <w:r>
        <w:t>вание как преступление против прав человека. Т</w:t>
      </w:r>
      <w:r>
        <w:t>а</w:t>
      </w:r>
      <w:r>
        <w:t>кое различие нельзя н</w:t>
      </w:r>
      <w:r>
        <w:t>а</w:t>
      </w:r>
      <w:r>
        <w:t>звать незначительным.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Г-н Флинтерман</w:t>
      </w:r>
      <w:r>
        <w:t xml:space="preserve"> отметил, что Мальта строго придерживается двойной системы в вопросах ме</w:t>
      </w:r>
      <w:r>
        <w:t>ж</w:t>
      </w:r>
      <w:r>
        <w:t>дународного права, за исключением Европейской конвенции по правам человека и предполагает, что положения последней могут быть прямо примен</w:t>
      </w:r>
      <w:r>
        <w:t>е</w:t>
      </w:r>
      <w:r>
        <w:t>ны. Стороннему наблюдателю может показаться, что Мальта придает разное значение различным д</w:t>
      </w:r>
      <w:r>
        <w:t>о</w:t>
      </w:r>
      <w:r>
        <w:t>говорам о правах человека. Комитет удовлетворен тем, что Мальта рассматривает возможность рат</w:t>
      </w:r>
      <w:r>
        <w:t>и</w:t>
      </w:r>
      <w:r>
        <w:t>фикации факультативного протокола, однако инт</w:t>
      </w:r>
      <w:r>
        <w:t>е</w:t>
      </w:r>
      <w:r>
        <w:t>ресуется, как этот протокол будет перенесен в гос</w:t>
      </w:r>
      <w:r>
        <w:t>у</w:t>
      </w:r>
      <w:r>
        <w:t>дарственное законодательство. Что касается огов</w:t>
      </w:r>
      <w:r>
        <w:t>о</w:t>
      </w:r>
      <w:r>
        <w:t>рок, Комитет не будет оспаривать право государс</w:t>
      </w:r>
      <w:r>
        <w:t>т</w:t>
      </w:r>
      <w:r>
        <w:t>ва-участника формулировать их, однако хотел бы подчеркнуть, что их отмена также является сув</w:t>
      </w:r>
      <w:r>
        <w:t>е</w:t>
      </w:r>
      <w:r>
        <w:t>ренным правом государства-участника. Комитет п</w:t>
      </w:r>
      <w:r>
        <w:t>о</w:t>
      </w:r>
      <w:r>
        <w:t>стоянно работает над тем, чтобы побудить каждое из государств-участников рассмотреть возможность отмены ог</w:t>
      </w:r>
      <w:r>
        <w:t>о</w:t>
      </w:r>
      <w:r>
        <w:t>ворок.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Г-жа Шимонович</w:t>
      </w:r>
      <w:r>
        <w:t xml:space="preserve"> спросила, какой процент населения не говорит по-английски, поскольку Ко</w:t>
      </w:r>
      <w:r>
        <w:t>н</w:t>
      </w:r>
      <w:r>
        <w:t>венция не была переведена на мальтийский язык.</w:t>
      </w:r>
    </w:p>
    <w:p w:rsidR="00000000" w:rsidRDefault="00000000">
      <w:pPr>
        <w:pStyle w:val="DualTxt"/>
        <w:rPr>
          <w:lang w:val="en-US"/>
        </w:rPr>
      </w:pPr>
      <w:r>
        <w:t>50.</w:t>
      </w:r>
      <w:r>
        <w:tab/>
      </w:r>
      <w:r>
        <w:rPr>
          <w:b/>
        </w:rPr>
        <w:t xml:space="preserve">Г-жа Бугежа </w:t>
      </w:r>
      <w:r>
        <w:t>(Мальта) сказала, что возмо</w:t>
      </w:r>
      <w:r>
        <w:t>ж</w:t>
      </w:r>
      <w:r>
        <w:t>ность гендерного предубеждения при диагностике депрессии была принята во внимание. Вопрос об отмене поправок сейчас рассматривается минис</w:t>
      </w:r>
      <w:r>
        <w:t>т</w:t>
      </w:r>
      <w:r>
        <w:t>ром юстиции; однако потребуется еще немало о</w:t>
      </w:r>
      <w:r>
        <w:t>б</w:t>
      </w:r>
      <w:r>
        <w:t>суждений прежде чем его решение станет реальн</w:t>
      </w:r>
      <w:r>
        <w:t>о</w:t>
      </w:r>
      <w:r>
        <w:t>стью. Что касается участия неправительственных организаций в подготовке докладов, консультанту, приглашенному для их написания, были даны инс</w:t>
      </w:r>
      <w:r>
        <w:t>т</w:t>
      </w:r>
      <w:r>
        <w:t>рукции о проведении консультаций с любыми соо</w:t>
      </w:r>
      <w:r>
        <w:t>т</w:t>
      </w:r>
      <w:r>
        <w:t>ветствующими лицами или группами, в том числе экспертами в различных сферах и женскими орг</w:t>
      </w:r>
      <w:r>
        <w:t>а</w:t>
      </w:r>
      <w:r>
        <w:t>низациями, в частности, упомянутыми ею р</w:t>
      </w:r>
      <w:r>
        <w:t>а</w:t>
      </w:r>
      <w:r>
        <w:t>нее.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Г-н Ксуэреб</w:t>
      </w:r>
      <w:r>
        <w:t xml:space="preserve"> (Мальта) сказал. что особый ст</w:t>
      </w:r>
      <w:r>
        <w:t>а</w:t>
      </w:r>
      <w:r>
        <w:t>тус Европейской конвенции по правам человека я</w:t>
      </w:r>
      <w:r>
        <w:t>в</w:t>
      </w:r>
      <w:r>
        <w:t>ляется исторически обоснованным. В 1987 году, к</w:t>
      </w:r>
      <w:r>
        <w:t>о</w:t>
      </w:r>
      <w:r>
        <w:t>гда Мальта присоединилась к Европейской конве</w:t>
      </w:r>
      <w:r>
        <w:t>н</w:t>
      </w:r>
      <w:r>
        <w:t>ции, страна только начала приходить в себя после сложного периода в области прав человека. Первым законом, изданным новым правительством, был з</w:t>
      </w:r>
      <w:r>
        <w:t>а</w:t>
      </w:r>
      <w:r>
        <w:t>кон о Европейской конвенции, который давал судам возможность прямо применять положения данной Конвенции. Этот шаг являлся исключительным в мальтийской системе права и был сделан, поскольку в то время выражалась глубокая озабоченность по поводу необходимости обеспечить защиту прав ч</w:t>
      </w:r>
      <w:r>
        <w:t>е</w:t>
      </w:r>
      <w:r>
        <w:t>ловека. На самом деле Европейский суд по правам человека оказался эффективной защитой против н</w:t>
      </w:r>
      <w:r>
        <w:t>а</w:t>
      </w:r>
      <w:r>
        <w:t>рушения прав человека благодаря своей системе подачи ходатайств. Однако Мальта предпочитает не делать дальнейших исключений, а наоборот, пр</w:t>
      </w:r>
      <w:r>
        <w:t>и</w:t>
      </w:r>
      <w:r>
        <w:t>держиваться обычных правил.</w:t>
      </w:r>
    </w:p>
    <w:p w:rsidR="00000000" w:rsidRDefault="00000000">
      <w:pPr>
        <w:pStyle w:val="DualTxt"/>
      </w:pPr>
      <w:r>
        <w:t>52.</w:t>
      </w:r>
      <w:r>
        <w:tab/>
        <w:t>Что касается специальных временных мер, решать, являются ли такие меры "обоснованными в демократическом обществе" является обязанностью судов. В контексте текущей ситуации ожидается, что суды будут свободно применять стандарт. Более того, поскольку международные обязательства страны, в том числе право Европейского союза, о</w:t>
      </w:r>
      <w:r>
        <w:t>т</w:t>
      </w:r>
      <w:r>
        <w:t>ражены во внутреннем законодательстве, для его интерпретации суды будут обращаться к источнику. Английский является одним из двух официальных языков Мальты и включен в обязательную образ</w:t>
      </w:r>
      <w:r>
        <w:t>о</w:t>
      </w:r>
      <w:r>
        <w:t>вательную программу. Хотя не все говорят на этом языке бегло, на Мальте практические невозможно найти людей, не имеющих базовых знаний англи</w:t>
      </w:r>
      <w:r>
        <w:t>й</w:t>
      </w:r>
      <w:r>
        <w:t>ского языка. Что касается классификации изнасил</w:t>
      </w:r>
      <w:r>
        <w:t>о</w:t>
      </w:r>
      <w:r>
        <w:t>вания, суть схвачена верно, однако слишком мало внимания уделяется форме. По причине вступления Мальты в Европейский союз потребовался ген</w:t>
      </w:r>
      <w:r>
        <w:t>е</w:t>
      </w:r>
      <w:r>
        <w:t>ральный пересмотр законодательства и некоторые аспекты могли быть упущены. Делегация учтет оз</w:t>
      </w:r>
      <w:r>
        <w:t>а</w:t>
      </w:r>
      <w:r>
        <w:t>боченность Комитета.</w:t>
      </w:r>
    </w:p>
    <w:p w:rsidR="00000000" w:rsidRDefault="00000000">
      <w:pPr>
        <w:pStyle w:val="DualTxt"/>
        <w:rPr>
          <w:lang w:val="en-US"/>
        </w:rPr>
      </w:pPr>
      <w:r>
        <w:t>53.</w:t>
      </w:r>
      <w:r>
        <w:tab/>
      </w:r>
      <w:r>
        <w:rPr>
          <w:b/>
        </w:rPr>
        <w:t>Председатель</w:t>
      </w:r>
      <w:r>
        <w:t xml:space="preserve"> сказала, что Комитет признает огромные усилия, сделанные Мальтой для улучш</w:t>
      </w:r>
      <w:r>
        <w:t>е</w:t>
      </w:r>
      <w:r>
        <w:t>ния своего законодательства и политики. На Мальте гендерному равенству лишь недавно стали уделять должное внимание, однако она надеется, что этот вопрос уже стал ключевым. Хотя обязательства п</w:t>
      </w:r>
      <w:r>
        <w:t>е</w:t>
      </w:r>
      <w:r>
        <w:t>ред Европейским союзом имеют для Мальты пр</w:t>
      </w:r>
      <w:r>
        <w:t>и</w:t>
      </w:r>
      <w:r>
        <w:t>оритет, Конвенция является юридически обязател</w:t>
      </w:r>
      <w:r>
        <w:t>ь</w:t>
      </w:r>
      <w:r>
        <w:t>ной для всех государств-участников, и Комитет н</w:t>
      </w:r>
      <w:r>
        <w:t>а</w:t>
      </w:r>
      <w:r>
        <w:t>деется, что ее положения будут инкорпорированы во внутреннее законодательство в том виде, в кот</w:t>
      </w:r>
      <w:r>
        <w:t>о</w:t>
      </w:r>
      <w:r>
        <w:t>ром они будут соответствовать собственной юрид</w:t>
      </w:r>
      <w:r>
        <w:t>и</w:t>
      </w:r>
      <w:r>
        <w:t>ческой системе Мальты, и будут широко распр</w:t>
      </w:r>
      <w:r>
        <w:t>о</w:t>
      </w:r>
      <w:r>
        <w:t>страняться, особенно среди судебного и правопр</w:t>
      </w:r>
      <w:r>
        <w:t>и</w:t>
      </w:r>
      <w:r>
        <w:t>меняющего персонала.</w:t>
      </w:r>
    </w:p>
    <w:p w:rsidR="00000000" w:rsidRDefault="00000000">
      <w:pPr>
        <w:pStyle w:val="DualTxt"/>
      </w:pPr>
      <w:r>
        <w:t>54.</w:t>
      </w:r>
      <w:r>
        <w:tab/>
        <w:t>Комитет призвал государство-участника пер</w:t>
      </w:r>
      <w:r>
        <w:t>е</w:t>
      </w:r>
      <w:r>
        <w:t>смотреть свои оговорки и как можно скорее рат</w:t>
      </w:r>
      <w:r>
        <w:t>и</w:t>
      </w:r>
      <w:r>
        <w:t>фицировать факультативный протокол. Существует необходимость решить вопрос низкой процентной составляющей женщин на рынке труда, нехватки центров по уходу за детьми и стереотипных пре</w:t>
      </w:r>
      <w:r>
        <w:t>д</w:t>
      </w:r>
      <w:r>
        <w:t>ставлений о женщинах прежде всего как о дома</w:t>
      </w:r>
      <w:r>
        <w:t>ш</w:t>
      </w:r>
      <w:r>
        <w:t>них хозяйках и помощниках по уходу за детьми. Присутствие женщин в политических, администр</w:t>
      </w:r>
      <w:r>
        <w:t>а</w:t>
      </w:r>
      <w:r>
        <w:t>тивных и дипломатических кругах может быть п</w:t>
      </w:r>
      <w:r>
        <w:t>о</w:t>
      </w:r>
      <w:r>
        <w:t>вышено путем применения временных специальных мер в соответствии со статьей 4 Конвенции. Ком</w:t>
      </w:r>
      <w:r>
        <w:t>и</w:t>
      </w:r>
      <w:r>
        <w:t>тет будет приветствовать быстрое введение в дейс</w:t>
      </w:r>
      <w:r>
        <w:t>т</w:t>
      </w:r>
      <w:r>
        <w:t>вие законопроекта о бытовом насилии. Наконец, Комитет подготовит и перешлет заключительный коммент</w:t>
      </w:r>
      <w:r>
        <w:t>а</w:t>
      </w:r>
      <w:r>
        <w:t>рий, который он просит государство-участника широко распр</w:t>
      </w:r>
      <w:r>
        <w:t>о</w:t>
      </w:r>
      <w:r>
        <w:t>странить.</w:t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16 ч. 40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443020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SYMBOL1&gt;&gt;CEDAW/C/SR.</w:t>
      </w:r>
      <w:r>
        <w:rPr>
          <w:lang w:val="en-US"/>
        </w:rPr>
        <w:t>663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04-43020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*9443020*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/C/SR.663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23 June</w:t>
          </w:r>
          <w:r>
            <w:t xml:space="preserve">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6/2005 17:38:39"/>
    <w:docVar w:name="DocCategory" w:val="SROthers"/>
    <w:docVar w:name="DocType" w:val="Final"/>
    <w:docVar w:name="JobNo" w:val="0588888R"/>
    <w:docVar w:name="OandT" w:val=" "/>
    <w:docVar w:name="Symbol1" w:val="CEDAW/C/SR.1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a">
    <w:name w:val="Текст выноски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4</Pages>
  <Words>6927</Words>
  <Characters>39484</Characters>
  <Application>Microsoft Office Word</Application>
  <DocSecurity>4</DocSecurity>
  <Lines>329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48489</CharactersWithSpaces>
  <SharedDoc>false</SharedDoc>
  <HLinks>
    <vt:vector size="6" baseType="variant">
      <vt:variant>
        <vt:i4>8257630</vt:i4>
      </vt:variant>
      <vt:variant>
        <vt:i4>97028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9</cp:revision>
  <cp:lastPrinted>2005-06-22T06:36:00Z</cp:lastPrinted>
  <dcterms:created xsi:type="dcterms:W3CDTF">2005-06-22T06:23:00Z</dcterms:created>
  <dcterms:modified xsi:type="dcterms:W3CDTF">2005-06-22T09:00:00Z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0588888</vt:lpwstr>
  </property>
  <property fmtid="{D5CDD505-2E9C-101B-9397-08002B2CF9AE}" pid="3" name="Symbol1">
    <vt:lpwstr>CEDAW/C/SR.12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Паничкина</vt:lpwstr>
  </property>
</Properties>
</file>