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commentRangeStart w:id="0"/>
      <w:r>
        <w:rPr>
          <w:rFonts w:hint="eastAsia"/>
        </w:rPr>
        <w:t>消</w:t>
      </w:r>
      <w:commentRangeEnd w:id="0"/>
      <w:r>
        <w:rPr>
          <w:rStyle w:val="CommentReference"/>
          <w:rFonts w:ascii="SimSun" w:eastAsia="SimSun" w:hint="eastAsia"/>
          <w:vanish/>
          <w:color w:val="auto"/>
        </w:rPr>
        <w:commentReference w:id="0"/>
      </w:r>
      <w:r>
        <w:rPr>
          <w:rFonts w:hint="eastAsia"/>
        </w:rPr>
        <w:t>除对妇女歧视委员会</w:t>
      </w:r>
    </w:p>
    <w:p w:rsidR="00000000" w:rsidRDefault="00000000">
      <w:pPr>
        <w:pStyle w:val="SingleTxt"/>
        <w:ind w:left="0"/>
        <w:rPr>
          <w:rFonts w:ascii="SimHei" w:eastAsia="SimHei" w:hint="eastAsia"/>
          <w:color w:val="FF0000"/>
        </w:rPr>
      </w:pPr>
      <w:r>
        <w:rPr>
          <w:rFonts w:ascii="SimHei" w:eastAsia="SimHei" w:hint="eastAsia"/>
          <w:color w:val="FF0000"/>
        </w:rPr>
        <w:t>第二十三届会议</w:t>
      </w:r>
    </w:p>
    <w:p w:rsidR="00000000" w:rsidRDefault="00000000">
      <w:pPr>
        <w:pStyle w:val="SingleTxt"/>
        <w:ind w:left="0"/>
        <w:rPr>
          <w:rFonts w:ascii="SimHei" w:eastAsia="SimHei" w:hint="eastAsia"/>
          <w:color w:val="FF0000"/>
        </w:rPr>
      </w:pPr>
      <w:r>
        <w:rPr>
          <w:rFonts w:ascii="SimHei" w:eastAsia="SimHei" w:hint="eastAsia"/>
          <w:color w:val="FF0000"/>
        </w:rPr>
        <w:t>第477次会议简要记录</w:t>
      </w:r>
    </w:p>
    <w:p w:rsidR="00000000" w:rsidRDefault="00000000">
      <w:pPr>
        <w:pStyle w:val="SingleTxt"/>
        <w:ind w:left="0"/>
        <w:rPr>
          <w:rFonts w:hint="eastAsia"/>
        </w:rPr>
      </w:pPr>
      <w:r>
        <w:rPr>
          <w:rFonts w:hint="eastAsia"/>
        </w:rPr>
        <w:t>2000年6月20日星期二下午3时在纽约总部举行</w:t>
      </w:r>
    </w:p>
    <w:p w:rsidR="00000000" w:rsidRDefault="00000000">
      <w:pPr>
        <w:pStyle w:val="SingleTxt"/>
        <w:spacing w:after="0" w:line="120" w:lineRule="exact"/>
        <w:ind w:left="0"/>
        <w:rPr>
          <w:rFonts w:ascii="KaiTi_GB2312" w:eastAsia="KaiTi_GB2312" w:hint="eastAsia"/>
          <w:color w:val="0000FF"/>
          <w:sz w:val="10"/>
        </w:rPr>
      </w:pPr>
    </w:p>
    <w:p w:rsidR="00000000" w:rsidRDefault="00000000">
      <w:pPr>
        <w:pStyle w:val="SingleTxt"/>
        <w:ind w:left="0"/>
        <w:rPr>
          <w:rFonts w:hint="eastAsia"/>
        </w:rPr>
      </w:pPr>
      <w:r>
        <w:rPr>
          <w:rFonts w:ascii="KaiTi_GB2312" w:eastAsia="KaiTi_GB2312" w:hint="eastAsia"/>
          <w:color w:val="0000FF"/>
        </w:rPr>
        <w:t>主席:</w:t>
      </w:r>
      <w:r>
        <w:rPr>
          <w:rFonts w:ascii="KaiTi_GB2312" w:eastAsia="KaiTi_GB2312" w:hint="eastAsia"/>
          <w:color w:val="0000FF"/>
        </w:rPr>
        <w:tab/>
      </w:r>
      <w:r>
        <w:rPr>
          <w:rFonts w:hint="eastAsia"/>
        </w:rPr>
        <w:t>冈萨雷斯女士</w:t>
      </w:r>
    </w:p>
    <w:p w:rsidR="00000000" w:rsidRDefault="00000000">
      <w:pPr>
        <w:pStyle w:val="SingleTxt"/>
        <w:spacing w:after="0" w:line="120" w:lineRule="exact"/>
        <w:ind w:left="0"/>
        <w:rPr>
          <w:rFonts w:hint="eastAsia"/>
          <w:sz w:val="10"/>
        </w:rPr>
      </w:pPr>
    </w:p>
    <w:p w:rsidR="00000000" w:rsidRDefault="00000000">
      <w:pPr>
        <w:pStyle w:val="SingleTxt"/>
        <w:ind w:left="0"/>
        <w:rPr>
          <w:rFonts w:ascii="Times New Roman" w:eastAsia="SimHei"/>
          <w:color w:val="FF0000"/>
          <w:sz w:val="24"/>
        </w:rPr>
      </w:pPr>
      <w:r>
        <w:rPr>
          <w:rFonts w:ascii="SimHei" w:eastAsia="SimHei" w:hint="eastAsia"/>
          <w:color w:val="FF0000"/>
          <w:sz w:val="28"/>
        </w:rPr>
        <w:t>目录</w:t>
      </w: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ab/>
        <w:t>喀麦隆的初次报告(</w:t>
      </w:r>
      <w:r>
        <w:rPr>
          <w:rFonts w:ascii="KaiTi_GB2312" w:eastAsia="KaiTi_GB2312" w:hint="eastAsia"/>
          <w:color w:val="0000FF"/>
        </w:rPr>
        <w:t>续</w:t>
      </w:r>
      <w:r>
        <w:rPr>
          <w:rFonts w:hint="eastAsia"/>
        </w:rPr>
        <w:t>)</w:t>
      </w:r>
    </w:p>
    <w:p w:rsidR="00000000" w:rsidRDefault="00000000">
      <w:pPr>
        <w:pStyle w:val="SingleTxt"/>
        <w:rPr>
          <w:rFonts w:hint="eastAsia"/>
        </w:rPr>
      </w:pPr>
    </w:p>
    <w:p w:rsidR="00000000" w:rsidRDefault="00000000">
      <w:pPr>
        <w:pStyle w:val="SingleTxt"/>
        <w:spacing w:after="0" w:line="140" w:lineRule="exact"/>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2" w:h="15842" w:code="1"/>
          <w:pgMar w:top="1742" w:right="1195" w:bottom="1898" w:left="1195" w:header="576" w:footer="1030" w:gutter="0"/>
          <w:cols w:space="425"/>
          <w:titlePg/>
          <w:docGrid w:type="lines" w:linePitch="312"/>
        </w:sectPr>
      </w:pPr>
      <w:r>
        <w:br w:type="page"/>
      </w:r>
    </w:p>
    <w:p w:rsidR="00000000" w:rsidRDefault="00000000">
      <w:pPr>
        <w:pStyle w:val="DualTxt"/>
        <w:rPr>
          <w:rFonts w:ascii="KaiTi_GB2312" w:eastAsia="KaiTi_GB2312" w:hint="eastAsia"/>
          <w:color w:val="0000FF"/>
        </w:rPr>
      </w:pPr>
      <w:r>
        <w:tab/>
      </w:r>
      <w:r>
        <w:rPr>
          <w:rFonts w:ascii="KaiTi_GB2312" w:eastAsia="KaiTi_GB2312" w:hint="eastAsia"/>
          <w:color w:val="0000FF"/>
        </w:rPr>
        <w:t>下午3时15分宣布开会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喀麦隆的初次报告（续）(CEDAW/C/CMR/1)</w:t>
      </w:r>
    </w:p>
    <w:p w:rsidR="00000000" w:rsidRDefault="00000000">
      <w:pPr>
        <w:pStyle w:val="DualTxt"/>
        <w:rPr>
          <w:rFonts w:hint="eastAsia"/>
        </w:rPr>
      </w:pPr>
      <w:r>
        <w:rPr>
          <w:rFonts w:hint="eastAsia"/>
        </w:rPr>
        <w:t>1.</w:t>
      </w:r>
      <w:r>
        <w:rPr>
          <w:rFonts w:hint="eastAsia"/>
        </w:rPr>
        <w:tab/>
        <w:t>应主席邀请，喀麦隆代表团在委员会议席就座。</w:t>
      </w:r>
    </w:p>
    <w:p w:rsidR="00000000" w:rsidRDefault="00000000">
      <w:pPr>
        <w:pStyle w:val="DualTxt"/>
        <w:rPr>
          <w:rFonts w:ascii="KaiTi_GB2312" w:eastAsia="KaiTi_GB2312" w:hint="eastAsia"/>
          <w:color w:val="0000FF"/>
        </w:rPr>
      </w:pPr>
      <w:r>
        <w:rPr>
          <w:rFonts w:ascii="KaiTi_GB2312" w:eastAsia="KaiTi_GB2312" w:hint="eastAsia"/>
          <w:color w:val="0000FF"/>
        </w:rPr>
        <w:t>第12条</w:t>
      </w:r>
    </w:p>
    <w:p w:rsidR="00000000" w:rsidRDefault="00000000">
      <w:pPr>
        <w:pStyle w:val="DualTxt"/>
        <w:rPr>
          <w:rFonts w:hint="eastAsia"/>
        </w:rPr>
      </w:pPr>
      <w:r>
        <w:rPr>
          <w:rFonts w:hint="eastAsia"/>
        </w:rPr>
        <w:t>2.</w:t>
      </w:r>
      <w:r>
        <w:rPr>
          <w:rFonts w:hint="eastAsia"/>
        </w:rPr>
        <w:tab/>
      </w:r>
      <w:proofErr w:type="spellStart"/>
      <w:r>
        <w:rPr>
          <w:rFonts w:ascii="SimHei" w:eastAsia="SimHei" w:hint="eastAsia"/>
          <w:color w:val="FF0000"/>
        </w:rPr>
        <w:t>Goonesekere</w:t>
      </w:r>
      <w:proofErr w:type="spellEnd"/>
      <w:r>
        <w:rPr>
          <w:rFonts w:hint="eastAsia"/>
        </w:rPr>
        <w:t>女士继续上次会议提出的问题，她注意到报告没有提供有关喀麦隆较高的产妇死亡率与非法堕胎之间关系的统计数字。提及《刑法》第339条中非常严格的堕胎法律的例外情况，她询问那些进行堕胎的“获准从业人员”是职业医师还是专职医师的助理，并要求对“出于挽救母亲生命的需要”进行更具体的解释。她还很想更多了解强奸所致的怀孕在州检察官证明其真实性后被允许进行堕胎的情况。</w:t>
      </w:r>
    </w:p>
    <w:p w:rsidR="00000000" w:rsidRDefault="00000000">
      <w:pPr>
        <w:pStyle w:val="DualTxt"/>
        <w:rPr>
          <w:rFonts w:ascii="KaiTi_GB2312" w:eastAsia="KaiTi_GB2312" w:hint="eastAsia"/>
          <w:color w:val="0000FF"/>
        </w:rPr>
      </w:pPr>
      <w:r>
        <w:rPr>
          <w:rFonts w:ascii="KaiTi_GB2312" w:eastAsia="KaiTi_GB2312" w:hint="eastAsia"/>
          <w:color w:val="0000FF"/>
        </w:rPr>
        <w:t>第14条</w:t>
      </w:r>
    </w:p>
    <w:p w:rsidR="00000000" w:rsidRDefault="00000000">
      <w:pPr>
        <w:pStyle w:val="DualTxt"/>
        <w:rPr>
          <w:rFonts w:hint="eastAsia"/>
        </w:rPr>
      </w:pPr>
      <w:r>
        <w:rPr>
          <w:rFonts w:hint="eastAsia"/>
        </w:rPr>
        <w:t>3.</w:t>
      </w:r>
      <w:r>
        <w:rPr>
          <w:rFonts w:hint="eastAsia"/>
        </w:rPr>
        <w:tab/>
      </w:r>
      <w:r>
        <w:rPr>
          <w:rFonts w:ascii="SimHei" w:eastAsia="SimHei" w:hint="eastAsia"/>
          <w:color w:val="FF0000"/>
        </w:rPr>
        <w:t>韦德拉奥果女士</w:t>
      </w:r>
      <w:r>
        <w:rPr>
          <w:rFonts w:hint="eastAsia"/>
        </w:rPr>
        <w:t>热情地赞扬喀麦隆代表团在表16中介绍了男子和妇女管理的农场的百分比，在表17中介绍了农村住房的特点，以及在表18中介绍了农村住房的饮用水供应方法，这些种类的数据正是委员会提出建议时所需要的。注意到依靠死水作为饮用水的情况，她强调有必要保证农村地区足够的饮用水和家庭卫生用水供应。如能提供更多细节,说明妇女获得信贷及缔约国计划协助她们的情况，她将非常感谢。她想知道社区厨房是否是妇女省钱的一个非正式渠道。如有更多关于农村妇女的卫生保健，特别是减少产妇死亡率的努力的信息，将会有不少帮助。特别是，缔约国应该提供一些有关以下情况的信息：在农村地区由非专门人员给产妇接生的比例；以及已采取何种措施减少这一现象，例如是否给传统的助产士提供仪器并应用现代技术训练她们，这属于联合国人口基金的计划。</w:t>
      </w:r>
    </w:p>
    <w:p w:rsidR="00000000" w:rsidRDefault="00000000">
      <w:pPr>
        <w:pStyle w:val="DualTxt"/>
        <w:rPr>
          <w:rFonts w:hint="eastAsia"/>
        </w:rPr>
      </w:pPr>
      <w:r>
        <w:rPr>
          <w:rFonts w:hint="eastAsia"/>
        </w:rPr>
        <w:t>4.</w:t>
      </w:r>
      <w:r>
        <w:rPr>
          <w:rFonts w:hint="eastAsia"/>
        </w:rPr>
        <w:tab/>
      </w:r>
      <w:r>
        <w:rPr>
          <w:rFonts w:ascii="SimHei" w:eastAsia="SimHei" w:hint="eastAsia"/>
          <w:color w:val="FF0000"/>
        </w:rPr>
        <w:t>科尔蒂女士</w:t>
      </w:r>
      <w:r>
        <w:rPr>
          <w:rFonts w:hint="eastAsia"/>
        </w:rPr>
        <w:t>表示十分赞成韦德拉奥果女士的讲话。她特别关心农村地区缺少社会安全保障、农村女孩辍学率高、饮用水的供应、以及妇女因取水而致身体劳损的问题。在这个方面，她想知道喀麦隆是否考虑过向欧洲和其他发达国家专门确保向妇女提供饮用水的非政府组织寻求援助。</w:t>
      </w:r>
    </w:p>
    <w:p w:rsidR="00000000" w:rsidRDefault="00000000">
      <w:pPr>
        <w:pStyle w:val="DualTxt"/>
        <w:rPr>
          <w:rFonts w:ascii="KaiTi_GB2312" w:eastAsia="KaiTi_GB2312" w:hint="eastAsia"/>
          <w:color w:val="0000FF"/>
        </w:rPr>
      </w:pPr>
      <w:r>
        <w:rPr>
          <w:rFonts w:ascii="KaiTi_GB2312" w:eastAsia="KaiTi_GB2312" w:hint="eastAsia"/>
          <w:color w:val="0000FF"/>
        </w:rPr>
        <w:t>第16条</w:t>
      </w:r>
    </w:p>
    <w:p w:rsidR="00000000" w:rsidRDefault="00000000">
      <w:pPr>
        <w:pStyle w:val="DualTxt"/>
        <w:rPr>
          <w:rFonts w:hint="eastAsia"/>
        </w:rPr>
      </w:pPr>
      <w:r>
        <w:rPr>
          <w:rFonts w:hint="eastAsia"/>
        </w:rPr>
        <w:t>5.</w:t>
      </w:r>
      <w:r>
        <w:rPr>
          <w:rFonts w:hint="eastAsia"/>
        </w:rPr>
        <w:tab/>
      </w:r>
      <w:proofErr w:type="spellStart"/>
      <w:r>
        <w:rPr>
          <w:rFonts w:ascii="SimHei" w:eastAsia="SimHei" w:hint="eastAsia"/>
          <w:color w:val="FF0000"/>
        </w:rPr>
        <w:t>Myakayaka-Manzini</w:t>
      </w:r>
      <w:proofErr w:type="spellEnd"/>
      <w:r>
        <w:rPr>
          <w:rFonts w:ascii="SimHei" w:eastAsia="SimHei" w:hint="eastAsia"/>
          <w:color w:val="FF0000"/>
        </w:rPr>
        <w:t>女士</w:t>
      </w:r>
      <w:r>
        <w:rPr>
          <w:rFonts w:hint="eastAsia"/>
        </w:rPr>
        <w:t>关注喀麦隆成文法和习惯法两种法律共存的现象，特别是因为两种法律体系在婚姻、父子关系和继承问题上几乎有同等的效力。不幸的是，妇女通常并不了解这些法律，不知道该援用哪种法律体系。她想知道是否想办法使两种法律体系变得更和谐，以取消负面的和歧视性的规定，例如根据《民法》第77条的家族会议记录可被用来废弃寡妇继承丈夫财产的权利。总之，她想了解更多有关家庭会议记录的情况，例如，这种记录由谁起草，何时起草，以及丈夫和妻子参与该过程的程度。最后，她说女孩的最低结婚年龄（15岁）非常可能是父母决定不让女孩上学的一个因素，她敦促缔约国提高这个年龄。</w:t>
      </w:r>
    </w:p>
    <w:p w:rsidR="00000000" w:rsidRDefault="00000000">
      <w:pPr>
        <w:pStyle w:val="DualTxt"/>
        <w:rPr>
          <w:rFonts w:hint="eastAsia"/>
        </w:rPr>
      </w:pPr>
      <w:r>
        <w:rPr>
          <w:rFonts w:hint="eastAsia"/>
        </w:rPr>
        <w:t>6.</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强调有必要制定《家庭法》改革的时间表，她补充说，通过对《民事和商业法》进行修正，就可以很容易地消除对妇女契约身份和管理财产权利方面的制约因素。她希望缔约国会采取这样的措施。</w:t>
      </w:r>
    </w:p>
    <w:p w:rsidR="00000000" w:rsidRDefault="00000000">
      <w:pPr>
        <w:pStyle w:val="DualTxt"/>
        <w:spacing w:after="80"/>
        <w:rPr>
          <w:rFonts w:hint="eastAsia"/>
        </w:rPr>
      </w:pPr>
      <w:r>
        <w:rPr>
          <w:rFonts w:hint="eastAsia"/>
        </w:rPr>
        <w:t>7.</w:t>
      </w:r>
      <w:r>
        <w:rPr>
          <w:rFonts w:hint="eastAsia"/>
        </w:rPr>
        <w:tab/>
        <w:t>她想知道不承认同居和非婚生子女的概念，其原因是缔约国的习惯法还是其成文法，成文法是法国殖民主义的产物，并询问是否存在强制性的注册系统来区分结婚和同居。</w:t>
      </w:r>
    </w:p>
    <w:p w:rsidR="00000000" w:rsidRDefault="00000000">
      <w:pPr>
        <w:pStyle w:val="DualTxt"/>
        <w:spacing w:line="324" w:lineRule="exact"/>
        <w:rPr>
          <w:rFonts w:hint="eastAsia"/>
          <w:spacing w:val="8"/>
        </w:rPr>
      </w:pPr>
      <w:r>
        <w:rPr>
          <w:rFonts w:hint="eastAsia"/>
          <w:spacing w:val="8"/>
        </w:rPr>
        <w:t>8.</w:t>
      </w:r>
      <w:r>
        <w:rPr>
          <w:rFonts w:hint="eastAsia"/>
          <w:spacing w:val="8"/>
        </w:rPr>
        <w:tab/>
        <w:t>最后，她对《民法》第77条过时的和不现实的规定表示关注，这些规定要求寡妇在丈夫死后等180天才能再婚，她指出这实际上巩固了娶寡嫂的传统做法。</w:t>
      </w:r>
    </w:p>
    <w:p w:rsidR="00000000" w:rsidRDefault="00000000">
      <w:pPr>
        <w:pStyle w:val="DualTxt"/>
        <w:rPr>
          <w:rFonts w:hint="eastAsia"/>
          <w:spacing w:val="6"/>
        </w:rPr>
      </w:pPr>
      <w:r>
        <w:rPr>
          <w:rFonts w:hint="eastAsia"/>
        </w:rPr>
        <w:t>9.</w:t>
      </w:r>
      <w:r>
        <w:rPr>
          <w:rFonts w:hint="eastAsia"/>
        </w:rPr>
        <w:tab/>
      </w:r>
      <w:r>
        <w:rPr>
          <w:rFonts w:ascii="SimHei" w:eastAsia="SimHei" w:hint="eastAsia"/>
          <w:color w:val="FF0000"/>
        </w:rPr>
        <w:t>Cartwright女士</w:t>
      </w:r>
      <w:r>
        <w:rPr>
          <w:rFonts w:hint="eastAsia"/>
        </w:rPr>
        <w:t>同意前几个发言人所提的观点：在新的《家庭法》完成之前，可对家庭法进行简单和逐步增加的改动。政府应该确保新的《家庭法》只保留习惯法中对妇女有利的内容。新的《家庭法》应该禁止一夫多妻制，</w:t>
      </w:r>
      <w:r>
        <w:rPr>
          <w:rFonts w:hint="eastAsia"/>
          <w:spacing w:val="6"/>
        </w:rPr>
        <w:t>并且应该对这种做法进行严格的制裁。</w:t>
      </w:r>
    </w:p>
    <w:p w:rsidR="00000000" w:rsidRDefault="00000000">
      <w:pPr>
        <w:pStyle w:val="DualTxt"/>
        <w:rPr>
          <w:rFonts w:hint="eastAsia"/>
        </w:rPr>
      </w:pPr>
      <w:r>
        <w:rPr>
          <w:rFonts w:hint="eastAsia"/>
        </w:rPr>
        <w:t>10.</w:t>
      </w:r>
      <w:r>
        <w:rPr>
          <w:rFonts w:hint="eastAsia"/>
        </w:rPr>
        <w:tab/>
      </w:r>
      <w:proofErr w:type="spellStart"/>
      <w:r>
        <w:rPr>
          <w:rFonts w:ascii="SimHei" w:eastAsia="SimHei" w:hint="eastAsia"/>
          <w:color w:val="FF0000"/>
        </w:rPr>
        <w:t>Aouij</w:t>
      </w:r>
      <w:proofErr w:type="spellEnd"/>
      <w:r>
        <w:rPr>
          <w:rFonts w:ascii="SimHei" w:eastAsia="SimHei" w:hint="eastAsia"/>
          <w:color w:val="FF0000"/>
        </w:rPr>
        <w:t>女士</w:t>
      </w:r>
      <w:r>
        <w:rPr>
          <w:rFonts w:hint="eastAsia"/>
        </w:rPr>
        <w:t>注意到歧视妇女的法律一直都没有得到改变，呼吁采取具体行动改变这一情况。她想了解缔约国能否提供统计数字，说明男子利用权利阻止妻子工作的情况。对妇女在财产管理和选择婚后所住家庭方面的歧视、以及继续存在的一夫多妻制和切割女性生殖器官的现象都必须消除；事实上，许多其他非洲国家在第二个方面已经取得了显著的进展。当局不应有权力根据情况选择是使用习惯法还是成文法。在重新起草《家庭法》时，必须尽一切可能只保留和纳入习惯法中最积极的内容。她注意到，尽管喀麦隆在1994年就毫无保留地批准了《公约》，但是到目前为止喀麦隆还没有废止或修正过一条歧视性的法律。她敦促政府表明诚意，并建议妇女事务部可以列出一个需要废止或修正的法律条文的单子，以此作为这类工作的第一步。</w:t>
      </w:r>
    </w:p>
    <w:p w:rsidR="00000000" w:rsidRDefault="00000000">
      <w:pPr>
        <w:pStyle w:val="DualTxt"/>
        <w:spacing w:after="144"/>
        <w:rPr>
          <w:rFonts w:hint="eastAsia"/>
        </w:rPr>
      </w:pPr>
      <w:r>
        <w:rPr>
          <w:rFonts w:hint="eastAsia"/>
        </w:rPr>
        <w:t>11.</w:t>
      </w:r>
      <w:r>
        <w:rPr>
          <w:rFonts w:hint="eastAsia"/>
        </w:rPr>
        <w:tab/>
      </w:r>
      <w:r>
        <w:rPr>
          <w:rFonts w:ascii="SimHei" w:eastAsia="SimHei" w:hint="eastAsia"/>
          <w:color w:val="FF0000"/>
        </w:rPr>
        <w:t>阿贾尔女士</w:t>
      </w:r>
      <w:r>
        <w:rPr>
          <w:rFonts w:hint="eastAsia"/>
        </w:rPr>
        <w:t>说，关于《公约》第16条所涉及的问题应该提供更多的统计数字。例如，关于一夫多妻婚姻的百分比所提供的量化数字很少。她也想了解有关两种盛行的嫁妆现象的统计数字；在一些国家，新郎向未来的新娘的家人送钱物的做法被称作“给新娘的彩礼”，她想知道在喀麦隆这些现象发生的比例数字，以及政府是否有任何计划处理这两种嫁妆习惯的负面影响。</w:t>
      </w:r>
    </w:p>
    <w:p w:rsidR="00000000" w:rsidRDefault="00000000">
      <w:pPr>
        <w:pStyle w:val="DualTxt"/>
      </w:pPr>
      <w:r>
        <w:rPr>
          <w:rFonts w:hint="eastAsia"/>
        </w:rPr>
        <w:t>12.</w:t>
      </w:r>
      <w:r>
        <w:rPr>
          <w:rFonts w:hint="eastAsia"/>
        </w:rPr>
        <w:tab/>
        <w:t>报告英文本第96页的最后一段提到把妇女“视为可以继承的货物”。应该提供更详细的信息；说明</w:t>
      </w:r>
    </w:p>
    <w:p w:rsidR="00000000" w:rsidRDefault="00000000">
      <w:pPr>
        <w:pStyle w:val="DualTxt"/>
        <w:spacing w:after="100" w:line="312" w:lineRule="exact"/>
        <w:rPr>
          <w:rFonts w:hint="eastAsia"/>
        </w:rPr>
      </w:pPr>
      <w:r>
        <w:br w:type="column"/>
      </w:r>
      <w:r>
        <w:rPr>
          <w:rFonts w:hint="eastAsia"/>
        </w:rPr>
        <w:t>这种侵犯妇女人权的情况、这种情况发生的程度，以及政府是否打算修正法律处理这些问题。</w:t>
      </w:r>
    </w:p>
    <w:p w:rsidR="00000000" w:rsidRDefault="00000000">
      <w:pPr>
        <w:pStyle w:val="DualTxt"/>
        <w:spacing w:after="100" w:line="312" w:lineRule="exact"/>
        <w:rPr>
          <w:rFonts w:hint="eastAsia"/>
        </w:rPr>
      </w:pPr>
      <w:r>
        <w:rPr>
          <w:rFonts w:hint="eastAsia"/>
        </w:rPr>
        <w:t>13.</w:t>
      </w:r>
      <w:r>
        <w:rPr>
          <w:rFonts w:hint="eastAsia"/>
        </w:rPr>
        <w:tab/>
      </w:r>
      <w:r>
        <w:rPr>
          <w:rFonts w:ascii="SimHei" w:eastAsia="SimHei" w:hint="eastAsia"/>
          <w:color w:val="FF0000"/>
        </w:rPr>
        <w:t>主席回忆说</w:t>
      </w:r>
      <w:r>
        <w:rPr>
          <w:rFonts w:hint="eastAsia"/>
        </w:rPr>
        <w:t>，计划在2000年6月26日上午举行的会议将会给喀麦隆的代表团一个机会，回应成员国的问题和意见。</w:t>
      </w:r>
    </w:p>
    <w:p w:rsidR="00000000" w:rsidRDefault="00000000">
      <w:pPr>
        <w:pStyle w:val="DualTxt"/>
        <w:spacing w:after="100" w:line="312" w:lineRule="exact"/>
        <w:rPr>
          <w:rFonts w:hint="eastAsia"/>
        </w:rPr>
      </w:pPr>
      <w:r>
        <w:rPr>
          <w:rFonts w:hint="eastAsia"/>
        </w:rPr>
        <w:t>14.</w:t>
      </w:r>
      <w:r>
        <w:rPr>
          <w:rFonts w:hint="eastAsia"/>
        </w:rPr>
        <w:tab/>
      </w:r>
      <w:r>
        <w:rPr>
          <w:rFonts w:ascii="SimHei" w:eastAsia="SimHei" w:hint="eastAsia"/>
          <w:color w:val="FF0000"/>
        </w:rPr>
        <w:t xml:space="preserve">Ngo </w:t>
      </w:r>
      <w:proofErr w:type="spellStart"/>
      <w:r>
        <w:rPr>
          <w:rFonts w:ascii="SimHei" w:eastAsia="SimHei" w:hint="eastAsia"/>
          <w:color w:val="FF0000"/>
        </w:rPr>
        <w:t>Som</w:t>
      </w:r>
      <w:proofErr w:type="spellEnd"/>
      <w:r>
        <w:rPr>
          <w:rFonts w:ascii="SimHei" w:eastAsia="SimHei" w:hint="eastAsia"/>
          <w:color w:val="FF0000"/>
        </w:rPr>
        <w:t>女士</w:t>
      </w:r>
      <w:r>
        <w:rPr>
          <w:rFonts w:hint="eastAsia"/>
        </w:rPr>
        <w:t>（喀麦隆）说报告的确没有提供很多统计数字，毕竟该报告只是一份初次报告。喀麦隆政府打算在国家生活的各个领域收集以性别分列的数据，已经制订了妇女行动三年计划；这样喀麦隆很快就能对许多成员的意见作出回应。</w:t>
      </w:r>
    </w:p>
    <w:p w:rsidR="00000000" w:rsidRDefault="00000000">
      <w:pPr>
        <w:pStyle w:val="DualTxt"/>
        <w:spacing w:after="100" w:line="312" w:lineRule="exact"/>
        <w:rPr>
          <w:rFonts w:hint="eastAsia"/>
        </w:rPr>
      </w:pPr>
      <w:r>
        <w:rPr>
          <w:rFonts w:hint="eastAsia"/>
        </w:rPr>
        <w:t>15.</w:t>
      </w:r>
      <w:r>
        <w:rPr>
          <w:rFonts w:hint="eastAsia"/>
        </w:rPr>
        <w:tab/>
        <w:t>喀麦隆正在努力处理在妇女权利和发展方面的各种问题。其中之一是人力资源问题——例如，那些负责执行妇女健康计划的人通常没有所需的技术知识。另一个影响妇女的社会经济地位的问题涉及财政资源——尽管喀麦隆有可观的自然资源，它缺乏开发这些资源所需的财政手段。其他的主要问题包括教育、水资源、能源、交通和儿童保育设施等方面的问题，有了保育设施母亲才能参加工作。必须理解喀麦隆社会、种族、文化和经济的多样性，才能实现可持续发展和并提高妇女的地位。喀麦隆政府正努力收集必要的信息，提高广大人口对妇女问题的认识，建立与传统领导人的对话，没有这些领导人的合作，任何新措施的执行都不可能成功。</w:t>
      </w:r>
    </w:p>
    <w:p w:rsidR="00000000" w:rsidRDefault="00000000">
      <w:pPr>
        <w:pStyle w:val="DualTxt"/>
        <w:spacing w:after="80" w:line="312" w:lineRule="exact"/>
        <w:rPr>
          <w:rFonts w:hint="eastAsia"/>
        </w:rPr>
      </w:pPr>
      <w:r>
        <w:rPr>
          <w:rFonts w:hint="eastAsia"/>
        </w:rPr>
        <w:t>16.</w:t>
      </w:r>
      <w:r>
        <w:rPr>
          <w:rFonts w:hint="eastAsia"/>
        </w:rPr>
        <w:tab/>
        <w:t>喀麦隆代表团离开议席。</w:t>
      </w:r>
    </w:p>
    <w:p w:rsidR="00000000" w:rsidRDefault="00000000">
      <w:pPr>
        <w:pStyle w:val="DualTxt"/>
        <w:spacing w:after="100" w:line="312" w:lineRule="exact"/>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tab/>
      </w:r>
      <w:r>
        <w:rPr>
          <w:rFonts w:ascii="KaiTi_GB2312" w:eastAsia="KaiTi_GB2312" w:hint="eastAsia"/>
          <w:color w:val="0000FF"/>
        </w:rPr>
        <w:t>下午4时15分散会</w:t>
      </w:r>
    </w:p>
    <w:p w:rsidR="00000000" w:rsidRDefault="00000000">
      <w:pPr>
        <w:pStyle w:val="SingleTxt"/>
        <w:rPr>
          <w:rFonts w:hint="eastAsia"/>
        </w:rPr>
      </w:pPr>
    </w:p>
    <w:sectPr w:rsidR="00000000">
      <w:endnotePr>
        <w:numFmt w:val="decimal"/>
      </w:endnotePr>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w:initials="DGAACS">
    <w:p w:rsidR="00000000" w:rsidRDefault="00000000">
      <w:pPr>
        <w:pStyle w:val="CommentText"/>
        <w:rPr>
          <w:rFonts w:hint="eastAsia"/>
        </w:rPr>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NO&gt;&gt;N00</w:t>
      </w:r>
      <w:r>
        <w:t>49008</w:t>
      </w:r>
      <w:r>
        <w:rPr>
          <w:rFonts w:hint="eastAsia"/>
        </w:rPr>
        <w:t>C&lt;&lt;ODS JOB NO&gt;&gt;</w:t>
      </w:r>
    </w:p>
    <w:p w:rsidR="00000000" w:rsidRDefault="00000000">
      <w:pPr>
        <w:pStyle w:val="CommentText"/>
        <w:rPr>
          <w:rFonts w:hint="eastAsia"/>
        </w:rPr>
      </w:pPr>
      <w:r>
        <w:rPr>
          <w:rFonts w:hint="eastAsia"/>
        </w:rPr>
        <w:t>&lt;&lt;ODS DOC SYMBOL1&gt;&gt;</w:t>
      </w:r>
      <w:r>
        <w:t>CEDAW/C/SR.477</w:t>
      </w:r>
      <w:r>
        <w:rPr>
          <w:rFonts w:hint="eastAsia"/>
        </w:rPr>
        <w:t>&lt;&lt;ODS DOC SYMBOL1&gt;&gt;</w:t>
      </w:r>
    </w:p>
    <w:p w:rsidR="00000000" w:rsidRDefault="00000000">
      <w:pPr>
        <w:pStyle w:val="CommentText"/>
      </w:pPr>
      <w:r>
        <w:rPr>
          <w:rFonts w:hint="eastAsia"/>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60" w:line="240" w:lineRule="auto"/>
      <w:ind w:left="1264" w:right="1264"/>
      <w:jc w:val="both"/>
      <w:rPr>
        <w:snapToGrid w:val="0"/>
        <w:spacing w:val="5"/>
        <w:w w:val="104"/>
        <w:sz w:val="17"/>
      </w:rPr>
    </w:pPr>
    <w:r>
      <w:rPr>
        <w:rFonts w:hint="eastAsia"/>
        <w:snapToGrid w:val="0"/>
        <w:spacing w:val="5"/>
        <w:w w:val="104"/>
        <w:sz w:val="17"/>
      </w:rPr>
      <w:t>本记录可以更正。</w:t>
    </w:r>
  </w:p>
  <w:p w:rsidR="00000000" w:rsidRDefault="00000000">
    <w:pPr>
      <w:spacing w:after="60" w:line="240" w:lineRule="auto"/>
      <w:ind w:left="1264" w:right="1264"/>
      <w:jc w:val="both"/>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spacing w:after="60" w:line="240" w:lineRule="auto"/>
      <w:ind w:left="1264" w:right="1264"/>
      <w:jc w:val="both"/>
      <w:rPr>
        <w:rFonts w:hint="eastAsia"/>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00-49008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CEDAW/C/SR.477</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CEDAW/C/SR.477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/C/SR.477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20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11/2001 9:10: AM"/>
    <w:docVar w:name="DocCategory" w:val="SROthers"/>
    <w:docVar w:name="DocType" w:val="Final"/>
    <w:docVar w:name="JobNo" w:val="0149008C"/>
    <w:docVar w:name="OandT" w:val="Wang xq"/>
    <w:docVar w:name="Symbol1" w:val="CEDAW/C/SR.47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128</TotalTime>
  <Pages>1</Pages>
  <Words>382</Words>
  <Characters>2180</Characters>
  <Application>Microsoft Office Word</Application>
  <DocSecurity>4</DocSecurity>
  <Lines>18</Lines>
  <Paragraphs>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2677</CharactersWithSpaces>
  <SharedDoc>false</SharedDoc>
  <HLinks>
    <vt:vector size="6" baseType="variant">
      <vt:variant>
        <vt:i4>4522087</vt:i4>
      </vt:variant>
      <vt:variant>
        <vt:i4>6494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15</cp:revision>
  <cp:lastPrinted>2001-11-20T10:25:00Z</cp:lastPrinted>
  <dcterms:created xsi:type="dcterms:W3CDTF">2001-11-20T08:10:00Z</dcterms:created>
  <dcterms:modified xsi:type="dcterms:W3CDTF">2001-11-20T10:31:00Z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0149008</vt:lpwstr>
  </property>
  <property fmtid="{D5CDD505-2E9C-101B-9397-08002B2CF9AE}" pid="3" name="Symbol1">
    <vt:lpwstr>CEDAW/C/SR.477</vt:lpwstr>
  </property>
  <property fmtid="{D5CDD505-2E9C-101B-9397-08002B2CF9AE}" pid="4" name="Symbol2">
    <vt:lpwstr/>
  </property>
  <property fmtid="{D5CDD505-2E9C-101B-9397-08002B2CF9AE}" pid="5" name="Translator">
    <vt:lpwstr/>
  </property>
  <property fmtid="{D5CDD505-2E9C-101B-9397-08002B2CF9AE}" pid="6" name="Operator">
    <vt:lpwstr>Wang xq</vt:lpwstr>
  </property>
  <property fmtid="{D5CDD505-2E9C-101B-9397-08002B2CF9AE}" pid="7" name="DraftPages">
    <vt:lpwstr> </vt:lpwstr>
  </property>
  <property fmtid="{D5CDD505-2E9C-101B-9397-08002B2CF9AE}" pid="8" name="Comment">
    <vt:lpwstr/>
  </property>
</Properties>
</file>