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B95" w:rsidRDefault="00C87B95">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9E280D" w:rsidRDefault="009E280D">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45357</w:t>
                  </w:r>
                  <w:r>
                    <w:rPr>
                      <w:lang w:val="en-US"/>
                    </w:rPr>
                    <w:fldChar w:fldCharType="end"/>
                  </w:r>
                  <w:r>
                    <w:rPr>
                      <w:lang w:val="en-US"/>
                    </w:rPr>
                    <w:t xml:space="preserve">   (R)    </w:t>
                  </w:r>
                  <w:r>
                    <w:t>15</w:t>
                  </w:r>
                  <w:r>
                    <w:rPr>
                      <w:lang w:val="en-US"/>
                    </w:rPr>
                    <w:t xml:space="preserve">1107   </w:t>
                  </w:r>
                  <w:r>
                    <w:t>21</w:t>
                  </w:r>
                  <w:r>
                    <w:rPr>
                      <w:lang w:val="en-US"/>
                    </w:rPr>
                    <w:t>1107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C87B95">
        <w:tblPrEx>
          <w:tblCellMar>
            <w:top w:w="0" w:type="dxa"/>
            <w:left w:w="0" w:type="dxa"/>
            <w:bottom w:w="0" w:type="dxa"/>
            <w:right w:w="0" w:type="dxa"/>
          </w:tblCellMar>
        </w:tblPrEx>
        <w:tc>
          <w:tcPr>
            <w:tcW w:w="5181" w:type="dxa"/>
            <w:tcBorders>
              <w:bottom w:val="single" w:sz="18" w:space="0" w:color="auto"/>
            </w:tcBorders>
          </w:tcPr>
          <w:p w:rsidR="00C87B95" w:rsidRDefault="00C87B95">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C87B95" w:rsidRDefault="00C87B95">
            <w:pPr>
              <w:tabs>
                <w:tab w:val="left" w:pos="0"/>
                <w:tab w:val="left" w:pos="7086"/>
              </w:tabs>
              <w:suppressAutoHyphens/>
              <w:spacing w:line="216" w:lineRule="auto"/>
              <w:rPr>
                <w:b/>
              </w:rPr>
            </w:pPr>
          </w:p>
        </w:tc>
        <w:tc>
          <w:tcPr>
            <w:tcW w:w="4458" w:type="dxa"/>
            <w:tcBorders>
              <w:bottom w:val="single" w:sz="18" w:space="0" w:color="auto"/>
            </w:tcBorders>
          </w:tcPr>
          <w:p w:rsidR="00C87B95" w:rsidRDefault="00C87B95">
            <w:pPr>
              <w:pStyle w:val="Heading7"/>
            </w:pPr>
            <w:r>
              <w:t>CAT</w:t>
            </w:r>
          </w:p>
        </w:tc>
      </w:tr>
    </w:tbl>
    <w:p w:rsidR="00C87B95" w:rsidRDefault="00C87B95">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945"/>
        <w:gridCol w:w="2276"/>
      </w:tblGrid>
      <w:tr w:rsidR="00C87B95" w:rsidTr="00105601">
        <w:tblPrEx>
          <w:tblCellMar>
            <w:top w:w="0" w:type="dxa"/>
            <w:left w:w="0" w:type="dxa"/>
            <w:bottom w:w="0" w:type="dxa"/>
            <w:right w:w="0" w:type="dxa"/>
          </w:tblCellMar>
        </w:tblPrEx>
        <w:trPr>
          <w:trHeight w:hRule="exact" w:val="2268"/>
        </w:trPr>
        <w:tc>
          <w:tcPr>
            <w:tcW w:w="1418" w:type="dxa"/>
          </w:tcPr>
          <w:bookmarkStart w:id="0" w:name="_MON_1115032092"/>
          <w:bookmarkEnd w:id="0"/>
          <w:p w:rsidR="00C87B95" w:rsidRDefault="00C87B95">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89006" r:id="rId8"/>
              </w:object>
            </w:r>
          </w:p>
          <w:p w:rsidR="00C87B95" w:rsidRDefault="00C87B95">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5E3D00">
              <w:rPr>
                <w:noProof/>
                <w:vanish/>
                <w:sz w:val="20"/>
              </w:rPr>
              <w:t>1</w:t>
            </w:r>
            <w:r>
              <w:rPr>
                <w:vanish/>
                <w:sz w:val="20"/>
              </w:rPr>
              <w:fldChar w:fldCharType="end"/>
            </w:r>
          </w:p>
          <w:p w:rsidR="00C87B95" w:rsidRDefault="00C87B95">
            <w:pPr>
              <w:tabs>
                <w:tab w:val="left" w:pos="0"/>
                <w:tab w:val="left" w:pos="7086"/>
              </w:tabs>
              <w:suppressAutoHyphens/>
            </w:pPr>
          </w:p>
        </w:tc>
        <w:tc>
          <w:tcPr>
            <w:tcW w:w="5945" w:type="dxa"/>
          </w:tcPr>
          <w:p w:rsidR="00C87B95" w:rsidRDefault="00C87B95">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276" w:type="dxa"/>
          </w:tcPr>
          <w:p w:rsidR="00C87B95" w:rsidRDefault="00C87B95">
            <w:pPr>
              <w:tabs>
                <w:tab w:val="left" w:pos="0"/>
                <w:tab w:val="left" w:pos="7086"/>
              </w:tabs>
              <w:suppressAutoHyphens/>
              <w:spacing w:line="216" w:lineRule="auto"/>
              <w:rPr>
                <w:sz w:val="22"/>
              </w:rPr>
            </w:pPr>
            <w:r>
              <w:rPr>
                <w:sz w:val="22"/>
              </w:rPr>
              <w:t>Distr.</w:t>
            </w:r>
          </w:p>
          <w:p w:rsidR="00C87B95" w:rsidRDefault="00C87B95">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C87B95" w:rsidRDefault="00C87B95">
            <w:pPr>
              <w:tabs>
                <w:tab w:val="left" w:pos="0"/>
                <w:tab w:val="left" w:pos="7086"/>
              </w:tabs>
              <w:suppressAutoHyphens/>
              <w:spacing w:line="216" w:lineRule="auto"/>
              <w:rPr>
                <w:sz w:val="22"/>
              </w:rPr>
            </w:pPr>
          </w:p>
          <w:p w:rsidR="00C87B95" w:rsidRDefault="00C87B95">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141138">
              <w:rPr>
                <w:sz w:val="22"/>
              </w:rPr>
              <w:fldChar w:fldCharType="separate"/>
            </w:r>
            <w:r w:rsidR="00141138">
              <w:rPr>
                <w:sz w:val="22"/>
              </w:rPr>
              <w:t>CAT/C/SR.732</w:t>
            </w:r>
            <w:r>
              <w:rPr>
                <w:sz w:val="22"/>
              </w:rPr>
              <w:fldChar w:fldCharType="end"/>
            </w:r>
          </w:p>
          <w:p w:rsidR="00C87B95" w:rsidRDefault="00C87B95">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141138">
              <w:rPr>
                <w:sz w:val="22"/>
              </w:rPr>
              <w:fldChar w:fldCharType="separate"/>
            </w:r>
            <w:r w:rsidR="00105601">
              <w:rPr>
                <w:sz w:val="22"/>
              </w:rPr>
              <w:t>21</w:t>
            </w:r>
            <w:r w:rsidR="00141138">
              <w:rPr>
                <w:sz w:val="22"/>
              </w:rPr>
              <w:t xml:space="preserve"> November 2007</w:t>
            </w:r>
            <w:r>
              <w:rPr>
                <w:sz w:val="22"/>
              </w:rPr>
              <w:fldChar w:fldCharType="end"/>
            </w:r>
          </w:p>
          <w:p w:rsidR="00C87B95" w:rsidRDefault="00C87B95">
            <w:pPr>
              <w:tabs>
                <w:tab w:val="left" w:pos="0"/>
                <w:tab w:val="left" w:pos="7086"/>
              </w:tabs>
              <w:suppressAutoHyphens/>
              <w:spacing w:line="216" w:lineRule="auto"/>
              <w:rPr>
                <w:sz w:val="22"/>
              </w:rPr>
            </w:pPr>
          </w:p>
          <w:p w:rsidR="00C87B95" w:rsidRDefault="00C87B95">
            <w:pPr>
              <w:tabs>
                <w:tab w:val="left" w:pos="0"/>
                <w:tab w:val="left" w:pos="7086"/>
              </w:tabs>
              <w:suppressAutoHyphens/>
              <w:spacing w:line="216" w:lineRule="auto"/>
              <w:rPr>
                <w:sz w:val="22"/>
              </w:rPr>
            </w:pPr>
            <w:r>
              <w:rPr>
                <w:sz w:val="22"/>
              </w:rPr>
              <w:t>RUSSIAN</w:t>
            </w:r>
          </w:p>
          <w:p w:rsidR="00C87B95" w:rsidRDefault="00C87B95" w:rsidP="00816C84">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Pr="00141138">
              <w:rPr>
                <w:sz w:val="22"/>
              </w:rPr>
            </w:r>
            <w:r>
              <w:rPr>
                <w:sz w:val="22"/>
              </w:rPr>
              <w:fldChar w:fldCharType="end"/>
            </w:r>
            <w:bookmarkEnd w:id="2"/>
          </w:p>
        </w:tc>
      </w:tr>
    </w:tbl>
    <w:p w:rsidR="00C87B95" w:rsidRPr="00105601" w:rsidRDefault="00C87B95" w:rsidP="00494E06">
      <w:pPr>
        <w:tabs>
          <w:tab w:val="left" w:pos="0"/>
          <w:tab w:val="left" w:pos="7086"/>
        </w:tabs>
        <w:suppressAutoHyphens/>
        <w:spacing w:line="240" w:lineRule="auto"/>
      </w:pPr>
    </w:p>
    <w:p w:rsidR="00A31A0D" w:rsidRDefault="00A31A0D" w:rsidP="00494E06">
      <w:pPr>
        <w:spacing w:line="240" w:lineRule="auto"/>
        <w:jc w:val="center"/>
      </w:pPr>
      <w:r>
        <w:t>КОМИТЕТ ПРОТИВ ПЫТОК</w:t>
      </w:r>
    </w:p>
    <w:p w:rsidR="00A31A0D" w:rsidRDefault="00A31A0D" w:rsidP="00494E06">
      <w:pPr>
        <w:spacing w:line="240" w:lineRule="auto"/>
        <w:jc w:val="center"/>
      </w:pPr>
    </w:p>
    <w:p w:rsidR="00A31A0D" w:rsidRDefault="00A31A0D" w:rsidP="00494E06">
      <w:pPr>
        <w:spacing w:line="240" w:lineRule="auto"/>
        <w:jc w:val="center"/>
      </w:pPr>
      <w:r>
        <w:t>Тридцать седьмая сессия</w:t>
      </w:r>
    </w:p>
    <w:p w:rsidR="00A31A0D" w:rsidRDefault="00A31A0D" w:rsidP="00494E06">
      <w:pPr>
        <w:spacing w:line="240" w:lineRule="auto"/>
        <w:jc w:val="center"/>
      </w:pPr>
    </w:p>
    <w:p w:rsidR="00A31A0D" w:rsidRDefault="00A31A0D" w:rsidP="00494E06">
      <w:pPr>
        <w:spacing w:line="240" w:lineRule="auto"/>
        <w:jc w:val="center"/>
      </w:pPr>
      <w:r>
        <w:t>КРАТКИЙ ОТЧЕТ О 732-м ЗАСЕДАНИИ,</w:t>
      </w:r>
    </w:p>
    <w:p w:rsidR="00A31A0D" w:rsidRDefault="00A31A0D" w:rsidP="00494E06">
      <w:pPr>
        <w:spacing w:line="240" w:lineRule="auto"/>
        <w:jc w:val="center"/>
      </w:pPr>
    </w:p>
    <w:p w:rsidR="00A31A0D" w:rsidRDefault="00A31A0D" w:rsidP="00A31A0D">
      <w:pPr>
        <w:jc w:val="center"/>
      </w:pPr>
      <w:r>
        <w:t>состоявшемся во Дворце Вильсона в Женеве</w:t>
      </w:r>
    </w:p>
    <w:p w:rsidR="00A31A0D" w:rsidRDefault="00A31A0D" w:rsidP="00A31A0D">
      <w:pPr>
        <w:jc w:val="center"/>
      </w:pPr>
      <w:r>
        <w:t>в пятницу, 10 ноября 2006 года, в 10 час. 00 мин.</w:t>
      </w:r>
    </w:p>
    <w:p w:rsidR="00A31A0D" w:rsidRDefault="00A31A0D" w:rsidP="00A31A0D">
      <w:pPr>
        <w:jc w:val="center"/>
      </w:pPr>
    </w:p>
    <w:p w:rsidR="00A31A0D" w:rsidRDefault="00A31A0D" w:rsidP="00A31A0D">
      <w:pPr>
        <w:jc w:val="center"/>
      </w:pPr>
      <w:r>
        <w:rPr>
          <w:u w:val="single"/>
        </w:rPr>
        <w:t>Председатель</w:t>
      </w:r>
      <w:r>
        <w:t>:  г</w:t>
      </w:r>
      <w:r>
        <w:noBreakHyphen/>
        <w:t>н МАВРОММАТИС</w:t>
      </w:r>
    </w:p>
    <w:p w:rsidR="00A31A0D" w:rsidRDefault="00A31A0D" w:rsidP="00A31A0D">
      <w:pPr>
        <w:jc w:val="center"/>
        <w:rPr>
          <w:lang w:val="en-US"/>
        </w:rPr>
      </w:pPr>
    </w:p>
    <w:p w:rsidR="002256B9" w:rsidRPr="002256B9" w:rsidRDefault="002256B9" w:rsidP="00A31A0D">
      <w:pPr>
        <w:jc w:val="center"/>
        <w:rPr>
          <w:lang w:val="en-US"/>
        </w:rPr>
      </w:pPr>
    </w:p>
    <w:p w:rsidR="00A31A0D" w:rsidRDefault="00A31A0D" w:rsidP="00A31A0D">
      <w:pPr>
        <w:jc w:val="center"/>
      </w:pPr>
      <w:r>
        <w:t>СОДЕРЖАНИЕ</w:t>
      </w:r>
    </w:p>
    <w:p w:rsidR="00A31A0D" w:rsidRDefault="00A31A0D" w:rsidP="00A31A0D">
      <w:pPr>
        <w:jc w:val="center"/>
        <w:rPr>
          <w:lang w:val="en-US"/>
        </w:rPr>
      </w:pPr>
    </w:p>
    <w:p w:rsidR="00494E06" w:rsidRPr="00494E06" w:rsidRDefault="00494E06" w:rsidP="00A31A0D">
      <w:pPr>
        <w:jc w:val="center"/>
        <w:rPr>
          <w:lang w:val="en-US"/>
        </w:rPr>
      </w:pPr>
    </w:p>
    <w:p w:rsidR="00A31A0D" w:rsidRDefault="00A31A0D" w:rsidP="00A31A0D">
      <w:r>
        <w:t>РАССМОТРЕНИЕ ДОКЛАДОВ, ПРЕДСТАВЛЕННЫХ ГОСУДАРСТВАМИ-УЧАСТНИКАМИ В СООТВЕТСТВИИ СО СТАТЬЕЙ 19 КОНВЕНЦИИ (</w:t>
      </w:r>
      <w:r>
        <w:rPr>
          <w:i/>
          <w:iCs/>
        </w:rPr>
        <w:t>продолжение</w:t>
      </w:r>
      <w:r>
        <w:t>)</w:t>
      </w:r>
    </w:p>
    <w:p w:rsidR="00A31A0D" w:rsidRDefault="00A31A0D" w:rsidP="00494E06">
      <w:pPr>
        <w:spacing w:line="240" w:lineRule="auto"/>
      </w:pPr>
    </w:p>
    <w:p w:rsidR="00A31A0D" w:rsidRDefault="00A31A0D" w:rsidP="00A31A0D">
      <w:pPr>
        <w:ind w:left="567" w:hanging="567"/>
      </w:pPr>
      <w:r>
        <w:tab/>
      </w:r>
      <w:r>
        <w:rPr>
          <w:u w:val="single"/>
        </w:rPr>
        <w:t>Четвертый периодический доклад Российской Федерации</w:t>
      </w:r>
    </w:p>
    <w:p w:rsidR="00A31A0D" w:rsidRDefault="00A31A0D" w:rsidP="00843F3E">
      <w:pPr>
        <w:spacing w:line="240" w:lineRule="auto"/>
        <w:ind w:left="567" w:hanging="567"/>
      </w:pPr>
    </w:p>
    <w:p w:rsidR="002256B9" w:rsidRDefault="002256B9" w:rsidP="00843F3E">
      <w:pPr>
        <w:spacing w:line="240" w:lineRule="auto"/>
        <w:ind w:left="567" w:hanging="567"/>
      </w:pPr>
    </w:p>
    <w:p w:rsidR="00843F3E" w:rsidRPr="00843F3E" w:rsidRDefault="00843F3E" w:rsidP="00843F3E">
      <w:pPr>
        <w:spacing w:line="240" w:lineRule="auto"/>
        <w:ind w:left="567" w:hanging="567"/>
      </w:pPr>
    </w:p>
    <w:p w:rsidR="00494E06" w:rsidRPr="002256B9" w:rsidRDefault="00494E06" w:rsidP="00843F3E">
      <w:pPr>
        <w:spacing w:line="240" w:lineRule="auto"/>
        <w:ind w:left="567" w:hanging="567"/>
        <w:rPr>
          <w:lang w:val="en-US"/>
        </w:rPr>
      </w:pPr>
    </w:p>
    <w:p w:rsidR="00A31A0D" w:rsidRDefault="00A31A0D" w:rsidP="00494E06">
      <w:pPr>
        <w:tabs>
          <w:tab w:val="left" w:pos="0"/>
          <w:tab w:val="left" w:pos="567"/>
          <w:tab w:val="left" w:pos="1134"/>
          <w:tab w:val="left" w:pos="1701"/>
          <w:tab w:val="left" w:pos="2268"/>
          <w:tab w:val="left" w:pos="6520"/>
        </w:tabs>
        <w:suppressAutoHyphens/>
        <w:spacing w:line="360" w:lineRule="auto"/>
      </w:pPr>
      <w:r>
        <w:t>__________________</w:t>
      </w:r>
    </w:p>
    <w:p w:rsidR="00A31A0D" w:rsidRDefault="00A31A0D" w:rsidP="00843F3E">
      <w:pPr>
        <w:tabs>
          <w:tab w:val="left" w:pos="0"/>
          <w:tab w:val="left" w:pos="567"/>
          <w:tab w:val="left" w:pos="1134"/>
          <w:tab w:val="left" w:pos="1701"/>
          <w:tab w:val="left" w:pos="2268"/>
          <w:tab w:val="left" w:pos="6520"/>
        </w:tabs>
        <w:spacing w:after="120" w:line="240" w:lineRule="auto"/>
      </w:pPr>
      <w:r>
        <w:tab/>
        <w:t>В настоящий отчет могут вноситься поправки.</w:t>
      </w:r>
    </w:p>
    <w:p w:rsidR="00A31A0D" w:rsidRDefault="00A31A0D" w:rsidP="00843F3E">
      <w:pPr>
        <w:tabs>
          <w:tab w:val="left" w:pos="0"/>
          <w:tab w:val="left" w:pos="567"/>
          <w:tab w:val="left" w:pos="1134"/>
          <w:tab w:val="left" w:pos="1701"/>
          <w:tab w:val="left" w:pos="2268"/>
          <w:tab w:val="left" w:pos="6520"/>
        </w:tabs>
        <w:spacing w:after="12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w:t>
      </w:r>
      <w:r w:rsidR="00494E06">
        <w:rPr>
          <w:lang w:val="en-US"/>
        </w:rPr>
        <w:t> </w:t>
      </w:r>
      <w:r>
        <w:t>Е.4108, Дворец Наций, Женева (</w:t>
      </w:r>
      <w:r>
        <w:rPr>
          <w:lang w:val="en-US"/>
        </w:rPr>
        <w:t>Editing</w:t>
      </w:r>
      <w:r>
        <w:t xml:space="preserve"> </w:t>
      </w:r>
      <w:r>
        <w:rPr>
          <w:lang w:val="en-US"/>
        </w:rPr>
        <w:t>Section</w:t>
      </w:r>
      <w:r>
        <w:t xml:space="preserve">, </w:t>
      </w:r>
      <w:r>
        <w:rPr>
          <w:lang w:val="en-US"/>
        </w:rPr>
        <w:t>room</w:t>
      </w:r>
      <w:r w:rsidR="00494E06">
        <w:rPr>
          <w:lang w:val="en-US"/>
        </w:rPr>
        <w:t> </w:t>
      </w:r>
      <w:r>
        <w:rPr>
          <w:lang w:val="en-US"/>
        </w:rPr>
        <w:t>E</w:t>
      </w:r>
      <w:r>
        <w:t xml:space="preserve">.4108, </w:t>
      </w:r>
      <w:r>
        <w:rPr>
          <w:lang w:val="en-US"/>
        </w:rPr>
        <w:t>Palais</w:t>
      </w:r>
      <w:r>
        <w:t xml:space="preserve"> </w:t>
      </w:r>
      <w:r>
        <w:rPr>
          <w:lang w:val="en-US"/>
        </w:rPr>
        <w:t>des</w:t>
      </w:r>
      <w:r>
        <w:t xml:space="preserve"> </w:t>
      </w:r>
      <w:r>
        <w:rPr>
          <w:lang w:val="en-US"/>
        </w:rPr>
        <w:t>Nations</w:t>
      </w:r>
      <w:r>
        <w:t xml:space="preserve">, </w:t>
      </w:r>
      <w:r>
        <w:rPr>
          <w:lang w:val="en-US"/>
        </w:rPr>
        <w:t>Geneva</w:t>
      </w:r>
      <w:r>
        <w:t>).</w:t>
      </w:r>
    </w:p>
    <w:p w:rsidR="002256B9" w:rsidRDefault="00A31A0D" w:rsidP="00A31A0D">
      <w:pPr>
        <w:tabs>
          <w:tab w:val="left" w:pos="0"/>
          <w:tab w:val="left" w:pos="567"/>
          <w:tab w:val="left" w:pos="1134"/>
          <w:tab w:val="left" w:pos="1701"/>
          <w:tab w:val="left" w:pos="2268"/>
          <w:tab w:val="left" w:pos="6520"/>
        </w:tabs>
        <w:spacing w:line="240" w:lineRule="auto"/>
        <w:rPr>
          <w:lang w:val="en-US"/>
        </w:rPr>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2256B9" w:rsidRDefault="002256B9" w:rsidP="00494E06">
      <w:pPr>
        <w:pageBreakBefore/>
        <w:jc w:val="center"/>
        <w:rPr>
          <w:i/>
        </w:rPr>
      </w:pPr>
      <w:r>
        <w:rPr>
          <w:i/>
        </w:rPr>
        <w:t>Заседание открывается в 10 час. 05 мин.</w:t>
      </w:r>
    </w:p>
    <w:p w:rsidR="002256B9" w:rsidRDefault="002256B9" w:rsidP="002256B9">
      <w:pPr>
        <w:jc w:val="center"/>
        <w:rPr>
          <w:i/>
        </w:rPr>
      </w:pPr>
    </w:p>
    <w:p w:rsidR="002256B9" w:rsidRDefault="002256B9" w:rsidP="00816C84">
      <w:pPr>
        <w:keepNext/>
      </w:pPr>
      <w:r>
        <w:t>РАССМОТРЕНИЕ ДОКЛАДОВ, ПРЕДСТАВЛЕННЫХ ГОСУДАРСТВАМИ-УЧАСТНИКАМИ В СООТВЕТСТВИИ СО СТАТЬЕЙ 19 КОНВЕНЦИИ</w:t>
      </w:r>
      <w:r w:rsidR="00494E06" w:rsidRPr="00494E06">
        <w:br/>
      </w:r>
      <w:r>
        <w:t>(пункт 6 повестки дня) (</w:t>
      </w:r>
      <w:r>
        <w:rPr>
          <w:i/>
        </w:rPr>
        <w:t>продолжение</w:t>
      </w:r>
      <w:r>
        <w:t>)</w:t>
      </w:r>
    </w:p>
    <w:p w:rsidR="002256B9" w:rsidRDefault="002256B9" w:rsidP="00816C84">
      <w:pPr>
        <w:keepNext/>
      </w:pPr>
    </w:p>
    <w:p w:rsidR="002256B9" w:rsidRDefault="002256B9" w:rsidP="00816C84">
      <w:pPr>
        <w:keepNext/>
      </w:pPr>
      <w:r>
        <w:rPr>
          <w:u w:val="single"/>
        </w:rPr>
        <w:t>Четвертый периодический доклад Российской Федерации</w:t>
      </w:r>
      <w:r>
        <w:t xml:space="preserve"> (</w:t>
      </w:r>
      <w:r>
        <w:rPr>
          <w:lang w:val="en-US"/>
        </w:rPr>
        <w:t>CAT</w:t>
      </w:r>
      <w:r w:rsidRPr="001F03CF">
        <w:t>/</w:t>
      </w:r>
      <w:r>
        <w:rPr>
          <w:lang w:val="en-US"/>
        </w:rPr>
        <w:t>C</w:t>
      </w:r>
      <w:r w:rsidRPr="001F03CF">
        <w:t>/55/</w:t>
      </w:r>
      <w:r>
        <w:rPr>
          <w:lang w:val="en-US"/>
        </w:rPr>
        <w:t>Add</w:t>
      </w:r>
      <w:r w:rsidRPr="001F03CF">
        <w:t xml:space="preserve">.11;  </w:t>
      </w:r>
      <w:r>
        <w:rPr>
          <w:lang w:val="en-US"/>
        </w:rPr>
        <w:t>HRI</w:t>
      </w:r>
      <w:r w:rsidRPr="001F03CF">
        <w:t>/</w:t>
      </w:r>
      <w:r>
        <w:rPr>
          <w:lang w:val="en-US"/>
        </w:rPr>
        <w:t>CORE</w:t>
      </w:r>
      <w:r w:rsidRPr="001F03CF">
        <w:t>/</w:t>
      </w:r>
      <w:r w:rsidR="007F0DF8" w:rsidRPr="007F0DF8">
        <w:t>1</w:t>
      </w:r>
      <w:r w:rsidRPr="00477ABF">
        <w:t>/</w:t>
      </w:r>
      <w:r>
        <w:rPr>
          <w:lang w:val="en-US"/>
        </w:rPr>
        <w:t>Add</w:t>
      </w:r>
      <w:r w:rsidRPr="00477ABF">
        <w:t>.52/</w:t>
      </w:r>
      <w:r>
        <w:rPr>
          <w:lang w:val="en-US"/>
        </w:rPr>
        <w:t>Rev</w:t>
      </w:r>
      <w:r w:rsidRPr="00477ABF">
        <w:t xml:space="preserve">.1;  </w:t>
      </w:r>
      <w:r>
        <w:rPr>
          <w:lang w:val="en-US"/>
        </w:rPr>
        <w:t>CAT</w:t>
      </w:r>
      <w:r w:rsidRPr="00477ABF">
        <w:t>/</w:t>
      </w:r>
      <w:r>
        <w:rPr>
          <w:lang w:val="en-US"/>
        </w:rPr>
        <w:t>C</w:t>
      </w:r>
      <w:r w:rsidRPr="00477ABF">
        <w:t>/</w:t>
      </w:r>
      <w:r>
        <w:rPr>
          <w:lang w:val="en-US"/>
        </w:rPr>
        <w:t>RUS</w:t>
      </w:r>
      <w:r w:rsidRPr="00477ABF">
        <w:t>/</w:t>
      </w:r>
      <w:r>
        <w:rPr>
          <w:lang w:val="en-US"/>
        </w:rPr>
        <w:t>Q</w:t>
      </w:r>
      <w:r w:rsidRPr="00477ABF">
        <w:t xml:space="preserve">/4;  </w:t>
      </w:r>
      <w:r>
        <w:t xml:space="preserve">и </w:t>
      </w:r>
      <w:r>
        <w:rPr>
          <w:lang w:val="en-US"/>
        </w:rPr>
        <w:t>CAT</w:t>
      </w:r>
      <w:r w:rsidRPr="00477ABF">
        <w:t>/</w:t>
      </w:r>
      <w:r>
        <w:rPr>
          <w:lang w:val="en-US"/>
        </w:rPr>
        <w:t>C</w:t>
      </w:r>
      <w:r w:rsidRPr="00477ABF">
        <w:t>/</w:t>
      </w:r>
      <w:r>
        <w:rPr>
          <w:lang w:val="en-US"/>
        </w:rPr>
        <w:t>RUS</w:t>
      </w:r>
      <w:r w:rsidRPr="00477ABF">
        <w:t>/</w:t>
      </w:r>
      <w:r>
        <w:rPr>
          <w:lang w:val="en-US"/>
        </w:rPr>
        <w:t>Q</w:t>
      </w:r>
      <w:r w:rsidRPr="00477ABF">
        <w:t>/4/</w:t>
      </w:r>
      <w:r>
        <w:rPr>
          <w:lang w:val="en-US"/>
        </w:rPr>
        <w:t>Add</w:t>
      </w:r>
      <w:r w:rsidRPr="00477ABF">
        <w:t xml:space="preserve">.1 </w:t>
      </w:r>
      <w:r>
        <w:t>(документ только на русском языке))</w:t>
      </w:r>
    </w:p>
    <w:p w:rsidR="002256B9" w:rsidRDefault="002256B9" w:rsidP="00816C84">
      <w:pPr>
        <w:keepNext/>
      </w:pPr>
    </w:p>
    <w:p w:rsidR="002256B9" w:rsidRDefault="002256B9" w:rsidP="002256B9">
      <w:pPr>
        <w:rPr>
          <w:i/>
        </w:rPr>
      </w:pPr>
      <w:r>
        <w:t>1.</w:t>
      </w:r>
      <w:r>
        <w:tab/>
      </w:r>
      <w:r>
        <w:rPr>
          <w:i/>
        </w:rPr>
        <w:t>По приглашению Председателя российская делегация занимает места за столом Комитета.</w:t>
      </w:r>
    </w:p>
    <w:p w:rsidR="002256B9" w:rsidRDefault="002256B9" w:rsidP="002256B9">
      <w:pPr>
        <w:rPr>
          <w:i/>
        </w:rPr>
      </w:pPr>
    </w:p>
    <w:p w:rsidR="002256B9" w:rsidRDefault="002256B9" w:rsidP="002256B9">
      <w:r>
        <w:t>2.</w:t>
      </w:r>
      <w:r>
        <w:tab/>
      </w:r>
      <w:r>
        <w:rPr>
          <w:u w:val="single"/>
        </w:rPr>
        <w:t>ПРЕДСЕДАТЕЛЬ</w:t>
      </w:r>
      <w:r>
        <w:t xml:space="preserve"> указывает, что, поскольку письменные ответы на перечень вопросов для рассмотрения не были переведены вовремя, члены Комитета получили лишь составленное секретариатом резюме на английском языке.  В связи с этим он предлагает российской делегации приводить выдержки этих ответов в ходе своих устных выступлений, с тем чтобы их содержание было отражено в протоколе заседания.</w:t>
      </w:r>
    </w:p>
    <w:p w:rsidR="002256B9" w:rsidRDefault="002256B9" w:rsidP="002256B9"/>
    <w:p w:rsidR="002256B9" w:rsidRDefault="002256B9" w:rsidP="002256B9">
      <w:r>
        <w:t>3.</w:t>
      </w:r>
      <w:r>
        <w:tab/>
      </w:r>
      <w:r>
        <w:rPr>
          <w:u w:val="single"/>
        </w:rPr>
        <w:t>Г-н ЛОЩИНИН</w:t>
      </w:r>
      <w:r>
        <w:t xml:space="preserve"> (Российская Федерация) отмечает, что в силу непредвиденных обстоятельств в Женеву не смог прибыть сотрудник, который должен быть представлять Генеральную прокуратуру в составе российской делегации;  это вызывает особое сожаление в связи с тем, что этот сотрудник составлял письменные ответы на вопросы о роли прокуратуры, которые фигурировали в перечне вопросов для рассмотрения.  Наконец, признавая, что они были представлены с запозданием, г</w:t>
      </w:r>
      <w:r w:rsidR="007F0DF8" w:rsidRPr="007F0DF8">
        <w:noBreakHyphen/>
      </w:r>
      <w:r>
        <w:t>н</w:t>
      </w:r>
      <w:r w:rsidR="007F0DF8">
        <w:rPr>
          <w:lang w:val="en-US"/>
        </w:rPr>
        <w:t> </w:t>
      </w:r>
      <w:r>
        <w:t>Лощинин выражает сожаление по поводу того, что письменные ответы не были переведены</w:t>
      </w:r>
      <w:r w:rsidR="007F0DF8" w:rsidRPr="007F0DF8">
        <w:t xml:space="preserve"> </w:t>
      </w:r>
      <w:r w:rsidR="007F0DF8">
        <w:t>на другие языки</w:t>
      </w:r>
      <w:r>
        <w:t>.</w:t>
      </w:r>
    </w:p>
    <w:p w:rsidR="002256B9" w:rsidRDefault="002256B9" w:rsidP="002256B9"/>
    <w:p w:rsidR="002256B9" w:rsidRDefault="002256B9" w:rsidP="002256B9">
      <w:r>
        <w:t>4.</w:t>
      </w:r>
      <w:r>
        <w:tab/>
        <w:t>Российская Федерация является участником почти всех основных правозащитных договоров и взаимодействует с договорными органами по правам человека, в том числе с</w:t>
      </w:r>
      <w:r w:rsidR="00D8751A">
        <w:rPr>
          <w:lang w:val="en-US"/>
        </w:rPr>
        <w:t> </w:t>
      </w:r>
      <w:r>
        <w:t>Комитетом против пыток.  С момента представления своего третьего периодического доклада об осуществлении Конвенции против пыток Российская Федерация приняла ряд мер по исполнению рекомендаций Комитета, включая, в частности инкорпорирование во</w:t>
      </w:r>
      <w:r w:rsidR="00D8751A">
        <w:rPr>
          <w:lang w:val="en-US"/>
        </w:rPr>
        <w:t> </w:t>
      </w:r>
      <w:r>
        <w:t>внутреннее законодательство определения, содержащегося в статье</w:t>
      </w:r>
      <w:r w:rsidR="007F0DF8">
        <w:t> </w:t>
      </w:r>
      <w:r>
        <w:t>1 Конвенции.  Хотя</w:t>
      </w:r>
      <w:r w:rsidR="00D8751A">
        <w:rPr>
          <w:lang w:val="en-US"/>
        </w:rPr>
        <w:t> </w:t>
      </w:r>
      <w:r>
        <w:t>определение понятия "пытка", фигурирующее в российском Уголовном кодексе</w:t>
      </w:r>
      <w:r w:rsidR="007F0DF8">
        <w:t>,</w:t>
      </w:r>
      <w:r>
        <w:t xml:space="preserve"> и</w:t>
      </w:r>
      <w:r w:rsidR="002A4197">
        <w:t> </w:t>
      </w:r>
      <w:r>
        <w:t>не</w:t>
      </w:r>
      <w:r w:rsidR="00D8751A">
        <w:rPr>
          <w:lang w:val="en-US"/>
        </w:rPr>
        <w:t> </w:t>
      </w:r>
      <w:r>
        <w:t>совсем соответствует определению, закрепленному в Конвенции, оно имеет более широкое содержание</w:t>
      </w:r>
      <w:r w:rsidR="007F0DF8">
        <w:t>, поскольку</w:t>
      </w:r>
      <w:r>
        <w:t xml:space="preserve"> оно распространяет уголовную ответственность за совершение актов пыток на любое лицо, достигшее возраста 16 лет, т.е.</w:t>
      </w:r>
      <w:r w:rsidR="007F0DF8">
        <w:t> </w:t>
      </w:r>
      <w:r>
        <w:t xml:space="preserve">не только на государственных </w:t>
      </w:r>
      <w:r w:rsidR="007F0DF8">
        <w:t>служащих</w:t>
      </w:r>
      <w:r>
        <w:t>, но и на любых лиц вне зависимости от их статуса.</w:t>
      </w:r>
    </w:p>
    <w:p w:rsidR="002256B9" w:rsidRDefault="002256B9" w:rsidP="002256B9"/>
    <w:p w:rsidR="002256B9" w:rsidRDefault="002256B9" w:rsidP="002256B9">
      <w:r>
        <w:t>5.</w:t>
      </w:r>
      <w:r>
        <w:tab/>
        <w:t>Кроме того, нормативно-правовая база по защите от пыток участников уголовного процесса постоянно совершенствуется.  В 2004 году был принят Федеральный закон о государственной защите потерпевших, свидетелей и иных участников уголовного судопроизводства, который дополняет положения Уголовно-процессуального кодекса, включая запрет на применение пыток на всех стадиях уголовного судопроизводства и недопустимость использования доказательств, полученных под пытками.  Уголовно-процессуальный кодекс содержит положения, четко устанавливающие продолжительность содержания под стражей, которое в исключительных случаях, предусмотренных в законодательстве, может составлять до 30</w:t>
      </w:r>
      <w:r w:rsidR="00F52148">
        <w:t> </w:t>
      </w:r>
      <w:r>
        <w:t>суток.  Задержание подозреваемых должно производиться в соответствии с законом, и по всем фактам незаконного задержания и похищения граждан проводятся проверки, по результатам которых при наличии достаточных оснований возбуждаются уголовные дела.</w:t>
      </w:r>
    </w:p>
    <w:p w:rsidR="002256B9" w:rsidRDefault="002256B9" w:rsidP="002256B9"/>
    <w:p w:rsidR="002256B9" w:rsidRDefault="002256B9" w:rsidP="002256B9">
      <w:r>
        <w:t>6.</w:t>
      </w:r>
      <w:r>
        <w:tab/>
        <w:t>Российское правительство неизменно исходит из того, что право на защиту от пыток и друг</w:t>
      </w:r>
      <w:r w:rsidR="007F0DF8">
        <w:t xml:space="preserve">их видов </w:t>
      </w:r>
      <w:r>
        <w:t xml:space="preserve">жестокого, бесчеловечного и унижающего достоинство обращения </w:t>
      </w:r>
      <w:r w:rsidR="00F52148">
        <w:t xml:space="preserve">или наказания </w:t>
      </w:r>
      <w:r>
        <w:t>является абсолютным и не может быть ограничено ни при каких обстоятельствах, в том числе и в ходе борьбы с терроризмом.  Этот принцип дополнительно закреплен в новом Федеральном законе от 6 марта 2006 года "О</w:t>
      </w:r>
      <w:r w:rsidR="00F52148">
        <w:t> </w:t>
      </w:r>
      <w:r>
        <w:t>противодействии терроризму", который содержит ряд положений, позволяющих ограничивать права человека на период проведения контртеррористической операции.  Применение пыток, естественно, запрещено даже в такой ситуации.</w:t>
      </w:r>
    </w:p>
    <w:p w:rsidR="002256B9" w:rsidRDefault="002256B9" w:rsidP="002256B9"/>
    <w:p w:rsidR="002256B9" w:rsidRDefault="002256B9" w:rsidP="002256B9">
      <w:r>
        <w:t>7.</w:t>
      </w:r>
      <w:r>
        <w:tab/>
        <w:t xml:space="preserve">Кроме того, в соответствии с рекомендациями Комитета принят ряд мер по улучшению условий содержания в тюрьмах и местах предварительного заключения.  В 2005 году приказами </w:t>
      </w:r>
      <w:r w:rsidR="00F52148">
        <w:t>М</w:t>
      </w:r>
      <w:r>
        <w:t xml:space="preserve">инистерства внутренних дел и </w:t>
      </w:r>
      <w:r w:rsidR="00F52148">
        <w:t>М</w:t>
      </w:r>
      <w:r>
        <w:t>инистерства юстиции были утверждены правила внутреннего распорядка изоляторов временного содержания, следственных изоляторов и исправительных учреждений, направленные на улучшение медицинского обслуживания и других условий содержания задержанных и осужденных</w:t>
      </w:r>
      <w:r w:rsidR="00F52148">
        <w:t>,</w:t>
      </w:r>
      <w:r>
        <w:t xml:space="preserve"> в</w:t>
      </w:r>
      <w:r w:rsidR="00F52148">
        <w:t> </w:t>
      </w:r>
      <w:r>
        <w:t>особенности применительно к женщинам и несовершеннолетним, лишенным свободы.</w:t>
      </w:r>
    </w:p>
    <w:p w:rsidR="002256B9" w:rsidRDefault="002256B9" w:rsidP="002256B9"/>
    <w:p w:rsidR="002256B9" w:rsidRDefault="002256B9" w:rsidP="002256B9">
      <w:r>
        <w:t>8.</w:t>
      </w:r>
      <w:r>
        <w:tab/>
        <w:t>В сентябре 2006 года правительство Российской Федерации приняло программу на 2007</w:t>
      </w:r>
      <w:r w:rsidR="00816C84">
        <w:t>–</w:t>
      </w:r>
      <w:r>
        <w:t>2016 годы, направленную на приведение условий содержания лиц, заключенных под</w:t>
      </w:r>
      <w:r w:rsidR="002A4197">
        <w:t> </w:t>
      </w:r>
      <w:r>
        <w:t>стражу и осужденных к лишению свободы, в соответствие с международными стандартами и внутренним законодательством.  На реализаци</w:t>
      </w:r>
      <w:r w:rsidR="00F52148">
        <w:t>ю</w:t>
      </w:r>
      <w:r>
        <w:t xml:space="preserve"> программы будут выделены 54 млрд.</w:t>
      </w:r>
      <w:r w:rsidR="00F52148">
        <w:t> </w:t>
      </w:r>
      <w:r>
        <w:t>рублей (т.е.</w:t>
      </w:r>
      <w:r w:rsidR="00816C84">
        <w:t> </w:t>
      </w:r>
      <w:r>
        <w:t>около 2</w:t>
      </w:r>
      <w:r w:rsidR="00F52148">
        <w:t> </w:t>
      </w:r>
      <w:r>
        <w:t>млрд.</w:t>
      </w:r>
      <w:r w:rsidR="00F52148">
        <w:t> </w:t>
      </w:r>
      <w:r>
        <w:t>долл. США), из которых 42 млрд.</w:t>
      </w:r>
      <w:r w:rsidR="00F52148">
        <w:t> </w:t>
      </w:r>
      <w:r>
        <w:t>рублей предназначены на строительство и реконструкцию следственных изоляторов.  Планируется дополнительно ввести более 33 000 мест для размещения подозреваемых и обвиняемых в совершении преступлений.  Помимо этого, Государственная дума приняла в</w:t>
      </w:r>
      <w:r w:rsidR="00D8751A">
        <w:rPr>
          <w:lang w:val="en-US"/>
        </w:rPr>
        <w:t> </w:t>
      </w:r>
      <w:r>
        <w:t>первом чтении проект федерального конституционного закона, которы</w:t>
      </w:r>
      <w:r w:rsidR="00F52148">
        <w:t>й</w:t>
      </w:r>
      <w:r>
        <w:t xml:space="preserve"> предполагает создание ювенальных судов.</w:t>
      </w:r>
    </w:p>
    <w:p w:rsidR="002256B9" w:rsidRDefault="002256B9" w:rsidP="002256B9"/>
    <w:p w:rsidR="002256B9" w:rsidRDefault="002256B9" w:rsidP="002256B9">
      <w:r>
        <w:t>9.</w:t>
      </w:r>
      <w:r>
        <w:tab/>
      </w:r>
      <w:r w:rsidR="00F52148">
        <w:t>О</w:t>
      </w:r>
      <w:r>
        <w:t xml:space="preserve">пределенный прогресс достигнут </w:t>
      </w:r>
      <w:r w:rsidR="00F52148">
        <w:t xml:space="preserve">также </w:t>
      </w:r>
      <w:r>
        <w:t xml:space="preserve">в области выполнения рекомендаций Комитета </w:t>
      </w:r>
      <w:r w:rsidR="00F52148">
        <w:t xml:space="preserve">относительно </w:t>
      </w:r>
      <w:r>
        <w:t>искоренени</w:t>
      </w:r>
      <w:r w:rsidR="00F52148">
        <w:t>я</w:t>
      </w:r>
      <w:r>
        <w:t xml:space="preserve"> и предотвращени</w:t>
      </w:r>
      <w:r w:rsidR="00F52148">
        <w:t>я</w:t>
      </w:r>
      <w:r>
        <w:t xml:space="preserve"> пыток и жестокого обращения в вооруженных силах.  Так</w:t>
      </w:r>
      <w:r w:rsidR="00F52148">
        <w:t>,</w:t>
      </w:r>
      <w:r>
        <w:t xml:space="preserve"> в последние годы военными судами в Российской Федерации рассмотрено большое количество уголовных дел, связанных с </w:t>
      </w:r>
      <w:r w:rsidR="00F52148">
        <w:t>"</w:t>
      </w:r>
      <w:r>
        <w:t>дедовщиной</w:t>
      </w:r>
      <w:r w:rsidR="00F52148">
        <w:t>"</w:t>
      </w:r>
      <w:r>
        <w:t>, что свидетельствует об активизации роли командного состава и органов военной прокуратуры в выявлении таких видов преступлений, их оперативном расследовании и направлении уголовных дел в суды.  В вооруженных силах регулярно проводятся занятия по изучению внутреннего законодательства и международного гуманитарного права, на которых разъясняются положения законов, предусматривающих уголовную ответственность за насильственные преступления.</w:t>
      </w:r>
    </w:p>
    <w:p w:rsidR="002256B9" w:rsidRDefault="002256B9" w:rsidP="002256B9"/>
    <w:p w:rsidR="002256B9" w:rsidRDefault="002256B9" w:rsidP="002256B9">
      <w:r>
        <w:t>10.</w:t>
      </w:r>
      <w:r>
        <w:tab/>
        <w:t xml:space="preserve">В соответствии с принятым в 2006 году Указом </w:t>
      </w:r>
      <w:r w:rsidR="00E80853">
        <w:t>П</w:t>
      </w:r>
      <w:r>
        <w:t xml:space="preserve">резидента Российской Федерации предусмотрено создание общественных советов при федеральных министерствах и ведомствах.  В функции такого совета при </w:t>
      </w:r>
      <w:r w:rsidR="00E80853">
        <w:rPr>
          <w:caps/>
        </w:rPr>
        <w:t>Ф</w:t>
      </w:r>
      <w:r>
        <w:t>едеральной службе исполнения наказаний будет, в частности, входить инспектирование мест предварительного задержания и иных мест заключения.  Следует также отметить, что мнения и советы гражданского общества все шире принимаются во внимание при разработке новых законов и применении законодательства против пыток.</w:t>
      </w:r>
    </w:p>
    <w:p w:rsidR="002256B9" w:rsidRDefault="002256B9" w:rsidP="002256B9"/>
    <w:p w:rsidR="00F52389" w:rsidRDefault="002256B9" w:rsidP="00923B56">
      <w:r>
        <w:t>11.</w:t>
      </w:r>
      <w:r>
        <w:tab/>
        <w:t>Касаясь недавнего убийства журналистки и поборницы прав человека Анны Политковской, г</w:t>
      </w:r>
      <w:r w:rsidR="00E80853">
        <w:noBreakHyphen/>
      </w:r>
      <w:r>
        <w:t>н</w:t>
      </w:r>
      <w:r w:rsidR="00E80853">
        <w:t> </w:t>
      </w:r>
      <w:r>
        <w:t>Лощинин говорит, что Специальный докладчик по вопросу о пытках г</w:t>
      </w:r>
      <w:r w:rsidR="00E80853">
        <w:noBreakHyphen/>
      </w:r>
      <w:r>
        <w:t>н</w:t>
      </w:r>
      <w:r w:rsidR="00E80853">
        <w:t> </w:t>
      </w:r>
      <w:r>
        <w:t>Новак направил российским властям письмо, из которого следует, что эта женщина была убита потому, что она проводила расследование в отношении применения пыток на Северном Кавказе.  Эти заявления еще не получили подтверждения, но следствие продолжается.  Этим делом, которое было передано в Генеральную прокуратуру Российской Федерации, занимается Московский городской суд.  Кроме того, поездку, которую должен бы</w:t>
      </w:r>
      <w:r w:rsidR="00E80853">
        <w:t xml:space="preserve">л </w:t>
      </w:r>
      <w:r>
        <w:t xml:space="preserve">совершить Специальный докладчик в Российскую </w:t>
      </w:r>
      <w:r w:rsidR="002A4197">
        <w:t>Ф</w:t>
      </w:r>
      <w:r>
        <w:t>едерацию, пришлось отложить из-за разногласий по поводу условий его визита.  Вместе с тем российские власти никоим образом не выступают против приезда г</w:t>
      </w:r>
      <w:r w:rsidR="00E80853">
        <w:noBreakHyphen/>
      </w:r>
      <w:r>
        <w:t>на</w:t>
      </w:r>
      <w:r w:rsidR="00E80853">
        <w:t> </w:t>
      </w:r>
      <w:r>
        <w:t xml:space="preserve">Новака и надеются достичь согласия с ним, с тем чтобы эта поездка смогла </w:t>
      </w:r>
      <w:r w:rsidR="00FA3C05">
        <w:t>состояться в ближайшем будущем.</w:t>
      </w:r>
    </w:p>
    <w:p w:rsidR="00F52389" w:rsidRDefault="00F52389" w:rsidP="00923B56"/>
    <w:p w:rsidR="00F52389" w:rsidRDefault="00F52389" w:rsidP="00923B56">
      <w:r>
        <w:t>12.</w:t>
      </w:r>
      <w:r>
        <w:tab/>
      </w:r>
      <w:r>
        <w:rPr>
          <w:u w:val="single"/>
        </w:rPr>
        <w:t>Г-н СЕМЕНЮК</w:t>
      </w:r>
      <w:r>
        <w:t xml:space="preserve"> (Российская Федерация) отмечает, что за период после 2004 года в федеральной уголовно-исполнительной системе произошел ряд существенных перемен.  Главное управление исполнения наказаний Министерства юстиции реорганизовано в Федеральную службу исполнения наказаний, которая приобрела статус федерального органа исполнительной власти и в связи с этим получила новые правоприменительные функции.  Она осталась подведомственна Министерству юстиции, а это значит, что такие вопросы, как назначение руководящих кадров и взаимодействие с Европейским судом, остаются прерогативой этого Министерства.</w:t>
      </w:r>
    </w:p>
    <w:p w:rsidR="00F52389" w:rsidRDefault="00F52389" w:rsidP="00923B56"/>
    <w:p w:rsidR="00F52389" w:rsidRDefault="00F52389" w:rsidP="00923B56">
      <w:r>
        <w:t>13.</w:t>
      </w:r>
      <w:r>
        <w:tab/>
        <w:t>В ходе проводимой работы по совершенствованию нормативно-правовой базы уголовно-исполнительной системы в законодательство внесены изменения, улучшающие положение подозреваемых, обвиняемых и осужденных.  В частности, Постановлением правительства Российской Федерации № 205 от 11 апреля 2005 года о минимальных нормах питания и материально-бытового обеспечения осужденных к лишению свободы, а также о нормах питания и материально-бытового обеспечения подозреваемых и обвиняемых в совершении преступлений, находящихся в следственных изоляторах Федеральной службы исполнения наказаний, утверждены сбалансированные нормы питания подследственных и осужденных, которые соответствуют нормам питания военнослужащих.</w:t>
      </w:r>
    </w:p>
    <w:p w:rsidR="00F52389" w:rsidRDefault="00F52389" w:rsidP="00923B56"/>
    <w:p w:rsidR="00F52389" w:rsidRDefault="00F52389" w:rsidP="00923B56">
      <w:r>
        <w:t>14.</w:t>
      </w:r>
      <w:r>
        <w:tab/>
        <w:t>В законодательство внесен ряд изменений, касающихся условий отбывания наказания осужденными женщинами, в частности увеличен предельный возраст ребенка с 8 до 14 лет при отсрочке отбывания наказания беременным женщинам и женщинам, имеющим малолетних детей, исключены ограничения в получении посылок, передач и бандеролей женщинами, устанавливаются выплаты пособий по беременности и родам осужденным женщинам, введена норма об оказании специализированной медицинской помощи осужденным беременным женщинам во время родов и в послеродовой период, а также установлено, что осужденные женщины, имеющие детей в возрасте до трех лет в доме ребенка исправительного учреждения, и осужденные женщины, освобожденные от работы по беременности и родам, в штрафной изолятор, помещения камерного типа и единые помещения камерного типа не переводятся.</w:t>
      </w:r>
    </w:p>
    <w:p w:rsidR="00F52389" w:rsidRDefault="00F52389" w:rsidP="00923B56"/>
    <w:p w:rsidR="00F52389" w:rsidRDefault="00F52389" w:rsidP="00923B56">
      <w:r>
        <w:t>15.</w:t>
      </w:r>
      <w:r>
        <w:tab/>
        <w:t>Совершенствуется практика в отношении несовершеннолетних правонарушителей:  из 12 видов наказания, предусмотренных в Уголовном кодексе, к ним могут применяться только шесть и то в усеченных сроках и размерах.  По общему правилу, максимальное наказание в виде лишения свободы, которое может быть назначено несовершеннолетнему, не должно превышать 10 лет как за отдельное преступление, так и по их совокупности.  Несовершеннолетним осужденным, совершившим преступление в возрасте до 16 лет, срок наказания не может превышать шести лет лишения свободы, и только если этот осужденный совершит преступление, относящееся к категории особо тяжких, такое, как убийство или терроризм, ему может быть назначено наказание до 10 лет лишения свободы.  При совершении несовершеннолетним тяжкого или особо тяжкого преступления низший предел наказания, предусмотренный Уголовным кодексом, сокращается наполовину.</w:t>
      </w:r>
    </w:p>
    <w:p w:rsidR="00F52389" w:rsidRDefault="00F52389" w:rsidP="00923B56"/>
    <w:p w:rsidR="00F52389" w:rsidRDefault="00F52389" w:rsidP="00923B56">
      <w:r>
        <w:t>16.</w:t>
      </w:r>
      <w:r>
        <w:tab/>
        <w:t>Несовершеннолетний возраст учитывается судьями в качестве обстоятельства, смягчающего наказание.  При совершении несовершеннолетним преступлений небольшой или средней тяжести он может быть освобожден от уголовной ответственности и подвергнут применению мер воспитательного воздействия.  Так, в соответствии с частью 2 статьи 92 Уголовного кодекса несовершеннолетний, осужденный к лишению свободы за совершение преступления средней тяжести, а также тяжкого преступления, может быть освобожден судом от наказания и помещен в специальное учебно-воспитательное учреждение закрытого типа органа управления образованием.  С учетом вышеперечисленных обстоятельств лишь относительно небольшая часть несовершеннолетних, осужденных за совершение преступлений, приговаривается к наказанию в виде лишения свободы.  В этом случае они отбывают наказание отдельно от взрослых осужденных в специально предназначенных для этого учреждениях - воспитательных колониях.  В настоящее время в них содержится лишь 14 500 осужденных при лимите наполнения в 27 000 человек.</w:t>
      </w:r>
    </w:p>
    <w:p w:rsidR="00F52389" w:rsidRDefault="00F52389" w:rsidP="00923B56"/>
    <w:p w:rsidR="00F52389" w:rsidRDefault="00F52389" w:rsidP="00923B56">
      <w:r>
        <w:t>17.</w:t>
      </w:r>
      <w:r>
        <w:tab/>
        <w:t>16 ноября 2006 года Верховный суд должен принять постановление, в котором он рекомендует судам, чтобы мера наказания в виде лишения свободы в отношении несовершеннолетних избиралась в крайних случаях, когда исключена возможность назначения иного наказания.  В отношении женщин судам рекомендуется предельно внимательно исследовать все обстоятельства совершенного преступления и данные о личности лиц, совершивших преступление.</w:t>
      </w:r>
    </w:p>
    <w:p w:rsidR="00F52389" w:rsidRDefault="00F52389" w:rsidP="00923B56"/>
    <w:p w:rsidR="00F52389" w:rsidRDefault="00F52389" w:rsidP="00923B56">
      <w:r>
        <w:t>18.</w:t>
      </w:r>
      <w:r>
        <w:tab/>
        <w:t>Уже сегодня большинство осужденных, совершивших преступление в несовершеннолетнем возрасте, приговариваются к условной мере наказания или к наказаниям, не связанным с изоляцией от общества.  Исполнение таких наказаний и контроль за поведением условно осужденных несовершеннолетних осуществляют специальные учреждения, входящие в уголовно-исполнительную систему, - уголовно-исполнительные инспекции.</w:t>
      </w:r>
    </w:p>
    <w:p w:rsidR="00F52389" w:rsidRDefault="00F52389" w:rsidP="00923B56"/>
    <w:p w:rsidR="00F52389" w:rsidRDefault="00F52389" w:rsidP="00923B56">
      <w:r>
        <w:t>19.</w:t>
      </w:r>
      <w:r>
        <w:tab/>
        <w:t>Согласно статистическим данным, в 2005 году на учете в уголовно-исполнительных инспекциях состояло более 96 000 несовершеннолетних, из которых 93,2% осуждены условно.  Уголовно-исполнительные инспекции совместно с подразделениями по делам несовершеннолетних органов внутренних дел регулярно проводят рейды по месту жительства осужденных и проверяют условия их проживания.  Несовершеннолетним осужденным оказывается помощь в обучении, трудоустройстве, лечении от алкоголизма или наркомании.</w:t>
      </w:r>
    </w:p>
    <w:p w:rsidR="00F52389" w:rsidRDefault="00F52389" w:rsidP="00923B56"/>
    <w:p w:rsidR="00F52389" w:rsidRDefault="00F52389" w:rsidP="00923B56">
      <w:r>
        <w:t>20.</w:t>
      </w:r>
      <w:r>
        <w:tab/>
        <w:t>Одним из приоритетов правительства является улучшение условий содержания под стражей, особенно в следственных изоляторах, где остро стоит проблема переполненности:  по состоянию на 1 октября 2006 года они были заполнены на 108,6% от лимита мест.  В своем постановлении № 5 от 10 октября 2003 года Верховный суд обязал суды учитывать нормативную и фактическую наполняемость следственных изоляторов при рассмотрении материалов об избрании меры пресечения в виде заключения под стражу.  С 2004 года вместимость следственных изоляторов была существенно увеличена (в 2005 году дополнительно создано более 14 000 мест, с начала 2006 года введено 8 430 мест и до конца 2006 года будет создано еще 6 451 место).  Кроме того, к началу 2006 года камерная площадь в расчете на одного человека достигла 3,6 м</w:t>
      </w:r>
      <w:r>
        <w:rPr>
          <w:vertAlign w:val="superscript"/>
        </w:rPr>
        <w:t>2</w:t>
      </w:r>
      <w:r>
        <w:t>, а к концу года она будет доведена до 3,8 м</w:t>
      </w:r>
      <w:r>
        <w:rPr>
          <w:vertAlign w:val="superscript"/>
        </w:rPr>
        <w:t>2</w:t>
      </w:r>
      <w:r>
        <w:t xml:space="preserve"> при условии выделения достаточных бюджетных средств.  В сентябре 2006 года правительство приняло обширную программу развития уголовно-исполнительной системы на период 2007</w:t>
      </w:r>
      <w:r>
        <w:noBreakHyphen/>
        <w:t>2016 годов.  Помимо обновления существующих объектов и строительства новых следственных изоляторов, соответствующих международным стандартам, программа предусматривает применение мер, нацеленных на обеспечение соблюдения основных прав содержащихся в них лиц.  Некоторые права уже гарантированы в настоящее время, как, например, право на получение медицинской помощи, закрепленное в совместном приказе Министерства здравоохранения и Министерства юстиции.  Кроме того, все большее внимание уделяется подготовке осужденных к возвращению в общество.  Учреждения уголовно-исполнительной системы все шире взаимодействуют со службами социальной защиты и другими структурами, которые информируют осужденных об имеющихся у них возможностях и оказывают им соответствующую помощь.</w:t>
      </w:r>
    </w:p>
    <w:p w:rsidR="00F52389" w:rsidRDefault="00F52389" w:rsidP="00923B56"/>
    <w:p w:rsidR="00506A5B" w:rsidRDefault="00506A5B" w:rsidP="00923B56">
      <w:r>
        <w:t>21.</w:t>
      </w:r>
      <w:r>
        <w:tab/>
        <w:t>Российская Федерация ст</w:t>
      </w:r>
      <w:r w:rsidRPr="00A553FF">
        <w:t>ремится</w:t>
      </w:r>
      <w:r>
        <w:t xml:space="preserve"> сотрудничать с международными организациями, занимающимися защитой прав человека, в духе открытости и взаимного доверия и пользоваться плодами этого диалога для улучшения положения на своей территории.  В этом контексте она с большим интересом восприняла доклад, составленный Европейским комитетом по предупреждению пыток и бесчеловечных или унижающих достоинство видов обращения или наказания (ЕПП) по итогам его последнего визита, совершенного в сентябре 2006 года, и, в частности заявления о том, что условия в центрах содержания под стражей в Чеченской Республике улучшились и что не было получено ни одной жалобы на плохое обращение персонала с заключенными в этих учреждениях.  В порядке применения рекомендаций, сформулированных КПП, в должностные инструкции персонала соответствующих учреждений включен ряд указаний, направленных на обеспечение защиты прав и интересов лиц, содержащихся под стражей.  Кроме того, постоянный надзор осуществляют органы прокуратуры.  Стало повседневной и повсеместной практикой посещение учреждений уголовно-исполнительной системы представителями средств массовой информации, международных и российских правительственных и неправительственных</w:t>
      </w:r>
      <w:r w:rsidRPr="009A4D90">
        <w:t xml:space="preserve"> </w:t>
      </w:r>
      <w:r>
        <w:t>правозащитных организаций.  Государственной думой принят в первом чтении проект закона о контроле за местами принудительного содержания граждан со стороны общественных комиссий, члены которых будут назначаться Уполномоченным по правам человека Российской Федерации.  В 2004 году при Министерстве юстиции создан общественный совет, члены которого посещают пенитенциарные учреждения.  Осуществляется работа по созданию аналогичных советов в каждой из республик Российской Федерации.  Кроме того, внесены изменения в пенитенциарное законодательство, направленные на обеспечение бесцензурной переписки обвиняемых и осужденных с Европейским судом по правам человека, в результате чего они могут направлять свои жалобы на конфиденциальной основе.  Правительство также сознает, что для того, чтобы положить конец таким противозаконным методам воздействия, как пытки, запугивание, злоупотребление средствами сдерживания и т.д., необходимо изменить сознание сотрудников уголовно-исполнительной системы.  С этой целью разработана программа постоянной подготовки и проводятся учебные занятия по изучению соответствующих международных норм.</w:t>
      </w:r>
    </w:p>
    <w:p w:rsidR="00506A5B" w:rsidRDefault="00506A5B" w:rsidP="00923B56"/>
    <w:p w:rsidR="00506A5B" w:rsidRDefault="00506A5B" w:rsidP="00923B56">
      <w:r>
        <w:t>22.</w:t>
      </w:r>
      <w:r>
        <w:tab/>
      </w:r>
      <w:r w:rsidRPr="00C615AA">
        <w:rPr>
          <w:u w:val="single"/>
        </w:rPr>
        <w:t>Г-н ТЕРЕЩЕНКО</w:t>
      </w:r>
      <w:r>
        <w:t xml:space="preserve"> (Российская Федерация)</w:t>
      </w:r>
      <w:r w:rsidRPr="008043BC">
        <w:t xml:space="preserve"> </w:t>
      </w:r>
      <w:r>
        <w:t>говорит, что в Министерстве обороны проводится активная работа по борьбе с определенными применяемыми в вооруженных силах в качестве дисциплинарных санкций видами практики, которые составляют нарушение уставных правил взаимоотношений между военнослужащими.  Государственная дума приняла проект закона о порядке применения дисциплинарных санкций, который вступит в силу в январе 2007 года.  Кроме того,</w:t>
      </w:r>
      <w:r w:rsidRPr="00A95563">
        <w:t xml:space="preserve"> </w:t>
      </w:r>
      <w:r>
        <w:t>создан механизм подачи жалоб, позволяющий военнослужащим анонимно сообщать о совершении правонарушений.  С 2001 по 2005 год за нарушение уставных правил взаимоотношений военными судами осуждены 21 163 военнослужащих.  В 2005 году наметилось сокращение числа преступлений, совершенных в вооруженных силах, по сравнению с 2004 годом.  Сократилось также число самоубийств среди военнослужащих.  Кроме того, в 2004 году правительство приняло программу "Переход к комплектованию военнослужащими, проходящими военную службу по контракту, ряда соединений и воинских частей", осуществление которой должно завершиться в 2007 году.  С 1 января 2007 года срок военной службы по призыву должен сократиться до 18 месяцев,</w:t>
      </w:r>
      <w:r w:rsidRPr="00845789">
        <w:t xml:space="preserve"> </w:t>
      </w:r>
      <w:r>
        <w:t xml:space="preserve">а с 1 января 2008 года </w:t>
      </w:r>
      <w:r>
        <w:noBreakHyphen/>
        <w:t xml:space="preserve"> до 12 месяцев.</w:t>
      </w:r>
    </w:p>
    <w:p w:rsidR="00506A5B" w:rsidRDefault="00506A5B" w:rsidP="00923B56"/>
    <w:p w:rsidR="00506A5B" w:rsidRDefault="00506A5B" w:rsidP="00923B56">
      <w:r>
        <w:t>23.</w:t>
      </w:r>
      <w:r>
        <w:tab/>
      </w:r>
      <w:r w:rsidRPr="00C615AA">
        <w:rPr>
          <w:u w:val="single"/>
        </w:rPr>
        <w:t xml:space="preserve">Г-н </w:t>
      </w:r>
      <w:r>
        <w:rPr>
          <w:u w:val="single"/>
        </w:rPr>
        <w:t>МИЛЕХИН</w:t>
      </w:r>
      <w:r>
        <w:t xml:space="preserve"> (Российская Федерация)</w:t>
      </w:r>
      <w:r w:rsidRPr="008043BC">
        <w:t xml:space="preserve"> </w:t>
      </w:r>
      <w:r>
        <w:t>говорит, что Министерство внутренних дел придает особое значение реализации требований Федерального закона от 15 июля 1995 года № 103 "О содержании под стражей подозреваемых и обвиняемых в совершении преступлений".  Так,</w:t>
      </w:r>
      <w:r w:rsidRPr="00A95563">
        <w:t xml:space="preserve"> </w:t>
      </w:r>
      <w:r>
        <w:t>был закрыт ряд изоляторов временного содержания, признанных не соответствующими требованиям закона по итогам инспекционных посещений.  Кроме того, в Правилах внутреннего распорядка изоляторов органов внутренних дел закреплен ряд гарантий, касающихся, в частности, обязательного проведения медицинских осмотров с целью определения наличия телесных повреждений и состояния здоровья подозреваемых и обвиняемых лиц при их поступлении и выдворении.  Кроме того, согласно статье 96 Уголовно-процессуального кодекса, об аресте подозреваемого должен незамедлительно уведомляться его близкий родственник.  Подозреваемый должен также информироваться о правах, которыми он обладает, согласно статье 46 Уголовно-процессуального кодекса.</w:t>
      </w:r>
    </w:p>
    <w:p w:rsidR="00506A5B" w:rsidRDefault="00506A5B" w:rsidP="00923B56"/>
    <w:p w:rsidR="00506A5B" w:rsidRDefault="00506A5B" w:rsidP="00923B56">
      <w:r>
        <w:t>24.</w:t>
      </w:r>
      <w:r>
        <w:tab/>
        <w:t>Деятельность Министерства внутренних дел, а также местных и региональных органов власти, направленная на улучшение положения в изоляторах временного содержания и условий конвоирования заключенных, осуществляется в тесном взаимодействии с Уполномоченным Российской Федерации при Европейском суде по правам человека и аппаратом Уполномоченного по правам человека в Российской Федерации.  Многочисленные совместные инспекционные выезды, предпринятые в 2005 и 2006 годах, позволили выявить ряд недостатков и нарушений норм и правил, установленных законодательством, в связи с чем были приняты оперативные меры.  В ряде изоляторов временного содержания были обновлены и переоборудованы камеры, а также санпропускники и медицинские кабинеты.  Приняты также меры для улучшения состояния прогулочных дворов, оборудованы радиоточки и созданы библиотеки.</w:t>
      </w:r>
    </w:p>
    <w:p w:rsidR="00506A5B" w:rsidRDefault="00506A5B" w:rsidP="00923B56"/>
    <w:p w:rsidR="00506A5B" w:rsidRDefault="00506A5B" w:rsidP="00923B56">
      <w:r>
        <w:t>25.</w:t>
      </w:r>
      <w:r>
        <w:tab/>
        <w:t>Министерство внутренних дел придает также большое значение сотрудничеству с национальными и международными правозащитными организациями.  Определен ряд конкретных направлений взаимодействия, включая обеспечение гражданского контроля за деятельностью правоохранительных органов, особенно в части соблюдения ими конституционных прав и законных интересов лиц в местах временного ограничения свободы.  Каждая встреча с экспертами Европейского комитета по предупреждению пыток (ЕКПП) является позитивным шагом в деле соблюдения и обеспечения прав человека.  По их рекомендации был закрыт ряд изоляторов временного содержания, осуществляется переоборудование существующих и строительство новых объектов.</w:t>
      </w:r>
    </w:p>
    <w:p w:rsidR="00506A5B" w:rsidRDefault="00506A5B" w:rsidP="00923B56"/>
    <w:p w:rsidR="00506A5B" w:rsidRDefault="00506A5B" w:rsidP="00923B56">
      <w:r>
        <w:t>26.</w:t>
      </w:r>
      <w:r>
        <w:tab/>
        <w:t>Несмотря на значительный объем средств, уже задействованных в работе по улучшению условий содержания под стражей, сделать в этой области предстоит еще немало.  На решение всех проблем, по оценкам, требуется не менее 15 лет.  Министерством внутренних дел утвержден и реализуется План первоочередных мероприятий по строительству и реконструкции изоляторов временного содержания на 2005-2008 годы.  Объемы финансирования данных работ только в 2005 году в 3,5 раза превысили суммарные расходы за предыдущие 5 лет.  Реализация Плана в 2005</w:t>
      </w:r>
      <w:r>
        <w:noBreakHyphen/>
        <w:t>2006 годах позволила завершить строительство 16, реконструировать 19 и отремонтировать более 400 изоляторов временного содержания.  Кроме того, подготовлена Целевая программа, которой предусматривается до 2009 года привести 40% изоляторов в соответствие предъявляемым требованиям.  Созданы строгие механизмы контроля за перевозкой подозреваемых и обвиняемых лиц.</w:t>
      </w:r>
    </w:p>
    <w:p w:rsidR="00506A5B" w:rsidRDefault="00506A5B" w:rsidP="00923B56"/>
    <w:p w:rsidR="00506A5B" w:rsidRDefault="00506A5B" w:rsidP="00923B56">
      <w:r>
        <w:t>27.</w:t>
      </w:r>
      <w:r>
        <w:tab/>
      </w:r>
      <w:r>
        <w:rPr>
          <w:u w:val="single"/>
        </w:rPr>
        <w:t>Г-н ЛЕБЕДЕВ</w:t>
      </w:r>
      <w:r>
        <w:t xml:space="preserve"> (Российская Федерация) напоминает, что признания, полученные с применением пыток, не могут использоваться в качестве доказательств и что показания, данные в отсутствие защитника и не подтвержденные впоследствии в суде, признаются недопустимыми.  Кроме того, обвиняемые должны иметь возможность участвовать в судебном рассмотрении всех касающихся их вопросов.  Система гарантий позволяет им в любой момент сообщать о любом акте или попытке применения к ним пыток.  В 2005 году к дисциплинарной ответственности привлечено 4 850 сотрудников учреждений пенитенциарной системы, в результате чего уволено 72 сотрудника.</w:t>
      </w:r>
    </w:p>
    <w:p w:rsidR="002256B9" w:rsidRDefault="002256B9" w:rsidP="002256B9"/>
    <w:p w:rsidR="004E1CE3" w:rsidRPr="002D3EB2" w:rsidRDefault="004E1CE3" w:rsidP="00923B56">
      <w:r w:rsidRPr="002D3EB2">
        <w:t>28.</w:t>
      </w:r>
      <w:r w:rsidRPr="002D3EB2">
        <w:tab/>
        <w:t>Смертная казнь не применяется в России с 1996 года.  В случае поступления из иностранных государств запросов о выдаче лиц, обвиняемых в совершении преступлений, за которые по законодательству запрашивающей стороны предусмотрено наказание в виде смертной казни, российские власти требуют от запрашивающих государств письменные гарантии неприменения смертной казни в случае выдачи обвиняемого.  Вместе с тем Уголовно-процессуальный кодекс предусматривает, что выдача лица не допускается, если имеется решение суда о наличии препятствий для выдачи данного лица.</w:t>
      </w:r>
    </w:p>
    <w:p w:rsidR="004E1CE3" w:rsidRPr="002D3EB2" w:rsidRDefault="004E1CE3" w:rsidP="00923B56"/>
    <w:p w:rsidR="004E1CE3" w:rsidRPr="002D3EB2" w:rsidRDefault="004E1CE3" w:rsidP="00923B56">
      <w:r w:rsidRPr="002D3EB2">
        <w:t>29.</w:t>
      </w:r>
      <w:r w:rsidRPr="002D3EB2">
        <w:tab/>
        <w:t>Органами прокуратуры Чеченской Республики обеспечено безусловное соблюдение требований уголовно-процессуальног</w:t>
      </w:r>
      <w:r>
        <w:t>о законодательства, в частности</w:t>
      </w:r>
      <w:r w:rsidRPr="002D3EB2">
        <w:t xml:space="preserve"> о доставлении задержанных в суд для решения вопроса о применении в их отношении мер пресечения в виде заключения под стражу в течение 48 часов с момента фактического задержания, а также об оформлении протокола задержания в течение трех часов после доставления лица, подозреваемого в совершении преступления.  Одним из приоритетных направлений работы военной прокуратуры является расследование сообщений о причастности военнослужащих к совершению преступлений в отношении местных жителей Чечни в условиях проведения контртеррористических операций.  С этой целью созданы специальные следственные группы.</w:t>
      </w:r>
    </w:p>
    <w:p w:rsidR="004E1CE3" w:rsidRPr="002D3EB2" w:rsidRDefault="004E1CE3" w:rsidP="00923B56"/>
    <w:p w:rsidR="004E1CE3" w:rsidRPr="002D3EB2" w:rsidRDefault="004E1CE3" w:rsidP="00923B56">
      <w:r w:rsidRPr="002D3EB2">
        <w:t>30.</w:t>
      </w:r>
      <w:r w:rsidRPr="002D3EB2">
        <w:tab/>
      </w:r>
      <w:r w:rsidRPr="002D3EB2">
        <w:rPr>
          <w:u w:val="single"/>
        </w:rPr>
        <w:t>Г-н ГОЛЬТЯЕВ</w:t>
      </w:r>
      <w:r w:rsidRPr="002D3EB2">
        <w:t xml:space="preserve"> (Российская Федерация) напоминает, что определение пытки инкорпорировано в Уголовный кодекс (статьи 117 и 302), и подчеркивает, что за акты пыток или жестокого обращения, совершенные государственными должностными лицами, предусмотрено суровое наказание.  Применение пытки в качестве средства принуждения к даче показаний квалифицируется как преступление против правосудия и наказывается лишением свободы на срок от двух до восьми лет.  По части 2 статьи 117 Уголовного кодекса в 2005 году осуждено 824 человека, из них условно - 481.  По части 1 статьи 117 осуждено 1 564 человека, из них 961 - условно.  По статье 302 приговоров судами в 2005 году не выносилось.</w:t>
      </w:r>
    </w:p>
    <w:p w:rsidR="004E1CE3" w:rsidRPr="002D3EB2" w:rsidRDefault="004E1CE3" w:rsidP="00923B56"/>
    <w:p w:rsidR="004E1CE3" w:rsidRPr="002D3EB2" w:rsidRDefault="004E1CE3" w:rsidP="00923B56">
      <w:r w:rsidRPr="002D3EB2">
        <w:t>31.</w:t>
      </w:r>
      <w:r w:rsidRPr="002D3EB2">
        <w:tab/>
        <w:t>Отдельной нормы, предусматривающей ответственность за приказ совершить пытки, в законодательстве нет.  Однако при наличии соответствующих оснований подобные действия квалифицируются по статье 286, част</w:t>
      </w:r>
      <w:r>
        <w:t>и</w:t>
      </w:r>
      <w:r w:rsidRPr="002D3EB2">
        <w:t xml:space="preserve"> 2 и 3, Уголовного кодекса "Превышение должностных полномочий" и влекут за собой соответствующее наказание.  Статистика не располагает данными о том, какому конкретному количеству лиц, осужденных по этой статье, был вынесен приговор именно за применение пыток.</w:t>
      </w:r>
    </w:p>
    <w:p w:rsidR="004E1CE3" w:rsidRPr="002D3EB2" w:rsidRDefault="004E1CE3" w:rsidP="00923B56"/>
    <w:p w:rsidR="004E1CE3" w:rsidRPr="002D3EB2" w:rsidRDefault="004E1CE3" w:rsidP="00923B56">
      <w:r w:rsidRPr="002D3EB2">
        <w:t>32.</w:t>
      </w:r>
      <w:r w:rsidRPr="002D3EB2">
        <w:tab/>
        <w:t>Пытки рассматриваются в качестве универсального преступления, и уголовный закон охраняет от применения пыток как российских, так и иностранных граждан, а также лиц без гражданства.</w:t>
      </w:r>
    </w:p>
    <w:p w:rsidR="004E1CE3" w:rsidRPr="002D3EB2" w:rsidRDefault="004E1CE3" w:rsidP="00923B56"/>
    <w:p w:rsidR="004E1CE3" w:rsidRPr="002D3EB2" w:rsidRDefault="004E1CE3" w:rsidP="00923B56">
      <w:r w:rsidRPr="002D3EB2">
        <w:t>33.</w:t>
      </w:r>
      <w:r w:rsidRPr="002D3EB2">
        <w:tab/>
        <w:t>Институт суда присяжных введен во всех субъектах Российской Федерации, за исключением Чеченской Республики, где он будет учрежден с 1 января 2007 года.  В 2004 году эти суды рассмотрели 572 уголовных дела, в 2005 году - 618 дел, а в первом полугодии 2006 года - 333 дела.  По 17% дел они вынесли оправдательные приговоры, причем чаще всего это связано с нарушениями Уголовно-процессуального кодекса, имевшими место, в частности, в ходе предварительного расследования.  Статистических данных о том, какое количество этих оправдательных приговоров связано с получением доказательств в результате применения пыток, не имеется.  При отмене приговора, вынесенного таким судом, в кассационном порядке может быть вынесен новый приговор.</w:t>
      </w:r>
    </w:p>
    <w:p w:rsidR="004E1CE3" w:rsidRPr="002D3EB2" w:rsidRDefault="004E1CE3" w:rsidP="00923B56"/>
    <w:p w:rsidR="004E1CE3" w:rsidRPr="002D3EB2" w:rsidRDefault="004E1CE3" w:rsidP="00923B56">
      <w:r w:rsidRPr="002D3EB2">
        <w:t>34.</w:t>
      </w:r>
      <w:r w:rsidRPr="002D3EB2">
        <w:tab/>
        <w:t>Лица, подвергшиеся актам насилия со стороны государственных должностных лиц, могут получить денежную компенсацию, в том числе в порядке возмещения морального вреда.  Кроме того, возмещению подлежит любой вред, причиненный в результате незаконного осуждения или применения в качестве меры пресечения заключения под стражу.  Обвинительный приговор не может быть основан только на признании обвиняемым своей вины.  Такое признание в обязательном порядке должно подтверждаться другими элементами, в отсутствие которых судебное решение может быть отменено вышестоящим судом.</w:t>
      </w:r>
    </w:p>
    <w:p w:rsidR="004E1CE3" w:rsidRPr="002D3EB2" w:rsidRDefault="004E1CE3" w:rsidP="00923B56"/>
    <w:p w:rsidR="004E1CE3" w:rsidRPr="002D3EB2" w:rsidRDefault="004E1CE3" w:rsidP="00923B56">
      <w:r w:rsidRPr="002D3EB2">
        <w:t>35.</w:t>
      </w:r>
      <w:r w:rsidRPr="002D3EB2">
        <w:tab/>
        <w:t>В соответствии с новым федеральным конституционным законом в стране создаются ювенальные суды или судебные коллегии, специализирующиеся на рассмотрении уголовных дел, в сферу которых вовлечены несовершеннолетние.</w:t>
      </w:r>
    </w:p>
    <w:p w:rsidR="004E1CE3" w:rsidRPr="002D3EB2" w:rsidRDefault="004E1CE3" w:rsidP="00923B56"/>
    <w:p w:rsidR="004E1CE3" w:rsidRPr="002D3EB2" w:rsidRDefault="004E1CE3" w:rsidP="00923B56">
      <w:r w:rsidRPr="002D3EB2">
        <w:t>36.</w:t>
      </w:r>
      <w:r w:rsidRPr="002D3EB2">
        <w:tab/>
      </w:r>
      <w:r w:rsidRPr="002D3EB2">
        <w:rPr>
          <w:u w:val="single"/>
        </w:rPr>
        <w:t>Г-жа ГАЕР</w:t>
      </w:r>
      <w:r w:rsidRPr="002D3EB2">
        <w:t xml:space="preserve"> (Докладчик по Российской Федерации) благодарит государство-участник за многочисленные ответы на вопросы, включенные в перечень вопросов для рассмотрения.  Она уточняет, что в своем выступлении она постарается привлечь внимание к тем вопросам, которые остались без ответа и по которым она хотела бы получить дополнительную информацию.  Так, касаясь пунктов 2 d) и 2 е) перечня, она спрашивает, на каких основаниях были отстранены от дел три адвоката, которые были наняты для защиты молодых людей, задержанных в Нальчике в октябре 2005 года, и просит привести примеры, когда российские суды применяли законодательные положения, согласно которым никакие исключительные обстоятельства не могут быть использованы для оправдания пыток.</w:t>
      </w:r>
    </w:p>
    <w:p w:rsidR="004E1CE3" w:rsidRPr="002D3EB2" w:rsidRDefault="004E1CE3" w:rsidP="00923B56"/>
    <w:p w:rsidR="004E1CE3" w:rsidRPr="002D3EB2" w:rsidRDefault="004E1CE3" w:rsidP="00923B56">
      <w:r w:rsidRPr="002D3EB2">
        <w:t>37.</w:t>
      </w:r>
      <w:r w:rsidRPr="002D3EB2">
        <w:tab/>
        <w:t>Выражая заинтересованность в отношении сведений, касающихся инспекций в местах содержания под стражей (пункт 6), г-жа Гаер говорит, что она хотела бы получить более подробную информацию о ходе этих инспекций и выводах, сделанных по итогам их проведения.  Отмечая, что опубликован лишь один доклад ЕКПП о его посещении Чечни, в то время как с 2000 по 2006 год им было предпринято семь посещений, она просит разъяснить причины.  В свете того, что делегация сама упомянула о последнем докладе ЕКПП в порядке подтверждения удовлетворительных условий содержания под стражей в Чечне, она просит уточнить, намерено ли правительство опубликовать эти доклады, и если да, то в какой срок.</w:t>
      </w:r>
    </w:p>
    <w:p w:rsidR="004E1CE3" w:rsidRPr="002D3EB2" w:rsidRDefault="004E1CE3" w:rsidP="00923B56"/>
    <w:p w:rsidR="004E1CE3" w:rsidRPr="002D3EB2" w:rsidRDefault="004E1CE3" w:rsidP="00923B56">
      <w:r w:rsidRPr="002D3EB2">
        <w:t>38.</w:t>
      </w:r>
      <w:r w:rsidRPr="002D3EB2">
        <w:tab/>
        <w:t>В ответах государства-участника не был освещен вопрос о бытовом насилии в отношении женщин (пункт 8), и в связи с этим было бы полезно, чтобы делегация представила сведения о мерах, принятых или планируемых к принятию в этой области.</w:t>
      </w:r>
    </w:p>
    <w:p w:rsidR="004E1CE3" w:rsidRPr="002D3EB2" w:rsidRDefault="004E1CE3" w:rsidP="00923B56"/>
    <w:p w:rsidR="004E1CE3" w:rsidRPr="002D3EB2" w:rsidRDefault="004E1CE3" w:rsidP="00923B56">
      <w:r w:rsidRPr="002D3EB2">
        <w:t>39.</w:t>
      </w:r>
      <w:r w:rsidRPr="002D3EB2">
        <w:tab/>
        <w:t>Не представлено никаких статистических данных о числе запрошенных и полученных дипломатических гарантий в контексте запросов о выдаче (пункт 12).  Что касается выдачи в государства - участники Минской конвенции или из них, то вопрос, по всей видимости, стоит иначе, поскольку это соглашение не предусматривает такой процедуры.  Наглядной иллюстрацией этой конкретной проблемы служит одно недавнее дело:  речь идет о выдаче 14 узбекских граждан, задержанных в июне 2005 года в Иваново и обвиненных в причастности к событиям, имевшим место в Андижане в мае 2005 года.  Было бы интересно получить подробные сведения о примененной  процедуре и гарантиях, запрошенных в рамках этой выдачи.  В более общем плане, когда дипломатических гарантий не предлагается, принимаются ли иные меры перед осуществлением высылки или выдачи в целях обеспечения того, чтобы соответствующее лицо не подвергалось опасности применения пыток?  Имеются многочисленные сообщения, в которых говорится о регулярных нарушениях процедур выдачи и высылки.  Было бы интересно знать, каковы причины такого положения дел и какие меры принимаются на практике для предотвращения таких нарушений.</w:t>
      </w:r>
    </w:p>
    <w:p w:rsidR="004E1CE3" w:rsidRPr="002D3EB2" w:rsidRDefault="004E1CE3" w:rsidP="00923B56"/>
    <w:p w:rsidR="004E1CE3" w:rsidRPr="002D3EB2" w:rsidRDefault="004E1CE3" w:rsidP="00923B56">
      <w:r w:rsidRPr="002D3EB2">
        <w:t>40.</w:t>
      </w:r>
      <w:r w:rsidRPr="002D3EB2">
        <w:tab/>
        <w:t>Согласно информации, представленной государством-участником, заключенные не подали компетентным органам ни одной жалобы на применение пыток.  Не могла бы делегация уточнить порядок регистрации такого рода жалоб (пункт 26)?</w:t>
      </w:r>
    </w:p>
    <w:p w:rsidR="004E1CE3" w:rsidRPr="002D3EB2" w:rsidRDefault="004E1CE3" w:rsidP="00923B56"/>
    <w:p w:rsidR="00D72D5E" w:rsidRDefault="00D72D5E" w:rsidP="00923B56">
      <w:r>
        <w:t>41.</w:t>
      </w:r>
      <w:r>
        <w:tab/>
        <w:t>Г-жа Гаер хотела бы также знать, существуют ли механизмы защиты свидетелей, дающих показания в пользу жертв пыток, и имели ли место случаи, когда военнослужащие, ответственные за совершение актов пыток или жестокого обращения, переводились в другие части (пункт 30).  Кроме того, она просит представить сведения о мерах, принятых для повышения эффективности расследований дел о пытках, и о возможных изменениях, внесенных в систему поощрения правоприменения (пункт 31).</w:t>
      </w:r>
    </w:p>
    <w:p w:rsidR="00D72D5E" w:rsidRDefault="00D72D5E" w:rsidP="00923B56"/>
    <w:p w:rsidR="00D72D5E" w:rsidRDefault="00D72D5E" w:rsidP="00923B56">
      <w:r>
        <w:t>42.</w:t>
      </w:r>
      <w:r>
        <w:tab/>
        <w:t>В своем ответе государство-участник не представило сведений о случаях вынесения судами решения о компенсации и о ее фактическом предоставлении жертвам пыток или жестокого, бесчеловечного или унижающего достоинство обращения или наказания (пункт 32).  Оно также не указало, какие конкретные меры были приняты для обеспечения на практике уважения принципа неприемлемости доказательств, полученных при помощи пыток (пункт 34).</w:t>
      </w:r>
    </w:p>
    <w:p w:rsidR="00D72D5E" w:rsidRDefault="00D72D5E" w:rsidP="00923B56"/>
    <w:p w:rsidR="00D72D5E" w:rsidRDefault="00D72D5E" w:rsidP="00923B56">
      <w:r>
        <w:t>43.</w:t>
      </w:r>
      <w:r>
        <w:tab/>
        <w:t>Что касается убийства Анны Политковской, по факту которого в настоящее время проводится расследование, то г-жа Гаер напоминает, что эта журналистка уже подвергалась угрозам и покушениям.  В своей последней статье, опубликованной в издании "Новая газета", журналистка описывала случай выдачи чеченца Беслана Гадаева, арестованного в августе 2006 года на Украине.  В ней она привела заявление этого мужчины о пытках, которым он, по его словам, подвергся в отделении милиции в Грозном, а также письмо, полученное от матерей молодых чеченцев, содержащихся под стражей, где говорится о бесчеловечном обращении, которому они подвергаются.  Было бы интересно знать, проводилось ли расследование по фактам, изложенным в этой статье.</w:t>
      </w:r>
    </w:p>
    <w:p w:rsidR="00D72D5E" w:rsidRDefault="00D72D5E" w:rsidP="00923B56"/>
    <w:p w:rsidR="00D72D5E" w:rsidRDefault="00D72D5E" w:rsidP="00923B56">
      <w:r>
        <w:t>44.</w:t>
      </w:r>
      <w:r>
        <w:tab/>
        <w:t>Согласно сведениям, полученным как из правительственных, так и из неправительственных источников, характер присутствия федеральных сил в Чечне изменился и конфликт переходит в плоскость внутричеченских отношений.  Для того чтобы помочь Комитету лучше уяснить нынешнюю ситуацию, в связи с этим было бы полезно, чтобы делегация представила разъяснения относительно нынешнего статуса российских войск и местных сил, находящихся под федеральным контролем.  Делегация могла бы, в частности, уточнить численность этих войск и их конкретную задачу.  Кроме того, она могла бы указать, какой орган уполномочен инспектировать их и проводить расследования в связи с заявлениями о пытках.  Столкнувшись с многочисленными заявлениями, касающимися незаконных задержаний и исчезновений лиц, российские НПО начали проводить систематизированный сбор поступающей к ним информации по этому вопросу и составлять соответствующую базу данных.  Составляли ли власти со своей стороны списки соответствующих лиц и предпринимали ли они усилия по установлению их участи?</w:t>
      </w:r>
    </w:p>
    <w:p w:rsidR="00D72D5E" w:rsidRDefault="00D72D5E" w:rsidP="00923B56"/>
    <w:p w:rsidR="00D72D5E" w:rsidRDefault="00D72D5E" w:rsidP="00923B56">
      <w:r>
        <w:t>45.</w:t>
      </w:r>
      <w:r>
        <w:tab/>
        <w:t>Согласно многочисленным сообщениям имеют место случаи незаконного содержания под стражей и применения пыток в Грозном в помещениях Оперативно-розыскного бюро, находящегося в подчинении Главного управления по борьбе с организованной преступностью Министерства внутренних дел.  Бывший Президент Чеченской Республики Ахмад Кадыров лично выдвигал серьезные обвинения против сотрудников этого органа.  Она предлагает делегации указать, какой орган уполномочен выдавать санкцию на заключение под стражу в этом учреждении, и представить информацию о максимальной продолжительности содержания под стражей и о мотивах, которые могут оправдывать увеличение его продолжительности.  У лиц, подвергнутых незаконному задержанию, было отмечено наличие следов пыток при их поступлении в следственные изоляторы (СИЗО).  Составленные акты освидетельствования можно было использовать в качестве доказательств в судах, но фактом остается то, что имели место случаи применения пыток.  В связи с этим возникает вопрос о существовании механизмов контроля, и г-жа Гаер хотела бы знать, подотчетны ли сотрудники Оперативно-розыскного бюро службам Генеральной прокуратуры или любому другому компетентному органу.  Делегации предлагается также указать, какие меры можно было бы принять для того, чтобы подозреваемые регистрировались сразу после их задержания.  С другой стороны, в свете многочисленных сообщений о задержании близких родственников лиц, подозреваемых в причастности к террористической деятельности, она хотела бы знать, планирует ли государство-участник принять меры к тому, чтобы положить конец этой практике, которая не может быть оправдана никакими обстоятельствами.</w:t>
      </w:r>
    </w:p>
    <w:p w:rsidR="00D72D5E" w:rsidRDefault="00D72D5E" w:rsidP="00923B56"/>
    <w:p w:rsidR="00D72D5E" w:rsidRDefault="00D72D5E" w:rsidP="00923B56">
      <w:r>
        <w:t>46.</w:t>
      </w:r>
      <w:r>
        <w:tab/>
        <w:t>Г-жа Гаер сожалеет о том, что Специальный докладчик по вопросу о пытках не смог совершить поездку в Российскую Федерацию.  Она не понимает, каким образом его поездка могла бы противоречить законодательству государства-участника, тем более что для поездки Специального докладчика по вопросу о насилии в отношении женщин разрешение было предоставлено.  Ряд представителей неправительственных организаций имели доступ к центрам содержания под стражей по всей стране, и члены Европейского комитета по предупреждению пыток совершили ряд поездок в Российскую Федерацию.  Подчеркнув кардинальное значение механизмов предотвращения пыток, г-жа Гаер выражает надежду на возобновление переговоров в отношении поездки Специального докладчика по вопросу о пытках, с тем чтобы он смог, наконец, посетить страну в условиях, гарантирующих беспрепятс</w:t>
      </w:r>
      <w:r w:rsidR="00D51B15">
        <w:t>твенное выполнение его мандата.</w:t>
      </w:r>
    </w:p>
    <w:p w:rsidR="00D72D5E" w:rsidRDefault="00D72D5E" w:rsidP="00923B56"/>
    <w:p w:rsidR="00D72D5E" w:rsidRDefault="00D72D5E" w:rsidP="00923B56">
      <w:r>
        <w:t>47.</w:t>
      </w:r>
      <w:r>
        <w:tab/>
        <w:t>Касаясь статьи 1 Конвенции, г-жа Гаер отмечает, что определение пытки, сформулированное в статье 117 Уголовного кодекса, не затрагивает непосредственным образом сотрудников правоохранительных органов.  Следователи, совершающие акты пыток в ходе допросов, подлежат наказанию согласно статье 302 Уголовного кодекса, однако государство-участник могло бы изучить возможность включения положения, охватывающего всех государственных должностных лиц.  Это позволило бы усилить защиту подозреваемых на этапе, предшествующем их регистрации в учетной документации отделений милиции и их возможному допросу, т.е. в момент, когда риск применения пыток является наиболее высоким.  Статья 302 Уголовного кодекса предусматривает наказание в виде тюремного заключения на срок от 2 до 8 лет применительно к следователям или работникам судебных органов, признанным виновными в совершении актов пыток.  Отмечая, что в 2005 году никаких разбирательств по этой статье не возбуждалось, она просит уточнить, имеются ли на национальном уровне статистические данные о числе должностных лиц, признанных виновными в совершении актов пыток, за предшествующие годы.</w:t>
      </w:r>
    </w:p>
    <w:p w:rsidR="00D72D5E" w:rsidRDefault="00D72D5E" w:rsidP="00923B56"/>
    <w:p w:rsidR="00D72D5E" w:rsidRDefault="00D72D5E" w:rsidP="00923B56">
      <w:r>
        <w:t>48.</w:t>
      </w:r>
      <w:r>
        <w:tab/>
        <w:t xml:space="preserve">Г-жа Гаер напоминает, что в решении по делу </w:t>
      </w:r>
      <w:r>
        <w:rPr>
          <w:i/>
        </w:rPr>
        <w:t>Михеев против России</w:t>
      </w:r>
      <w:r>
        <w:t xml:space="preserve"> Европейский суд по правам человека пришел к заключению о наличии нарушения статьи 3 (запрещение пыток) и статьи 13 (право на эффективное средство правовой защиты) Европейской конвенции о защите прав человека и основных свобод.  Сотрудники милиции, проходившие по этому делу, в конечном итоге были подвергнуты наказанию, но в своем решении Суд отмечает, что предварительное следствие прекращалось и затем возобновлялось более 15 раз, в связи с чем вновь возникает вопрос о наличии механизмов контроля и обязанности государственных служащих отвечать за свои действия.  Г</w:t>
      </w:r>
      <w:r>
        <w:noBreakHyphen/>
        <w:t>жа Гаер хотела бы также знать, имелись ли среди 2 388 осужденных по статье 117 Уголовного кодекса государственные должностные лица</w:t>
      </w:r>
      <w:r w:rsidR="00923B56">
        <w:t>,</w:t>
      </w:r>
      <w:r>
        <w:t xml:space="preserve"> и если да, то сколько.  Кроме того, в различных решениях, вынесенных Европейским судом в отношении актов пыток, фигурировали имена четырех высокопоставленных представителей вооруженных сил.  В связи с этим было бы желательно получить уточнения в отношении контроля, осуществляемого гражданскими властями над армией и органами, которые проводят расследования в связи с актами пыток, совершенными военнослужащими, и привлекают виновных к ответственности.</w:t>
      </w:r>
    </w:p>
    <w:p w:rsidR="00D72D5E" w:rsidRDefault="00D72D5E" w:rsidP="00923B56"/>
    <w:p w:rsidR="00D51B15" w:rsidRDefault="00D51B15" w:rsidP="00923B56">
      <w:r>
        <w:t>49.</w:t>
      </w:r>
      <w:r>
        <w:tab/>
        <w:t>Организация "Международная амнистия" и другие неправительственные организации информировали Комитет о существовании законодательных положений, ограничивающих доступ задержанных лиц к адвокату и к близким родственникам, что идет вразрез с обязательством принимать меры для предотвращения пыток, которые государство-участник взяло на себя по статье 2 Конвенции.  Делегации предлагается представить замечания по этому вопросу, а также прокомментировать сообщение о тайном содержании под стражей задержанных лиц, о непроведении расследований в связи с актами пыток и о репрессиях в отношении защитников жертв таких актов.</w:t>
      </w:r>
    </w:p>
    <w:p w:rsidR="00D51B15" w:rsidRDefault="00D51B15" w:rsidP="00923B56"/>
    <w:p w:rsidR="00D51B15" w:rsidRDefault="00D51B15" w:rsidP="00923B56">
      <w:r>
        <w:t>50.</w:t>
      </w:r>
      <w:r>
        <w:tab/>
        <w:t>В пунктах 36-46 своего доклада государство-участник коснулось норм, регулирующих порядок проведения контртеррористических операций в Чечне.  Вместе с тем г-жа Гаер хотела бы получить некоторые разъяснения в отношении нового Федерального закона о противодействии терроризму, принятого 6 марта 2006 года, и в частности в отношении процедур контроля за законностью актов применения силы в ходе контртеррористических операций, которые приводят к смерти или посягательствам на неприкосновенность личности или имущества.  Она желает также знать, осуществляется ли судебный контроль за применением статьи 12 этого закона, определяющей условия проведения контртеррористической операции, и существует ли орган, отвечающий за проверку законности проведения такой операции, учитывая то, что по закону такие операции санкционируются лишь в качестве крайней меры.  Делегации предлагается уточнить, утрачивают ли лица, арестованные или задержанные в порядке применения вышеупомянутого закона, общеправовые гарантии, предусмотренные в Уголовно-процессуальном кодексе.  Желательно также получить уточнения в отношении гарантий, которыми пользуются лица, допрашиваемые в порядке применения Федерального закона № 18 от 22 апреля 2004 года о внесении изменений в статью 99 Уголовно-процессуального кодекса, в частности в отношении права на помощь защитника и права на отказ от дачи объяснений и показаний.  Она желает также знать, будут ли опубликованы доклады Думы о контроле за применением закона.</w:t>
      </w:r>
    </w:p>
    <w:p w:rsidR="00D51B15" w:rsidRDefault="00D51B15" w:rsidP="00923B56"/>
    <w:p w:rsidR="00D51B15" w:rsidRDefault="00D51B15" w:rsidP="00923B56">
      <w:r>
        <w:t>51.</w:t>
      </w:r>
      <w:r>
        <w:tab/>
        <w:t>Г-жа Гаер благодарит делегацию за представленные ею обширные сведения о возмещении вреда жертвам актов пыток.  С удовлетворением отмечая, что государство-участник положило конец "дедовщине" в армии, она хотела бы знать, имели ли место случаи, когда к военнослужащим применялись санкции за бездействие в случаях предполагаемых актов пыток.  Она хотела бы также получить уточнения относительно числа дел, связанных с актами пыток, которые остались нерасследованными из-за отсутствия достаточных доказательств.</w:t>
      </w:r>
    </w:p>
    <w:p w:rsidR="00D51B15" w:rsidRDefault="00D51B15" w:rsidP="00923B56"/>
    <w:p w:rsidR="00D51B15" w:rsidRDefault="00D51B15" w:rsidP="00923B56">
      <w:r>
        <w:t>52.</w:t>
      </w:r>
      <w:r>
        <w:tab/>
        <w:t>Специальный докладчик по вопросу о насилии в отношении женщин указывает в своем докладе (</w:t>
      </w:r>
      <w:r>
        <w:rPr>
          <w:lang w:val="en-US"/>
        </w:rPr>
        <w:t>E</w:t>
      </w:r>
      <w:r w:rsidRPr="002367CE">
        <w:t>/</w:t>
      </w:r>
      <w:r>
        <w:rPr>
          <w:lang w:val="en-US"/>
        </w:rPr>
        <w:t>CN</w:t>
      </w:r>
      <w:r w:rsidRPr="002367CE">
        <w:t>.4/2006/61/</w:t>
      </w:r>
      <w:r>
        <w:rPr>
          <w:lang w:val="en-US"/>
        </w:rPr>
        <w:t>Add</w:t>
      </w:r>
      <w:r w:rsidRPr="002367CE">
        <w:t>.2</w:t>
      </w:r>
      <w:r>
        <w:t>), что женщины становятся жертвами насильственных исчезновений, казней без надлежащего судебного разбирательства или произвольных казней, актов пыток и изнасилований, к которым причастны сотрудники милиции на Северном Кавказе.  Согласно пункту 56 этого доклада, женщины подвергаются также унизительным обыскам в присутствии членов семьи, которые проводятся мужчинами-военными на блокпостах.  Г-жа Гаер желает знать, приняло ли или намерено ли принять государство-участник какие-либо меры для того, чтобы положить конец такой практике и привлечь к ответственности виновных.</w:t>
      </w:r>
    </w:p>
    <w:p w:rsidR="00D51B15" w:rsidRDefault="00D51B15" w:rsidP="00923B56"/>
    <w:p w:rsidR="00D51B15" w:rsidRDefault="00D51B15" w:rsidP="00923B56">
      <w:r>
        <w:t>53.</w:t>
      </w:r>
      <w:r>
        <w:tab/>
        <w:t>Наконец, г-жа Гаер отмечает, что по</w:t>
      </w:r>
      <w:r>
        <w:noBreakHyphen/>
        <w:t>прежнему сохраняется проблема двойного мандата прокуратуры, поскольку она одновременно занимается возбуждением преследования и надзором за надлежащим осуществлением следственных действий.  Она желает знать, намерено ли государство-участник создать независимый механизм контроля в соответствии с рекомендациями Комитета против пыток, которые были сформулированы в 2002 году (</w:t>
      </w:r>
      <w:r>
        <w:rPr>
          <w:lang w:val="en-US"/>
        </w:rPr>
        <w:t>CAT</w:t>
      </w:r>
      <w:r w:rsidRPr="00164F27">
        <w:t>/</w:t>
      </w:r>
      <w:r>
        <w:rPr>
          <w:lang w:val="en-US"/>
        </w:rPr>
        <w:t>C</w:t>
      </w:r>
      <w:r w:rsidRPr="00164F27">
        <w:t>/</w:t>
      </w:r>
      <w:r>
        <w:rPr>
          <w:lang w:val="en-US"/>
        </w:rPr>
        <w:t>CR</w:t>
      </w:r>
      <w:r w:rsidRPr="00164F27">
        <w:t>/28/4</w:t>
      </w:r>
      <w:r>
        <w:t>).</w:t>
      </w:r>
    </w:p>
    <w:p w:rsidR="00D51B15" w:rsidRDefault="00D51B15" w:rsidP="00923B56"/>
    <w:p w:rsidR="00D51B15" w:rsidRDefault="00D51B15" w:rsidP="00923B56">
      <w:r>
        <w:t>54.</w:t>
      </w:r>
      <w:r>
        <w:tab/>
      </w:r>
      <w:r w:rsidRPr="00164F27">
        <w:rPr>
          <w:u w:val="single"/>
        </w:rPr>
        <w:t>Г-жа БЕЛЬМИР</w:t>
      </w:r>
      <w:r>
        <w:t xml:space="preserve"> с удовлетворением отмечает дух открытости, который был продемонстрирован государством-участником, и ту искренность, с которой делегация осветила ход выполнения обязательств, принятых Российской Федерацией в области прав человека как на международном, так и на региональном уровне.  Различные данные, доведенные до сведения Комитета, свидетельствуют о готовности властей выполнять свои обязательства, и следует поощрять государство-участник к продолжению работы на этом направлении.  Вместе с тем меры, принимаемые в рамках борьбы с терроризмом, вызывают много нареканий.  Принятие многочисленных положений, отступающих от норм общего права, которые закреплены в Уголовном кодексе и Уголовно-процессуальном кодексе, а также создание органов военной прокуратуры на Северном Кавказе в 2002 году наводят на мысль о том, что в некоторых районах страны действует чрезвычайное положение.  Каково реальное положение дел?</w:t>
      </w:r>
    </w:p>
    <w:p w:rsidR="00D51B15" w:rsidRDefault="00D51B15" w:rsidP="00923B56"/>
    <w:p w:rsidR="00D51B15" w:rsidRDefault="00D51B15" w:rsidP="00923B56">
      <w:r>
        <w:t>55.</w:t>
      </w:r>
      <w:r>
        <w:tab/>
        <w:t>Несмотря на реформы, предпринятые государством-участником, по</w:t>
      </w:r>
      <w:r>
        <w:noBreakHyphen/>
        <w:t>прежнему сохраняются вопросы о независимости, эффективности и беспристрастности судебной власти, а также о коррупции в рядах ее представителей.  Г-жа Бельмир привлекает внимание государства-участника к тому, что назначение и отстранение от должности судей определенных категорий исполнительной властью противоречит принципу независимости судебной власти.  Озабоченность вызывает тот факт, что расследованием дел, связанных с совершением актов пыток, занимаются органы Генеральной прокуратуры, в функции которых входит также возбуждение преследования.  Что касается отправления правосудия по делам несовершеннолетних, то г-жа Бельмир хотела бы получить дополнительную информацию о мерах, принимаемых государством-участником для обеспечения того, чтобы несовершеннолетние правонарушители содержались под стражей отдельно от взрослых.  Она хотела бы также получить уточнения относительно мотивов и обстоятельств ареста несовершеннолетних в Чеченской Республике.  Делегации предлагается также указать, какие меры приняты для предотвращения посягательств на физическую неприкосновенность женщин, содержащихся под стражей, и для обеспечения их доступа к правосудию.</w:t>
      </w:r>
    </w:p>
    <w:p w:rsidR="00D51B15" w:rsidRDefault="00D51B15" w:rsidP="00923B56"/>
    <w:p w:rsidR="00D51B15" w:rsidRDefault="00D51B15" w:rsidP="00923B56">
      <w:r>
        <w:t>56.</w:t>
      </w:r>
      <w:r>
        <w:tab/>
      </w:r>
      <w:r>
        <w:rPr>
          <w:u w:val="single"/>
        </w:rPr>
        <w:t>ПРЕДСЕДАТЕЛЬ</w:t>
      </w:r>
      <w:r>
        <w:t xml:space="preserve"> благодарит российскую делегацию и приглашает ее принять участие в следующем заседании, с тем чтобы заслушать остальные устные вопросы.</w:t>
      </w:r>
    </w:p>
    <w:p w:rsidR="00D51B15" w:rsidRDefault="00D51B15" w:rsidP="00923B56"/>
    <w:p w:rsidR="00D51B15" w:rsidRDefault="00D51B15" w:rsidP="00923B56">
      <w:pPr>
        <w:jc w:val="center"/>
        <w:rPr>
          <w:i/>
        </w:rPr>
      </w:pPr>
      <w:r>
        <w:rPr>
          <w:i/>
        </w:rPr>
        <w:t>Заседание закрывается в 13 час. 00 мин.</w:t>
      </w:r>
    </w:p>
    <w:p w:rsidR="00D51B15" w:rsidRDefault="00D51B15" w:rsidP="00923B56">
      <w:pPr>
        <w:jc w:val="center"/>
      </w:pPr>
    </w:p>
    <w:p w:rsidR="00D51B15" w:rsidRPr="00D51B15" w:rsidRDefault="00D51B15" w:rsidP="00923B56">
      <w:pPr>
        <w:jc w:val="center"/>
      </w:pPr>
    </w:p>
    <w:p w:rsidR="00D51B15" w:rsidRDefault="00D51B15" w:rsidP="00923B56">
      <w:pPr>
        <w:jc w:val="center"/>
      </w:pPr>
      <w:r>
        <w:t>-------</w:t>
      </w:r>
    </w:p>
    <w:p w:rsidR="004E1CE3" w:rsidRDefault="004E1CE3" w:rsidP="002256B9"/>
    <w:sectPr w:rsidR="004E1CE3">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2E0" w:rsidRDefault="00E012E0">
      <w:r>
        <w:separator/>
      </w:r>
    </w:p>
  </w:endnote>
  <w:endnote w:type="continuationSeparator" w:id="0">
    <w:p w:rsidR="00E012E0" w:rsidRDefault="00E01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2E0" w:rsidRDefault="00E012E0">
      <w:r>
        <w:separator/>
      </w:r>
    </w:p>
  </w:footnote>
  <w:footnote w:type="continuationSeparator" w:id="0">
    <w:p w:rsidR="00E012E0" w:rsidRDefault="00E012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80D" w:rsidRPr="00A31A0D" w:rsidRDefault="009E280D">
    <w:pPr>
      <w:pStyle w:val="Header"/>
      <w:tabs>
        <w:tab w:val="left" w:pos="6237"/>
      </w:tabs>
      <w:rPr>
        <w:lang w:val="en-US"/>
      </w:rPr>
    </w:pPr>
    <w:r w:rsidRPr="00A31A0D">
      <w:rPr>
        <w:lang w:val="en-US"/>
      </w:rPr>
      <w:t>CAT/C/SR.732</w:t>
    </w:r>
  </w:p>
  <w:p w:rsidR="009E280D" w:rsidRDefault="009E280D">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5E3D00">
      <w:rPr>
        <w:rStyle w:val="PageNumber"/>
        <w:noProof/>
      </w:rPr>
      <w:t>2</w:t>
    </w:r>
    <w:r>
      <w:rPr>
        <w:rStyle w:val="PageNumber"/>
      </w:rPr>
      <w:fldChar w:fldCharType="end"/>
    </w:r>
  </w:p>
  <w:p w:rsidR="009E280D" w:rsidRDefault="009E280D">
    <w:pPr>
      <w:pStyle w:val="Header"/>
      <w:tabs>
        <w:tab w:val="left" w:pos="6237"/>
      </w:tabs>
      <w:rPr>
        <w:rStyle w:val="PageNumber"/>
        <w:lang w:val="en-US"/>
      </w:rPr>
    </w:pPr>
  </w:p>
  <w:p w:rsidR="009E280D" w:rsidRDefault="009E280D">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80D" w:rsidRPr="00141138" w:rsidRDefault="009E280D" w:rsidP="00A31A0D">
    <w:pPr>
      <w:pStyle w:val="Header"/>
      <w:tabs>
        <w:tab w:val="left" w:pos="7083"/>
      </w:tabs>
      <w:rPr>
        <w:lang w:val="en-US"/>
      </w:rPr>
    </w:pPr>
    <w:r>
      <w:rPr>
        <w:lang w:val="en-US"/>
      </w:rPr>
      <w:tab/>
    </w:r>
    <w:r>
      <w:rPr>
        <w:lang w:val="en-US"/>
      </w:rPr>
      <w:tab/>
    </w:r>
    <w:r w:rsidRPr="00141138">
      <w:rPr>
        <w:lang w:val="en-US"/>
      </w:rPr>
      <w:t>CAT/C/SR.732</w:t>
    </w:r>
  </w:p>
  <w:p w:rsidR="009E280D" w:rsidRDefault="009E280D" w:rsidP="00A31A0D">
    <w:pPr>
      <w:pStyle w:val="Header"/>
      <w:tabs>
        <w:tab w:val="left" w:pos="708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5E3D00">
      <w:rPr>
        <w:rStyle w:val="PageNumber"/>
        <w:noProof/>
      </w:rPr>
      <w:t>17</w:t>
    </w:r>
    <w:r>
      <w:rPr>
        <w:rStyle w:val="PageNumber"/>
      </w:rPr>
      <w:fldChar w:fldCharType="end"/>
    </w:r>
  </w:p>
  <w:p w:rsidR="009E280D" w:rsidRDefault="009E280D" w:rsidP="00A31A0D">
    <w:pPr>
      <w:pStyle w:val="Header"/>
      <w:tabs>
        <w:tab w:val="left" w:pos="7083"/>
      </w:tabs>
      <w:rPr>
        <w:rStyle w:val="PageNumber"/>
        <w:lang w:val="en-US"/>
      </w:rPr>
    </w:pPr>
  </w:p>
  <w:p w:rsidR="009E280D" w:rsidRDefault="009E280D" w:rsidP="00A31A0D">
    <w:pPr>
      <w:pStyle w:val="Header"/>
      <w:tabs>
        <w:tab w:val="left" w:pos="6237"/>
        <w:tab w:val="left" w:pos="7083"/>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1138"/>
    <w:rsid w:val="000B6983"/>
    <w:rsid w:val="00105601"/>
    <w:rsid w:val="00141138"/>
    <w:rsid w:val="0016641F"/>
    <w:rsid w:val="002256B9"/>
    <w:rsid w:val="002A4197"/>
    <w:rsid w:val="002F2A1E"/>
    <w:rsid w:val="00327C6C"/>
    <w:rsid w:val="00494E06"/>
    <w:rsid w:val="004E1CE3"/>
    <w:rsid w:val="00506A5B"/>
    <w:rsid w:val="005E3D00"/>
    <w:rsid w:val="007F0DF8"/>
    <w:rsid w:val="007F540E"/>
    <w:rsid w:val="00816C84"/>
    <w:rsid w:val="00843F3E"/>
    <w:rsid w:val="00923B56"/>
    <w:rsid w:val="009E280D"/>
    <w:rsid w:val="009E51D4"/>
    <w:rsid w:val="00A31A0D"/>
    <w:rsid w:val="00C87B95"/>
    <w:rsid w:val="00CD4EAB"/>
    <w:rsid w:val="00D51B15"/>
    <w:rsid w:val="00D72D5E"/>
    <w:rsid w:val="00D8751A"/>
    <w:rsid w:val="00E012E0"/>
    <w:rsid w:val="00E80853"/>
    <w:rsid w:val="00EC52AD"/>
    <w:rsid w:val="00F210A5"/>
    <w:rsid w:val="00F52148"/>
    <w:rsid w:val="00F52389"/>
    <w:rsid w:val="00FA3C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6626</Words>
  <Characters>37769</Characters>
  <Application>Microsoft Office Word</Application>
  <DocSecurity>4</DocSecurity>
  <Lines>314</Lines>
  <Paragraphs>88</Paragraphs>
  <ScaleCrop>false</ScaleCrop>
  <HeadingPairs>
    <vt:vector size="2" baseType="variant">
      <vt:variant>
        <vt:lpstr>Название</vt:lpstr>
      </vt:variant>
      <vt:variant>
        <vt:i4>1</vt:i4>
      </vt:variant>
    </vt:vector>
  </HeadingPairs>
  <TitlesOfParts>
    <vt:vector size="1" baseType="lpstr">
      <vt:lpstr>0645357</vt:lpstr>
    </vt:vector>
  </TitlesOfParts>
  <Company> </Company>
  <LinksUpToDate>false</LinksUpToDate>
  <CharactersWithSpaces>44307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0645357</dc:title>
  <dc:subject>Andreev</dc:subject>
  <dc:creator>Belova</dc:creator>
  <cp:keywords/>
  <dc:description/>
  <cp:lastModifiedBy>Tatiana Dmitrieva</cp:lastModifiedBy>
  <cp:revision>3</cp:revision>
  <cp:lastPrinted>2007-11-21T12:44:00Z</cp:lastPrinted>
  <dcterms:created xsi:type="dcterms:W3CDTF">2007-11-21T12:44:00Z</dcterms:created>
  <dcterms:modified xsi:type="dcterms:W3CDTF">2007-11-21T12:45:00Z</dcterms:modified>
</cp:coreProperties>
</file>