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Tr="00B213D2">
        <w:trPr>
          <w:trHeight w:hRule="exact" w:val="851"/>
        </w:trPr>
        <w:tc>
          <w:tcPr>
            <w:tcW w:w="1276" w:type="dxa"/>
            <w:tcBorders>
              <w:bottom w:val="single" w:sz="4" w:space="0" w:color="auto"/>
            </w:tcBorders>
          </w:tcPr>
          <w:p w:rsidR="002D5AAC" w:rsidRDefault="002D5AAC" w:rsidP="00B213D2"/>
        </w:tc>
        <w:tc>
          <w:tcPr>
            <w:tcW w:w="2268" w:type="dxa"/>
            <w:tcBorders>
              <w:bottom w:val="single" w:sz="4" w:space="0" w:color="auto"/>
            </w:tcBorders>
            <w:vAlign w:val="bottom"/>
          </w:tcPr>
          <w:p w:rsidR="002D5AAC" w:rsidRPr="00BD33EE" w:rsidRDefault="00BD33EE" w:rsidP="00B213D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E6FF1" w:rsidP="009E6FF1">
            <w:pPr>
              <w:jc w:val="right"/>
            </w:pPr>
            <w:r w:rsidRPr="009E6FF1">
              <w:rPr>
                <w:sz w:val="40"/>
              </w:rPr>
              <w:t>CAT</w:t>
            </w:r>
            <w:r>
              <w:t>/C/PER/7</w:t>
            </w:r>
          </w:p>
        </w:tc>
      </w:tr>
      <w:tr w:rsidR="002D5AAC" w:rsidTr="00B213D2">
        <w:trPr>
          <w:trHeight w:hRule="exact" w:val="2835"/>
        </w:trPr>
        <w:tc>
          <w:tcPr>
            <w:tcW w:w="1276" w:type="dxa"/>
            <w:tcBorders>
              <w:top w:val="single" w:sz="4" w:space="0" w:color="auto"/>
              <w:bottom w:val="single" w:sz="12" w:space="0" w:color="auto"/>
            </w:tcBorders>
          </w:tcPr>
          <w:p w:rsidR="002D5AAC" w:rsidRDefault="008D7A8B" w:rsidP="00B213D2">
            <w:pPr>
              <w:spacing w:before="120"/>
              <w:jc w:val="center"/>
            </w:pPr>
            <w:r>
              <w:rPr>
                <w:noProof/>
              </w:rPr>
              <w:drawing>
                <wp:inline distT="0" distB="0" distL="0" distR="0" wp14:anchorId="30E1A6C9" wp14:editId="5BC83267">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B213D2">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9E6FF1" w:rsidP="009E6FF1">
            <w:pPr>
              <w:spacing w:before="240" w:line="240" w:lineRule="exact"/>
            </w:pPr>
            <w:r>
              <w:t>Distr. general</w:t>
            </w:r>
          </w:p>
          <w:p w:rsidR="00C8443F" w:rsidRDefault="00F6214C" w:rsidP="009E6FF1">
            <w:pPr>
              <w:spacing w:line="240" w:lineRule="exact"/>
            </w:pPr>
            <w:r>
              <w:t>1</w:t>
            </w:r>
            <w:r w:rsidR="00F14ECC">
              <w:t>8</w:t>
            </w:r>
            <w:r w:rsidR="009E6FF1">
              <w:t xml:space="preserve"> de ju</w:t>
            </w:r>
            <w:r w:rsidR="00B35887">
              <w:t>l</w:t>
            </w:r>
            <w:r w:rsidR="009E6FF1">
              <w:t>io de 2017</w:t>
            </w:r>
          </w:p>
          <w:p w:rsidR="00EE13CD" w:rsidRDefault="00EE13CD" w:rsidP="009E6FF1">
            <w:pPr>
              <w:spacing w:line="240" w:lineRule="exact"/>
            </w:pPr>
          </w:p>
          <w:p w:rsidR="009E6FF1" w:rsidRDefault="009E6FF1" w:rsidP="009E6FF1">
            <w:pPr>
              <w:spacing w:line="240" w:lineRule="exact"/>
            </w:pPr>
            <w:r>
              <w:t>Original: español</w:t>
            </w:r>
          </w:p>
          <w:p w:rsidR="002D58DE" w:rsidRDefault="002D58DE" w:rsidP="009E6FF1">
            <w:pPr>
              <w:spacing w:line="240" w:lineRule="exact"/>
            </w:pPr>
            <w:r>
              <w:t>Español, francés e inglés únicamente</w:t>
            </w:r>
          </w:p>
        </w:tc>
      </w:tr>
    </w:tbl>
    <w:p w:rsidR="009614E6" w:rsidRPr="00C0349B" w:rsidRDefault="009614E6" w:rsidP="009614E6">
      <w:pPr>
        <w:spacing w:before="120"/>
        <w:rPr>
          <w:b/>
          <w:sz w:val="24"/>
          <w:szCs w:val="24"/>
        </w:rPr>
      </w:pPr>
      <w:r w:rsidRPr="00C0349B">
        <w:rPr>
          <w:b/>
          <w:sz w:val="24"/>
        </w:rPr>
        <w:t>Comité contra la Tortura</w:t>
      </w:r>
    </w:p>
    <w:p w:rsidR="009614E6" w:rsidRPr="00C0349B" w:rsidRDefault="009614E6" w:rsidP="009614E6">
      <w:pPr>
        <w:keepNext/>
        <w:keepLines/>
        <w:tabs>
          <w:tab w:val="right" w:pos="851"/>
        </w:tabs>
        <w:suppressAutoHyphens/>
        <w:spacing w:before="240" w:after="240" w:line="360" w:lineRule="exact"/>
        <w:ind w:left="1134" w:right="1134" w:hanging="1134"/>
        <w:rPr>
          <w:sz w:val="34"/>
        </w:rPr>
      </w:pPr>
      <w:r w:rsidRPr="00C0349B">
        <w:rPr>
          <w:b/>
          <w:color w:val="000000"/>
          <w:sz w:val="34"/>
        </w:rPr>
        <w:tab/>
      </w:r>
      <w:r w:rsidRPr="00C0349B">
        <w:rPr>
          <w:b/>
          <w:color w:val="000000"/>
          <w:sz w:val="34"/>
        </w:rPr>
        <w:tab/>
      </w:r>
      <w:r w:rsidRPr="00C0349B">
        <w:rPr>
          <w:b/>
          <w:sz w:val="34"/>
        </w:rPr>
        <w:t>Examen de los informes presentados por los Estados partes en virtud del artículo 19 de la Convención con arreglo al procedimiento facultativo de presentación de informes</w:t>
      </w:r>
    </w:p>
    <w:p w:rsidR="009614E6" w:rsidRPr="00C0349B" w:rsidRDefault="009614E6" w:rsidP="009614E6">
      <w:pPr>
        <w:keepNext/>
        <w:keepLines/>
        <w:tabs>
          <w:tab w:val="right" w:pos="851"/>
        </w:tabs>
        <w:suppressAutoHyphens/>
        <w:spacing w:before="360" w:after="240" w:line="300" w:lineRule="exact"/>
        <w:ind w:left="1134" w:right="1134" w:hanging="1134"/>
        <w:rPr>
          <w:b/>
          <w:color w:val="000000"/>
          <w:sz w:val="28"/>
          <w:szCs w:val="28"/>
        </w:rPr>
      </w:pPr>
      <w:r w:rsidRPr="00C0349B">
        <w:rPr>
          <w:b/>
          <w:sz w:val="28"/>
        </w:rPr>
        <w:tab/>
      </w:r>
      <w:r w:rsidRPr="00C0349B">
        <w:rPr>
          <w:b/>
          <w:sz w:val="28"/>
        </w:rPr>
        <w:tab/>
        <w:t>S</w:t>
      </w:r>
      <w:r>
        <w:rPr>
          <w:b/>
          <w:sz w:val="28"/>
        </w:rPr>
        <w:t>éptim</w:t>
      </w:r>
      <w:r w:rsidRPr="00C0349B">
        <w:rPr>
          <w:b/>
          <w:sz w:val="28"/>
        </w:rPr>
        <w:t>o</w:t>
      </w:r>
      <w:r w:rsidR="002A59BF">
        <w:rPr>
          <w:b/>
          <w:sz w:val="28"/>
        </w:rPr>
        <w:t>s</w:t>
      </w:r>
      <w:r w:rsidRPr="00C0349B">
        <w:rPr>
          <w:b/>
          <w:sz w:val="28"/>
        </w:rPr>
        <w:t xml:space="preserve"> informes periódicos que los Estados partes debían presentar en 201</w:t>
      </w:r>
      <w:r>
        <w:rPr>
          <w:b/>
          <w:sz w:val="28"/>
        </w:rPr>
        <w:t>6</w:t>
      </w:r>
    </w:p>
    <w:p w:rsidR="009614E6" w:rsidRPr="00C0349B" w:rsidRDefault="009614E6" w:rsidP="009614E6">
      <w:pPr>
        <w:keepNext/>
        <w:keepLines/>
        <w:tabs>
          <w:tab w:val="right" w:pos="851"/>
        </w:tabs>
        <w:suppressAutoHyphens/>
        <w:spacing w:before="240" w:after="240" w:line="360" w:lineRule="exact"/>
        <w:ind w:left="1134" w:right="1134" w:hanging="1134"/>
        <w:outlineLvl w:val="0"/>
        <w:rPr>
          <w:b/>
          <w:sz w:val="34"/>
        </w:rPr>
      </w:pPr>
      <w:r w:rsidRPr="00C0349B">
        <w:rPr>
          <w:b/>
          <w:sz w:val="34"/>
        </w:rPr>
        <w:tab/>
      </w:r>
      <w:r w:rsidRPr="00C0349B">
        <w:rPr>
          <w:b/>
          <w:sz w:val="34"/>
        </w:rPr>
        <w:tab/>
      </w:r>
      <w:bookmarkStart w:id="0" w:name="_Toc485386517"/>
      <w:r>
        <w:rPr>
          <w:b/>
          <w:sz w:val="34"/>
        </w:rPr>
        <w:t>Per</w:t>
      </w:r>
      <w:r w:rsidRPr="009614E6">
        <w:rPr>
          <w:b/>
          <w:sz w:val="34"/>
        </w:rPr>
        <w:t>ú</w:t>
      </w:r>
      <w:r w:rsidRPr="00574AEE">
        <w:footnoteReference w:customMarkFollows="1" w:id="1"/>
        <w:t>*</w:t>
      </w:r>
      <w:r w:rsidRPr="00F6214C">
        <w:rPr>
          <w:position w:val="4"/>
        </w:rPr>
        <w:t>,</w:t>
      </w:r>
      <w:r w:rsidRPr="00574AEE">
        <w:footnoteReference w:customMarkFollows="1" w:id="2"/>
        <w:t>**</w:t>
      </w:r>
      <w:r w:rsidRPr="00F6214C">
        <w:rPr>
          <w:position w:val="4"/>
        </w:rPr>
        <w:t>,</w:t>
      </w:r>
      <w:r w:rsidRPr="00574AEE">
        <w:footnoteReference w:customMarkFollows="1" w:id="3"/>
        <w:t>***</w:t>
      </w:r>
      <w:bookmarkEnd w:id="0"/>
    </w:p>
    <w:p w:rsidR="008841E9" w:rsidRDefault="009614E6" w:rsidP="008841E9">
      <w:pPr>
        <w:spacing w:after="120"/>
        <w:ind w:left="1134" w:right="1134"/>
        <w:jc w:val="right"/>
      </w:pPr>
      <w:r>
        <w:t>[Fecha de recepción: 13</w:t>
      </w:r>
      <w:r w:rsidRPr="00C0349B">
        <w:t xml:space="preserve"> de </w:t>
      </w:r>
      <w:r>
        <w:t>junio</w:t>
      </w:r>
      <w:r w:rsidRPr="00C0349B">
        <w:t xml:space="preserve"> de 2017]</w:t>
      </w:r>
    </w:p>
    <w:p w:rsidR="0080718F" w:rsidRDefault="008841E9" w:rsidP="00574AEE">
      <w:pPr>
        <w:spacing w:after="120"/>
        <w:rPr>
          <w:sz w:val="28"/>
        </w:rPr>
      </w:pPr>
      <w:r>
        <w:br w:type="page"/>
      </w:r>
      <w:bookmarkStart w:id="1" w:name="_Toc468627292"/>
      <w:r w:rsidR="0080718F">
        <w:rPr>
          <w:sz w:val="28"/>
        </w:rPr>
        <w:lastRenderedPageBreak/>
        <w:t>Índice</w:t>
      </w:r>
    </w:p>
    <w:p w:rsidR="0080718F" w:rsidRDefault="0080718F" w:rsidP="0080718F">
      <w:pPr>
        <w:pStyle w:val="SingleTxtG"/>
        <w:tabs>
          <w:tab w:val="right" w:pos="9638"/>
        </w:tabs>
        <w:ind w:left="283" w:right="0"/>
        <w:jc w:val="left"/>
        <w:rPr>
          <w:sz w:val="18"/>
        </w:rPr>
      </w:pPr>
      <w:r>
        <w:rPr>
          <w:i/>
          <w:sz w:val="18"/>
        </w:rPr>
        <w:tab/>
        <w:t>Página</w:t>
      </w:r>
    </w:p>
    <w:p w:rsidR="0027660F" w:rsidRPr="0027660F" w:rsidRDefault="0027660F" w:rsidP="009C06A6">
      <w:pPr>
        <w:tabs>
          <w:tab w:val="right" w:pos="850"/>
          <w:tab w:val="left" w:pos="1134"/>
          <w:tab w:val="left" w:pos="1559"/>
          <w:tab w:val="left" w:pos="1701"/>
          <w:tab w:val="left" w:leader="dot" w:pos="8929"/>
          <w:tab w:val="right" w:pos="9638"/>
        </w:tabs>
        <w:spacing w:after="120"/>
      </w:pPr>
      <w:r w:rsidRPr="0027660F">
        <w:t>A</w:t>
      </w:r>
      <w:r w:rsidR="009C06A6">
        <w:t>breviaturas y siglas</w:t>
      </w:r>
      <w:r w:rsidRPr="0027660F">
        <w:tab/>
      </w:r>
      <w:r w:rsidR="009C06A6">
        <w:tab/>
      </w:r>
      <w:r w:rsidR="009C06A6">
        <w:tab/>
      </w:r>
      <w:r w:rsidRPr="0027660F">
        <w:t>4</w:t>
      </w:r>
    </w:p>
    <w:p w:rsidR="0027660F" w:rsidRPr="0027660F" w:rsidRDefault="0027660F" w:rsidP="00574AEE">
      <w:pPr>
        <w:pStyle w:val="SingleTxtG"/>
        <w:tabs>
          <w:tab w:val="right" w:pos="850"/>
          <w:tab w:val="left" w:pos="1134"/>
          <w:tab w:val="left" w:pos="1559"/>
          <w:tab w:val="left" w:pos="1984"/>
          <w:tab w:val="left" w:leader="dot" w:pos="8787"/>
          <w:tab w:val="right" w:pos="9638"/>
        </w:tabs>
        <w:ind w:left="0" w:right="0"/>
        <w:jc w:val="left"/>
      </w:pPr>
      <w:r w:rsidRPr="0027660F">
        <w:tab/>
        <w:t>I.</w:t>
      </w:r>
      <w:r w:rsidRPr="0027660F">
        <w:tab/>
        <w:t>Introducción</w:t>
      </w:r>
      <w:r w:rsidRPr="0027660F">
        <w:tab/>
      </w:r>
      <w:r w:rsidR="009C06A6">
        <w:tab/>
      </w:r>
      <w:r w:rsidRPr="0027660F">
        <w:t>6</w:t>
      </w:r>
    </w:p>
    <w:p w:rsidR="0027660F" w:rsidRPr="0027660F" w:rsidRDefault="0027660F" w:rsidP="0027660F">
      <w:pPr>
        <w:tabs>
          <w:tab w:val="right" w:pos="850"/>
          <w:tab w:val="left" w:pos="1134"/>
          <w:tab w:val="left" w:pos="1559"/>
          <w:tab w:val="left" w:pos="1984"/>
          <w:tab w:val="left" w:leader="dot" w:pos="8929"/>
          <w:tab w:val="right" w:pos="9638"/>
        </w:tabs>
        <w:spacing w:after="120"/>
      </w:pPr>
      <w:r>
        <w:tab/>
      </w:r>
      <w:r w:rsidRPr="0027660F">
        <w:t>II.</w:t>
      </w:r>
      <w:r w:rsidRPr="0027660F">
        <w:tab/>
        <w:t>Información relativa a los artículos de la Convención</w:t>
      </w:r>
      <w:r w:rsidRPr="0027660F">
        <w:tab/>
      </w:r>
      <w:r w:rsidR="009C06A6">
        <w:tab/>
      </w:r>
      <w:r w:rsidRPr="0027660F">
        <w:t>6</w:t>
      </w:r>
    </w:p>
    <w:p w:rsidR="0027660F" w:rsidRPr="0027660F" w:rsidRDefault="00C8443F" w:rsidP="0027660F">
      <w:pPr>
        <w:tabs>
          <w:tab w:val="right" w:pos="850"/>
          <w:tab w:val="left" w:pos="1134"/>
          <w:tab w:val="left" w:pos="1559"/>
          <w:tab w:val="left" w:pos="1984"/>
          <w:tab w:val="left" w:leader="dot" w:pos="8929"/>
          <w:tab w:val="right" w:pos="9638"/>
        </w:tabs>
        <w:spacing w:after="120"/>
      </w:pPr>
      <w:r>
        <w:tab/>
      </w:r>
      <w:r>
        <w:tab/>
      </w:r>
      <w:r w:rsidR="0027660F" w:rsidRPr="0027660F">
        <w:t>Artículo 1°</w:t>
      </w:r>
      <w:r w:rsidR="0027660F" w:rsidRPr="0027660F">
        <w:tab/>
      </w:r>
      <w:r w:rsidR="009C06A6">
        <w:tab/>
      </w:r>
      <w:r w:rsidR="0027660F" w:rsidRPr="0027660F">
        <w:t>6</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rsidR="00C8443F">
        <w:tab/>
      </w:r>
      <w:r w:rsidR="00C8443F">
        <w:tab/>
      </w:r>
      <w:r w:rsidR="0027660F" w:rsidRPr="0027660F">
        <w:t>Respuesta al párrafo 1 de la Lista de Cuestiones</w:t>
      </w:r>
      <w:r w:rsidR="0027660F" w:rsidRPr="0027660F">
        <w:tab/>
      </w:r>
      <w:r w:rsidR="009C06A6">
        <w:tab/>
      </w:r>
      <w:r w:rsidR="0027660F" w:rsidRPr="0027660F">
        <w:t>6</w:t>
      </w:r>
    </w:p>
    <w:p w:rsidR="0027660F" w:rsidRPr="0027660F" w:rsidRDefault="00C8443F" w:rsidP="0027660F">
      <w:pPr>
        <w:tabs>
          <w:tab w:val="right" w:pos="850"/>
          <w:tab w:val="left" w:pos="1134"/>
          <w:tab w:val="left" w:pos="1559"/>
          <w:tab w:val="left" w:pos="1984"/>
          <w:tab w:val="left" w:leader="dot" w:pos="8929"/>
          <w:tab w:val="right" w:pos="9638"/>
        </w:tabs>
        <w:spacing w:after="120"/>
      </w:pPr>
      <w:r>
        <w:tab/>
      </w:r>
      <w:r>
        <w:tab/>
      </w:r>
      <w:r w:rsidR="0027660F" w:rsidRPr="0027660F">
        <w:t>Artículo 2°</w:t>
      </w:r>
      <w:r w:rsidR="0027660F" w:rsidRPr="0027660F">
        <w:tab/>
      </w:r>
      <w:r w:rsidR="009C06A6">
        <w:tab/>
      </w:r>
      <w:r w:rsidR="0027660F" w:rsidRPr="0027660F">
        <w:t>7</w:t>
      </w:r>
    </w:p>
    <w:p w:rsidR="0027660F" w:rsidRPr="0027660F" w:rsidRDefault="00C8443F" w:rsidP="0027660F">
      <w:pPr>
        <w:tabs>
          <w:tab w:val="right" w:pos="850"/>
          <w:tab w:val="left" w:pos="1134"/>
          <w:tab w:val="left" w:pos="1559"/>
          <w:tab w:val="left" w:pos="1984"/>
          <w:tab w:val="left" w:leader="dot" w:pos="8929"/>
          <w:tab w:val="right" w:pos="9638"/>
        </w:tabs>
        <w:spacing w:after="120"/>
      </w:pPr>
      <w:r>
        <w:tab/>
      </w:r>
      <w:r w:rsidR="005F13B0">
        <w:tab/>
      </w:r>
      <w:r>
        <w:tab/>
      </w:r>
      <w:r w:rsidR="0027660F" w:rsidRPr="0027660F">
        <w:t>Respuesta al párrafo 2</w:t>
      </w:r>
      <w:r w:rsidR="0027660F" w:rsidRPr="0027660F">
        <w:tab/>
      </w:r>
      <w:r w:rsidR="009C06A6">
        <w:tab/>
      </w:r>
      <w:r w:rsidR="0027660F" w:rsidRPr="0027660F">
        <w:t>7</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rsidR="00C8443F">
        <w:tab/>
      </w:r>
      <w:r w:rsidR="00C8443F">
        <w:tab/>
      </w:r>
      <w:r w:rsidR="0027660F" w:rsidRPr="0027660F">
        <w:t>Respuesta al párrafo 3</w:t>
      </w:r>
      <w:r w:rsidR="0027660F" w:rsidRPr="0027660F">
        <w:tab/>
      </w:r>
      <w:r w:rsidR="009C06A6">
        <w:tab/>
      </w:r>
      <w:r w:rsidR="0027660F" w:rsidRPr="0027660F">
        <w:t>8</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rsidR="00C8443F">
        <w:tab/>
      </w:r>
      <w:r w:rsidR="00C8443F">
        <w:tab/>
      </w:r>
      <w:r w:rsidR="0027660F" w:rsidRPr="0027660F">
        <w:t>Respuesta al párrafo 4</w:t>
      </w:r>
      <w:r w:rsidR="0027660F" w:rsidRPr="0027660F">
        <w:tab/>
      </w:r>
      <w:r w:rsidR="009C06A6">
        <w:tab/>
        <w:t>9</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tab/>
      </w:r>
      <w:r w:rsidR="0027660F" w:rsidRPr="0027660F">
        <w:tab/>
        <w:t>Respuesta al párrafo 5</w:t>
      </w:r>
      <w:r w:rsidR="0027660F" w:rsidRPr="0027660F">
        <w:tab/>
      </w:r>
      <w:r w:rsidR="009C06A6">
        <w:tab/>
        <w:t>9</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tab/>
      </w:r>
      <w:r w:rsidR="0027660F" w:rsidRPr="0027660F">
        <w:tab/>
        <w:t>Respuesta al párrafo 6</w:t>
      </w:r>
      <w:r w:rsidR="0027660F" w:rsidRPr="0027660F">
        <w:tab/>
      </w:r>
      <w:r w:rsidR="009C06A6">
        <w:tab/>
      </w:r>
      <w:r w:rsidR="002E09A1">
        <w:t>9</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tab/>
      </w:r>
      <w:r w:rsidR="0027660F" w:rsidRPr="0027660F">
        <w:tab/>
        <w:t>Respuesta al párrafo 7</w:t>
      </w:r>
      <w:r w:rsidR="0027660F" w:rsidRPr="0027660F">
        <w:tab/>
      </w:r>
      <w:r w:rsidR="009C06A6">
        <w:tab/>
      </w:r>
      <w:r w:rsidR="0027660F" w:rsidRPr="0027660F">
        <w:t>1</w:t>
      </w:r>
      <w:r w:rsidR="002E09A1">
        <w:t>1</w:t>
      </w:r>
    </w:p>
    <w:p w:rsidR="0027660F" w:rsidRPr="0027660F" w:rsidRDefault="00C8443F" w:rsidP="0027660F">
      <w:pPr>
        <w:tabs>
          <w:tab w:val="right" w:pos="850"/>
          <w:tab w:val="left" w:pos="1134"/>
          <w:tab w:val="left" w:pos="1559"/>
          <w:tab w:val="left" w:pos="1984"/>
          <w:tab w:val="left" w:leader="dot" w:pos="8929"/>
          <w:tab w:val="right" w:pos="9638"/>
        </w:tabs>
        <w:spacing w:after="120"/>
      </w:pPr>
      <w:r>
        <w:tab/>
      </w:r>
      <w:r w:rsidR="0027660F" w:rsidRPr="0027660F">
        <w:tab/>
        <w:t>Artículo 3°</w:t>
      </w:r>
      <w:r w:rsidR="0027660F" w:rsidRPr="0027660F">
        <w:tab/>
      </w:r>
      <w:r w:rsidR="009C06A6">
        <w:tab/>
      </w:r>
      <w:r w:rsidR="0027660F" w:rsidRPr="0027660F">
        <w:t>1</w:t>
      </w:r>
      <w:r w:rsidR="009C06A6">
        <w:t>4</w:t>
      </w:r>
    </w:p>
    <w:p w:rsidR="0027660F" w:rsidRPr="0027660F" w:rsidRDefault="00C8443F" w:rsidP="0027660F">
      <w:pPr>
        <w:tabs>
          <w:tab w:val="right" w:pos="850"/>
          <w:tab w:val="left" w:pos="1134"/>
          <w:tab w:val="left" w:pos="1559"/>
          <w:tab w:val="left" w:pos="1984"/>
          <w:tab w:val="left" w:leader="dot" w:pos="8929"/>
          <w:tab w:val="right" w:pos="9638"/>
        </w:tabs>
        <w:spacing w:after="120"/>
      </w:pPr>
      <w:r>
        <w:tab/>
      </w:r>
      <w:r>
        <w:tab/>
      </w:r>
      <w:r w:rsidR="0027660F" w:rsidRPr="0027660F">
        <w:tab/>
        <w:t>Respuesta al párrafo 8</w:t>
      </w:r>
      <w:r w:rsidR="0027660F" w:rsidRPr="0027660F">
        <w:tab/>
      </w:r>
      <w:r w:rsidR="009C06A6">
        <w:tab/>
      </w:r>
      <w:r w:rsidR="0027660F" w:rsidRPr="0027660F">
        <w:t>1</w:t>
      </w:r>
      <w:r w:rsidR="009C06A6">
        <w:t>4</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tab/>
      </w:r>
      <w:r>
        <w:tab/>
      </w:r>
      <w:r w:rsidR="0027660F" w:rsidRPr="0027660F">
        <w:t>Respuesta al párrafo 9</w:t>
      </w:r>
      <w:r w:rsidR="0027660F" w:rsidRPr="0027660F">
        <w:tab/>
      </w:r>
      <w:r w:rsidR="009C06A6">
        <w:tab/>
      </w:r>
      <w:r w:rsidR="0027660F" w:rsidRPr="0027660F">
        <w:t>1</w:t>
      </w:r>
      <w:r w:rsidR="00E76C78">
        <w:t>4</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tab/>
      </w:r>
      <w:r w:rsidR="0027660F" w:rsidRPr="0027660F">
        <w:tab/>
        <w:t>Respuesta al párrafo 10</w:t>
      </w:r>
      <w:r w:rsidR="0027660F" w:rsidRPr="0027660F">
        <w:tab/>
      </w:r>
      <w:r w:rsidR="009C06A6">
        <w:tab/>
      </w:r>
      <w:r w:rsidR="0027660F" w:rsidRPr="0027660F">
        <w:t>1</w:t>
      </w:r>
      <w:r w:rsidR="00E76C78">
        <w:t>5</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rsidR="0027660F" w:rsidRPr="0027660F">
        <w:tab/>
        <w:t>Artículo 5° a 9°</w:t>
      </w:r>
      <w:r w:rsidR="0027660F" w:rsidRPr="0027660F">
        <w:tab/>
      </w:r>
      <w:r w:rsidR="009C06A6">
        <w:tab/>
      </w:r>
      <w:r w:rsidR="0027660F" w:rsidRPr="0027660F">
        <w:t>1</w:t>
      </w:r>
      <w:r w:rsidR="00E76C78">
        <w:t>5</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tab/>
      </w:r>
      <w:r w:rsidR="0027660F" w:rsidRPr="0027660F">
        <w:tab/>
        <w:t>Respuesta al párrafo 11</w:t>
      </w:r>
      <w:r w:rsidR="0027660F" w:rsidRPr="0027660F">
        <w:tab/>
      </w:r>
      <w:r w:rsidR="009C06A6">
        <w:tab/>
      </w:r>
      <w:r w:rsidR="0027660F" w:rsidRPr="0027660F">
        <w:t>1</w:t>
      </w:r>
      <w:r w:rsidR="00E76C78">
        <w:t>5</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tab/>
      </w:r>
      <w:r w:rsidR="0027660F" w:rsidRPr="0027660F">
        <w:tab/>
        <w:t>Respuesta al párrafo 12</w:t>
      </w:r>
      <w:r w:rsidR="0027660F" w:rsidRPr="0027660F">
        <w:tab/>
      </w:r>
      <w:r w:rsidR="009C06A6">
        <w:tab/>
      </w:r>
      <w:r w:rsidR="0027660F" w:rsidRPr="0027660F">
        <w:t>1</w:t>
      </w:r>
      <w:r w:rsidR="00E76C78">
        <w:t>5</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tab/>
      </w:r>
      <w:r>
        <w:tab/>
      </w:r>
      <w:r w:rsidR="0027660F" w:rsidRPr="0027660F">
        <w:t>Respuesta al párrafo 13</w:t>
      </w:r>
      <w:r w:rsidR="0027660F" w:rsidRPr="0027660F">
        <w:tab/>
      </w:r>
      <w:r w:rsidR="009C06A6">
        <w:tab/>
      </w:r>
      <w:r w:rsidR="0027660F" w:rsidRPr="0027660F">
        <w:t>1</w:t>
      </w:r>
      <w:r w:rsidR="009C06A6">
        <w:t>6</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tab/>
      </w:r>
      <w:r w:rsidR="0027660F" w:rsidRPr="0027660F">
        <w:t>Artículo 10°</w:t>
      </w:r>
      <w:r w:rsidR="0027660F" w:rsidRPr="0027660F">
        <w:tab/>
      </w:r>
      <w:r w:rsidR="009C06A6">
        <w:tab/>
      </w:r>
      <w:r w:rsidR="0027660F" w:rsidRPr="0027660F">
        <w:t>1</w:t>
      </w:r>
      <w:r w:rsidR="00E76C78">
        <w:t>6</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tab/>
      </w:r>
      <w:r>
        <w:tab/>
      </w:r>
      <w:r w:rsidR="0027660F" w:rsidRPr="0027660F">
        <w:t>Respuesta al párrafo 14</w:t>
      </w:r>
      <w:r w:rsidR="0027660F" w:rsidRPr="0027660F">
        <w:tab/>
      </w:r>
      <w:r w:rsidR="009C06A6">
        <w:tab/>
      </w:r>
      <w:r w:rsidR="0027660F" w:rsidRPr="0027660F">
        <w:t>1</w:t>
      </w:r>
      <w:r w:rsidR="00E76C78">
        <w:t>6</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tab/>
      </w:r>
      <w:r w:rsidR="0027660F" w:rsidRPr="0027660F">
        <w:t>Artículo 11°</w:t>
      </w:r>
      <w:r w:rsidR="0027660F" w:rsidRPr="0027660F">
        <w:tab/>
      </w:r>
      <w:r w:rsidR="009C06A6">
        <w:tab/>
      </w:r>
      <w:r w:rsidR="0027660F" w:rsidRPr="0027660F">
        <w:t>1</w:t>
      </w:r>
      <w:r w:rsidR="009C06A6">
        <w:t>8</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tab/>
      </w:r>
      <w:r w:rsidR="0027660F" w:rsidRPr="0027660F">
        <w:tab/>
        <w:t>Respuesta al párrafo 16 al 19</w:t>
      </w:r>
      <w:r w:rsidR="0027660F" w:rsidRPr="0027660F">
        <w:tab/>
      </w:r>
      <w:r w:rsidR="009C06A6">
        <w:tab/>
      </w:r>
      <w:r w:rsidR="0027660F" w:rsidRPr="0027660F">
        <w:t>1</w:t>
      </w:r>
      <w:r w:rsidR="00E76C78">
        <w:t>8</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tab/>
      </w:r>
      <w:r w:rsidR="0027660F" w:rsidRPr="0027660F">
        <w:tab/>
        <w:t>Respuesta al párrafo 20</w:t>
      </w:r>
      <w:r w:rsidR="0027660F" w:rsidRPr="0027660F">
        <w:tab/>
      </w:r>
      <w:r w:rsidR="009C06A6">
        <w:tab/>
      </w:r>
      <w:r w:rsidR="0027660F" w:rsidRPr="0027660F">
        <w:t>2</w:t>
      </w:r>
      <w:r w:rsidR="00E76C78">
        <w:t>3</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rsidR="0027660F" w:rsidRPr="0027660F">
        <w:tab/>
        <w:t>Artículo 12° y 13°</w:t>
      </w:r>
      <w:r w:rsidR="0027660F" w:rsidRPr="0027660F">
        <w:tab/>
      </w:r>
      <w:r w:rsidR="009C06A6">
        <w:tab/>
      </w:r>
      <w:r w:rsidR="0027660F" w:rsidRPr="0027660F">
        <w:t>2</w:t>
      </w:r>
      <w:r w:rsidR="00E76C78">
        <w:t>4</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tab/>
      </w:r>
      <w:r w:rsidR="0027660F" w:rsidRPr="0027660F">
        <w:tab/>
        <w:t>Respuesta al párrafo 21</w:t>
      </w:r>
      <w:r w:rsidR="0027660F" w:rsidRPr="0027660F">
        <w:tab/>
      </w:r>
      <w:r w:rsidR="009C06A6">
        <w:tab/>
      </w:r>
      <w:r w:rsidR="0027660F" w:rsidRPr="0027660F">
        <w:t>2</w:t>
      </w:r>
      <w:r w:rsidR="00E76C78">
        <w:t>4</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tab/>
      </w:r>
      <w:r>
        <w:tab/>
      </w:r>
      <w:r w:rsidR="0027660F" w:rsidRPr="0027660F">
        <w:t>Respuesta al párrafo 22</w:t>
      </w:r>
      <w:r w:rsidR="0027660F" w:rsidRPr="0027660F">
        <w:tab/>
      </w:r>
      <w:r w:rsidR="009C06A6">
        <w:tab/>
      </w:r>
      <w:r w:rsidR="0027660F" w:rsidRPr="0027660F">
        <w:t>2</w:t>
      </w:r>
      <w:r w:rsidR="00E76C78">
        <w:t>5</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tab/>
      </w:r>
      <w:r>
        <w:tab/>
      </w:r>
      <w:r w:rsidR="0027660F" w:rsidRPr="0027660F">
        <w:t>Respuesta al párrafo 23</w:t>
      </w:r>
      <w:r w:rsidR="0027660F" w:rsidRPr="0027660F">
        <w:tab/>
      </w:r>
      <w:r w:rsidR="009C06A6">
        <w:tab/>
      </w:r>
      <w:r w:rsidR="0027660F" w:rsidRPr="0027660F">
        <w:t>2</w:t>
      </w:r>
      <w:r w:rsidR="00E76C78">
        <w:t>6</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tab/>
      </w:r>
      <w:r w:rsidR="0027660F" w:rsidRPr="0027660F">
        <w:tab/>
        <w:t>Respuesta al párrafo 24</w:t>
      </w:r>
      <w:r w:rsidR="0027660F" w:rsidRPr="0027660F">
        <w:tab/>
      </w:r>
      <w:r w:rsidR="009C06A6">
        <w:tab/>
      </w:r>
      <w:r w:rsidR="0027660F" w:rsidRPr="0027660F">
        <w:t>2</w:t>
      </w:r>
      <w:r w:rsidR="00BE545A">
        <w:t>7</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tab/>
      </w:r>
      <w:r>
        <w:tab/>
      </w:r>
      <w:r w:rsidR="0027660F" w:rsidRPr="0027660F">
        <w:t>Respuesta al párrafo 25</w:t>
      </w:r>
      <w:r w:rsidR="0027660F" w:rsidRPr="0027660F">
        <w:tab/>
      </w:r>
      <w:r w:rsidR="009C06A6">
        <w:tab/>
      </w:r>
      <w:r w:rsidR="0027660F" w:rsidRPr="0027660F">
        <w:t>2</w:t>
      </w:r>
      <w:r w:rsidR="00BE545A">
        <w:t>8</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tab/>
      </w:r>
      <w:r w:rsidR="0027660F" w:rsidRPr="0027660F">
        <w:tab/>
        <w:t>Respuesta al párrafo 26</w:t>
      </w:r>
      <w:r w:rsidR="0027660F" w:rsidRPr="0027660F">
        <w:tab/>
      </w:r>
      <w:r w:rsidR="009C06A6">
        <w:tab/>
      </w:r>
      <w:r w:rsidR="0027660F" w:rsidRPr="0027660F">
        <w:t>2</w:t>
      </w:r>
      <w:r w:rsidR="00E76C78">
        <w:t>8</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tab/>
      </w:r>
      <w:r>
        <w:tab/>
      </w:r>
      <w:r w:rsidR="0027660F" w:rsidRPr="0027660F">
        <w:t>Respuesta al párrafo 27</w:t>
      </w:r>
      <w:r w:rsidR="0027660F" w:rsidRPr="0027660F">
        <w:tab/>
      </w:r>
      <w:r w:rsidR="009C06A6">
        <w:tab/>
      </w:r>
      <w:r w:rsidR="0027660F" w:rsidRPr="0027660F">
        <w:t>2</w:t>
      </w:r>
      <w:r w:rsidR="00BE545A">
        <w:t>9</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tab/>
      </w:r>
      <w:r>
        <w:tab/>
      </w:r>
      <w:r w:rsidR="0027660F" w:rsidRPr="0027660F">
        <w:t>Respuesta al párrafo 28</w:t>
      </w:r>
      <w:r w:rsidR="0027660F" w:rsidRPr="0027660F">
        <w:tab/>
      </w:r>
      <w:r w:rsidR="009C06A6">
        <w:tab/>
      </w:r>
      <w:r w:rsidR="0027660F" w:rsidRPr="0027660F">
        <w:t>2</w:t>
      </w:r>
      <w:r w:rsidR="00E76C78">
        <w:t>9</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tab/>
      </w:r>
      <w:r>
        <w:tab/>
      </w:r>
      <w:r w:rsidR="0027660F" w:rsidRPr="0027660F">
        <w:t>Respuesta al párrafo 29</w:t>
      </w:r>
      <w:r w:rsidR="0027660F" w:rsidRPr="0027660F">
        <w:tab/>
      </w:r>
      <w:r w:rsidR="009C06A6">
        <w:tab/>
      </w:r>
      <w:r w:rsidR="00BE545A">
        <w:t>31</w:t>
      </w:r>
    </w:p>
    <w:p w:rsidR="002D58DE" w:rsidRDefault="005F13B0" w:rsidP="0027660F">
      <w:pPr>
        <w:tabs>
          <w:tab w:val="right" w:pos="850"/>
          <w:tab w:val="left" w:pos="1134"/>
          <w:tab w:val="left" w:pos="1559"/>
          <w:tab w:val="left" w:pos="1984"/>
          <w:tab w:val="left" w:leader="dot" w:pos="8929"/>
          <w:tab w:val="right" w:pos="9638"/>
        </w:tabs>
        <w:spacing w:after="120"/>
      </w:pPr>
      <w:r>
        <w:tab/>
      </w:r>
      <w:r>
        <w:tab/>
      </w:r>
      <w:r w:rsidR="0027660F" w:rsidRPr="0027660F">
        <w:tab/>
        <w:t>Respuesta al párrafo 31</w:t>
      </w:r>
      <w:r w:rsidR="0027660F" w:rsidRPr="0027660F">
        <w:tab/>
      </w:r>
      <w:r w:rsidR="009C06A6">
        <w:tab/>
      </w:r>
      <w:r w:rsidR="00E76C78">
        <w:t>3</w:t>
      </w:r>
      <w:r w:rsidR="00BE545A">
        <w:t>3</w:t>
      </w:r>
    </w:p>
    <w:p w:rsidR="0027660F" w:rsidRPr="0027660F" w:rsidRDefault="002D58DE" w:rsidP="00574AEE">
      <w:pPr>
        <w:keepNext/>
        <w:tabs>
          <w:tab w:val="right" w:pos="850"/>
          <w:tab w:val="left" w:pos="1134"/>
          <w:tab w:val="left" w:pos="1559"/>
          <w:tab w:val="left" w:pos="1984"/>
          <w:tab w:val="left" w:leader="dot" w:pos="8929"/>
          <w:tab w:val="right" w:pos="9638"/>
        </w:tabs>
        <w:spacing w:after="120"/>
      </w:pPr>
      <w:r>
        <w:lastRenderedPageBreak/>
        <w:tab/>
      </w:r>
      <w:r>
        <w:tab/>
      </w:r>
      <w:r w:rsidR="0027660F" w:rsidRPr="0027660F">
        <w:t>Artículo 14°</w:t>
      </w:r>
      <w:r w:rsidR="0027660F" w:rsidRPr="0027660F">
        <w:tab/>
      </w:r>
      <w:r w:rsidR="009C06A6">
        <w:tab/>
      </w:r>
      <w:r w:rsidR="00E76C78">
        <w:t>33</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tab/>
      </w:r>
      <w:r>
        <w:tab/>
      </w:r>
      <w:r w:rsidR="0027660F" w:rsidRPr="0027660F">
        <w:t>Respuesta al párrafos 32 al 33</w:t>
      </w:r>
      <w:r w:rsidR="0027660F" w:rsidRPr="0027660F">
        <w:tab/>
      </w:r>
      <w:r w:rsidR="009C06A6">
        <w:tab/>
      </w:r>
      <w:r w:rsidR="00E76C78">
        <w:t>33</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tab/>
      </w:r>
      <w:r>
        <w:tab/>
      </w:r>
      <w:r w:rsidR="0027660F" w:rsidRPr="0027660F">
        <w:t>Respuesta al párrafo 34</w:t>
      </w:r>
      <w:r w:rsidR="0027660F" w:rsidRPr="0027660F">
        <w:tab/>
      </w:r>
      <w:r w:rsidR="009C06A6">
        <w:tab/>
      </w:r>
      <w:r w:rsidR="00E76C78">
        <w:t>33</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tab/>
      </w:r>
      <w:r w:rsidR="0027660F" w:rsidRPr="0027660F">
        <w:t>Artículo 15°</w:t>
      </w:r>
      <w:r w:rsidR="0027660F" w:rsidRPr="0027660F">
        <w:tab/>
      </w:r>
      <w:r w:rsidR="009C06A6">
        <w:tab/>
      </w:r>
      <w:r w:rsidR="0027660F" w:rsidRPr="0027660F">
        <w:t>3</w:t>
      </w:r>
      <w:r w:rsidR="00E76C78">
        <w:t>7</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tab/>
      </w:r>
      <w:r w:rsidR="0027660F" w:rsidRPr="0027660F">
        <w:tab/>
        <w:t>Respuesta al párrafo 35</w:t>
      </w:r>
      <w:r w:rsidR="0027660F" w:rsidRPr="0027660F">
        <w:tab/>
      </w:r>
      <w:r w:rsidR="009C06A6">
        <w:tab/>
      </w:r>
      <w:r w:rsidR="0027660F" w:rsidRPr="0027660F">
        <w:t>3</w:t>
      </w:r>
      <w:r w:rsidR="00E76C78">
        <w:t>7</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rsidR="0027660F" w:rsidRPr="0027660F">
        <w:tab/>
        <w:t>Artículo 16°</w:t>
      </w:r>
      <w:r w:rsidR="0027660F" w:rsidRPr="0027660F">
        <w:tab/>
      </w:r>
      <w:r w:rsidR="009C06A6">
        <w:tab/>
      </w:r>
      <w:r w:rsidR="0027660F" w:rsidRPr="0027660F">
        <w:t>3</w:t>
      </w:r>
      <w:r w:rsidR="009C06A6">
        <w:t>8</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tab/>
      </w:r>
      <w:r w:rsidR="0027660F" w:rsidRPr="0027660F">
        <w:t>Respuesta al párrafo 36</w:t>
      </w:r>
      <w:r w:rsidR="0027660F" w:rsidRPr="0027660F">
        <w:tab/>
      </w:r>
      <w:r w:rsidR="009C06A6">
        <w:tab/>
      </w:r>
      <w:r w:rsidR="0027660F" w:rsidRPr="0027660F">
        <w:t>3</w:t>
      </w:r>
      <w:r w:rsidR="009C06A6">
        <w:t>8</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tab/>
      </w:r>
      <w:r w:rsidR="0027660F" w:rsidRPr="0027660F">
        <w:tab/>
        <w:t>Respuesta al párrafo 37</w:t>
      </w:r>
      <w:r w:rsidR="0027660F" w:rsidRPr="0027660F">
        <w:tab/>
      </w:r>
      <w:r w:rsidR="009C06A6">
        <w:tab/>
      </w:r>
      <w:r w:rsidR="0027660F" w:rsidRPr="0027660F">
        <w:t>3</w:t>
      </w:r>
      <w:r w:rsidR="009C06A6">
        <w:t>8</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tab/>
      </w:r>
      <w:r w:rsidR="0027660F" w:rsidRPr="0027660F">
        <w:tab/>
        <w:t>Respuesta al párrafo 38</w:t>
      </w:r>
      <w:r w:rsidR="0027660F" w:rsidRPr="0027660F">
        <w:tab/>
      </w:r>
      <w:r w:rsidR="009C06A6">
        <w:tab/>
      </w:r>
      <w:r w:rsidR="0027660F" w:rsidRPr="0027660F">
        <w:t>3</w:t>
      </w:r>
      <w:r w:rsidR="00E76C78">
        <w:t>8</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tab/>
      </w:r>
      <w:r>
        <w:tab/>
      </w:r>
      <w:r w:rsidR="0027660F" w:rsidRPr="0027660F">
        <w:t>Respuesta al párrafo 39</w:t>
      </w:r>
      <w:r w:rsidR="0027660F" w:rsidRPr="0027660F">
        <w:tab/>
      </w:r>
      <w:r w:rsidR="009C06A6">
        <w:tab/>
      </w:r>
      <w:r w:rsidR="0027660F" w:rsidRPr="0027660F">
        <w:t>3</w:t>
      </w:r>
      <w:r w:rsidR="009C06A6">
        <w:t>9</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tab/>
      </w:r>
      <w:r w:rsidR="0027660F" w:rsidRPr="0027660F">
        <w:tab/>
        <w:t>Respuesta al párrafo 40</w:t>
      </w:r>
      <w:r w:rsidR="0027660F" w:rsidRPr="0027660F">
        <w:tab/>
      </w:r>
      <w:r w:rsidR="009C06A6">
        <w:tab/>
        <w:t>40</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rsidR="0027660F" w:rsidRPr="0027660F">
        <w:t>III.</w:t>
      </w:r>
      <w:r w:rsidR="0027660F" w:rsidRPr="0027660F">
        <w:tab/>
        <w:t>Otras cuestiones</w:t>
      </w:r>
      <w:r w:rsidR="0027660F" w:rsidRPr="0027660F">
        <w:tab/>
      </w:r>
      <w:r w:rsidR="009C06A6">
        <w:tab/>
      </w:r>
      <w:r w:rsidR="00E76C78">
        <w:t>40</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tab/>
      </w:r>
      <w:r>
        <w:tab/>
      </w:r>
      <w:r w:rsidR="0027660F" w:rsidRPr="0027660F">
        <w:t>Respuesta al párrafo 41</w:t>
      </w:r>
      <w:r w:rsidR="0027660F" w:rsidRPr="0027660F">
        <w:tab/>
      </w:r>
      <w:r w:rsidR="009C06A6">
        <w:tab/>
      </w:r>
      <w:r w:rsidR="00E76C78">
        <w:t>40</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rsidR="0027660F" w:rsidRPr="0027660F">
        <w:t>IV.</w:t>
      </w:r>
      <w:r w:rsidR="0027660F" w:rsidRPr="0027660F">
        <w:tab/>
        <w:t>Información sobre otras medidas y acontecimientos relativos a la aplicación de la Convención</w:t>
      </w:r>
      <w:r w:rsidR="0027660F" w:rsidRPr="0027660F">
        <w:tab/>
      </w:r>
      <w:r w:rsidR="009C06A6">
        <w:tab/>
      </w:r>
      <w:r w:rsidR="00E76C78">
        <w:t>4</w:t>
      </w:r>
      <w:r w:rsidR="0080718F">
        <w:t>1</w:t>
      </w:r>
    </w:p>
    <w:p w:rsidR="0027660F" w:rsidRPr="0027660F" w:rsidRDefault="005F13B0" w:rsidP="0027660F">
      <w:pPr>
        <w:tabs>
          <w:tab w:val="right" w:pos="850"/>
          <w:tab w:val="left" w:pos="1134"/>
          <w:tab w:val="left" w:pos="1559"/>
          <w:tab w:val="left" w:pos="1984"/>
          <w:tab w:val="left" w:leader="dot" w:pos="8929"/>
          <w:tab w:val="right" w:pos="9638"/>
        </w:tabs>
        <w:spacing w:after="120"/>
      </w:pPr>
      <w:r>
        <w:tab/>
      </w:r>
      <w:r w:rsidR="00E76C78">
        <w:t>V.</w:t>
      </w:r>
      <w:r w:rsidR="00E76C78">
        <w:tab/>
        <w:t>Conclusiones</w:t>
      </w:r>
      <w:r w:rsidR="00E76C78">
        <w:tab/>
      </w:r>
      <w:r w:rsidR="009C06A6">
        <w:tab/>
      </w:r>
      <w:r w:rsidR="00E76C78">
        <w:t>4</w:t>
      </w:r>
      <w:r w:rsidR="0080718F">
        <w:t>2</w:t>
      </w:r>
    </w:p>
    <w:p w:rsidR="00C8443F" w:rsidRPr="00C8443F" w:rsidRDefault="0027660F" w:rsidP="00574AEE">
      <w:pPr>
        <w:pStyle w:val="HChG"/>
        <w:rPr>
          <w:lang w:val="es-PE" w:eastAsia="en-US"/>
        </w:rPr>
      </w:pPr>
      <w:r>
        <w:br w:type="page"/>
      </w:r>
      <w:bookmarkStart w:id="2" w:name="_Toc484774058"/>
      <w:bookmarkEnd w:id="1"/>
      <w:r w:rsidR="002A208C">
        <w:lastRenderedPageBreak/>
        <w:tab/>
      </w:r>
      <w:r w:rsidR="002A208C">
        <w:tab/>
      </w:r>
      <w:r w:rsidR="00C8443F" w:rsidRPr="00C8443F">
        <w:rPr>
          <w:lang w:val="es-PE" w:eastAsia="en-US"/>
        </w:rPr>
        <w:t>A</w:t>
      </w:r>
      <w:r w:rsidR="00234021" w:rsidRPr="00C8443F">
        <w:rPr>
          <w:lang w:val="es-PE" w:eastAsia="en-US"/>
        </w:rPr>
        <w:t>breviaturas y siglas</w:t>
      </w:r>
      <w:bookmarkEnd w:id="2"/>
      <w:r w:rsidR="00234021" w:rsidRPr="00C8443F">
        <w:rPr>
          <w:lang w:val="es-PE" w:eastAsia="en-US"/>
        </w:rPr>
        <w:t xml:space="preserve"> </w:t>
      </w:r>
      <w:bookmarkStart w:id="3" w:name="_GoBack"/>
      <w:bookmarkEnd w:id="3"/>
    </w:p>
    <w:p w:rsidR="00C8443F" w:rsidRPr="00C8443F" w:rsidRDefault="002A208C" w:rsidP="00574AEE">
      <w:pPr>
        <w:pStyle w:val="H1G"/>
        <w:rPr>
          <w:rFonts w:eastAsia="Calibri"/>
          <w:lang w:val="es-PE" w:eastAsia="en-US"/>
        </w:rPr>
      </w:pPr>
      <w:r>
        <w:rPr>
          <w:rFonts w:eastAsia="Calibri"/>
          <w:lang w:val="es-PE" w:eastAsia="en-US"/>
        </w:rPr>
        <w:tab/>
      </w:r>
      <w:r>
        <w:rPr>
          <w:rFonts w:eastAsia="Calibri"/>
          <w:lang w:val="es-PE" w:eastAsia="en-US"/>
        </w:rPr>
        <w:tab/>
      </w:r>
      <w:r w:rsidR="00C8443F" w:rsidRPr="00C8443F">
        <w:rPr>
          <w:rFonts w:eastAsia="Calibri"/>
          <w:lang w:val="es-PE" w:eastAsia="en-US"/>
        </w:rPr>
        <w:t>Instrumentos Internacionales</w:t>
      </w:r>
    </w:p>
    <w:p w:rsidR="002A208C" w:rsidRDefault="002A208C" w:rsidP="002A208C">
      <w:pPr>
        <w:pStyle w:val="SingleTxtG"/>
        <w:rPr>
          <w:rFonts w:eastAsia="Calibri"/>
          <w:lang w:val="es-PE" w:eastAsia="en-US"/>
        </w:rPr>
      </w:pPr>
      <w:r w:rsidRPr="002A208C">
        <w:rPr>
          <w:rFonts w:eastAsia="Calibri"/>
          <w:lang w:val="es-PE" w:eastAsia="en-US"/>
        </w:rPr>
        <w:t>CCT</w:t>
      </w:r>
      <w:r w:rsidRPr="002A208C">
        <w:rPr>
          <w:rFonts w:eastAsia="Calibri"/>
          <w:lang w:val="es-PE" w:eastAsia="en-US"/>
        </w:rPr>
        <w:tab/>
      </w:r>
      <w:r>
        <w:rPr>
          <w:rFonts w:eastAsia="Calibri"/>
          <w:lang w:val="es-PE" w:eastAsia="en-US"/>
        </w:rPr>
        <w:tab/>
      </w:r>
      <w:r w:rsidR="00F6214C">
        <w:rPr>
          <w:rFonts w:eastAsia="Calibri"/>
          <w:lang w:val="es-PE" w:eastAsia="en-US"/>
        </w:rPr>
        <w:tab/>
      </w:r>
      <w:r w:rsidRPr="002A208C">
        <w:rPr>
          <w:rFonts w:eastAsia="Calibri"/>
          <w:lang w:val="es-PE" w:eastAsia="en-US"/>
        </w:rPr>
        <w:t xml:space="preserve">Convención contra la Tortura y Otros Tratos o Penas Crueles, </w:t>
      </w:r>
      <w:r w:rsidR="00F6214C">
        <w:rPr>
          <w:rFonts w:eastAsia="Calibri"/>
          <w:lang w:val="es-PE" w:eastAsia="en-US"/>
        </w:rPr>
        <w:tab/>
      </w:r>
      <w:r w:rsidR="00F6214C">
        <w:rPr>
          <w:rFonts w:eastAsia="Calibri"/>
          <w:lang w:val="es-PE" w:eastAsia="en-US"/>
        </w:rPr>
        <w:tab/>
      </w:r>
      <w:r w:rsidR="00F6214C">
        <w:rPr>
          <w:rFonts w:eastAsia="Calibri"/>
          <w:lang w:val="es-PE" w:eastAsia="en-US"/>
        </w:rPr>
        <w:tab/>
      </w:r>
      <w:r w:rsidR="00F6214C">
        <w:rPr>
          <w:rFonts w:eastAsia="Calibri"/>
          <w:lang w:val="es-PE" w:eastAsia="en-US"/>
        </w:rPr>
        <w:tab/>
      </w:r>
      <w:r w:rsidRPr="002A208C">
        <w:rPr>
          <w:rFonts w:eastAsia="Calibri"/>
          <w:lang w:val="es-PE" w:eastAsia="en-US"/>
        </w:rPr>
        <w:t>Inhumanos y Degradantes</w:t>
      </w:r>
    </w:p>
    <w:p w:rsidR="00C8443F" w:rsidRPr="00C8443F" w:rsidRDefault="002A208C" w:rsidP="00574AEE">
      <w:pPr>
        <w:pStyle w:val="H1G"/>
        <w:rPr>
          <w:rFonts w:eastAsia="Calibri"/>
          <w:lang w:val="es-PE" w:eastAsia="en-US"/>
        </w:rPr>
      </w:pPr>
      <w:r>
        <w:rPr>
          <w:rFonts w:eastAsia="Calibri"/>
          <w:lang w:val="es-PE" w:eastAsia="en-US"/>
        </w:rPr>
        <w:tab/>
      </w:r>
      <w:r>
        <w:rPr>
          <w:rFonts w:eastAsia="Calibri"/>
          <w:lang w:val="es-PE" w:eastAsia="en-US"/>
        </w:rPr>
        <w:tab/>
      </w:r>
      <w:r w:rsidR="00C8443F" w:rsidRPr="00C8443F">
        <w:rPr>
          <w:rFonts w:eastAsia="Calibri"/>
          <w:lang w:val="es-PE" w:eastAsia="en-US"/>
        </w:rPr>
        <w:t>Entidades e Instituciones del Estado</w:t>
      </w:r>
    </w:p>
    <w:p w:rsidR="002A208C" w:rsidRPr="002A208C" w:rsidRDefault="002A208C" w:rsidP="002A208C">
      <w:pPr>
        <w:pStyle w:val="SingleTxtG"/>
        <w:rPr>
          <w:rFonts w:eastAsia="Calibri"/>
          <w:lang w:val="es-PE" w:eastAsia="en-US"/>
        </w:rPr>
      </w:pPr>
      <w:r w:rsidRPr="002A208C">
        <w:rPr>
          <w:rFonts w:eastAsia="Calibri"/>
          <w:lang w:val="es-PE" w:eastAsia="en-US"/>
        </w:rPr>
        <w:t>CMAN</w:t>
      </w:r>
      <w:r w:rsidRPr="002A208C">
        <w:rPr>
          <w:rFonts w:eastAsia="Calibri"/>
          <w:lang w:val="es-PE" w:eastAsia="en-US"/>
        </w:rPr>
        <w:tab/>
      </w:r>
      <w:r>
        <w:rPr>
          <w:rFonts w:eastAsia="Calibri"/>
          <w:lang w:val="es-PE" w:eastAsia="en-US"/>
        </w:rPr>
        <w:tab/>
      </w:r>
      <w:r w:rsidRPr="002A208C">
        <w:rPr>
          <w:rFonts w:eastAsia="Calibri"/>
          <w:lang w:val="es-PE" w:eastAsia="en-US"/>
        </w:rPr>
        <w:t>Comisión Multisectorial de Alto Nivel</w:t>
      </w:r>
    </w:p>
    <w:p w:rsidR="002A208C" w:rsidRPr="002A208C" w:rsidRDefault="002A208C" w:rsidP="002A208C">
      <w:pPr>
        <w:pStyle w:val="SingleTxtG"/>
        <w:rPr>
          <w:rFonts w:eastAsia="Calibri"/>
          <w:lang w:val="es-PE" w:eastAsia="en-US"/>
        </w:rPr>
      </w:pPr>
      <w:r w:rsidRPr="002A208C">
        <w:rPr>
          <w:rFonts w:eastAsia="Calibri"/>
          <w:lang w:val="es-PE" w:eastAsia="en-US"/>
        </w:rPr>
        <w:t>CR</w:t>
      </w:r>
      <w:r w:rsidRPr="002A208C">
        <w:rPr>
          <w:rFonts w:eastAsia="Calibri"/>
          <w:lang w:val="es-PE" w:eastAsia="en-US"/>
        </w:rPr>
        <w:tab/>
      </w:r>
      <w:r>
        <w:rPr>
          <w:rFonts w:eastAsia="Calibri"/>
          <w:lang w:val="es-PE" w:eastAsia="en-US"/>
        </w:rPr>
        <w:tab/>
      </w:r>
      <w:r>
        <w:rPr>
          <w:rFonts w:eastAsia="Calibri"/>
          <w:lang w:val="es-PE" w:eastAsia="en-US"/>
        </w:rPr>
        <w:tab/>
      </w:r>
      <w:r w:rsidRPr="002A208C">
        <w:rPr>
          <w:rFonts w:eastAsia="Calibri"/>
          <w:lang w:val="es-PE" w:eastAsia="en-US"/>
        </w:rPr>
        <w:t>Consejo de Reparaciones</w:t>
      </w:r>
    </w:p>
    <w:p w:rsidR="002A208C" w:rsidRPr="002A208C" w:rsidRDefault="002A208C" w:rsidP="002A208C">
      <w:pPr>
        <w:pStyle w:val="SingleTxtG"/>
        <w:rPr>
          <w:rFonts w:eastAsia="Calibri"/>
          <w:lang w:val="es-PE" w:eastAsia="en-US"/>
        </w:rPr>
      </w:pPr>
      <w:r w:rsidRPr="002A208C">
        <w:rPr>
          <w:rFonts w:eastAsia="Calibri"/>
          <w:lang w:val="es-PE" w:eastAsia="en-US"/>
        </w:rPr>
        <w:t>DGDPAJ</w:t>
      </w:r>
      <w:r w:rsidRPr="002A208C">
        <w:rPr>
          <w:rFonts w:eastAsia="Calibri"/>
          <w:lang w:val="es-PE" w:eastAsia="en-US"/>
        </w:rPr>
        <w:tab/>
      </w:r>
      <w:r>
        <w:rPr>
          <w:rFonts w:eastAsia="Calibri"/>
          <w:lang w:val="es-PE" w:eastAsia="en-US"/>
        </w:rPr>
        <w:tab/>
      </w:r>
      <w:r w:rsidRPr="002A208C">
        <w:rPr>
          <w:rFonts w:eastAsia="Calibri"/>
          <w:lang w:val="es-PE" w:eastAsia="en-US"/>
        </w:rPr>
        <w:t xml:space="preserve">Dirección General de Defensa Pública y Acceso a la Justicia </w:t>
      </w:r>
    </w:p>
    <w:p w:rsidR="002A208C" w:rsidRPr="002A208C" w:rsidRDefault="002A208C" w:rsidP="002A208C">
      <w:pPr>
        <w:pStyle w:val="SingleTxtG"/>
        <w:rPr>
          <w:rFonts w:eastAsia="Calibri"/>
          <w:lang w:val="es-PE" w:eastAsia="en-US"/>
        </w:rPr>
      </w:pPr>
      <w:r w:rsidRPr="002A208C">
        <w:rPr>
          <w:rFonts w:eastAsia="Calibri"/>
          <w:lang w:val="es-PE" w:eastAsia="en-US"/>
        </w:rPr>
        <w:t>IML</w:t>
      </w:r>
      <w:r w:rsidRPr="002A208C">
        <w:rPr>
          <w:rFonts w:eastAsia="Calibri"/>
          <w:lang w:val="es-PE" w:eastAsia="en-US"/>
        </w:rPr>
        <w:tab/>
      </w:r>
      <w:r>
        <w:rPr>
          <w:rFonts w:eastAsia="Calibri"/>
          <w:lang w:val="es-PE" w:eastAsia="en-US"/>
        </w:rPr>
        <w:tab/>
      </w:r>
      <w:r>
        <w:rPr>
          <w:rFonts w:eastAsia="Calibri"/>
          <w:lang w:val="es-PE" w:eastAsia="en-US"/>
        </w:rPr>
        <w:tab/>
      </w:r>
      <w:r w:rsidRPr="002A208C">
        <w:rPr>
          <w:rFonts w:eastAsia="Calibri"/>
          <w:lang w:val="es-PE" w:eastAsia="en-US"/>
        </w:rPr>
        <w:t>Instituto de Medicina Legal y Ciencias Forenses</w:t>
      </w:r>
    </w:p>
    <w:p w:rsidR="002A208C" w:rsidRPr="002A208C" w:rsidRDefault="002A208C" w:rsidP="002A208C">
      <w:pPr>
        <w:pStyle w:val="SingleTxtG"/>
        <w:rPr>
          <w:rFonts w:eastAsia="Calibri"/>
          <w:lang w:val="es-PE" w:eastAsia="en-US"/>
        </w:rPr>
      </w:pPr>
      <w:r w:rsidRPr="002A208C">
        <w:rPr>
          <w:rFonts w:eastAsia="Calibri"/>
          <w:lang w:val="es-PE" w:eastAsia="en-US"/>
        </w:rPr>
        <w:t>INPE</w:t>
      </w:r>
      <w:r w:rsidRPr="002A208C">
        <w:rPr>
          <w:rFonts w:eastAsia="Calibri"/>
          <w:lang w:val="es-PE" w:eastAsia="en-US"/>
        </w:rPr>
        <w:tab/>
      </w:r>
      <w:r>
        <w:rPr>
          <w:rFonts w:eastAsia="Calibri"/>
          <w:lang w:val="es-PE" w:eastAsia="en-US"/>
        </w:rPr>
        <w:tab/>
      </w:r>
      <w:r>
        <w:rPr>
          <w:rFonts w:eastAsia="Calibri"/>
          <w:lang w:val="es-PE" w:eastAsia="en-US"/>
        </w:rPr>
        <w:tab/>
      </w:r>
      <w:r w:rsidRPr="002A208C">
        <w:rPr>
          <w:rFonts w:eastAsia="Calibri"/>
          <w:lang w:val="es-PE" w:eastAsia="en-US"/>
        </w:rPr>
        <w:t>Instituto Nacional Penitenciario</w:t>
      </w:r>
    </w:p>
    <w:p w:rsidR="002A208C" w:rsidRPr="002A208C" w:rsidRDefault="002A208C" w:rsidP="002A208C">
      <w:pPr>
        <w:pStyle w:val="SingleTxtG"/>
        <w:rPr>
          <w:rFonts w:eastAsia="Calibri"/>
          <w:lang w:val="es-PE" w:eastAsia="en-US"/>
        </w:rPr>
      </w:pPr>
      <w:r w:rsidRPr="002A208C">
        <w:rPr>
          <w:rFonts w:eastAsia="Calibri"/>
          <w:lang w:val="es-PE" w:eastAsia="en-US"/>
        </w:rPr>
        <w:t>MINEDU</w:t>
      </w:r>
      <w:r w:rsidRPr="002A208C">
        <w:rPr>
          <w:rFonts w:eastAsia="Calibri"/>
          <w:lang w:val="es-PE" w:eastAsia="en-US"/>
        </w:rPr>
        <w:tab/>
      </w:r>
      <w:r>
        <w:rPr>
          <w:rFonts w:eastAsia="Calibri"/>
          <w:lang w:val="es-PE" w:eastAsia="en-US"/>
        </w:rPr>
        <w:tab/>
      </w:r>
      <w:r w:rsidRPr="002A208C">
        <w:rPr>
          <w:rFonts w:eastAsia="Calibri"/>
          <w:lang w:val="es-PE" w:eastAsia="en-US"/>
        </w:rPr>
        <w:t>Ministerio de Educación</w:t>
      </w:r>
    </w:p>
    <w:p w:rsidR="002A208C" w:rsidRPr="002A208C" w:rsidRDefault="002A208C" w:rsidP="002A208C">
      <w:pPr>
        <w:pStyle w:val="SingleTxtG"/>
        <w:rPr>
          <w:rFonts w:eastAsia="Calibri"/>
          <w:lang w:val="es-PE" w:eastAsia="en-US"/>
        </w:rPr>
      </w:pPr>
      <w:r w:rsidRPr="002A208C">
        <w:rPr>
          <w:rFonts w:eastAsia="Calibri"/>
          <w:lang w:val="es-PE" w:eastAsia="en-US"/>
        </w:rPr>
        <w:t>MININTER</w:t>
      </w:r>
      <w:r w:rsidRPr="002A208C">
        <w:rPr>
          <w:rFonts w:eastAsia="Calibri"/>
          <w:lang w:val="es-PE" w:eastAsia="en-US"/>
        </w:rPr>
        <w:tab/>
      </w:r>
      <w:r>
        <w:rPr>
          <w:rFonts w:eastAsia="Calibri"/>
          <w:lang w:val="es-PE" w:eastAsia="en-US"/>
        </w:rPr>
        <w:tab/>
      </w:r>
      <w:r w:rsidRPr="002A208C">
        <w:rPr>
          <w:rFonts w:eastAsia="Calibri"/>
          <w:lang w:val="es-PE" w:eastAsia="en-US"/>
        </w:rPr>
        <w:t>Ministerio del Interior</w:t>
      </w:r>
    </w:p>
    <w:p w:rsidR="002A208C" w:rsidRPr="002A208C" w:rsidRDefault="002A208C" w:rsidP="002A208C">
      <w:pPr>
        <w:pStyle w:val="SingleTxtG"/>
        <w:rPr>
          <w:rFonts w:eastAsia="Calibri"/>
          <w:lang w:val="es-PE" w:eastAsia="en-US"/>
        </w:rPr>
      </w:pPr>
      <w:r w:rsidRPr="002A208C">
        <w:rPr>
          <w:rFonts w:eastAsia="Calibri"/>
          <w:lang w:val="es-PE" w:eastAsia="en-US"/>
        </w:rPr>
        <w:t>MIMP</w:t>
      </w:r>
      <w:r w:rsidRPr="002A208C">
        <w:rPr>
          <w:rFonts w:eastAsia="Calibri"/>
          <w:lang w:val="es-PE" w:eastAsia="en-US"/>
        </w:rPr>
        <w:tab/>
      </w:r>
      <w:r>
        <w:rPr>
          <w:rFonts w:eastAsia="Calibri"/>
          <w:lang w:val="es-PE" w:eastAsia="en-US"/>
        </w:rPr>
        <w:tab/>
      </w:r>
      <w:r>
        <w:rPr>
          <w:rFonts w:eastAsia="Calibri"/>
          <w:lang w:val="es-PE" w:eastAsia="en-US"/>
        </w:rPr>
        <w:tab/>
      </w:r>
      <w:r w:rsidRPr="002A208C">
        <w:rPr>
          <w:rFonts w:eastAsia="Calibri"/>
          <w:lang w:val="es-PE" w:eastAsia="en-US"/>
        </w:rPr>
        <w:t>Ministerio de la Mujer y Poblaciones Vulnerables</w:t>
      </w:r>
    </w:p>
    <w:p w:rsidR="002A208C" w:rsidRPr="002A208C" w:rsidRDefault="002A208C" w:rsidP="002A208C">
      <w:pPr>
        <w:pStyle w:val="SingleTxtG"/>
        <w:rPr>
          <w:rFonts w:eastAsia="Calibri"/>
          <w:lang w:val="es-PE" w:eastAsia="en-US"/>
        </w:rPr>
      </w:pPr>
      <w:r w:rsidRPr="002A208C">
        <w:rPr>
          <w:rFonts w:eastAsia="Calibri"/>
          <w:lang w:val="es-PE" w:eastAsia="en-US"/>
        </w:rPr>
        <w:t>MINJUS</w:t>
      </w:r>
      <w:r w:rsidRPr="002A208C">
        <w:rPr>
          <w:rFonts w:eastAsia="Calibri"/>
          <w:lang w:val="es-PE" w:eastAsia="en-US"/>
        </w:rPr>
        <w:tab/>
      </w:r>
      <w:r>
        <w:rPr>
          <w:rFonts w:eastAsia="Calibri"/>
          <w:lang w:val="es-PE" w:eastAsia="en-US"/>
        </w:rPr>
        <w:tab/>
      </w:r>
      <w:r w:rsidRPr="002A208C">
        <w:rPr>
          <w:rFonts w:eastAsia="Calibri"/>
          <w:lang w:val="es-PE" w:eastAsia="en-US"/>
        </w:rPr>
        <w:t>Ministerio de Justicia y Derechos Humanos</w:t>
      </w:r>
    </w:p>
    <w:p w:rsidR="002A208C" w:rsidRPr="002A208C" w:rsidRDefault="002A208C" w:rsidP="002A208C">
      <w:pPr>
        <w:pStyle w:val="SingleTxtG"/>
        <w:rPr>
          <w:rFonts w:eastAsia="Calibri"/>
          <w:lang w:val="es-PE" w:eastAsia="en-US"/>
        </w:rPr>
      </w:pPr>
      <w:r w:rsidRPr="002A208C">
        <w:rPr>
          <w:rFonts w:eastAsia="Calibri"/>
          <w:lang w:val="es-PE" w:eastAsia="en-US"/>
        </w:rPr>
        <w:t>MINSA</w:t>
      </w:r>
      <w:r w:rsidRPr="002A208C">
        <w:rPr>
          <w:rFonts w:eastAsia="Calibri"/>
          <w:lang w:val="es-PE" w:eastAsia="en-US"/>
        </w:rPr>
        <w:tab/>
      </w:r>
      <w:r>
        <w:rPr>
          <w:rFonts w:eastAsia="Calibri"/>
          <w:lang w:val="es-PE" w:eastAsia="en-US"/>
        </w:rPr>
        <w:tab/>
      </w:r>
      <w:r w:rsidRPr="002A208C">
        <w:rPr>
          <w:rFonts w:eastAsia="Calibri"/>
          <w:lang w:val="es-PE" w:eastAsia="en-US"/>
        </w:rPr>
        <w:t>Ministerio de Salud</w:t>
      </w:r>
    </w:p>
    <w:p w:rsidR="002A208C" w:rsidRPr="002A208C" w:rsidRDefault="002A208C" w:rsidP="002A208C">
      <w:pPr>
        <w:pStyle w:val="SingleTxtG"/>
        <w:rPr>
          <w:rFonts w:eastAsia="Calibri"/>
          <w:lang w:val="es-PE" w:eastAsia="en-US"/>
        </w:rPr>
      </w:pPr>
      <w:r w:rsidRPr="002A208C">
        <w:rPr>
          <w:rFonts w:eastAsia="Calibri"/>
          <w:lang w:val="es-PE" w:eastAsia="en-US"/>
        </w:rPr>
        <w:t>MP</w:t>
      </w:r>
      <w:r w:rsidRPr="002A208C">
        <w:rPr>
          <w:rFonts w:eastAsia="Calibri"/>
          <w:lang w:val="es-PE" w:eastAsia="en-US"/>
        </w:rPr>
        <w:tab/>
      </w:r>
      <w:r>
        <w:rPr>
          <w:rFonts w:eastAsia="Calibri"/>
          <w:lang w:val="es-PE" w:eastAsia="en-US"/>
        </w:rPr>
        <w:tab/>
      </w:r>
      <w:r>
        <w:rPr>
          <w:rFonts w:eastAsia="Calibri"/>
          <w:lang w:val="es-PE" w:eastAsia="en-US"/>
        </w:rPr>
        <w:tab/>
      </w:r>
      <w:r w:rsidRPr="002A208C">
        <w:rPr>
          <w:rFonts w:eastAsia="Calibri"/>
          <w:lang w:val="es-PE" w:eastAsia="en-US"/>
        </w:rPr>
        <w:t xml:space="preserve">Ministerio Público </w:t>
      </w:r>
    </w:p>
    <w:p w:rsidR="002A208C" w:rsidRPr="002A208C" w:rsidRDefault="002A208C" w:rsidP="002A208C">
      <w:pPr>
        <w:pStyle w:val="SingleTxtG"/>
        <w:rPr>
          <w:rFonts w:eastAsia="Calibri"/>
          <w:lang w:val="es-PE" w:eastAsia="en-US"/>
        </w:rPr>
      </w:pPr>
      <w:r w:rsidRPr="002A208C">
        <w:rPr>
          <w:rFonts w:eastAsia="Calibri"/>
          <w:lang w:val="es-PE" w:eastAsia="en-US"/>
        </w:rPr>
        <w:t>PJ</w:t>
      </w:r>
      <w:r w:rsidRPr="002A208C">
        <w:rPr>
          <w:rFonts w:eastAsia="Calibri"/>
          <w:lang w:val="es-PE" w:eastAsia="en-US"/>
        </w:rPr>
        <w:tab/>
      </w:r>
      <w:r>
        <w:rPr>
          <w:rFonts w:eastAsia="Calibri"/>
          <w:lang w:val="es-PE" w:eastAsia="en-US"/>
        </w:rPr>
        <w:tab/>
      </w:r>
      <w:r>
        <w:rPr>
          <w:rFonts w:eastAsia="Calibri"/>
          <w:lang w:val="es-PE" w:eastAsia="en-US"/>
        </w:rPr>
        <w:tab/>
      </w:r>
      <w:r w:rsidRPr="002A208C">
        <w:rPr>
          <w:rFonts w:eastAsia="Calibri"/>
          <w:lang w:val="es-PE" w:eastAsia="en-US"/>
        </w:rPr>
        <w:t>Poder Judicial</w:t>
      </w:r>
    </w:p>
    <w:p w:rsidR="00C8443F" w:rsidRPr="00C8443F" w:rsidRDefault="002A208C" w:rsidP="002A208C">
      <w:pPr>
        <w:pStyle w:val="SingleTxtG"/>
        <w:rPr>
          <w:rFonts w:eastAsia="Calibri"/>
          <w:lang w:val="es-PE" w:eastAsia="en-US"/>
        </w:rPr>
      </w:pPr>
      <w:r w:rsidRPr="002A208C">
        <w:rPr>
          <w:rFonts w:eastAsia="Calibri"/>
          <w:lang w:val="es-PE" w:eastAsia="en-US"/>
        </w:rPr>
        <w:t>PNP</w:t>
      </w:r>
      <w:r w:rsidRPr="002A208C">
        <w:rPr>
          <w:rFonts w:eastAsia="Calibri"/>
          <w:lang w:val="es-PE" w:eastAsia="en-US"/>
        </w:rPr>
        <w:tab/>
      </w:r>
      <w:r>
        <w:rPr>
          <w:rFonts w:eastAsia="Calibri"/>
          <w:lang w:val="es-PE" w:eastAsia="en-US"/>
        </w:rPr>
        <w:tab/>
      </w:r>
      <w:r>
        <w:rPr>
          <w:rFonts w:eastAsia="Calibri"/>
          <w:lang w:val="es-PE" w:eastAsia="en-US"/>
        </w:rPr>
        <w:tab/>
      </w:r>
      <w:r w:rsidRPr="002A208C">
        <w:rPr>
          <w:rFonts w:eastAsia="Calibri"/>
          <w:lang w:val="es-PE" w:eastAsia="en-US"/>
        </w:rPr>
        <w:t>Policía Nacional del Perú</w:t>
      </w:r>
    </w:p>
    <w:p w:rsidR="00C8443F" w:rsidRPr="00C8443F" w:rsidRDefault="002A208C" w:rsidP="00574AEE">
      <w:pPr>
        <w:pStyle w:val="H1G"/>
        <w:rPr>
          <w:rFonts w:eastAsia="Calibri"/>
          <w:lang w:val="es-PE" w:eastAsia="en-US"/>
        </w:rPr>
      </w:pPr>
      <w:r>
        <w:rPr>
          <w:rFonts w:eastAsia="Calibri"/>
          <w:lang w:val="es-PE" w:eastAsia="en-US"/>
        </w:rPr>
        <w:tab/>
      </w:r>
      <w:r>
        <w:rPr>
          <w:rFonts w:eastAsia="Calibri"/>
          <w:lang w:val="es-PE" w:eastAsia="en-US"/>
        </w:rPr>
        <w:tab/>
      </w:r>
      <w:r w:rsidR="00C8443F" w:rsidRPr="00C8443F">
        <w:rPr>
          <w:rFonts w:eastAsia="Calibri"/>
          <w:lang w:val="es-PE" w:eastAsia="en-US"/>
        </w:rPr>
        <w:t>Órganos Autónomos</w:t>
      </w:r>
    </w:p>
    <w:p w:rsidR="002A208C" w:rsidRPr="002A208C" w:rsidRDefault="002A208C" w:rsidP="002A208C">
      <w:pPr>
        <w:pStyle w:val="SingleTxtG"/>
        <w:rPr>
          <w:rFonts w:eastAsia="Calibri"/>
          <w:lang w:val="es-PE" w:eastAsia="en-US"/>
        </w:rPr>
      </w:pPr>
      <w:r w:rsidRPr="002A208C">
        <w:rPr>
          <w:rFonts w:eastAsia="Calibri"/>
          <w:lang w:val="es-PE" w:eastAsia="en-US"/>
        </w:rPr>
        <w:t>DP</w:t>
      </w:r>
      <w:r w:rsidRPr="002A208C">
        <w:rPr>
          <w:rFonts w:eastAsia="Calibri"/>
          <w:lang w:val="es-PE" w:eastAsia="en-US"/>
        </w:rPr>
        <w:tab/>
      </w:r>
      <w:r>
        <w:rPr>
          <w:rFonts w:eastAsia="Calibri"/>
          <w:lang w:val="es-PE" w:eastAsia="en-US"/>
        </w:rPr>
        <w:tab/>
      </w:r>
      <w:r>
        <w:rPr>
          <w:rFonts w:eastAsia="Calibri"/>
          <w:lang w:val="es-PE" w:eastAsia="en-US"/>
        </w:rPr>
        <w:tab/>
      </w:r>
      <w:r w:rsidRPr="002A208C">
        <w:rPr>
          <w:rFonts w:eastAsia="Calibri"/>
          <w:lang w:val="es-PE" w:eastAsia="en-US"/>
        </w:rPr>
        <w:t>Defensoría del Pueblo</w:t>
      </w:r>
    </w:p>
    <w:p w:rsidR="00C8443F" w:rsidRPr="00C8443F" w:rsidRDefault="002A208C" w:rsidP="002A208C">
      <w:pPr>
        <w:pStyle w:val="SingleTxtG"/>
        <w:rPr>
          <w:rFonts w:eastAsia="Calibri"/>
          <w:lang w:val="es-PE" w:eastAsia="en-US"/>
        </w:rPr>
      </w:pPr>
      <w:r w:rsidRPr="002A208C">
        <w:rPr>
          <w:rFonts w:eastAsia="Calibri"/>
          <w:lang w:val="es-PE" w:eastAsia="en-US"/>
        </w:rPr>
        <w:t>MNPT</w:t>
      </w:r>
      <w:r w:rsidRPr="002A208C">
        <w:rPr>
          <w:rFonts w:eastAsia="Calibri"/>
          <w:lang w:val="es-PE" w:eastAsia="en-US"/>
        </w:rPr>
        <w:tab/>
      </w:r>
      <w:r>
        <w:rPr>
          <w:rFonts w:eastAsia="Calibri"/>
          <w:lang w:val="es-PE" w:eastAsia="en-US"/>
        </w:rPr>
        <w:tab/>
      </w:r>
      <w:r>
        <w:rPr>
          <w:rFonts w:eastAsia="Calibri"/>
          <w:lang w:val="es-PE" w:eastAsia="en-US"/>
        </w:rPr>
        <w:tab/>
      </w:r>
      <w:r w:rsidRPr="002A208C">
        <w:rPr>
          <w:rFonts w:eastAsia="Calibri"/>
          <w:lang w:val="es-PE" w:eastAsia="en-US"/>
        </w:rPr>
        <w:t xml:space="preserve">Mecanismo Nacional de Prevención de la Tortura y otros Tratos o </w:t>
      </w:r>
      <w:r w:rsidR="00F6214C">
        <w:rPr>
          <w:rFonts w:eastAsia="Calibri"/>
          <w:lang w:val="es-PE" w:eastAsia="en-US"/>
        </w:rPr>
        <w:tab/>
      </w:r>
      <w:r w:rsidR="00F6214C">
        <w:rPr>
          <w:rFonts w:eastAsia="Calibri"/>
          <w:lang w:val="es-PE" w:eastAsia="en-US"/>
        </w:rPr>
        <w:tab/>
      </w:r>
      <w:r w:rsidR="00F6214C">
        <w:rPr>
          <w:rFonts w:eastAsia="Calibri"/>
          <w:lang w:val="es-PE" w:eastAsia="en-US"/>
        </w:rPr>
        <w:tab/>
      </w:r>
      <w:r w:rsidRPr="002A208C">
        <w:rPr>
          <w:rFonts w:eastAsia="Calibri"/>
          <w:lang w:val="es-PE" w:eastAsia="en-US"/>
        </w:rPr>
        <w:t>Penas Crueles, Inhumanos o Degradantes</w:t>
      </w:r>
    </w:p>
    <w:p w:rsidR="00C8443F" w:rsidRPr="00C8443F" w:rsidRDefault="002A208C" w:rsidP="00574AEE">
      <w:pPr>
        <w:pStyle w:val="H1G"/>
        <w:rPr>
          <w:rFonts w:eastAsia="Calibri"/>
          <w:lang w:val="es-PE" w:eastAsia="en-US"/>
        </w:rPr>
      </w:pPr>
      <w:r>
        <w:rPr>
          <w:rFonts w:eastAsia="Calibri"/>
          <w:lang w:val="es-PE" w:eastAsia="en-US"/>
        </w:rPr>
        <w:tab/>
      </w:r>
      <w:r>
        <w:rPr>
          <w:rFonts w:eastAsia="Calibri"/>
          <w:lang w:val="es-PE" w:eastAsia="en-US"/>
        </w:rPr>
        <w:tab/>
      </w:r>
      <w:r w:rsidR="00C8443F" w:rsidRPr="00C8443F">
        <w:rPr>
          <w:rFonts w:eastAsia="Calibri"/>
          <w:lang w:val="es-PE" w:eastAsia="en-US"/>
        </w:rPr>
        <w:t xml:space="preserve">Normas </w:t>
      </w:r>
    </w:p>
    <w:p w:rsidR="002A208C" w:rsidRPr="002A208C" w:rsidRDefault="002A208C" w:rsidP="002A208C">
      <w:pPr>
        <w:pStyle w:val="SingleTxtG"/>
        <w:rPr>
          <w:rFonts w:eastAsia="Calibri"/>
          <w:lang w:val="es-PE" w:eastAsia="en-US"/>
        </w:rPr>
      </w:pPr>
      <w:r w:rsidRPr="002A208C">
        <w:rPr>
          <w:rFonts w:eastAsia="Calibri"/>
          <w:lang w:val="es-PE" w:eastAsia="en-US"/>
        </w:rPr>
        <w:t>CPP</w:t>
      </w:r>
      <w:r w:rsidRPr="002A208C">
        <w:rPr>
          <w:rFonts w:eastAsia="Calibri"/>
          <w:lang w:val="es-PE" w:eastAsia="en-US"/>
        </w:rPr>
        <w:tab/>
      </w:r>
      <w:r>
        <w:rPr>
          <w:rFonts w:eastAsia="Calibri"/>
          <w:lang w:val="es-PE" w:eastAsia="en-US"/>
        </w:rPr>
        <w:tab/>
      </w:r>
      <w:r>
        <w:rPr>
          <w:rFonts w:eastAsia="Calibri"/>
          <w:lang w:val="es-PE" w:eastAsia="en-US"/>
        </w:rPr>
        <w:tab/>
      </w:r>
      <w:r w:rsidRPr="002A208C">
        <w:rPr>
          <w:rFonts w:eastAsia="Calibri"/>
          <w:lang w:val="es-PE" w:eastAsia="en-US"/>
        </w:rPr>
        <w:t>Constitución Política del Perú</w:t>
      </w:r>
    </w:p>
    <w:p w:rsidR="002A208C" w:rsidRPr="002A208C" w:rsidRDefault="002A208C" w:rsidP="002A208C">
      <w:pPr>
        <w:pStyle w:val="SingleTxtG"/>
        <w:rPr>
          <w:rFonts w:eastAsia="Calibri"/>
          <w:lang w:val="es-PE" w:eastAsia="en-US"/>
        </w:rPr>
      </w:pPr>
      <w:r w:rsidRPr="002A208C">
        <w:rPr>
          <w:rFonts w:eastAsia="Calibri"/>
          <w:lang w:val="es-PE" w:eastAsia="en-US"/>
        </w:rPr>
        <w:t>CP</w:t>
      </w:r>
      <w:r w:rsidRPr="002A208C">
        <w:rPr>
          <w:rFonts w:eastAsia="Calibri"/>
          <w:lang w:val="es-PE" w:eastAsia="en-US"/>
        </w:rPr>
        <w:tab/>
      </w:r>
      <w:r>
        <w:rPr>
          <w:rFonts w:eastAsia="Calibri"/>
          <w:lang w:val="es-PE" w:eastAsia="en-US"/>
        </w:rPr>
        <w:tab/>
      </w:r>
      <w:r>
        <w:rPr>
          <w:rFonts w:eastAsia="Calibri"/>
          <w:lang w:val="es-PE" w:eastAsia="en-US"/>
        </w:rPr>
        <w:tab/>
      </w:r>
      <w:r w:rsidRPr="002A208C">
        <w:rPr>
          <w:rFonts w:eastAsia="Calibri"/>
          <w:lang w:val="es-PE" w:eastAsia="en-US"/>
        </w:rPr>
        <w:t>Código Penal</w:t>
      </w:r>
    </w:p>
    <w:p w:rsidR="00C8443F" w:rsidRPr="00C8443F" w:rsidRDefault="002A208C" w:rsidP="002A208C">
      <w:pPr>
        <w:pStyle w:val="SingleTxtG"/>
        <w:rPr>
          <w:rFonts w:eastAsia="Calibri"/>
          <w:lang w:val="es-PE" w:eastAsia="en-US"/>
        </w:rPr>
      </w:pPr>
      <w:r w:rsidRPr="002A208C">
        <w:rPr>
          <w:rFonts w:eastAsia="Calibri"/>
          <w:lang w:val="es-PE" w:eastAsia="en-US"/>
        </w:rPr>
        <w:t>NCPP</w:t>
      </w:r>
      <w:r w:rsidRPr="002A208C">
        <w:rPr>
          <w:rFonts w:eastAsia="Calibri"/>
          <w:lang w:val="es-PE" w:eastAsia="en-US"/>
        </w:rPr>
        <w:tab/>
      </w:r>
      <w:r>
        <w:rPr>
          <w:rFonts w:eastAsia="Calibri"/>
          <w:lang w:val="es-PE" w:eastAsia="en-US"/>
        </w:rPr>
        <w:tab/>
      </w:r>
      <w:r>
        <w:rPr>
          <w:rFonts w:eastAsia="Calibri"/>
          <w:lang w:val="es-PE" w:eastAsia="en-US"/>
        </w:rPr>
        <w:tab/>
      </w:r>
      <w:r w:rsidRPr="002A208C">
        <w:rPr>
          <w:rFonts w:eastAsia="Calibri"/>
          <w:lang w:val="es-PE" w:eastAsia="en-US"/>
        </w:rPr>
        <w:t>Nuevo Código Procesal Penal</w:t>
      </w:r>
    </w:p>
    <w:p w:rsidR="00C8443F" w:rsidRPr="00C8443F" w:rsidRDefault="002A208C" w:rsidP="00574AEE">
      <w:pPr>
        <w:pStyle w:val="H1G"/>
        <w:rPr>
          <w:rFonts w:eastAsia="Calibri"/>
          <w:lang w:val="es-PE" w:eastAsia="en-US"/>
        </w:rPr>
      </w:pPr>
      <w:r>
        <w:rPr>
          <w:rFonts w:eastAsia="Calibri"/>
          <w:lang w:val="es-PE" w:eastAsia="en-US"/>
        </w:rPr>
        <w:tab/>
      </w:r>
      <w:r>
        <w:rPr>
          <w:rFonts w:eastAsia="Calibri"/>
          <w:lang w:val="es-PE" w:eastAsia="en-US"/>
        </w:rPr>
        <w:tab/>
      </w:r>
      <w:r w:rsidR="00C8443F" w:rsidRPr="00C8443F">
        <w:rPr>
          <w:rFonts w:eastAsia="Calibri"/>
          <w:lang w:val="es-PE" w:eastAsia="en-US"/>
        </w:rPr>
        <w:t>Políticas Nacionales</w:t>
      </w:r>
    </w:p>
    <w:p w:rsidR="002A208C" w:rsidRPr="002A208C" w:rsidRDefault="002A208C" w:rsidP="002A208C">
      <w:pPr>
        <w:pStyle w:val="SingleTxtG"/>
        <w:rPr>
          <w:rFonts w:eastAsia="Calibri"/>
          <w:lang w:val="es-ES_tradnl" w:eastAsia="en-US"/>
        </w:rPr>
      </w:pPr>
      <w:r w:rsidRPr="002A208C">
        <w:rPr>
          <w:rFonts w:eastAsia="Calibri"/>
          <w:lang w:val="es-ES_tradnl" w:eastAsia="en-US"/>
        </w:rPr>
        <w:t>PNDH</w:t>
      </w:r>
      <w:r w:rsidRPr="002A208C">
        <w:rPr>
          <w:rFonts w:eastAsia="Calibri"/>
          <w:lang w:val="es-ES_tradnl" w:eastAsia="en-US"/>
        </w:rPr>
        <w:tab/>
      </w:r>
      <w:r>
        <w:rPr>
          <w:rFonts w:eastAsia="Calibri"/>
          <w:lang w:val="es-ES_tradnl" w:eastAsia="en-US"/>
        </w:rPr>
        <w:tab/>
      </w:r>
      <w:r>
        <w:rPr>
          <w:rFonts w:eastAsia="Calibri"/>
          <w:lang w:val="es-ES_tradnl" w:eastAsia="en-US"/>
        </w:rPr>
        <w:tab/>
      </w:r>
      <w:r w:rsidRPr="002A208C">
        <w:rPr>
          <w:rFonts w:eastAsia="Calibri"/>
          <w:lang w:val="es-ES_tradnl" w:eastAsia="en-US"/>
        </w:rPr>
        <w:t xml:space="preserve">Plan Nacional de Derechos Humanos </w:t>
      </w:r>
    </w:p>
    <w:p w:rsidR="002A208C" w:rsidRPr="002A208C" w:rsidRDefault="002A208C" w:rsidP="002A208C">
      <w:pPr>
        <w:pStyle w:val="SingleTxtG"/>
        <w:rPr>
          <w:rFonts w:eastAsia="Calibri"/>
          <w:lang w:val="es-ES_tradnl" w:eastAsia="en-US"/>
        </w:rPr>
      </w:pPr>
      <w:r w:rsidRPr="002A208C">
        <w:rPr>
          <w:rFonts w:eastAsia="Calibri"/>
          <w:lang w:val="es-ES_tradnl" w:eastAsia="en-US"/>
        </w:rPr>
        <w:t>PRAH</w:t>
      </w:r>
      <w:r>
        <w:rPr>
          <w:rFonts w:eastAsia="Calibri"/>
          <w:lang w:val="es-ES_tradnl" w:eastAsia="en-US"/>
        </w:rPr>
        <w:tab/>
      </w:r>
      <w:r>
        <w:rPr>
          <w:rFonts w:eastAsia="Calibri"/>
          <w:lang w:val="es-ES_tradnl" w:eastAsia="en-US"/>
        </w:rPr>
        <w:tab/>
      </w:r>
      <w:r w:rsidRPr="002A208C">
        <w:rPr>
          <w:rFonts w:eastAsia="Calibri"/>
          <w:lang w:val="es-ES_tradnl" w:eastAsia="en-US"/>
        </w:rPr>
        <w:tab/>
        <w:t>Programa de Reparaciones en Promoción y Acceso Habitacional</w:t>
      </w:r>
    </w:p>
    <w:p w:rsidR="002A208C" w:rsidRPr="002A208C" w:rsidRDefault="002A208C" w:rsidP="002A208C">
      <w:pPr>
        <w:pStyle w:val="SingleTxtG"/>
        <w:rPr>
          <w:rFonts w:eastAsia="Calibri"/>
          <w:lang w:val="es-ES_tradnl" w:eastAsia="en-US"/>
        </w:rPr>
      </w:pPr>
      <w:r w:rsidRPr="002A208C">
        <w:rPr>
          <w:rFonts w:eastAsia="Calibri"/>
          <w:lang w:val="es-ES_tradnl" w:eastAsia="en-US"/>
        </w:rPr>
        <w:t>PIR</w:t>
      </w:r>
      <w:r w:rsidRPr="002A208C">
        <w:rPr>
          <w:rFonts w:eastAsia="Calibri"/>
          <w:lang w:val="es-ES_tradnl" w:eastAsia="en-US"/>
        </w:rPr>
        <w:tab/>
      </w:r>
      <w:r>
        <w:rPr>
          <w:rFonts w:eastAsia="Calibri"/>
          <w:lang w:val="es-ES_tradnl" w:eastAsia="en-US"/>
        </w:rPr>
        <w:tab/>
      </w:r>
      <w:r>
        <w:rPr>
          <w:rFonts w:eastAsia="Calibri"/>
          <w:lang w:val="es-ES_tradnl" w:eastAsia="en-US"/>
        </w:rPr>
        <w:tab/>
      </w:r>
      <w:r w:rsidRPr="002A208C">
        <w:rPr>
          <w:rFonts w:eastAsia="Calibri"/>
          <w:lang w:val="es-ES_tradnl" w:eastAsia="en-US"/>
        </w:rPr>
        <w:t>Plan Integral de Reparaciones</w:t>
      </w:r>
    </w:p>
    <w:p w:rsidR="002A208C" w:rsidRPr="002A208C" w:rsidRDefault="002A208C" w:rsidP="002A208C">
      <w:pPr>
        <w:pStyle w:val="SingleTxtG"/>
        <w:rPr>
          <w:rFonts w:eastAsia="Calibri"/>
          <w:lang w:val="es-ES_tradnl" w:eastAsia="en-US"/>
        </w:rPr>
      </w:pPr>
      <w:r w:rsidRPr="002A208C">
        <w:rPr>
          <w:rFonts w:eastAsia="Calibri"/>
          <w:lang w:val="es-ES_tradnl" w:eastAsia="en-US"/>
        </w:rPr>
        <w:t>SISFOH</w:t>
      </w:r>
      <w:r w:rsidRPr="002A208C">
        <w:rPr>
          <w:rFonts w:eastAsia="Calibri"/>
          <w:lang w:val="es-ES_tradnl" w:eastAsia="en-US"/>
        </w:rPr>
        <w:tab/>
      </w:r>
      <w:r>
        <w:rPr>
          <w:rFonts w:eastAsia="Calibri"/>
          <w:lang w:val="es-ES_tradnl" w:eastAsia="en-US"/>
        </w:rPr>
        <w:tab/>
      </w:r>
      <w:r w:rsidRPr="002A208C">
        <w:rPr>
          <w:rFonts w:eastAsia="Calibri"/>
          <w:lang w:val="es-ES_tradnl" w:eastAsia="en-US"/>
        </w:rPr>
        <w:t>Sistema de Focalización de Hogares</w:t>
      </w:r>
    </w:p>
    <w:p w:rsidR="00C8443F" w:rsidRPr="00C8443F" w:rsidRDefault="002A208C" w:rsidP="002A208C">
      <w:pPr>
        <w:pStyle w:val="SingleTxtG"/>
        <w:rPr>
          <w:rFonts w:eastAsia="Calibri"/>
          <w:lang w:val="es-ES_tradnl" w:eastAsia="en-US"/>
        </w:rPr>
      </w:pPr>
      <w:r w:rsidRPr="002A208C">
        <w:rPr>
          <w:rFonts w:eastAsia="Calibri"/>
          <w:lang w:val="es-ES_tradnl" w:eastAsia="en-US"/>
        </w:rPr>
        <w:t>SIS</w:t>
      </w:r>
      <w:r w:rsidRPr="002A208C">
        <w:rPr>
          <w:rFonts w:eastAsia="Calibri"/>
          <w:lang w:val="es-ES_tradnl" w:eastAsia="en-US"/>
        </w:rPr>
        <w:tab/>
      </w:r>
      <w:r>
        <w:rPr>
          <w:rFonts w:eastAsia="Calibri"/>
          <w:lang w:val="es-ES_tradnl" w:eastAsia="en-US"/>
        </w:rPr>
        <w:tab/>
      </w:r>
      <w:r>
        <w:rPr>
          <w:rFonts w:eastAsia="Calibri"/>
          <w:lang w:val="es-ES_tradnl" w:eastAsia="en-US"/>
        </w:rPr>
        <w:tab/>
      </w:r>
      <w:r w:rsidRPr="002A208C">
        <w:rPr>
          <w:rFonts w:eastAsia="Calibri"/>
          <w:lang w:val="es-ES_tradnl" w:eastAsia="en-US"/>
        </w:rPr>
        <w:t>Seguro Integral de Salud</w:t>
      </w:r>
    </w:p>
    <w:p w:rsidR="00C8443F" w:rsidRPr="00C8443F" w:rsidRDefault="002A208C" w:rsidP="00574AEE">
      <w:pPr>
        <w:pStyle w:val="HChG"/>
        <w:rPr>
          <w:rFonts w:eastAsia="Calibri"/>
          <w:sz w:val="22"/>
          <w:szCs w:val="22"/>
          <w:lang w:val="es-ES_tradnl" w:eastAsia="en-US"/>
        </w:rPr>
      </w:pPr>
      <w:r>
        <w:rPr>
          <w:rFonts w:eastAsia="Calibri"/>
          <w:lang w:val="es-PE" w:eastAsia="en-US"/>
        </w:rPr>
        <w:lastRenderedPageBreak/>
        <w:tab/>
      </w:r>
      <w:r>
        <w:rPr>
          <w:rFonts w:eastAsia="Calibri"/>
          <w:lang w:val="es-PE" w:eastAsia="en-US"/>
        </w:rPr>
        <w:tab/>
      </w:r>
      <w:r w:rsidR="00C8443F" w:rsidRPr="002A208C">
        <w:rPr>
          <w:rFonts w:eastAsia="Calibri"/>
          <w:lang w:val="es-PE" w:eastAsia="en-US"/>
        </w:rPr>
        <w:t>Otras</w:t>
      </w:r>
      <w:r w:rsidR="00C8443F" w:rsidRPr="00C8443F">
        <w:rPr>
          <w:rFonts w:eastAsia="Calibri"/>
          <w:sz w:val="22"/>
          <w:szCs w:val="22"/>
          <w:lang w:val="es-ES_tradnl" w:eastAsia="en-US"/>
        </w:rPr>
        <w:t xml:space="preserve"> </w:t>
      </w:r>
    </w:p>
    <w:p w:rsidR="002A208C" w:rsidRPr="002A208C" w:rsidRDefault="002A208C" w:rsidP="002A208C">
      <w:pPr>
        <w:pStyle w:val="SingleTxtG"/>
        <w:rPr>
          <w:rFonts w:eastAsia="Calibri"/>
          <w:lang w:val="es-PE" w:eastAsia="en-US"/>
        </w:rPr>
      </w:pPr>
      <w:r w:rsidRPr="002A208C">
        <w:rPr>
          <w:rFonts w:eastAsia="Calibri"/>
          <w:lang w:val="es-PE" w:eastAsia="en-US"/>
        </w:rPr>
        <w:t>DDHH</w:t>
      </w:r>
      <w:r w:rsidRPr="002A208C">
        <w:rPr>
          <w:rFonts w:eastAsia="Calibri"/>
          <w:lang w:val="es-PE" w:eastAsia="en-US"/>
        </w:rPr>
        <w:tab/>
      </w:r>
      <w:r>
        <w:rPr>
          <w:rFonts w:eastAsia="Calibri"/>
          <w:lang w:val="es-PE" w:eastAsia="en-US"/>
        </w:rPr>
        <w:tab/>
      </w:r>
      <w:r w:rsidRPr="002A208C">
        <w:rPr>
          <w:rFonts w:eastAsia="Calibri"/>
          <w:lang w:val="es-PE" w:eastAsia="en-US"/>
        </w:rPr>
        <w:t>Derechos Humanos</w:t>
      </w:r>
    </w:p>
    <w:p w:rsidR="002A208C" w:rsidRPr="002A208C" w:rsidRDefault="002A208C" w:rsidP="002A208C">
      <w:pPr>
        <w:pStyle w:val="SingleTxtG"/>
        <w:rPr>
          <w:rFonts w:eastAsia="Calibri"/>
          <w:lang w:val="es-PE" w:eastAsia="en-US"/>
        </w:rPr>
      </w:pPr>
      <w:r w:rsidRPr="002A208C">
        <w:rPr>
          <w:rFonts w:eastAsia="Calibri"/>
          <w:lang w:val="es-PE" w:eastAsia="en-US"/>
        </w:rPr>
        <w:t>DIH</w:t>
      </w:r>
      <w:r w:rsidRPr="002A208C">
        <w:rPr>
          <w:rFonts w:eastAsia="Calibri"/>
          <w:lang w:val="es-PE" w:eastAsia="en-US"/>
        </w:rPr>
        <w:tab/>
      </w:r>
      <w:r>
        <w:rPr>
          <w:rFonts w:eastAsia="Calibri"/>
          <w:lang w:val="es-PE" w:eastAsia="en-US"/>
        </w:rPr>
        <w:tab/>
      </w:r>
      <w:r>
        <w:rPr>
          <w:rFonts w:eastAsia="Calibri"/>
          <w:lang w:val="es-PE" w:eastAsia="en-US"/>
        </w:rPr>
        <w:tab/>
      </w:r>
      <w:r w:rsidRPr="002A208C">
        <w:rPr>
          <w:rFonts w:eastAsia="Calibri"/>
          <w:lang w:val="es-PE" w:eastAsia="en-US"/>
        </w:rPr>
        <w:t>Derecho Internacional Humanitario</w:t>
      </w:r>
    </w:p>
    <w:p w:rsidR="002A208C" w:rsidRPr="002A208C" w:rsidRDefault="002A208C" w:rsidP="00B524E4">
      <w:pPr>
        <w:pStyle w:val="SingleTxtG"/>
        <w:rPr>
          <w:rFonts w:eastAsia="Calibri"/>
          <w:lang w:val="es-PE" w:eastAsia="en-US"/>
        </w:rPr>
      </w:pPr>
      <w:r w:rsidRPr="002A208C">
        <w:rPr>
          <w:rFonts w:eastAsia="Calibri"/>
          <w:lang w:val="es-PE" w:eastAsia="en-US"/>
        </w:rPr>
        <w:t>ETI</w:t>
      </w:r>
      <w:r w:rsidRPr="002A208C">
        <w:rPr>
          <w:rFonts w:eastAsia="Calibri"/>
          <w:lang w:val="es-PE" w:eastAsia="en-US"/>
        </w:rPr>
        <w:tab/>
      </w:r>
      <w:r>
        <w:rPr>
          <w:rFonts w:eastAsia="Calibri"/>
          <w:lang w:val="es-PE" w:eastAsia="en-US"/>
        </w:rPr>
        <w:tab/>
      </w:r>
      <w:r>
        <w:rPr>
          <w:rFonts w:eastAsia="Calibri"/>
          <w:lang w:val="es-PE" w:eastAsia="en-US"/>
        </w:rPr>
        <w:tab/>
      </w:r>
      <w:r w:rsidRPr="002A208C">
        <w:rPr>
          <w:rFonts w:eastAsia="Calibri"/>
          <w:lang w:val="es-PE" w:eastAsia="en-US"/>
        </w:rPr>
        <w:t xml:space="preserve">Encuesta </w:t>
      </w:r>
      <w:r w:rsidRPr="00B524E4">
        <w:t>Nacional</w:t>
      </w:r>
      <w:r w:rsidRPr="002A208C">
        <w:rPr>
          <w:rFonts w:eastAsia="Calibri"/>
          <w:lang w:val="es-PE" w:eastAsia="en-US"/>
        </w:rPr>
        <w:t xml:space="preserve"> Especializada en Trabajo Infantil</w:t>
      </w:r>
    </w:p>
    <w:p w:rsidR="002A208C" w:rsidRPr="002A208C" w:rsidRDefault="002A208C" w:rsidP="002A208C">
      <w:pPr>
        <w:pStyle w:val="SingleTxtG"/>
        <w:rPr>
          <w:rFonts w:eastAsia="Calibri"/>
          <w:lang w:val="es-PE" w:eastAsia="en-US"/>
        </w:rPr>
      </w:pPr>
      <w:r w:rsidRPr="002A208C">
        <w:rPr>
          <w:rFonts w:eastAsia="Calibri"/>
          <w:lang w:val="es-PE" w:eastAsia="en-US"/>
        </w:rPr>
        <w:t>PPL</w:t>
      </w:r>
      <w:r w:rsidRPr="002A208C">
        <w:rPr>
          <w:rFonts w:eastAsia="Calibri"/>
          <w:lang w:val="es-PE" w:eastAsia="en-US"/>
        </w:rPr>
        <w:tab/>
      </w:r>
      <w:r>
        <w:rPr>
          <w:rFonts w:eastAsia="Calibri"/>
          <w:lang w:val="es-PE" w:eastAsia="en-US"/>
        </w:rPr>
        <w:tab/>
      </w:r>
      <w:r>
        <w:rPr>
          <w:rFonts w:eastAsia="Calibri"/>
          <w:lang w:val="es-PE" w:eastAsia="en-US"/>
        </w:rPr>
        <w:tab/>
      </w:r>
      <w:r w:rsidRPr="002A208C">
        <w:rPr>
          <w:rFonts w:eastAsia="Calibri"/>
          <w:lang w:val="es-PE" w:eastAsia="en-US"/>
        </w:rPr>
        <w:t>Personas Privadas de Libertad</w:t>
      </w:r>
    </w:p>
    <w:p w:rsidR="002A208C" w:rsidRPr="002A208C" w:rsidRDefault="002A208C" w:rsidP="002A208C">
      <w:pPr>
        <w:pStyle w:val="SingleTxtG"/>
        <w:rPr>
          <w:rFonts w:eastAsia="Calibri"/>
          <w:lang w:val="es-PE" w:eastAsia="en-US"/>
        </w:rPr>
      </w:pPr>
      <w:r w:rsidRPr="002A208C">
        <w:rPr>
          <w:rFonts w:eastAsia="Calibri"/>
          <w:lang w:val="es-PE" w:eastAsia="en-US"/>
        </w:rPr>
        <w:t>PRED</w:t>
      </w:r>
      <w:r>
        <w:rPr>
          <w:rFonts w:eastAsia="Calibri"/>
          <w:lang w:val="es-PE" w:eastAsia="en-US"/>
        </w:rPr>
        <w:tab/>
      </w:r>
      <w:r>
        <w:rPr>
          <w:rFonts w:eastAsia="Calibri"/>
          <w:lang w:val="es-PE" w:eastAsia="en-US"/>
        </w:rPr>
        <w:tab/>
      </w:r>
      <w:r w:rsidRPr="002A208C">
        <w:rPr>
          <w:rFonts w:eastAsia="Calibri"/>
          <w:lang w:val="es-PE" w:eastAsia="en-US"/>
        </w:rPr>
        <w:tab/>
        <w:t>Programa de Reparaciones Educativas</w:t>
      </w:r>
    </w:p>
    <w:p w:rsidR="002A208C" w:rsidRPr="002A208C" w:rsidRDefault="002A208C" w:rsidP="002A208C">
      <w:pPr>
        <w:pStyle w:val="SingleTxtG"/>
        <w:rPr>
          <w:rFonts w:eastAsia="Calibri"/>
          <w:lang w:val="es-PE" w:eastAsia="en-US"/>
        </w:rPr>
      </w:pPr>
      <w:r w:rsidRPr="002A208C">
        <w:rPr>
          <w:rFonts w:eastAsia="Calibri"/>
          <w:lang w:val="es-PE" w:eastAsia="en-US"/>
        </w:rPr>
        <w:t>RUV</w:t>
      </w:r>
      <w:r w:rsidRPr="002A208C">
        <w:rPr>
          <w:rFonts w:eastAsia="Calibri"/>
          <w:lang w:val="es-PE" w:eastAsia="en-US"/>
        </w:rPr>
        <w:tab/>
      </w:r>
      <w:r>
        <w:rPr>
          <w:rFonts w:eastAsia="Calibri"/>
          <w:lang w:val="es-PE" w:eastAsia="en-US"/>
        </w:rPr>
        <w:tab/>
      </w:r>
      <w:r>
        <w:rPr>
          <w:rFonts w:eastAsia="Calibri"/>
          <w:lang w:val="es-PE" w:eastAsia="en-US"/>
        </w:rPr>
        <w:tab/>
      </w:r>
      <w:r w:rsidRPr="002A208C">
        <w:rPr>
          <w:rFonts w:eastAsia="Calibri"/>
          <w:lang w:val="es-PE" w:eastAsia="en-US"/>
        </w:rPr>
        <w:t>Registro Único de Víctimas</w:t>
      </w:r>
    </w:p>
    <w:p w:rsidR="002A208C" w:rsidRPr="002A208C" w:rsidRDefault="002A208C" w:rsidP="002A208C">
      <w:pPr>
        <w:pStyle w:val="SingleTxtG"/>
        <w:rPr>
          <w:rFonts w:eastAsia="Calibri"/>
          <w:lang w:val="es-PE" w:eastAsia="en-US"/>
        </w:rPr>
      </w:pPr>
      <w:r w:rsidRPr="002A208C">
        <w:rPr>
          <w:rFonts w:eastAsia="Calibri"/>
          <w:lang w:val="es-PE" w:eastAsia="en-US"/>
        </w:rPr>
        <w:t>SOA</w:t>
      </w:r>
      <w:r w:rsidRPr="002A208C">
        <w:rPr>
          <w:rFonts w:eastAsia="Calibri"/>
          <w:lang w:val="es-PE" w:eastAsia="en-US"/>
        </w:rPr>
        <w:tab/>
      </w:r>
      <w:r>
        <w:rPr>
          <w:rFonts w:eastAsia="Calibri"/>
          <w:lang w:val="es-PE" w:eastAsia="en-US"/>
        </w:rPr>
        <w:tab/>
      </w:r>
      <w:r>
        <w:rPr>
          <w:rFonts w:eastAsia="Calibri"/>
          <w:lang w:val="es-PE" w:eastAsia="en-US"/>
        </w:rPr>
        <w:tab/>
      </w:r>
      <w:r w:rsidRPr="002A208C">
        <w:rPr>
          <w:rFonts w:eastAsia="Calibri"/>
          <w:lang w:val="es-PE" w:eastAsia="en-US"/>
        </w:rPr>
        <w:t>Servicios de Orientación al Adolescente</w:t>
      </w:r>
    </w:p>
    <w:p w:rsidR="002A208C" w:rsidRDefault="002A208C" w:rsidP="002A208C">
      <w:pPr>
        <w:pStyle w:val="SingleTxtG"/>
        <w:rPr>
          <w:rFonts w:eastAsia="Calibri"/>
          <w:lang w:val="es-PE" w:eastAsia="en-US"/>
        </w:rPr>
      </w:pPr>
      <w:r w:rsidRPr="002A208C">
        <w:rPr>
          <w:rFonts w:eastAsia="Calibri"/>
          <w:lang w:val="es-PE" w:eastAsia="en-US"/>
        </w:rPr>
        <w:t>VRAEM</w:t>
      </w:r>
      <w:r w:rsidRPr="002A208C">
        <w:rPr>
          <w:rFonts w:eastAsia="Calibri"/>
          <w:lang w:val="es-PE" w:eastAsia="en-US"/>
        </w:rPr>
        <w:tab/>
      </w:r>
      <w:r>
        <w:rPr>
          <w:rFonts w:eastAsia="Calibri"/>
          <w:lang w:val="es-PE" w:eastAsia="en-US"/>
        </w:rPr>
        <w:tab/>
      </w:r>
      <w:r w:rsidRPr="002A208C">
        <w:rPr>
          <w:rFonts w:eastAsia="Calibri"/>
          <w:lang w:val="es-PE" w:eastAsia="en-US"/>
        </w:rPr>
        <w:t>Valle de los Ríos Apurímac, Ene y Mantaro</w:t>
      </w:r>
      <w:r w:rsidR="00C8443F" w:rsidRPr="002A208C">
        <w:rPr>
          <w:rFonts w:eastAsia="Calibri"/>
          <w:lang w:val="es-PE" w:eastAsia="en-US"/>
        </w:rPr>
        <w:t xml:space="preserve"> </w:t>
      </w:r>
    </w:p>
    <w:p w:rsidR="002A208C" w:rsidRPr="00817016" w:rsidRDefault="002A208C" w:rsidP="00574AEE">
      <w:pPr>
        <w:pStyle w:val="HChG"/>
        <w:rPr>
          <w:rFonts w:eastAsia="Calibri"/>
        </w:rPr>
      </w:pPr>
      <w:r>
        <w:rPr>
          <w:rFonts w:eastAsia="Calibri"/>
          <w:lang w:val="es-PE" w:eastAsia="en-US"/>
        </w:rPr>
        <w:br w:type="page"/>
      </w:r>
      <w:bookmarkStart w:id="4" w:name="_Toc468642583"/>
      <w:bookmarkStart w:id="5" w:name="_Toc468721253"/>
      <w:bookmarkStart w:id="6" w:name="_Toc471137651"/>
      <w:bookmarkStart w:id="7" w:name="_Toc472097436"/>
      <w:bookmarkStart w:id="8" w:name="_Toc484774059"/>
      <w:r w:rsidR="00F6214C">
        <w:rPr>
          <w:rFonts w:eastAsia="Calibri"/>
          <w:lang w:val="es-PE" w:eastAsia="en-US"/>
        </w:rPr>
        <w:lastRenderedPageBreak/>
        <w:tab/>
      </w:r>
      <w:r w:rsidR="00817016" w:rsidRPr="00817016">
        <w:rPr>
          <w:rFonts w:eastAsia="Calibri"/>
        </w:rPr>
        <w:t>I.</w:t>
      </w:r>
      <w:r w:rsidR="00817016" w:rsidRPr="00817016">
        <w:rPr>
          <w:rFonts w:eastAsia="Calibri"/>
        </w:rPr>
        <w:tab/>
      </w:r>
      <w:r w:rsidR="00C8443F" w:rsidRPr="00817016">
        <w:rPr>
          <w:rFonts w:eastAsia="Calibri"/>
        </w:rPr>
        <w:t>Introducción</w:t>
      </w:r>
      <w:bookmarkEnd w:id="4"/>
      <w:bookmarkEnd w:id="5"/>
      <w:bookmarkEnd w:id="6"/>
      <w:bookmarkEnd w:id="7"/>
      <w:bookmarkEnd w:id="8"/>
    </w:p>
    <w:p w:rsidR="002A208C" w:rsidRPr="00092053" w:rsidRDefault="00092053" w:rsidP="00574AEE">
      <w:pPr>
        <w:pStyle w:val="SingleTxtG"/>
        <w:rPr>
          <w:rFonts w:eastAsia="Calibri"/>
          <w:lang w:val="es-PE" w:eastAsia="en-US"/>
        </w:rPr>
      </w:pPr>
      <w:r w:rsidRPr="00574AEE">
        <w:rPr>
          <w:rFonts w:eastAsia="Calibri"/>
          <w:lang w:val="es-PE" w:eastAsia="en-US"/>
        </w:rPr>
        <w:t>1.</w:t>
      </w:r>
      <w:r w:rsidRPr="00574AEE">
        <w:rPr>
          <w:rFonts w:eastAsia="Calibri"/>
          <w:lang w:val="es-PE" w:eastAsia="en-US"/>
        </w:rPr>
        <w:tab/>
      </w:r>
      <w:r w:rsidR="00C8443F" w:rsidRPr="00092053">
        <w:rPr>
          <w:rFonts w:eastAsia="Calibri"/>
          <w:lang w:val="es-PE" w:eastAsia="en-US"/>
        </w:rPr>
        <w:t xml:space="preserve">El Perú presenta su </w:t>
      </w:r>
      <w:r w:rsidR="00C8443F" w:rsidRPr="00092053">
        <w:rPr>
          <w:rFonts w:eastAsia="Calibri"/>
        </w:rPr>
        <w:t>séptimo</w:t>
      </w:r>
      <w:r w:rsidR="00C8443F" w:rsidRPr="00092053">
        <w:rPr>
          <w:rFonts w:eastAsia="Calibri"/>
          <w:lang w:val="es-PE" w:eastAsia="en-US"/>
        </w:rPr>
        <w:t xml:space="preserve"> informe periódico de conformidad con el artículo 19° de la Convención contra la Tortura y Otros Tratos o Penas Crueles, Inhumanos o Degradantes (CCT).</w:t>
      </w:r>
    </w:p>
    <w:p w:rsidR="002A208C" w:rsidRPr="00092053" w:rsidRDefault="00092053" w:rsidP="00574AEE">
      <w:pPr>
        <w:pStyle w:val="SingleTxtG"/>
        <w:rPr>
          <w:rFonts w:eastAsia="Calibri"/>
          <w:bCs/>
          <w:lang w:val="es-PE" w:eastAsia="en-US"/>
        </w:rPr>
      </w:pPr>
      <w:r w:rsidRPr="00574AEE">
        <w:rPr>
          <w:rFonts w:eastAsia="Calibri"/>
          <w:bCs/>
          <w:lang w:val="es-PE" w:eastAsia="en-US"/>
        </w:rPr>
        <w:t>2.</w:t>
      </w:r>
      <w:r w:rsidRPr="00574AEE">
        <w:rPr>
          <w:rFonts w:eastAsia="Calibri"/>
          <w:bCs/>
          <w:lang w:val="es-PE" w:eastAsia="en-US"/>
        </w:rPr>
        <w:tab/>
      </w:r>
      <w:r w:rsidR="00C8443F" w:rsidRPr="00092053">
        <w:rPr>
          <w:rFonts w:eastAsia="Calibri"/>
          <w:bCs/>
          <w:lang w:val="es-PE" w:eastAsia="en-US"/>
        </w:rPr>
        <w:t xml:space="preserve">Cabe resaltar que la prohibición de actos de tortura, tratos inhumanos o humillantes se encuentra </w:t>
      </w:r>
      <w:r w:rsidR="00C8443F" w:rsidRPr="00092053">
        <w:rPr>
          <w:rFonts w:eastAsia="Calibri"/>
          <w:lang w:val="es-PE" w:eastAsia="en-US"/>
        </w:rPr>
        <w:t>establecido</w:t>
      </w:r>
      <w:r w:rsidR="00C8443F" w:rsidRPr="00092053">
        <w:rPr>
          <w:rFonts w:eastAsia="Calibri"/>
          <w:bCs/>
          <w:lang w:val="es-PE" w:eastAsia="en-US"/>
        </w:rPr>
        <w:t xml:space="preserve"> en la Constitución Política del Perú</w:t>
      </w:r>
      <w:r w:rsidR="00C8443F" w:rsidRPr="00092053">
        <w:rPr>
          <w:rStyle w:val="Refdenotaalfinal"/>
          <w:rFonts w:eastAsia="Calibri"/>
        </w:rPr>
        <w:footnoteReference w:id="4"/>
      </w:r>
      <w:r w:rsidR="00C8443F" w:rsidRPr="00092053">
        <w:rPr>
          <w:rFonts w:eastAsia="Calibri"/>
          <w:bCs/>
          <w:lang w:val="es-PE" w:eastAsia="en-US"/>
        </w:rPr>
        <w:t xml:space="preserve"> (CPP), que dispone: “nadie debe ser víctima de violencia moral, psíquica o física, ni sometido a tortura o a tratos inhumanos o humillantes”. Ello además parte de la consideración de que la defensa de la persona humana y el respeto de su dignidad son el fin supremo de la sociedad y el Estado.</w:t>
      </w:r>
    </w:p>
    <w:p w:rsidR="002A208C" w:rsidRPr="00092053" w:rsidRDefault="00092053" w:rsidP="00574AEE">
      <w:pPr>
        <w:pStyle w:val="SingleTxtG"/>
        <w:rPr>
          <w:rFonts w:eastAsia="Calibri"/>
          <w:lang w:val="es-PE" w:eastAsia="en-US"/>
        </w:rPr>
      </w:pPr>
      <w:r w:rsidRPr="00574AEE">
        <w:rPr>
          <w:rFonts w:eastAsia="Calibri"/>
          <w:lang w:val="es-PE" w:eastAsia="en-US"/>
        </w:rPr>
        <w:t>3.</w:t>
      </w:r>
      <w:r w:rsidRPr="00574AEE">
        <w:rPr>
          <w:rFonts w:eastAsia="Calibri"/>
          <w:lang w:val="es-PE" w:eastAsia="en-US"/>
        </w:rPr>
        <w:tab/>
      </w:r>
      <w:r w:rsidR="00C8443F" w:rsidRPr="00092053">
        <w:rPr>
          <w:rFonts w:eastAsia="Calibri"/>
          <w:lang w:val="es-PE" w:eastAsia="en-US"/>
        </w:rPr>
        <w:t xml:space="preserve">Por ello, en el presente informe se dará cuenta de diversas medidas adoptadas para dar cumplimiento no solo a lo </w:t>
      </w:r>
      <w:r w:rsidR="00C8443F" w:rsidRPr="00092053">
        <w:rPr>
          <w:rFonts w:eastAsia="Calibri"/>
        </w:rPr>
        <w:t>establecido</w:t>
      </w:r>
      <w:r w:rsidR="00C8443F" w:rsidRPr="00092053">
        <w:rPr>
          <w:rFonts w:eastAsia="Calibri"/>
          <w:lang w:val="es-PE" w:eastAsia="en-US"/>
        </w:rPr>
        <w:t xml:space="preserve"> en su Carta Fundamental sino considerando también sus obligaciones internacionales </w:t>
      </w:r>
      <w:r w:rsidR="00C8443F" w:rsidRPr="00092053">
        <w:rPr>
          <w:rFonts w:eastAsia="Calibri"/>
          <w:bCs/>
          <w:lang w:val="es-PE" w:eastAsia="en-US"/>
        </w:rPr>
        <w:t>asumidas</w:t>
      </w:r>
      <w:r w:rsidR="00C8443F" w:rsidRPr="00092053">
        <w:rPr>
          <w:rFonts w:eastAsia="Calibri"/>
          <w:lang w:val="es-PE" w:eastAsia="en-US"/>
        </w:rPr>
        <w:t xml:space="preserve"> en el marco de la CCT y otros instrumentos </w:t>
      </w:r>
      <w:r w:rsidR="00C8443F" w:rsidRPr="00092053">
        <w:rPr>
          <w:rFonts w:eastAsia="Calibri"/>
          <w:bCs/>
          <w:lang w:val="es-PE" w:eastAsia="en-US"/>
        </w:rPr>
        <w:t>internacionales</w:t>
      </w:r>
      <w:r w:rsidR="00C8443F" w:rsidRPr="00092053">
        <w:rPr>
          <w:rFonts w:eastAsia="Calibri"/>
          <w:lang w:val="es-PE" w:eastAsia="en-US"/>
        </w:rPr>
        <w:t xml:space="preserve"> ratificados por el Perú.</w:t>
      </w:r>
    </w:p>
    <w:p w:rsidR="002A208C" w:rsidRPr="00092053" w:rsidRDefault="00092053" w:rsidP="00574AEE">
      <w:pPr>
        <w:pStyle w:val="SingleTxtG"/>
        <w:rPr>
          <w:rFonts w:eastAsia="Calibri"/>
          <w:bCs/>
          <w:lang w:val="es-PE" w:eastAsia="en-US"/>
        </w:rPr>
      </w:pPr>
      <w:r w:rsidRPr="00574AEE">
        <w:rPr>
          <w:rFonts w:eastAsia="Calibri"/>
          <w:bCs/>
          <w:lang w:val="es-PE" w:eastAsia="en-US"/>
        </w:rPr>
        <w:t>4.</w:t>
      </w:r>
      <w:r w:rsidRPr="00574AEE">
        <w:rPr>
          <w:rFonts w:eastAsia="Calibri"/>
          <w:bCs/>
          <w:lang w:val="es-PE" w:eastAsia="en-US"/>
        </w:rPr>
        <w:tab/>
      </w:r>
      <w:r w:rsidR="00C8443F" w:rsidRPr="00092053">
        <w:rPr>
          <w:rFonts w:eastAsia="Calibri"/>
          <w:bCs/>
          <w:lang w:val="es-PE" w:eastAsia="en-US"/>
        </w:rPr>
        <w:t xml:space="preserve">Dichas </w:t>
      </w:r>
      <w:r w:rsidR="00C8443F" w:rsidRPr="00092053">
        <w:rPr>
          <w:rFonts w:eastAsia="Calibri"/>
          <w:lang w:val="es-PE" w:eastAsia="en-US"/>
        </w:rPr>
        <w:t>medidas</w:t>
      </w:r>
      <w:r w:rsidR="00C8443F" w:rsidRPr="00092053">
        <w:rPr>
          <w:rFonts w:eastAsia="Calibri"/>
          <w:bCs/>
          <w:lang w:val="es-PE" w:eastAsia="en-US"/>
        </w:rPr>
        <w:t xml:space="preserve"> están relacionadas, por un lado, con la promoción y adopción de políticas públicas y medidas normativas, la continuidad en los procesos de judicialización y, de otro lado, a las acciones referentes a la difusión de los estándares establecidos en la</w:t>
      </w:r>
      <w:r w:rsidR="00F14ECC">
        <w:rPr>
          <w:rFonts w:eastAsia="Calibri"/>
          <w:bCs/>
          <w:lang w:val="es-PE" w:eastAsia="en-US"/>
        </w:rPr>
        <w:t> </w:t>
      </w:r>
      <w:r w:rsidR="00C8443F" w:rsidRPr="00092053">
        <w:rPr>
          <w:rFonts w:eastAsia="Calibri"/>
          <w:bCs/>
          <w:lang w:val="es-PE" w:eastAsia="en-US"/>
        </w:rPr>
        <w:t xml:space="preserve">CCT. </w:t>
      </w:r>
    </w:p>
    <w:p w:rsidR="002A208C" w:rsidRPr="00F046F7" w:rsidRDefault="000060A3" w:rsidP="00574AEE">
      <w:pPr>
        <w:pStyle w:val="HChG"/>
        <w:rPr>
          <w:rFonts w:eastAsia="Calibri"/>
          <w:lang w:val="es-PE" w:eastAsia="en-US"/>
        </w:rPr>
      </w:pPr>
      <w:bookmarkStart w:id="9" w:name="_Toc468627293"/>
      <w:bookmarkStart w:id="10" w:name="_Toc468642584"/>
      <w:bookmarkStart w:id="11" w:name="_Toc468721254"/>
      <w:bookmarkStart w:id="12" w:name="_Toc471137652"/>
      <w:bookmarkStart w:id="13" w:name="_Toc472097437"/>
      <w:bookmarkStart w:id="14" w:name="_Toc484774060"/>
      <w:r w:rsidRPr="00FA45BC">
        <w:rPr>
          <w:rFonts w:eastAsia="Calibri"/>
          <w:lang w:val="es-PE" w:eastAsia="en-US"/>
        </w:rPr>
        <w:tab/>
        <w:t>II.</w:t>
      </w:r>
      <w:r w:rsidRPr="00FA45BC">
        <w:rPr>
          <w:rFonts w:eastAsia="Calibri"/>
          <w:lang w:val="es-PE" w:eastAsia="en-US"/>
        </w:rPr>
        <w:tab/>
      </w:r>
      <w:r w:rsidR="00C8443F" w:rsidRPr="00FA45BC">
        <w:rPr>
          <w:rFonts w:eastAsia="Calibri"/>
          <w:lang w:val="es-PE" w:eastAsia="en-US"/>
        </w:rPr>
        <w:t xml:space="preserve">Información </w:t>
      </w:r>
      <w:r w:rsidR="00C8443F" w:rsidRPr="002C565A">
        <w:rPr>
          <w:rFonts w:eastAsia="Calibri"/>
        </w:rPr>
        <w:t>relativa</w:t>
      </w:r>
      <w:r w:rsidR="00C8443F" w:rsidRPr="002C565A">
        <w:rPr>
          <w:rFonts w:eastAsia="Calibri"/>
          <w:lang w:val="es-PE" w:eastAsia="en-US"/>
        </w:rPr>
        <w:t xml:space="preserve"> a los </w:t>
      </w:r>
      <w:r w:rsidR="00C8443F" w:rsidRPr="002C565A">
        <w:rPr>
          <w:rFonts w:eastAsia="Calibri"/>
        </w:rPr>
        <w:t>artículos</w:t>
      </w:r>
      <w:r w:rsidR="00C8443F" w:rsidRPr="002C565A">
        <w:rPr>
          <w:rFonts w:eastAsia="Calibri"/>
          <w:lang w:val="es-PE" w:eastAsia="en-US"/>
        </w:rPr>
        <w:t xml:space="preserve"> de la Convención</w:t>
      </w:r>
      <w:bookmarkEnd w:id="9"/>
      <w:bookmarkEnd w:id="10"/>
      <w:bookmarkEnd w:id="11"/>
      <w:bookmarkEnd w:id="12"/>
      <w:bookmarkEnd w:id="13"/>
      <w:bookmarkEnd w:id="14"/>
    </w:p>
    <w:p w:rsidR="002A208C" w:rsidRPr="00574AEE" w:rsidRDefault="000060A3" w:rsidP="00574AEE">
      <w:pPr>
        <w:pStyle w:val="H1G"/>
        <w:rPr>
          <w:rFonts w:eastAsia="Calibri"/>
          <w:lang w:val="es-PE" w:eastAsia="en-US"/>
        </w:rPr>
      </w:pPr>
      <w:bookmarkStart w:id="15" w:name="_Toc468627294"/>
      <w:bookmarkStart w:id="16" w:name="_Toc468642585"/>
      <w:bookmarkStart w:id="17" w:name="_Toc468721255"/>
      <w:bookmarkStart w:id="18" w:name="_Toc471137653"/>
      <w:bookmarkStart w:id="19" w:name="_Toc472097438"/>
      <w:bookmarkStart w:id="20" w:name="_Toc484774061"/>
      <w:r w:rsidRPr="00574AEE">
        <w:rPr>
          <w:rFonts w:eastAsia="Calibri"/>
          <w:lang w:val="es-PE" w:eastAsia="en-US"/>
        </w:rPr>
        <w:tab/>
      </w:r>
      <w:r w:rsidRPr="00574AEE">
        <w:rPr>
          <w:rFonts w:eastAsia="Calibri"/>
          <w:lang w:val="es-PE" w:eastAsia="en-US"/>
        </w:rPr>
        <w:tab/>
      </w:r>
      <w:r w:rsidR="00C8443F" w:rsidRPr="00574AEE">
        <w:rPr>
          <w:rFonts w:eastAsia="Calibri"/>
          <w:lang w:val="es-PE" w:eastAsia="en-US"/>
        </w:rPr>
        <w:t>Artículo 1°</w:t>
      </w:r>
      <w:bookmarkEnd w:id="15"/>
      <w:bookmarkEnd w:id="16"/>
      <w:bookmarkEnd w:id="17"/>
      <w:bookmarkEnd w:id="18"/>
      <w:bookmarkEnd w:id="19"/>
      <w:bookmarkEnd w:id="20"/>
      <w:r w:rsidR="00C8443F" w:rsidRPr="00574AEE">
        <w:rPr>
          <w:rFonts w:eastAsia="Calibri"/>
          <w:lang w:val="es-PE" w:eastAsia="en-US"/>
        </w:rPr>
        <w:t xml:space="preserve"> </w:t>
      </w:r>
    </w:p>
    <w:p w:rsidR="00C8443F" w:rsidRPr="00092053" w:rsidRDefault="000060A3" w:rsidP="000060A3">
      <w:pPr>
        <w:pStyle w:val="H23G"/>
        <w:rPr>
          <w:rFonts w:eastAsia="Calibri"/>
          <w:lang w:val="es-PE" w:eastAsia="en-US"/>
        </w:rPr>
      </w:pPr>
      <w:bookmarkStart w:id="21" w:name="_Toc468627295"/>
      <w:bookmarkStart w:id="22" w:name="_Toc468642586"/>
      <w:bookmarkStart w:id="23" w:name="_Toc468721256"/>
      <w:bookmarkStart w:id="24" w:name="_Toc471137654"/>
      <w:bookmarkStart w:id="25" w:name="_Toc472097439"/>
      <w:bookmarkStart w:id="26" w:name="_Toc484774062"/>
      <w:r w:rsidRPr="00092053">
        <w:rPr>
          <w:rFonts w:eastAsia="Calibri"/>
          <w:lang w:val="es-PE" w:eastAsia="en-US"/>
        </w:rPr>
        <w:tab/>
      </w:r>
      <w:r w:rsidRPr="00092053">
        <w:rPr>
          <w:rFonts w:eastAsia="Calibri"/>
          <w:lang w:val="es-PE" w:eastAsia="en-US"/>
        </w:rPr>
        <w:tab/>
      </w:r>
      <w:r w:rsidR="00C8443F" w:rsidRPr="00092053">
        <w:rPr>
          <w:rFonts w:eastAsia="Calibri"/>
          <w:lang w:val="es-PE" w:eastAsia="en-US"/>
        </w:rPr>
        <w:t>Respuesta al párrafo 1 de la Lista de Cuestiones</w:t>
      </w:r>
      <w:bookmarkEnd w:id="21"/>
      <w:bookmarkEnd w:id="22"/>
      <w:bookmarkEnd w:id="23"/>
      <w:bookmarkEnd w:id="24"/>
      <w:bookmarkEnd w:id="25"/>
      <w:bookmarkEnd w:id="26"/>
      <w:r w:rsidR="00C8443F" w:rsidRPr="00092053">
        <w:rPr>
          <w:rFonts w:eastAsia="Calibri"/>
          <w:lang w:val="es-PE" w:eastAsia="en-US"/>
        </w:rPr>
        <w:t xml:space="preserve"> </w:t>
      </w:r>
    </w:p>
    <w:p w:rsidR="002A208C" w:rsidRPr="00092053" w:rsidRDefault="00092053" w:rsidP="00574AEE">
      <w:pPr>
        <w:pStyle w:val="SingleTxtG"/>
        <w:rPr>
          <w:rFonts w:eastAsia="Calibri"/>
          <w:lang w:val="es-ES_tradnl"/>
        </w:rPr>
      </w:pPr>
      <w:r w:rsidRPr="00574AEE">
        <w:rPr>
          <w:rFonts w:eastAsia="Calibri"/>
          <w:lang w:val="es-ES_tradnl"/>
        </w:rPr>
        <w:t>5.</w:t>
      </w:r>
      <w:r w:rsidRPr="00574AEE">
        <w:rPr>
          <w:rFonts w:eastAsia="Calibri"/>
          <w:lang w:val="es-ES_tradnl"/>
        </w:rPr>
        <w:tab/>
      </w:r>
      <w:r w:rsidR="00C8443F" w:rsidRPr="00092053">
        <w:rPr>
          <w:rFonts w:eastAsia="Calibri"/>
          <w:lang w:val="es-ES_tradnl"/>
        </w:rPr>
        <w:t xml:space="preserve">El tipo penal de </w:t>
      </w:r>
      <w:r w:rsidR="00C8443F" w:rsidRPr="00092053">
        <w:rPr>
          <w:rFonts w:eastAsia="Calibri"/>
          <w:bCs/>
          <w:lang w:val="es-PE" w:eastAsia="en-US"/>
        </w:rPr>
        <w:t>tortura</w:t>
      </w:r>
      <w:r w:rsidR="00C8443F" w:rsidRPr="00092053">
        <w:rPr>
          <w:rFonts w:eastAsia="Calibri"/>
          <w:lang w:val="es-ES_tradnl"/>
        </w:rPr>
        <w:t xml:space="preserve"> desarrollado en el artículo 321° del Código Penal (CP) fue modificado mediante el </w:t>
      </w:r>
      <w:r w:rsidR="00C8443F" w:rsidRPr="00092053">
        <w:rPr>
          <w:rFonts w:eastAsia="Calibri"/>
          <w:lang w:val="es-PE" w:eastAsia="en-US"/>
        </w:rPr>
        <w:t>Decreto</w:t>
      </w:r>
      <w:r w:rsidR="00C8443F" w:rsidRPr="00092053">
        <w:rPr>
          <w:rFonts w:eastAsia="Calibri"/>
          <w:lang w:val="es-ES_tradnl"/>
        </w:rPr>
        <w:t xml:space="preserve"> Legislativo </w:t>
      </w:r>
      <w:r w:rsidR="00CD52E7">
        <w:rPr>
          <w:rFonts w:eastAsia="Calibri"/>
          <w:lang w:val="es-ES_tradnl"/>
        </w:rPr>
        <w:t>núm.</w:t>
      </w:r>
      <w:r w:rsidR="00C8443F" w:rsidRPr="00092053">
        <w:rPr>
          <w:rFonts w:eastAsia="Calibri"/>
          <w:lang w:val="es-ES_tradnl"/>
        </w:rPr>
        <w:t xml:space="preserve"> 1351</w:t>
      </w:r>
      <w:r w:rsidR="00C8443F" w:rsidRPr="00092053">
        <w:rPr>
          <w:rFonts w:eastAsia="Calibri"/>
          <w:vertAlign w:val="superscript"/>
          <w:lang w:val="es-ES_tradnl"/>
        </w:rPr>
        <w:footnoteReference w:id="5"/>
      </w:r>
      <w:r w:rsidR="00C8443F" w:rsidRPr="00092053">
        <w:rPr>
          <w:rFonts w:eastAsia="Calibri"/>
          <w:lang w:val="es-ES_tradnl"/>
        </w:rPr>
        <w:t xml:space="preserve">, disponiéndose que “el funcionario o servidor público, o cualquier persona con el consentimiento o aquiescencia de aquel, que inflige dolores o sufrimientos graves, sean físicos o mentales, a otra persona o la somete a </w:t>
      </w:r>
      <w:r w:rsidR="00C8443F" w:rsidRPr="00092053">
        <w:rPr>
          <w:rFonts w:eastAsia="Calibri"/>
        </w:rPr>
        <w:t>cualquier</w:t>
      </w:r>
      <w:r w:rsidR="00C8443F" w:rsidRPr="00092053">
        <w:rPr>
          <w:rFonts w:eastAsia="Calibri"/>
          <w:lang w:val="es-ES_tradnl"/>
        </w:rPr>
        <w:t xml:space="preserve"> método tendente a menoscabar su personalidad o disminuir su capacidad mental o física, será reprimido con pena privativa de libertad no menor de ocho ni mayor de catorce años”</w:t>
      </w:r>
      <w:r w:rsidR="00AB3C05">
        <w:rPr>
          <w:rFonts w:eastAsia="Calibri"/>
          <w:lang w:val="es-ES_tradnl"/>
        </w:rPr>
        <w:t>.</w:t>
      </w:r>
    </w:p>
    <w:p w:rsidR="002A208C" w:rsidRPr="00092053" w:rsidRDefault="00092053" w:rsidP="00574AEE">
      <w:pPr>
        <w:pStyle w:val="SingleTxtG"/>
        <w:rPr>
          <w:rFonts w:eastAsia="Calibri"/>
          <w:lang w:val="es-PE" w:eastAsia="en-US"/>
        </w:rPr>
      </w:pPr>
      <w:r w:rsidRPr="00574AEE">
        <w:rPr>
          <w:rFonts w:eastAsia="Calibri"/>
          <w:lang w:val="es-PE" w:eastAsia="en-US"/>
        </w:rPr>
        <w:t>6.</w:t>
      </w:r>
      <w:r w:rsidRPr="00574AEE">
        <w:rPr>
          <w:rFonts w:eastAsia="Calibri"/>
          <w:lang w:val="es-PE" w:eastAsia="en-US"/>
        </w:rPr>
        <w:tab/>
      </w:r>
      <w:r w:rsidR="00C8443F" w:rsidRPr="00092053">
        <w:rPr>
          <w:rFonts w:eastAsia="Calibri"/>
          <w:lang w:val="es-PE" w:eastAsia="en-US"/>
        </w:rPr>
        <w:t>En los supuestos que la víctima “i) resulte con lesión grave; ii) tenga menos de dieciocho años o sea mayor de sesenta años de edad; iii) padezca de cualquier tipo de discapacidad; iv) se encuentre en estado de gestación; y, v) se encuentre detenida o recluida, y el agente abuse de su condición de autoridad para cometer el delito, la pena privativa de libertad no será menor de quince ni mayor de veinte años”</w:t>
      </w:r>
      <w:r w:rsidR="00AB3C05">
        <w:rPr>
          <w:rFonts w:eastAsia="Calibri"/>
          <w:lang w:val="es-PE" w:eastAsia="en-US"/>
        </w:rPr>
        <w:t>.</w:t>
      </w:r>
      <w:r w:rsidR="00C8443F" w:rsidRPr="00092053">
        <w:rPr>
          <w:rFonts w:eastAsia="Calibri"/>
          <w:lang w:val="es-PE" w:eastAsia="en-US"/>
        </w:rPr>
        <w:t xml:space="preserve"> </w:t>
      </w:r>
    </w:p>
    <w:p w:rsidR="002A208C" w:rsidRPr="00092053" w:rsidRDefault="00092053" w:rsidP="00574AEE">
      <w:pPr>
        <w:pStyle w:val="SingleTxtG"/>
        <w:rPr>
          <w:rFonts w:eastAsia="Calibri"/>
          <w:lang w:val="es-PE" w:eastAsia="en-US"/>
        </w:rPr>
      </w:pPr>
      <w:r w:rsidRPr="00574AEE">
        <w:rPr>
          <w:rFonts w:eastAsia="Calibri"/>
          <w:lang w:val="es-PE" w:eastAsia="en-US"/>
        </w:rPr>
        <w:t>7.</w:t>
      </w:r>
      <w:r w:rsidRPr="00574AEE">
        <w:rPr>
          <w:rFonts w:eastAsia="Calibri"/>
          <w:lang w:val="es-PE" w:eastAsia="en-US"/>
        </w:rPr>
        <w:tab/>
      </w:r>
      <w:r w:rsidR="00C8443F" w:rsidRPr="00092053">
        <w:rPr>
          <w:rFonts w:eastAsia="Calibri"/>
          <w:lang w:val="es-PE" w:eastAsia="en-US"/>
        </w:rPr>
        <w:t>En caso se produjera la muerte de la víctima y el agente pudo prever ese resultado, la pena privativa de libertad es no menor de veinte ni mayor de veinticinco años.</w:t>
      </w:r>
    </w:p>
    <w:p w:rsidR="002A208C" w:rsidRPr="00092053" w:rsidRDefault="00092053" w:rsidP="00574AEE">
      <w:pPr>
        <w:pStyle w:val="SingleTxtG"/>
        <w:rPr>
          <w:rFonts w:eastAsia="Calibri"/>
          <w:lang w:val="es-PE" w:eastAsia="en-US"/>
        </w:rPr>
      </w:pPr>
      <w:r w:rsidRPr="00574AEE">
        <w:rPr>
          <w:rFonts w:eastAsia="Calibri"/>
          <w:lang w:val="es-PE" w:eastAsia="en-US"/>
        </w:rPr>
        <w:t>8.</w:t>
      </w:r>
      <w:r w:rsidRPr="00574AEE">
        <w:rPr>
          <w:rFonts w:eastAsia="Calibri"/>
          <w:lang w:val="es-PE" w:eastAsia="en-US"/>
        </w:rPr>
        <w:tab/>
      </w:r>
      <w:r w:rsidR="00C8443F" w:rsidRPr="00092053">
        <w:rPr>
          <w:rFonts w:eastAsia="Calibri"/>
          <w:lang w:val="es-PE" w:eastAsia="en-US"/>
        </w:rPr>
        <w:t xml:space="preserve">Con dicha modificación, se desvincula la condición de consumación de la tortura a una consecuencia material que no forma parte del acto valorado. Así, se considera pertinente que el sometimiento de la persona se materialice en la exposición a un método determinado, y este, a su vez, se encuentre orientado al menoscabo físico o mental, es decir, con la incorporación del término “tendente” el daño material a la capacidad mental o física solo se advierte potencial, logrando regresar el verdadero desvalor al acto aflictivo. </w:t>
      </w:r>
    </w:p>
    <w:p w:rsidR="002A208C" w:rsidRPr="00092053" w:rsidRDefault="00092053" w:rsidP="00574AEE">
      <w:pPr>
        <w:pStyle w:val="SingleTxtG"/>
        <w:rPr>
          <w:rFonts w:eastAsia="Calibri"/>
          <w:lang w:val="es-PE" w:eastAsia="en-US"/>
        </w:rPr>
      </w:pPr>
      <w:r w:rsidRPr="00574AEE">
        <w:rPr>
          <w:rFonts w:eastAsia="Calibri"/>
          <w:lang w:val="es-PE" w:eastAsia="en-US"/>
        </w:rPr>
        <w:lastRenderedPageBreak/>
        <w:t>9.</w:t>
      </w:r>
      <w:r w:rsidRPr="00574AEE">
        <w:rPr>
          <w:rFonts w:eastAsia="Calibri"/>
          <w:lang w:val="es-PE" w:eastAsia="en-US"/>
        </w:rPr>
        <w:tab/>
      </w:r>
      <w:r w:rsidR="00C8443F" w:rsidRPr="00092053">
        <w:rPr>
          <w:rFonts w:eastAsia="Calibri"/>
          <w:lang w:val="es-PE" w:eastAsia="en-US"/>
        </w:rPr>
        <w:t xml:space="preserve">De otro lado, con anterioridad, se realizaron dos modificaciones a dicho Código, mediante la Ley </w:t>
      </w:r>
      <w:r w:rsidR="00CD52E7">
        <w:rPr>
          <w:rFonts w:eastAsia="Calibri"/>
          <w:lang w:val="es-ES_tradnl"/>
        </w:rPr>
        <w:t>núm.</w:t>
      </w:r>
      <w:r w:rsidR="00C8443F" w:rsidRPr="00092053">
        <w:rPr>
          <w:rFonts w:eastAsia="Calibri"/>
          <w:lang w:val="es-PE" w:eastAsia="en-US"/>
        </w:rPr>
        <w:t xml:space="preserve"> 30054</w:t>
      </w:r>
      <w:r w:rsidR="00C8443F" w:rsidRPr="00092053">
        <w:rPr>
          <w:rStyle w:val="Refdenotaalfinal"/>
          <w:rFonts w:eastAsia="Calibri"/>
        </w:rPr>
        <w:footnoteReference w:id="6"/>
      </w:r>
      <w:r w:rsidR="00C8443F" w:rsidRPr="00092053">
        <w:rPr>
          <w:rFonts w:eastAsia="Calibri"/>
          <w:lang w:val="es-PE" w:eastAsia="en-US"/>
        </w:rPr>
        <w:t xml:space="preserve"> y Ley </w:t>
      </w:r>
      <w:r w:rsidR="00CD52E7">
        <w:rPr>
          <w:rFonts w:eastAsia="Calibri"/>
          <w:lang w:val="es-ES_tradnl"/>
        </w:rPr>
        <w:t>núm.</w:t>
      </w:r>
      <w:r w:rsidR="00C8443F" w:rsidRPr="00092053">
        <w:rPr>
          <w:rFonts w:eastAsia="Calibri"/>
          <w:lang w:val="es-PE" w:eastAsia="en-US"/>
        </w:rPr>
        <w:t xml:space="preserve"> 30077</w:t>
      </w:r>
      <w:r w:rsidR="00C8443F" w:rsidRPr="00092053">
        <w:rPr>
          <w:rStyle w:val="Refdenotaalfinal"/>
          <w:rFonts w:eastAsia="Calibri"/>
        </w:rPr>
        <w:footnoteReference w:id="7"/>
      </w:r>
      <w:r w:rsidR="00C8443F" w:rsidRPr="00092053">
        <w:rPr>
          <w:rFonts w:eastAsia="Calibri"/>
          <w:lang w:val="es-PE" w:eastAsia="en-US"/>
        </w:rPr>
        <w:t xml:space="preserve"> cuyos alcances tienen efectos en la determinación de la pena en el tipo penal de tortura, entre otros delitos. </w:t>
      </w:r>
    </w:p>
    <w:p w:rsidR="002A208C" w:rsidRPr="00092053" w:rsidRDefault="00092053" w:rsidP="00574AEE">
      <w:pPr>
        <w:pStyle w:val="SingleTxtG"/>
        <w:rPr>
          <w:rFonts w:eastAsia="Calibri"/>
          <w:lang w:val="es-PE" w:eastAsia="en-US"/>
        </w:rPr>
      </w:pPr>
      <w:r w:rsidRPr="00574AEE">
        <w:rPr>
          <w:rFonts w:eastAsia="Calibri"/>
          <w:lang w:val="es-PE" w:eastAsia="en-US"/>
        </w:rPr>
        <w:t>10.</w:t>
      </w:r>
      <w:r w:rsidRPr="00574AEE">
        <w:rPr>
          <w:rFonts w:eastAsia="Calibri"/>
          <w:lang w:val="es-PE" w:eastAsia="en-US"/>
        </w:rPr>
        <w:tab/>
      </w:r>
      <w:r w:rsidR="00C8443F" w:rsidRPr="00092053">
        <w:rPr>
          <w:rFonts w:eastAsia="Calibri"/>
          <w:lang w:val="es-PE" w:eastAsia="en-US"/>
        </w:rPr>
        <w:t xml:space="preserve">Con relación a la Ley </w:t>
      </w:r>
      <w:r w:rsidR="00CD52E7">
        <w:rPr>
          <w:rFonts w:eastAsia="Calibri"/>
          <w:lang w:val="es-ES_tradnl"/>
        </w:rPr>
        <w:t>núm.</w:t>
      </w:r>
      <w:r w:rsidR="00C8443F" w:rsidRPr="00092053">
        <w:rPr>
          <w:rFonts w:eastAsia="Calibri"/>
          <w:lang w:val="es-PE" w:eastAsia="en-US"/>
        </w:rPr>
        <w:t xml:space="preserve"> 30054</w:t>
      </w:r>
      <w:r w:rsidR="00C8443F" w:rsidRPr="00092053">
        <w:rPr>
          <w:rStyle w:val="Refdenotaalfinal"/>
          <w:rFonts w:eastAsia="Calibri"/>
        </w:rPr>
        <w:footnoteReference w:id="8"/>
      </w:r>
      <w:r w:rsidR="00C8443F" w:rsidRPr="00092053">
        <w:rPr>
          <w:rFonts w:eastAsia="Calibri"/>
          <w:lang w:val="es-PE" w:eastAsia="en-US"/>
        </w:rPr>
        <w:t xml:space="preserve"> se ha establecido que el juez aumentará la pena hasta la mitad por encima del máximo legal, no pudiendo esta exceder de 35 años de pena privativa de libertad, cuando el sujeto activo se aprovecha de su condición de miembro de las Fuerzas Armadas (FFAA), Policía Nacional del Perú (PNP), autoridad, funcionario o servidor público para cometer un hecho punible o utiliza para ello armas proporcionadas por el Estado o cuyo uso le sea autorizado por su condición de funcionario.</w:t>
      </w:r>
    </w:p>
    <w:p w:rsidR="002A208C" w:rsidRPr="00092053" w:rsidRDefault="00092053" w:rsidP="00574AEE">
      <w:pPr>
        <w:pStyle w:val="SingleTxtG"/>
        <w:rPr>
          <w:rFonts w:eastAsia="Calibri"/>
          <w:lang w:val="es-PE" w:eastAsia="en-US"/>
        </w:rPr>
      </w:pPr>
      <w:r w:rsidRPr="00574AEE">
        <w:rPr>
          <w:rFonts w:eastAsia="Calibri"/>
          <w:lang w:val="es-PE" w:eastAsia="en-US"/>
        </w:rPr>
        <w:t>11.</w:t>
      </w:r>
      <w:r w:rsidRPr="00574AEE">
        <w:rPr>
          <w:rFonts w:eastAsia="Calibri"/>
          <w:lang w:val="es-PE" w:eastAsia="en-US"/>
        </w:rPr>
        <w:tab/>
      </w:r>
      <w:r w:rsidR="00C8443F" w:rsidRPr="00092053">
        <w:rPr>
          <w:rFonts w:eastAsia="Calibri"/>
          <w:lang w:val="es-PE" w:eastAsia="en-US"/>
        </w:rPr>
        <w:t xml:space="preserve">En la Ley </w:t>
      </w:r>
      <w:r w:rsidR="00CD52E7">
        <w:rPr>
          <w:rFonts w:eastAsia="Calibri"/>
          <w:lang w:val="es-ES_tradnl"/>
        </w:rPr>
        <w:t>núm.</w:t>
      </w:r>
      <w:r w:rsidR="00C8443F" w:rsidRPr="00092053">
        <w:rPr>
          <w:rFonts w:eastAsia="Calibri"/>
          <w:lang w:val="es-PE" w:eastAsia="en-US"/>
        </w:rPr>
        <w:t xml:space="preserve"> 30077</w:t>
      </w:r>
      <w:r w:rsidR="00C8443F" w:rsidRPr="00092053">
        <w:rPr>
          <w:rStyle w:val="Refdenotaalfinal"/>
          <w:rFonts w:eastAsia="Calibri"/>
        </w:rPr>
        <w:footnoteReference w:id="9"/>
      </w:r>
      <w:r w:rsidR="00C8443F" w:rsidRPr="00092053">
        <w:rPr>
          <w:rFonts w:eastAsia="Calibri"/>
          <w:lang w:val="es-PE" w:eastAsia="en-US"/>
        </w:rPr>
        <w:t xml:space="preserve"> se establecen las reglas y los procedimientos sobre técnicas especiales de investigación, juzgamiento y sanción de delitos cometidos por organizaciones criminales, siendo comprendida la tortura uno de ellos. </w:t>
      </w:r>
    </w:p>
    <w:p w:rsidR="002A208C" w:rsidRPr="00092053" w:rsidRDefault="00092053" w:rsidP="00574AEE">
      <w:pPr>
        <w:pStyle w:val="SingleTxtG"/>
        <w:rPr>
          <w:rFonts w:eastAsia="Calibri"/>
          <w:lang w:val="es-PE" w:eastAsia="en-US"/>
        </w:rPr>
      </w:pPr>
      <w:r w:rsidRPr="00574AEE">
        <w:rPr>
          <w:rFonts w:eastAsia="Calibri"/>
          <w:lang w:val="es-PE" w:eastAsia="en-US"/>
        </w:rPr>
        <w:t>12.</w:t>
      </w:r>
      <w:r w:rsidRPr="00574AEE">
        <w:rPr>
          <w:rFonts w:eastAsia="Calibri"/>
          <w:lang w:val="es-PE" w:eastAsia="en-US"/>
        </w:rPr>
        <w:tab/>
      </w:r>
      <w:r w:rsidR="00C8443F" w:rsidRPr="00092053">
        <w:rPr>
          <w:rFonts w:eastAsia="Calibri"/>
          <w:lang w:val="es-PE" w:eastAsia="en-US"/>
        </w:rPr>
        <w:t>Precisamente, en dicha norma se estableció como criterios para la determinación del aumento de la pena, en la modalidad de agravante especial</w:t>
      </w:r>
      <w:r w:rsidR="00C8443F" w:rsidRPr="00092053">
        <w:rPr>
          <w:rStyle w:val="Refdenotaalfinal"/>
          <w:rFonts w:eastAsia="Calibri"/>
        </w:rPr>
        <w:footnoteReference w:id="10"/>
      </w:r>
      <w:r w:rsidR="00C8443F" w:rsidRPr="00092053">
        <w:rPr>
          <w:rFonts w:eastAsia="Calibri"/>
          <w:lang w:val="es-PE" w:eastAsia="en-US"/>
        </w:rPr>
        <w:t xml:space="preserve">, entre otros, cuando el “agente es funcionario o servidor público y ha abusado de su cargo o se ha valido del mismo para cometer, facilitar o encubrir el delito”. </w:t>
      </w:r>
    </w:p>
    <w:p w:rsidR="002A208C" w:rsidRPr="00092053" w:rsidRDefault="00092053" w:rsidP="00574AEE">
      <w:pPr>
        <w:pStyle w:val="SingleTxtG"/>
        <w:rPr>
          <w:rFonts w:eastAsia="Calibri"/>
          <w:lang w:val="es-PE" w:eastAsia="en-US"/>
        </w:rPr>
      </w:pPr>
      <w:r w:rsidRPr="00574AEE">
        <w:rPr>
          <w:rFonts w:eastAsia="Calibri"/>
          <w:lang w:val="es-PE" w:eastAsia="en-US"/>
        </w:rPr>
        <w:t>13.</w:t>
      </w:r>
      <w:r w:rsidRPr="00574AEE">
        <w:rPr>
          <w:rFonts w:eastAsia="Calibri"/>
          <w:lang w:val="es-PE" w:eastAsia="en-US"/>
        </w:rPr>
        <w:tab/>
      </w:r>
      <w:r w:rsidR="00C8443F" w:rsidRPr="00092053">
        <w:rPr>
          <w:rFonts w:eastAsia="Calibri"/>
          <w:lang w:val="es-PE" w:eastAsia="en-US"/>
        </w:rPr>
        <w:t>Tratándose de ello, cuando, además, se comete el delito atentando contra “la integridad física o psicológica de menores de edad u otros inimputables” los responsables no podrán acceder a los beneficios penitenciarios de redención de pena por el trabajo y la educación, semili</w:t>
      </w:r>
      <w:r w:rsidR="00976B47" w:rsidRPr="00092053">
        <w:rPr>
          <w:rFonts w:eastAsia="Calibri"/>
          <w:lang w:val="es-PE" w:eastAsia="en-US"/>
        </w:rPr>
        <w:t>bertad y liberación condicional</w:t>
      </w:r>
      <w:r w:rsidR="00C8443F" w:rsidRPr="00092053">
        <w:rPr>
          <w:rStyle w:val="Refdenotaalfinal"/>
          <w:rFonts w:eastAsia="Calibri"/>
        </w:rPr>
        <w:footnoteReference w:id="11"/>
      </w:r>
      <w:r w:rsidR="00976B47" w:rsidRPr="00092053">
        <w:rPr>
          <w:rFonts w:eastAsia="Calibri"/>
          <w:lang w:val="es-PE" w:eastAsia="en-US"/>
        </w:rPr>
        <w:t>.</w:t>
      </w:r>
    </w:p>
    <w:p w:rsidR="002A208C" w:rsidRPr="002C565A" w:rsidRDefault="0042499A" w:rsidP="00574AEE">
      <w:pPr>
        <w:pStyle w:val="H1G"/>
        <w:rPr>
          <w:rFonts w:eastAsia="Calibri"/>
          <w:lang w:val="es-PE" w:eastAsia="en-US"/>
        </w:rPr>
      </w:pPr>
      <w:bookmarkStart w:id="27" w:name="_Toc468627296"/>
      <w:bookmarkStart w:id="28" w:name="_Toc468642587"/>
      <w:bookmarkStart w:id="29" w:name="_Toc468721257"/>
      <w:bookmarkStart w:id="30" w:name="_Toc471137655"/>
      <w:bookmarkStart w:id="31" w:name="_Toc472097440"/>
      <w:bookmarkStart w:id="32" w:name="_Toc484774063"/>
      <w:r w:rsidRPr="00FA45BC">
        <w:rPr>
          <w:rFonts w:eastAsia="Calibri"/>
          <w:lang w:val="es-PE" w:eastAsia="en-US"/>
        </w:rPr>
        <w:tab/>
      </w:r>
      <w:r w:rsidRPr="00FA45BC">
        <w:rPr>
          <w:rFonts w:eastAsia="Calibri"/>
          <w:lang w:val="es-PE" w:eastAsia="en-US"/>
        </w:rPr>
        <w:tab/>
      </w:r>
      <w:r w:rsidR="00C8443F" w:rsidRPr="00FA45BC">
        <w:rPr>
          <w:rFonts w:eastAsia="Calibri"/>
          <w:lang w:val="es-PE" w:eastAsia="en-US"/>
        </w:rPr>
        <w:t>Artículo 2°</w:t>
      </w:r>
      <w:bookmarkEnd w:id="27"/>
      <w:bookmarkEnd w:id="28"/>
      <w:bookmarkEnd w:id="29"/>
      <w:bookmarkEnd w:id="30"/>
      <w:bookmarkEnd w:id="31"/>
      <w:bookmarkEnd w:id="32"/>
      <w:r w:rsidR="00C8443F" w:rsidRPr="00FA45BC">
        <w:rPr>
          <w:rFonts w:eastAsia="Calibri"/>
          <w:lang w:val="es-PE" w:eastAsia="en-US"/>
        </w:rPr>
        <w:t xml:space="preserve"> </w:t>
      </w:r>
    </w:p>
    <w:p w:rsidR="00C8443F" w:rsidRPr="00092053" w:rsidRDefault="0042499A" w:rsidP="0042499A">
      <w:pPr>
        <w:pStyle w:val="H23G"/>
        <w:rPr>
          <w:rFonts w:eastAsia="Calibri"/>
          <w:lang w:val="es-PE" w:eastAsia="en-US"/>
        </w:rPr>
      </w:pPr>
      <w:bookmarkStart w:id="33" w:name="_Toc468627297"/>
      <w:bookmarkStart w:id="34" w:name="_Toc468642588"/>
      <w:bookmarkStart w:id="35" w:name="_Toc468721258"/>
      <w:bookmarkStart w:id="36" w:name="_Toc471137656"/>
      <w:bookmarkStart w:id="37" w:name="_Toc472097441"/>
      <w:bookmarkStart w:id="38" w:name="_Toc484774064"/>
      <w:r w:rsidRPr="00092053">
        <w:rPr>
          <w:rFonts w:eastAsia="Calibri"/>
          <w:lang w:val="es-PE" w:eastAsia="en-US"/>
        </w:rPr>
        <w:tab/>
      </w:r>
      <w:r w:rsidRPr="00092053">
        <w:rPr>
          <w:rFonts w:eastAsia="Calibri"/>
          <w:lang w:val="es-PE" w:eastAsia="en-US"/>
        </w:rPr>
        <w:tab/>
      </w:r>
      <w:r w:rsidR="00C8443F" w:rsidRPr="00092053">
        <w:rPr>
          <w:rFonts w:eastAsia="Calibri"/>
          <w:lang w:val="es-PE" w:eastAsia="en-US"/>
        </w:rPr>
        <w:t>Respuesta al párrafo 2</w:t>
      </w:r>
      <w:bookmarkEnd w:id="33"/>
      <w:bookmarkEnd w:id="34"/>
      <w:bookmarkEnd w:id="35"/>
      <w:bookmarkEnd w:id="36"/>
      <w:bookmarkEnd w:id="37"/>
      <w:bookmarkEnd w:id="38"/>
      <w:r w:rsidRPr="00092053">
        <w:rPr>
          <w:rFonts w:eastAsia="Calibri"/>
          <w:lang w:val="es-PE" w:eastAsia="en-US"/>
        </w:rPr>
        <w:t xml:space="preserve"> </w:t>
      </w:r>
    </w:p>
    <w:p w:rsidR="002A208C" w:rsidRPr="00092053" w:rsidRDefault="00092053" w:rsidP="00574AEE">
      <w:pPr>
        <w:pStyle w:val="SingleTxtG"/>
        <w:rPr>
          <w:rFonts w:eastAsia="Calibri"/>
          <w:lang w:val="es-PE" w:eastAsia="en-US"/>
        </w:rPr>
      </w:pPr>
      <w:r w:rsidRPr="00574AEE">
        <w:rPr>
          <w:rFonts w:eastAsia="Calibri"/>
          <w:lang w:val="es-PE" w:eastAsia="en-US"/>
        </w:rPr>
        <w:t>14.</w:t>
      </w:r>
      <w:r w:rsidRPr="00574AEE">
        <w:rPr>
          <w:rFonts w:eastAsia="Calibri"/>
          <w:lang w:val="es-PE" w:eastAsia="en-US"/>
        </w:rPr>
        <w:tab/>
      </w:r>
      <w:r w:rsidR="00C8443F" w:rsidRPr="00092053">
        <w:rPr>
          <w:rFonts w:eastAsia="Calibri"/>
          <w:lang w:val="es-PE" w:eastAsia="en-US"/>
        </w:rPr>
        <w:t>La defensa gratuita es un derecho fundamental reconocido en el numeral 16 del artículo 139º de la CPP y en el artículo IX del Nuevo Código Procesal Penal</w:t>
      </w:r>
      <w:r w:rsidR="00C8443F" w:rsidRPr="00092053">
        <w:rPr>
          <w:rStyle w:val="Refdenotaalfinal"/>
          <w:rFonts w:eastAsia="Calibri"/>
        </w:rPr>
        <w:footnoteReference w:id="12"/>
      </w:r>
      <w:r w:rsidR="00C8443F" w:rsidRPr="00092053">
        <w:rPr>
          <w:rFonts w:eastAsia="Calibri"/>
          <w:lang w:val="es-PE" w:eastAsia="en-US"/>
        </w:rPr>
        <w:t xml:space="preserve"> (NCPP). </w:t>
      </w:r>
    </w:p>
    <w:p w:rsidR="002A208C" w:rsidRPr="00092053" w:rsidRDefault="00092053" w:rsidP="00574AEE">
      <w:pPr>
        <w:pStyle w:val="SingleTxtG"/>
        <w:rPr>
          <w:rFonts w:eastAsia="Calibri"/>
          <w:lang w:val="es-PE" w:eastAsia="en-US"/>
        </w:rPr>
      </w:pPr>
      <w:r w:rsidRPr="00574AEE">
        <w:rPr>
          <w:rFonts w:eastAsia="Calibri"/>
          <w:lang w:val="es-PE" w:eastAsia="en-US"/>
        </w:rPr>
        <w:t>15.</w:t>
      </w:r>
      <w:r w:rsidRPr="00574AEE">
        <w:rPr>
          <w:rFonts w:eastAsia="Calibri"/>
          <w:lang w:val="es-PE" w:eastAsia="en-US"/>
        </w:rPr>
        <w:tab/>
      </w:r>
      <w:r w:rsidR="00C8443F" w:rsidRPr="00092053">
        <w:rPr>
          <w:rFonts w:eastAsia="Calibri"/>
          <w:lang w:val="es-PE" w:eastAsia="en-US"/>
        </w:rPr>
        <w:t>Es función del Ministerio de Justicia y Derechos Humanos (MINJUS) garantizarlo a través de la Dirección General de Defensa Pública y Acceso a la Justicia</w:t>
      </w:r>
      <w:r w:rsidR="00C8443F" w:rsidRPr="00092053">
        <w:rPr>
          <w:rStyle w:val="Refdenotaalfinal"/>
          <w:rFonts w:eastAsia="Calibri"/>
        </w:rPr>
        <w:footnoteReference w:id="13"/>
      </w:r>
      <w:r w:rsidR="00C8443F" w:rsidRPr="00092053">
        <w:rPr>
          <w:rFonts w:eastAsia="Calibri"/>
          <w:lang w:val="es-PE" w:eastAsia="en-US"/>
        </w:rPr>
        <w:t xml:space="preserve"> (DGDPAJ), brindando asistencia legal gratuita en materia penal, de familia, civil, laboral, a las víctimas de la vulneración de sus derechos en cualquiera de sus formas, a los menores infractores de la ley penal, y en los establecimientos penitenciarios cuando las personas no cuenten con recursos económicos, y en los demás casos en que la ley lo establezca e</w:t>
      </w:r>
      <w:r w:rsidR="00976B47" w:rsidRPr="00092053">
        <w:rPr>
          <w:rFonts w:eastAsia="Calibri"/>
          <w:lang w:val="es-PE" w:eastAsia="en-US"/>
        </w:rPr>
        <w:t>xpresamente</w:t>
      </w:r>
      <w:r w:rsidR="00C8443F" w:rsidRPr="00092053">
        <w:rPr>
          <w:rStyle w:val="Refdenotaalfinal"/>
          <w:rFonts w:eastAsia="Calibri"/>
        </w:rPr>
        <w:footnoteReference w:id="14"/>
      </w:r>
      <w:r w:rsidR="00976B47"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16.</w:t>
      </w:r>
      <w:r w:rsidRPr="00574AEE">
        <w:rPr>
          <w:rFonts w:eastAsia="Calibri"/>
          <w:lang w:val="es-PE" w:eastAsia="en-US"/>
        </w:rPr>
        <w:tab/>
      </w:r>
      <w:r w:rsidR="00C8443F" w:rsidRPr="00092053">
        <w:rPr>
          <w:rFonts w:eastAsia="Calibri"/>
          <w:lang w:val="es-PE" w:eastAsia="en-US"/>
        </w:rPr>
        <w:t>Precisamente, la Dirección de Defensa Penal</w:t>
      </w:r>
      <w:r w:rsidR="00C8443F" w:rsidRPr="00092053">
        <w:rPr>
          <w:rStyle w:val="Refdenotaalfinal"/>
          <w:rFonts w:eastAsia="Calibri"/>
        </w:rPr>
        <w:footnoteReference w:id="15"/>
      </w:r>
      <w:r w:rsidR="00C8443F" w:rsidRPr="00092053">
        <w:rPr>
          <w:rStyle w:val="Refdenotaalfinal"/>
          <w:rFonts w:eastAsia="Calibri"/>
        </w:rPr>
        <w:t xml:space="preserve"> </w:t>
      </w:r>
      <w:r w:rsidR="00C8443F" w:rsidRPr="00092053">
        <w:rPr>
          <w:rFonts w:eastAsia="Calibri"/>
          <w:lang w:val="es-PE" w:eastAsia="en-US"/>
        </w:rPr>
        <w:t>y la Dirección de Asistencia Legal y Defensa de Víctimas</w:t>
      </w:r>
      <w:r w:rsidR="00C8443F" w:rsidRPr="00092053">
        <w:rPr>
          <w:rStyle w:val="Refdenotaalfinal"/>
          <w:rFonts w:eastAsia="Calibri"/>
        </w:rPr>
        <w:footnoteReference w:id="16"/>
      </w:r>
      <w:r w:rsidR="00C8443F" w:rsidRPr="00092053">
        <w:rPr>
          <w:rFonts w:eastAsia="Calibri"/>
          <w:lang w:val="es-PE" w:eastAsia="en-US"/>
        </w:rPr>
        <w:t xml:space="preserve"> han brindado patrocinio a imputados y agraviados en procesos penales por tortura (113 nuevos patrocinios en el per</w:t>
      </w:r>
      <w:r w:rsidR="0020561B">
        <w:rPr>
          <w:rFonts w:eastAsia="Calibri"/>
          <w:lang w:val="es-PE" w:eastAsia="en-US"/>
        </w:rPr>
        <w:t>í</w:t>
      </w:r>
      <w:r w:rsidR="00C8443F" w:rsidRPr="00092053">
        <w:rPr>
          <w:rFonts w:eastAsia="Calibri"/>
          <w:lang w:val="es-PE" w:eastAsia="en-US"/>
        </w:rPr>
        <w:t>odo enero 2014</w:t>
      </w:r>
      <w:r w:rsidR="00F44089">
        <w:rPr>
          <w:rFonts w:eastAsia="Calibri"/>
          <w:lang w:val="es-PE" w:eastAsia="en-US"/>
        </w:rPr>
        <w:t>-</w:t>
      </w:r>
      <w:r w:rsidR="00C8443F" w:rsidRPr="00092053">
        <w:rPr>
          <w:rFonts w:eastAsia="Calibri"/>
          <w:lang w:val="es-PE" w:eastAsia="en-US"/>
        </w:rPr>
        <w:t xml:space="preserve">octubre 2016, 103 </w:t>
      </w:r>
      <w:r w:rsidR="00C8443F" w:rsidRPr="00092053">
        <w:rPr>
          <w:rFonts w:eastAsia="Calibri"/>
          <w:lang w:val="es-PE" w:eastAsia="en-US"/>
        </w:rPr>
        <w:lastRenderedPageBreak/>
        <w:t xml:space="preserve">asumidos por la Dirección de Defensa Penal y 12 por la Dirección de Asistencia Legal y Defensa de Víctimas). </w:t>
      </w:r>
      <w:r w:rsidR="00C8443F" w:rsidRPr="00092053">
        <w:rPr>
          <w:rFonts w:eastAsia="Calibri"/>
          <w:b/>
          <w:lang w:val="es-PE" w:eastAsia="en-US"/>
        </w:rPr>
        <w:t xml:space="preserve">Ver Tabla </w:t>
      </w:r>
      <w:r w:rsidR="00FA45BC">
        <w:rPr>
          <w:rFonts w:eastAsia="Calibri"/>
          <w:b/>
          <w:lang w:val="es-PE" w:eastAsia="en-US"/>
        </w:rPr>
        <w:t xml:space="preserve">núm </w:t>
      </w:r>
      <w:r w:rsidR="00C8443F" w:rsidRPr="00092053">
        <w:rPr>
          <w:rFonts w:eastAsia="Calibri"/>
          <w:b/>
          <w:lang w:val="es-PE" w:eastAsia="en-US"/>
        </w:rPr>
        <w:t xml:space="preserve">1 del Anexo </w:t>
      </w:r>
      <w:r w:rsidR="00FA45BC">
        <w:rPr>
          <w:rFonts w:eastAsia="Calibri"/>
          <w:b/>
          <w:lang w:val="es-PE" w:eastAsia="en-US"/>
        </w:rPr>
        <w:t>núm.</w:t>
      </w:r>
      <w:r w:rsidR="00C8443F" w:rsidRPr="00092053">
        <w:rPr>
          <w:rFonts w:eastAsia="Calibri"/>
          <w:b/>
          <w:lang w:val="es-PE" w:eastAsia="en-US"/>
        </w:rPr>
        <w:t xml:space="preserve"> 1</w:t>
      </w:r>
      <w:r w:rsidR="00C8443F" w:rsidRPr="00092053">
        <w:rPr>
          <w:rStyle w:val="Refdenotaalfinal"/>
          <w:rFonts w:eastAsia="Calibri"/>
        </w:rPr>
        <w:footnoteReference w:id="17"/>
      </w:r>
      <w:r w:rsidR="00976B47" w:rsidRPr="00092053">
        <w:rPr>
          <w:rFonts w:eastAsia="Calibri"/>
          <w:lang w:val="es-PE" w:eastAsia="en-US"/>
        </w:rPr>
        <w:t>.</w:t>
      </w:r>
    </w:p>
    <w:p w:rsidR="002A208C" w:rsidRPr="00092053" w:rsidRDefault="00092053" w:rsidP="00574AEE">
      <w:pPr>
        <w:pStyle w:val="SingleTxtG"/>
        <w:rPr>
          <w:rFonts w:eastAsia="Calibri"/>
          <w:b/>
          <w:sz w:val="22"/>
          <w:szCs w:val="22"/>
          <w:lang w:val="es-PE" w:eastAsia="en-US"/>
        </w:rPr>
      </w:pPr>
      <w:r w:rsidRPr="00574AEE">
        <w:rPr>
          <w:rFonts w:eastAsia="Calibri"/>
          <w:lang w:val="es-PE" w:eastAsia="en-US"/>
        </w:rPr>
        <w:t>17.</w:t>
      </w:r>
      <w:r w:rsidRPr="00574AEE">
        <w:rPr>
          <w:rFonts w:eastAsia="Calibri"/>
          <w:lang w:val="es-PE" w:eastAsia="en-US"/>
        </w:rPr>
        <w:tab/>
      </w:r>
      <w:r w:rsidR="00C8443F" w:rsidRPr="00092053">
        <w:rPr>
          <w:rFonts w:eastAsia="Calibri"/>
          <w:lang w:val="es-PE" w:eastAsia="en-US"/>
        </w:rPr>
        <w:t>A su vez, en el per</w:t>
      </w:r>
      <w:r w:rsidR="0020561B">
        <w:rPr>
          <w:rFonts w:eastAsia="Calibri"/>
          <w:lang w:val="es-PE" w:eastAsia="en-US"/>
        </w:rPr>
        <w:t>í</w:t>
      </w:r>
      <w:r w:rsidR="00C8443F" w:rsidRPr="00092053">
        <w:rPr>
          <w:rFonts w:eastAsia="Calibri"/>
          <w:lang w:val="es-PE" w:eastAsia="en-US"/>
        </w:rPr>
        <w:t>odo julio 2012</w:t>
      </w:r>
      <w:r w:rsidR="00F44089">
        <w:rPr>
          <w:rFonts w:eastAsia="Calibri"/>
          <w:lang w:val="es-PE" w:eastAsia="en-US"/>
        </w:rPr>
        <w:t>-</w:t>
      </w:r>
      <w:r w:rsidR="00C8443F" w:rsidRPr="00092053">
        <w:rPr>
          <w:rFonts w:eastAsia="Calibri"/>
          <w:lang w:val="es-PE" w:eastAsia="en-US"/>
        </w:rPr>
        <w:t>agosto 2016 el servicio de defensa pública realizó 2</w:t>
      </w:r>
      <w:r w:rsidR="00F44089">
        <w:rPr>
          <w:rFonts w:eastAsia="Calibri"/>
          <w:lang w:val="es-PE" w:eastAsia="en-US"/>
        </w:rPr>
        <w:t>.</w:t>
      </w:r>
      <w:r w:rsidR="00C8443F" w:rsidRPr="00092053">
        <w:rPr>
          <w:rFonts w:eastAsia="Calibri"/>
          <w:lang w:val="es-PE" w:eastAsia="en-US"/>
        </w:rPr>
        <w:t>529</w:t>
      </w:r>
      <w:r w:rsidR="00F44089">
        <w:rPr>
          <w:rFonts w:eastAsia="Calibri"/>
          <w:lang w:val="es-PE" w:eastAsia="en-US"/>
        </w:rPr>
        <w:t>.</w:t>
      </w:r>
      <w:r w:rsidR="00C8443F" w:rsidRPr="00092053">
        <w:rPr>
          <w:rFonts w:eastAsia="Calibri"/>
          <w:lang w:val="es-PE" w:eastAsia="en-US"/>
        </w:rPr>
        <w:t>114 consultas y 920</w:t>
      </w:r>
      <w:r w:rsidR="00F44089">
        <w:rPr>
          <w:rFonts w:eastAsia="Calibri"/>
          <w:lang w:val="es-PE" w:eastAsia="en-US"/>
        </w:rPr>
        <w:t>.</w:t>
      </w:r>
      <w:r w:rsidR="00C8443F" w:rsidRPr="00092053">
        <w:rPr>
          <w:rFonts w:eastAsia="Calibri"/>
          <w:lang w:val="es-PE" w:eastAsia="en-US"/>
        </w:rPr>
        <w:t xml:space="preserve">073 patrocinios en las especialidades de asistencia legal (familia), defensa de víctimas y defensa penal. Igualmente, desde el 2014 se brinda patrocinio a casos de menores infractores de la ley penal. </w:t>
      </w:r>
      <w:r w:rsidR="00C8443F" w:rsidRPr="00092053">
        <w:rPr>
          <w:rFonts w:eastAsia="Calibri"/>
          <w:b/>
          <w:lang w:val="es-PE" w:eastAsia="en-US"/>
        </w:rPr>
        <w:t xml:space="preserve">Ver Tablas </w:t>
      </w:r>
      <w:r w:rsidR="00FA45BC">
        <w:rPr>
          <w:rFonts w:eastAsia="Calibri"/>
          <w:b/>
          <w:lang w:val="es-PE" w:eastAsia="en-US"/>
        </w:rPr>
        <w:t>núm</w:t>
      </w:r>
      <w:r w:rsidR="001069B7">
        <w:rPr>
          <w:rFonts w:eastAsia="Calibri"/>
          <w:b/>
          <w:lang w:val="es-PE" w:eastAsia="en-US"/>
        </w:rPr>
        <w:t>s</w:t>
      </w:r>
      <w:r w:rsidR="00FA45BC">
        <w:rPr>
          <w:rFonts w:eastAsia="Calibri"/>
          <w:b/>
          <w:lang w:val="es-PE" w:eastAsia="en-US"/>
        </w:rPr>
        <w:t>.</w:t>
      </w:r>
      <w:r w:rsidR="00C8443F" w:rsidRPr="00092053">
        <w:rPr>
          <w:rFonts w:eastAsia="Calibri"/>
          <w:b/>
          <w:lang w:val="es-PE" w:eastAsia="en-US"/>
        </w:rPr>
        <w:t xml:space="preserve"> 2 a 4 del Anexo </w:t>
      </w:r>
      <w:r w:rsidR="00FA45BC">
        <w:rPr>
          <w:rFonts w:eastAsia="Calibri"/>
          <w:b/>
          <w:lang w:val="es-PE" w:eastAsia="en-US"/>
        </w:rPr>
        <w:t>núm.</w:t>
      </w:r>
      <w:r w:rsidR="00C8443F" w:rsidRPr="00092053">
        <w:rPr>
          <w:rFonts w:eastAsia="Calibri"/>
          <w:b/>
          <w:lang w:val="es-PE" w:eastAsia="en-US"/>
        </w:rPr>
        <w:t xml:space="preserve"> 1</w:t>
      </w:r>
      <w:r w:rsidR="00C8443F" w:rsidRPr="00092053">
        <w:rPr>
          <w:rStyle w:val="Refdenotaalfinal"/>
          <w:rFonts w:eastAsia="Calibri"/>
        </w:rPr>
        <w:footnoteReference w:id="18"/>
      </w:r>
      <w:r w:rsidR="00B524E4" w:rsidRPr="00092053">
        <w:rPr>
          <w:rFonts w:eastAsia="Calibri"/>
          <w:b/>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18.</w:t>
      </w:r>
      <w:r w:rsidRPr="00574AEE">
        <w:rPr>
          <w:rFonts w:eastAsia="Calibri"/>
          <w:lang w:val="es-PE" w:eastAsia="en-US"/>
        </w:rPr>
        <w:tab/>
      </w:r>
      <w:r w:rsidR="00C8443F" w:rsidRPr="00092053">
        <w:rPr>
          <w:rFonts w:eastAsia="Calibri"/>
          <w:lang w:val="es-PE" w:eastAsia="en-US"/>
        </w:rPr>
        <w:t>Por otro lado, de acuerdo con lo establecido en el artículo 263° del NCPP</w:t>
      </w:r>
      <w:r w:rsidR="00C8443F" w:rsidRPr="00092053">
        <w:rPr>
          <w:rStyle w:val="Refdenotaalfinal"/>
          <w:rFonts w:eastAsia="Calibri"/>
        </w:rPr>
        <w:footnoteReference w:id="19"/>
      </w:r>
      <w:r w:rsidR="00C8443F" w:rsidRPr="00092053">
        <w:rPr>
          <w:rFonts w:eastAsia="Calibri"/>
          <w:lang w:val="es-PE" w:eastAsia="en-US"/>
        </w:rPr>
        <w:t>, la PNP tiene, entre otros, los siguientes deberes: i) informar al detenido el delito que se le atribuye, comunicar al Ministerio Público (MP), poner al detenido inmediatamente a disposición del juez de la investigación preparatoria, ser asistido desde los actos iniciales de investigación por un abogado defensor y ser examinado por un médico legista.</w:t>
      </w:r>
    </w:p>
    <w:p w:rsidR="002A208C" w:rsidRPr="00092053" w:rsidRDefault="00092053" w:rsidP="00574AEE">
      <w:pPr>
        <w:pStyle w:val="SingleTxtG"/>
        <w:rPr>
          <w:rFonts w:eastAsia="Calibri"/>
          <w:lang w:val="es-PE" w:eastAsia="en-US"/>
        </w:rPr>
      </w:pPr>
      <w:r w:rsidRPr="00574AEE">
        <w:rPr>
          <w:rFonts w:eastAsia="Calibri"/>
          <w:lang w:val="es-PE" w:eastAsia="en-US"/>
        </w:rPr>
        <w:t>19.</w:t>
      </w:r>
      <w:r w:rsidRPr="00574AEE">
        <w:rPr>
          <w:rFonts w:eastAsia="Calibri"/>
          <w:lang w:val="es-PE" w:eastAsia="en-US"/>
        </w:rPr>
        <w:tab/>
      </w:r>
      <w:r w:rsidR="00C8443F" w:rsidRPr="00092053">
        <w:rPr>
          <w:rFonts w:eastAsia="Calibri"/>
          <w:lang w:val="es-PE" w:eastAsia="en-US"/>
        </w:rPr>
        <w:t>En complemento a ello, en el literal e) del numeral 2 del artículo 71° del texto normativo se dispone que los jueces, los fiscales o la PNP deben informar al imputado de manera inmediata y comprensible sobre su derecho a “que no se emplee en su contra medios coactivos, intimidatorios o contrarios a su dignidad, ni a ser sometido a técnicas o métodos que induzcan o alteren su libre voluntad o a sufrir una restricción no autorizada ni permitida por ley”.</w:t>
      </w:r>
    </w:p>
    <w:p w:rsidR="002A208C" w:rsidRPr="00092053" w:rsidRDefault="00092053" w:rsidP="00574AEE">
      <w:pPr>
        <w:pStyle w:val="SingleTxtG"/>
        <w:rPr>
          <w:rFonts w:eastAsia="Calibri"/>
          <w:bCs/>
          <w:sz w:val="22"/>
          <w:szCs w:val="22"/>
          <w:lang w:val="es-PE" w:eastAsia="en-US"/>
        </w:rPr>
      </w:pPr>
      <w:r w:rsidRPr="00574AEE">
        <w:rPr>
          <w:rFonts w:eastAsia="Calibri"/>
          <w:bCs/>
          <w:lang w:val="es-PE" w:eastAsia="en-US"/>
        </w:rPr>
        <w:t>20.</w:t>
      </w:r>
      <w:r w:rsidRPr="00574AEE">
        <w:rPr>
          <w:rFonts w:eastAsia="Calibri"/>
          <w:bCs/>
          <w:lang w:val="es-PE" w:eastAsia="en-US"/>
        </w:rPr>
        <w:tab/>
      </w:r>
      <w:r w:rsidR="00C8443F" w:rsidRPr="00092053">
        <w:rPr>
          <w:rFonts w:eastAsia="Calibri"/>
          <w:lang w:val="es-PE" w:eastAsia="en-US"/>
        </w:rPr>
        <w:t>Es importante resaltar que cuando el imputado considere que durante las diligencias preliminares o en la investigación preparatoria no se ha dado cumplimiento a estas disposiciones, o que sus derechos no son respetados, o que es objeto de medidas limitativas de derechos indebidas o de requerimientos ilegales, puede acudir en vía de tutela al juez de la investigación preparatoria para que subsane la omisión o dicte las medidas de corrección o de protección que correspondan. La solicitud del imputado se resolverá inmediatamente, previa constatación de los hechos y realización de una audiencia</w:t>
      </w:r>
      <w:r w:rsidR="00976B47" w:rsidRPr="00092053">
        <w:rPr>
          <w:rFonts w:eastAsia="Calibri"/>
          <w:lang w:val="es-PE" w:eastAsia="en-US"/>
        </w:rPr>
        <w:t xml:space="preserve"> con intervención de las partes</w:t>
      </w:r>
      <w:r w:rsidR="00C8443F" w:rsidRPr="00092053">
        <w:rPr>
          <w:rStyle w:val="Refdenotaalfinal"/>
          <w:rFonts w:eastAsia="Calibri"/>
        </w:rPr>
        <w:footnoteReference w:id="20"/>
      </w:r>
      <w:r w:rsidR="00976B47"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21.</w:t>
      </w:r>
      <w:r w:rsidRPr="00574AEE">
        <w:rPr>
          <w:rFonts w:eastAsia="Calibri"/>
          <w:lang w:val="es-PE" w:eastAsia="en-US"/>
        </w:rPr>
        <w:tab/>
      </w:r>
      <w:r w:rsidR="00C8443F" w:rsidRPr="00092053">
        <w:rPr>
          <w:rFonts w:eastAsia="Calibri"/>
          <w:lang w:val="es-PE" w:eastAsia="en-US"/>
        </w:rPr>
        <w:t>Cabe señalar que la PNP, además de aplicar las disposiciones establecidas en su Manual de Derechos Humanos aplicados a la función policial referidas al tratamiento de</w:t>
      </w:r>
      <w:r w:rsidR="00FC3EDA">
        <w:rPr>
          <w:rFonts w:eastAsia="Calibri"/>
          <w:lang w:val="es-PE" w:eastAsia="en-US"/>
        </w:rPr>
        <w:t xml:space="preserve"> </w:t>
      </w:r>
      <w:r w:rsidR="00C8443F" w:rsidRPr="00092053">
        <w:rPr>
          <w:rFonts w:eastAsia="Calibri"/>
          <w:lang w:val="es-PE" w:eastAsia="en-US"/>
        </w:rPr>
        <w:t xml:space="preserve">personas detenidas, aplica la Directiva </w:t>
      </w:r>
      <w:r w:rsidR="00CD52E7">
        <w:rPr>
          <w:rFonts w:eastAsia="Calibri"/>
          <w:lang w:val="es-ES_tradnl"/>
        </w:rPr>
        <w:t>núm.</w:t>
      </w:r>
      <w:r w:rsidR="00C8443F" w:rsidRPr="00092053">
        <w:rPr>
          <w:rFonts w:eastAsia="Calibri"/>
          <w:lang w:val="es-PE" w:eastAsia="en-US"/>
        </w:rPr>
        <w:t xml:space="preserve"> 03-14-2015-DIRGEN-PNP/EMG-DIRINCRI-B, aprobada mediante la Resolución Directoral </w:t>
      </w:r>
      <w:r w:rsidR="00CD52E7">
        <w:rPr>
          <w:rFonts w:eastAsia="Calibri"/>
          <w:lang w:val="es-ES_tradnl"/>
        </w:rPr>
        <w:t>núm.</w:t>
      </w:r>
      <w:r w:rsidR="00C8443F" w:rsidRPr="00092053">
        <w:rPr>
          <w:rFonts w:eastAsia="Calibri"/>
          <w:lang w:val="es-PE" w:eastAsia="en-US"/>
        </w:rPr>
        <w:t xml:space="preserve"> 579-2015-DIRGEN/EMG-PNP, que establece normas y procedimientos de seguridad con los detenidos en las unidades y dependencias de la PNP, o en establecimientos a su cargo, así como durante su custodia y/o conducción ante las autoridades competentes.</w:t>
      </w:r>
    </w:p>
    <w:p w:rsidR="00C8443F" w:rsidRPr="00092053" w:rsidRDefault="0042499A" w:rsidP="0042499A">
      <w:pPr>
        <w:pStyle w:val="H23G"/>
        <w:rPr>
          <w:rFonts w:eastAsia="Calibri"/>
          <w:lang w:val="es-PE" w:eastAsia="en-US"/>
        </w:rPr>
      </w:pPr>
      <w:bookmarkStart w:id="39" w:name="_Toc468627298"/>
      <w:bookmarkStart w:id="40" w:name="_Toc468642589"/>
      <w:bookmarkStart w:id="41" w:name="_Toc468721259"/>
      <w:bookmarkStart w:id="42" w:name="_Toc471137657"/>
      <w:bookmarkStart w:id="43" w:name="_Toc472097442"/>
      <w:bookmarkStart w:id="44" w:name="_Toc484774065"/>
      <w:r w:rsidRPr="00092053">
        <w:rPr>
          <w:rFonts w:eastAsia="Calibri"/>
          <w:lang w:val="es-PE" w:eastAsia="en-US"/>
        </w:rPr>
        <w:tab/>
      </w:r>
      <w:r w:rsidRPr="00092053">
        <w:rPr>
          <w:rFonts w:eastAsia="Calibri"/>
          <w:lang w:val="es-PE" w:eastAsia="en-US"/>
        </w:rPr>
        <w:tab/>
      </w:r>
      <w:r w:rsidR="00C8443F" w:rsidRPr="00092053">
        <w:rPr>
          <w:rFonts w:eastAsia="Calibri"/>
          <w:lang w:val="es-PE" w:eastAsia="en-US"/>
        </w:rPr>
        <w:t>Respuesta al párrafo 3</w:t>
      </w:r>
      <w:bookmarkEnd w:id="39"/>
      <w:bookmarkEnd w:id="40"/>
      <w:bookmarkEnd w:id="41"/>
      <w:bookmarkEnd w:id="42"/>
      <w:bookmarkEnd w:id="43"/>
      <w:bookmarkEnd w:id="44"/>
    </w:p>
    <w:p w:rsidR="002A208C" w:rsidRPr="00092053" w:rsidRDefault="00092053" w:rsidP="00574AEE">
      <w:pPr>
        <w:pStyle w:val="SingleTxtG"/>
        <w:rPr>
          <w:rFonts w:eastAsia="Calibri"/>
          <w:lang w:val="es-PE" w:eastAsia="en-US"/>
        </w:rPr>
      </w:pPr>
      <w:r w:rsidRPr="00574AEE">
        <w:rPr>
          <w:rFonts w:eastAsia="Calibri"/>
          <w:lang w:val="es-PE" w:eastAsia="en-US"/>
        </w:rPr>
        <w:t>22.</w:t>
      </w:r>
      <w:r w:rsidRPr="00574AEE">
        <w:rPr>
          <w:rFonts w:eastAsia="Calibri"/>
          <w:lang w:val="es-PE" w:eastAsia="en-US"/>
        </w:rPr>
        <w:tab/>
      </w:r>
      <w:r w:rsidR="00C8443F" w:rsidRPr="00092053">
        <w:rPr>
          <w:rFonts w:eastAsia="Calibri"/>
          <w:lang w:val="es-PE" w:eastAsia="en-US"/>
        </w:rPr>
        <w:t>Con relación al presupuesto asignado a la Defensoría del Pueblo (DP) si bien comparativamente se le asignó (</w:t>
      </w:r>
      <w:r w:rsidR="00C8443F" w:rsidRPr="00092053">
        <w:rPr>
          <w:rFonts w:eastAsia="Calibri"/>
          <w:b/>
          <w:lang w:val="es-PE" w:eastAsia="en-US"/>
        </w:rPr>
        <w:t xml:space="preserve">Tabla </w:t>
      </w:r>
      <w:r w:rsidR="00FA45BC">
        <w:rPr>
          <w:rFonts w:eastAsia="Calibri"/>
          <w:b/>
          <w:lang w:val="es-PE" w:eastAsia="en-US"/>
        </w:rPr>
        <w:t>núm.</w:t>
      </w:r>
      <w:r w:rsidR="00C8443F" w:rsidRPr="00092053">
        <w:rPr>
          <w:rFonts w:eastAsia="Calibri"/>
          <w:b/>
          <w:lang w:val="es-PE" w:eastAsia="en-US"/>
        </w:rPr>
        <w:t xml:space="preserve"> 1 del Anexo </w:t>
      </w:r>
      <w:r w:rsidR="00FA45BC">
        <w:rPr>
          <w:rFonts w:eastAsia="Calibri"/>
          <w:b/>
          <w:lang w:val="es-PE" w:eastAsia="en-US"/>
        </w:rPr>
        <w:t>núm.</w:t>
      </w:r>
      <w:r w:rsidR="00C8443F" w:rsidRPr="00092053">
        <w:rPr>
          <w:rFonts w:eastAsia="Calibri"/>
          <w:b/>
          <w:lang w:val="es-PE" w:eastAsia="en-US"/>
        </w:rPr>
        <w:t xml:space="preserve"> 2</w:t>
      </w:r>
      <w:r w:rsidR="00C8443F" w:rsidRPr="00092053">
        <w:rPr>
          <w:rFonts w:eastAsia="Calibri"/>
          <w:lang w:val="es-PE" w:eastAsia="en-US"/>
        </w:rPr>
        <w:t>) más presupuesto desde el 2012 al 2015</w:t>
      </w:r>
      <w:r w:rsidR="00C8443F" w:rsidRPr="00092053">
        <w:rPr>
          <w:rStyle w:val="Refdenotaalfinal"/>
          <w:rFonts w:eastAsia="Calibri"/>
        </w:rPr>
        <w:footnoteReference w:id="21"/>
      </w:r>
      <w:r w:rsidR="00C8443F" w:rsidRPr="00092053">
        <w:rPr>
          <w:rFonts w:eastAsia="Calibri"/>
          <w:lang w:val="es-PE" w:eastAsia="en-US"/>
        </w:rPr>
        <w:t>, no se le otorgó lo que solicitó. A la fecha no se dispone de más datos actualizados.</w:t>
      </w:r>
    </w:p>
    <w:p w:rsidR="00C8443F" w:rsidRPr="00092053" w:rsidRDefault="0042499A" w:rsidP="0042499A">
      <w:pPr>
        <w:pStyle w:val="H23G"/>
        <w:rPr>
          <w:rFonts w:eastAsia="Calibri"/>
          <w:lang w:val="es-PE" w:eastAsia="en-US"/>
        </w:rPr>
      </w:pPr>
      <w:bookmarkStart w:id="45" w:name="_Toc468627299"/>
      <w:bookmarkStart w:id="46" w:name="_Toc468642590"/>
      <w:bookmarkStart w:id="47" w:name="_Toc468721260"/>
      <w:bookmarkStart w:id="48" w:name="_Toc471137658"/>
      <w:bookmarkStart w:id="49" w:name="_Toc472097443"/>
      <w:bookmarkStart w:id="50" w:name="_Toc484774066"/>
      <w:r w:rsidRPr="00092053">
        <w:rPr>
          <w:rFonts w:eastAsia="Calibri"/>
          <w:lang w:val="es-PE" w:eastAsia="en-US"/>
        </w:rPr>
        <w:lastRenderedPageBreak/>
        <w:tab/>
      </w:r>
      <w:r w:rsidRPr="00092053">
        <w:rPr>
          <w:rFonts w:eastAsia="Calibri"/>
          <w:lang w:val="es-PE" w:eastAsia="en-US"/>
        </w:rPr>
        <w:tab/>
      </w:r>
      <w:r w:rsidR="00C8443F" w:rsidRPr="00092053">
        <w:rPr>
          <w:rFonts w:eastAsia="Calibri"/>
          <w:lang w:val="es-PE" w:eastAsia="en-US"/>
        </w:rPr>
        <w:t>Respuesta al párrafo 4</w:t>
      </w:r>
      <w:bookmarkEnd w:id="45"/>
      <w:bookmarkEnd w:id="46"/>
      <w:bookmarkEnd w:id="47"/>
      <w:bookmarkEnd w:id="48"/>
      <w:bookmarkEnd w:id="49"/>
      <w:bookmarkEnd w:id="50"/>
      <w:r w:rsidR="00C8443F" w:rsidRPr="00092053">
        <w:rPr>
          <w:rFonts w:eastAsia="Calibri"/>
          <w:lang w:val="es-PE" w:eastAsia="en-US"/>
        </w:rPr>
        <w:t xml:space="preserve"> </w:t>
      </w:r>
    </w:p>
    <w:p w:rsidR="002A208C" w:rsidRPr="00092053" w:rsidRDefault="00092053" w:rsidP="00574AEE">
      <w:pPr>
        <w:pStyle w:val="SingleTxtG"/>
        <w:rPr>
          <w:rFonts w:eastAsia="Calibri"/>
          <w:lang w:val="es-PE" w:eastAsia="en-US"/>
        </w:rPr>
      </w:pPr>
      <w:r w:rsidRPr="00574AEE">
        <w:rPr>
          <w:rFonts w:eastAsia="Calibri"/>
          <w:lang w:val="es-PE" w:eastAsia="en-US"/>
        </w:rPr>
        <w:t>23.</w:t>
      </w:r>
      <w:r w:rsidRPr="00574AEE">
        <w:rPr>
          <w:rFonts w:eastAsia="Calibri"/>
          <w:lang w:val="es-PE" w:eastAsia="en-US"/>
        </w:rPr>
        <w:tab/>
      </w:r>
      <w:r w:rsidR="00C8443F" w:rsidRPr="00092053">
        <w:rPr>
          <w:rFonts w:eastAsia="Calibri"/>
          <w:lang w:val="es-PE" w:eastAsia="en-US"/>
        </w:rPr>
        <w:t xml:space="preserve">El Perú aprobó la Ley </w:t>
      </w:r>
      <w:r w:rsidR="00CD52E7">
        <w:rPr>
          <w:rFonts w:eastAsia="Calibri"/>
          <w:lang w:val="es-ES_tradnl"/>
        </w:rPr>
        <w:t>núm.</w:t>
      </w:r>
      <w:r w:rsidR="00C8443F" w:rsidRPr="00092053">
        <w:rPr>
          <w:rFonts w:eastAsia="Calibri"/>
          <w:lang w:val="es-PE" w:eastAsia="en-US"/>
        </w:rPr>
        <w:t xml:space="preserve"> 30394</w:t>
      </w:r>
      <w:r w:rsidR="00C8443F" w:rsidRPr="00092053">
        <w:rPr>
          <w:rStyle w:val="Refdenotaalfinal"/>
          <w:rFonts w:eastAsia="Calibri"/>
        </w:rPr>
        <w:footnoteReference w:id="22"/>
      </w:r>
      <w:r w:rsidR="00C8443F" w:rsidRPr="00092053">
        <w:rPr>
          <w:rFonts w:eastAsia="Calibri"/>
          <w:lang w:val="es-PE" w:eastAsia="en-US"/>
        </w:rPr>
        <w:t xml:space="preserve"> mediante la cual se ampliaba las funciones de la DP como órgano encargado del Mecanismo Nacional de Prevención de la Tortura y otros Tratos o Penas Crueles, Inhumanos o Degradantes (MNPT).</w:t>
      </w:r>
    </w:p>
    <w:p w:rsidR="002A208C" w:rsidRPr="00092053" w:rsidRDefault="00092053" w:rsidP="00574AEE">
      <w:pPr>
        <w:pStyle w:val="SingleTxtG"/>
        <w:rPr>
          <w:rFonts w:eastAsia="Calibri"/>
          <w:lang w:val="es-PE" w:eastAsia="en-US"/>
        </w:rPr>
      </w:pPr>
      <w:r w:rsidRPr="00574AEE">
        <w:rPr>
          <w:rFonts w:eastAsia="Calibri"/>
          <w:lang w:val="es-PE" w:eastAsia="en-US"/>
        </w:rPr>
        <w:t>24.</w:t>
      </w:r>
      <w:r w:rsidRPr="00574AEE">
        <w:rPr>
          <w:rFonts w:eastAsia="Calibri"/>
          <w:lang w:val="es-PE" w:eastAsia="en-US"/>
        </w:rPr>
        <w:tab/>
      </w:r>
      <w:r w:rsidR="00C8443F" w:rsidRPr="00092053">
        <w:rPr>
          <w:rFonts w:eastAsia="Calibri"/>
          <w:lang w:val="es-PE" w:eastAsia="en-US"/>
        </w:rPr>
        <w:t>Al respecto, la DP ha realizado diversas acciones para implementar su nueva función, solicitando a diversas autoridades presupuesto adicional para cum</w:t>
      </w:r>
      <w:r w:rsidR="00976B47" w:rsidRPr="00092053">
        <w:rPr>
          <w:rFonts w:eastAsia="Calibri"/>
          <w:lang w:val="es-PE" w:eastAsia="en-US"/>
        </w:rPr>
        <w:t>plir adecuadamente este mandato</w:t>
      </w:r>
      <w:r w:rsidR="00C8443F" w:rsidRPr="00092053">
        <w:rPr>
          <w:rStyle w:val="Refdenotaalfinal"/>
          <w:rFonts w:eastAsia="Calibri"/>
        </w:rPr>
        <w:footnoteReference w:id="23"/>
      </w:r>
      <w:r w:rsidR="00976B47" w:rsidRPr="00092053">
        <w:rPr>
          <w:rFonts w:eastAsia="Calibri"/>
          <w:lang w:val="es-PE" w:eastAsia="en-US"/>
        </w:rPr>
        <w:t>.</w:t>
      </w:r>
      <w:r w:rsidR="00C8443F" w:rsidRPr="00092053">
        <w:rPr>
          <w:rFonts w:eastAsia="Calibri"/>
          <w:lang w:val="es-PE" w:eastAsia="en-US"/>
        </w:rPr>
        <w:t xml:space="preserve"> A la fecha no se dispone de más datos actualizados. </w:t>
      </w:r>
    </w:p>
    <w:p w:rsidR="00C8443F" w:rsidRPr="00092053" w:rsidRDefault="0042499A" w:rsidP="0042499A">
      <w:pPr>
        <w:pStyle w:val="H23G"/>
        <w:rPr>
          <w:rFonts w:eastAsia="Calibri"/>
          <w:lang w:val="es-PE" w:eastAsia="en-US"/>
        </w:rPr>
      </w:pPr>
      <w:bookmarkStart w:id="51" w:name="_Toc468642591"/>
      <w:bookmarkStart w:id="52" w:name="_Toc468721261"/>
      <w:bookmarkStart w:id="53" w:name="_Toc471137659"/>
      <w:bookmarkStart w:id="54" w:name="_Toc472097444"/>
      <w:bookmarkStart w:id="55" w:name="_Toc484774067"/>
      <w:r w:rsidRPr="00092053">
        <w:rPr>
          <w:rFonts w:eastAsia="Calibri"/>
          <w:lang w:val="es-PE" w:eastAsia="en-US"/>
        </w:rPr>
        <w:tab/>
      </w:r>
      <w:r w:rsidRPr="00092053">
        <w:rPr>
          <w:rFonts w:eastAsia="Calibri"/>
          <w:lang w:val="es-PE" w:eastAsia="en-US"/>
        </w:rPr>
        <w:tab/>
      </w:r>
      <w:r w:rsidR="00C8443F" w:rsidRPr="00092053">
        <w:rPr>
          <w:rFonts w:eastAsia="Calibri"/>
          <w:lang w:val="es-PE" w:eastAsia="en-US"/>
        </w:rPr>
        <w:t>Respuesta al párrafo 5</w:t>
      </w:r>
      <w:bookmarkEnd w:id="51"/>
      <w:bookmarkEnd w:id="52"/>
      <w:bookmarkEnd w:id="53"/>
      <w:bookmarkEnd w:id="54"/>
      <w:bookmarkEnd w:id="55"/>
      <w:r w:rsidR="00C8443F" w:rsidRPr="00092053">
        <w:rPr>
          <w:rFonts w:eastAsia="Calibri"/>
          <w:lang w:val="es-PE" w:eastAsia="en-US"/>
        </w:rPr>
        <w:t xml:space="preserve"> </w:t>
      </w:r>
    </w:p>
    <w:p w:rsidR="002A208C" w:rsidRPr="00092053" w:rsidRDefault="00092053" w:rsidP="00574AEE">
      <w:pPr>
        <w:pStyle w:val="SingleTxtG"/>
        <w:rPr>
          <w:rFonts w:eastAsia="Calibri"/>
          <w:lang w:val="es-PE" w:eastAsia="en-US"/>
        </w:rPr>
      </w:pPr>
      <w:r w:rsidRPr="00574AEE">
        <w:rPr>
          <w:rFonts w:eastAsia="Calibri"/>
          <w:lang w:val="es-PE" w:eastAsia="en-US"/>
        </w:rPr>
        <w:t>25.</w:t>
      </w:r>
      <w:r w:rsidRPr="00574AEE">
        <w:rPr>
          <w:rFonts w:eastAsia="Calibri"/>
          <w:lang w:val="es-PE" w:eastAsia="en-US"/>
        </w:rPr>
        <w:tab/>
      </w:r>
      <w:r w:rsidR="00C8443F" w:rsidRPr="00092053">
        <w:rPr>
          <w:rFonts w:eastAsia="Calibri"/>
          <w:lang w:val="es-PE" w:eastAsia="en-US"/>
        </w:rPr>
        <w:t>En el Plan Nacional de Derechos Humanos 2014</w:t>
      </w:r>
      <w:r w:rsidR="001A6567">
        <w:rPr>
          <w:rFonts w:eastAsia="Calibri"/>
          <w:lang w:val="es-PE" w:eastAsia="en-US"/>
        </w:rPr>
        <w:t>-</w:t>
      </w:r>
      <w:r w:rsidR="00C8443F" w:rsidRPr="00092053">
        <w:rPr>
          <w:rFonts w:eastAsia="Calibri"/>
          <w:lang w:val="es-PE" w:eastAsia="en-US"/>
        </w:rPr>
        <w:t xml:space="preserve">2016, aprobado mediante Decreto Supremo </w:t>
      </w:r>
      <w:r w:rsidR="00CD52E7">
        <w:rPr>
          <w:rFonts w:eastAsia="Calibri"/>
          <w:lang w:val="es-ES_tradnl"/>
        </w:rPr>
        <w:t>núm.</w:t>
      </w:r>
      <w:r w:rsidR="00C8443F" w:rsidRPr="00092053">
        <w:rPr>
          <w:rFonts w:eastAsia="Calibri"/>
          <w:lang w:val="es-PE" w:eastAsia="en-US"/>
        </w:rPr>
        <w:t xml:space="preserve"> 005-2014-JUS</w:t>
      </w:r>
      <w:r w:rsidR="00C8443F" w:rsidRPr="00092053">
        <w:rPr>
          <w:rStyle w:val="Refdenotaalfinal"/>
          <w:rFonts w:eastAsia="Calibri"/>
        </w:rPr>
        <w:footnoteReference w:id="24"/>
      </w:r>
      <w:r w:rsidR="00C8443F" w:rsidRPr="00092053">
        <w:rPr>
          <w:rFonts w:eastAsia="Calibri"/>
          <w:lang w:val="es-PE" w:eastAsia="en-US"/>
        </w:rPr>
        <w:t>, se han señalado acciones directas respecto de la prohibición contra la tortura, siendo una de ellas, la relacionada al ámbito de la prevención a través de la adopción de acciones de formación y difusión en materia de DDHH dirigidos a las FFAA y PNP relativo a los estándares en dicha materia, de modo que se pueda evitar su intervención en actos de tortura o trato cruel, inhumano o degradante.</w:t>
      </w:r>
    </w:p>
    <w:p w:rsidR="00C8443F" w:rsidRPr="00092053" w:rsidRDefault="0042499A" w:rsidP="0042499A">
      <w:pPr>
        <w:pStyle w:val="H23G"/>
        <w:rPr>
          <w:rFonts w:eastAsia="Calibri"/>
          <w:lang w:val="es-PE" w:eastAsia="en-US"/>
        </w:rPr>
      </w:pPr>
      <w:bookmarkStart w:id="56" w:name="_Toc468627300"/>
      <w:bookmarkStart w:id="57" w:name="_Toc468642592"/>
      <w:bookmarkStart w:id="58" w:name="_Toc468721262"/>
      <w:bookmarkStart w:id="59" w:name="_Toc471137660"/>
      <w:bookmarkStart w:id="60" w:name="_Toc472097445"/>
      <w:bookmarkStart w:id="61" w:name="_Toc484774068"/>
      <w:r w:rsidRPr="00092053">
        <w:rPr>
          <w:rFonts w:eastAsia="Calibri"/>
          <w:lang w:val="es-PE" w:eastAsia="en-US"/>
        </w:rPr>
        <w:tab/>
      </w:r>
      <w:r w:rsidRPr="00092053">
        <w:rPr>
          <w:rFonts w:eastAsia="Calibri"/>
          <w:lang w:val="es-PE" w:eastAsia="en-US"/>
        </w:rPr>
        <w:tab/>
      </w:r>
      <w:r w:rsidR="00C8443F" w:rsidRPr="00092053">
        <w:rPr>
          <w:rFonts w:eastAsia="Calibri"/>
          <w:lang w:val="es-PE" w:eastAsia="en-US"/>
        </w:rPr>
        <w:t>Respuesta al párrafo 6</w:t>
      </w:r>
      <w:bookmarkEnd w:id="56"/>
      <w:bookmarkEnd w:id="57"/>
      <w:bookmarkEnd w:id="58"/>
      <w:bookmarkEnd w:id="59"/>
      <w:bookmarkEnd w:id="60"/>
      <w:bookmarkEnd w:id="61"/>
      <w:r w:rsidR="00C8443F" w:rsidRPr="00092053">
        <w:rPr>
          <w:rFonts w:eastAsia="Calibri"/>
          <w:lang w:val="es-PE" w:eastAsia="en-US"/>
        </w:rPr>
        <w:t xml:space="preserve"> </w:t>
      </w:r>
    </w:p>
    <w:p w:rsidR="002A208C" w:rsidRPr="00092053" w:rsidRDefault="00092053" w:rsidP="00574AEE">
      <w:pPr>
        <w:pStyle w:val="SingleTxtG"/>
        <w:rPr>
          <w:rFonts w:eastAsia="Calibri"/>
          <w:lang w:val="es-PE" w:eastAsia="en-US"/>
        </w:rPr>
      </w:pPr>
      <w:r w:rsidRPr="00574AEE">
        <w:rPr>
          <w:rFonts w:eastAsia="Calibri"/>
          <w:lang w:val="es-PE" w:eastAsia="en-US"/>
        </w:rPr>
        <w:t>26.</w:t>
      </w:r>
      <w:r w:rsidRPr="00574AEE">
        <w:rPr>
          <w:rFonts w:eastAsia="Calibri"/>
          <w:lang w:val="es-PE" w:eastAsia="en-US"/>
        </w:rPr>
        <w:tab/>
      </w:r>
      <w:r w:rsidR="00C8443F" w:rsidRPr="00092053">
        <w:rPr>
          <w:rFonts w:eastAsia="Calibri"/>
          <w:lang w:val="es-PE" w:eastAsia="en-US"/>
        </w:rPr>
        <w:t>Los Centros Emergencia Mujer (CEM) del Programa Nacional contra la Violencia Familiar y Sexual del Ministerio de la Mujer y Poblaciones Vulnerables (MIMP), entre el 2012 y agosto de 2016, atendió a 245,468 víctimas de violencia</w:t>
      </w:r>
      <w:r w:rsidR="00976B47" w:rsidRPr="00092053">
        <w:rPr>
          <w:rFonts w:eastAsia="Calibri"/>
          <w:lang w:val="es-PE" w:eastAsia="en-US"/>
        </w:rPr>
        <w:t xml:space="preserve"> (psicológica, física y sexual)</w:t>
      </w:r>
      <w:r w:rsidR="00C8443F" w:rsidRPr="00092053">
        <w:rPr>
          <w:rStyle w:val="Refdenotaalfinal"/>
          <w:rFonts w:eastAsia="Calibri"/>
        </w:rPr>
        <w:footnoteReference w:id="25"/>
      </w:r>
      <w:r w:rsidR="00976B47" w:rsidRPr="00092053">
        <w:rPr>
          <w:rFonts w:eastAsia="Calibri"/>
          <w:lang w:val="es-PE" w:eastAsia="en-US"/>
        </w:rPr>
        <w:t>.</w:t>
      </w:r>
    </w:p>
    <w:p w:rsidR="002A208C" w:rsidRPr="00092053" w:rsidRDefault="00092053" w:rsidP="00574AEE">
      <w:pPr>
        <w:pStyle w:val="SingleTxtG"/>
        <w:rPr>
          <w:rFonts w:eastAsia="Calibri"/>
          <w:b/>
          <w:lang w:val="es-PE" w:eastAsia="en-US"/>
        </w:rPr>
      </w:pPr>
      <w:r w:rsidRPr="00574AEE">
        <w:rPr>
          <w:rFonts w:eastAsia="Calibri"/>
          <w:lang w:val="es-PE" w:eastAsia="en-US"/>
        </w:rPr>
        <w:t>27.</w:t>
      </w:r>
      <w:r w:rsidRPr="00574AEE">
        <w:rPr>
          <w:rFonts w:eastAsia="Calibri"/>
          <w:lang w:val="es-PE" w:eastAsia="en-US"/>
        </w:rPr>
        <w:tab/>
      </w:r>
      <w:r w:rsidR="00C8443F" w:rsidRPr="00092053">
        <w:rPr>
          <w:rFonts w:eastAsia="Calibri"/>
          <w:lang w:val="es-PE" w:eastAsia="en-US"/>
        </w:rPr>
        <w:t>Cabe precisar que los casos anuales se incrementaron desde 42</w:t>
      </w:r>
      <w:r w:rsidR="001A6567">
        <w:rPr>
          <w:rFonts w:eastAsia="Calibri"/>
          <w:lang w:val="es-PE" w:eastAsia="en-US"/>
        </w:rPr>
        <w:t>.</w:t>
      </w:r>
      <w:r w:rsidR="00C8443F" w:rsidRPr="00092053">
        <w:rPr>
          <w:rFonts w:eastAsia="Calibri"/>
          <w:lang w:val="es-PE" w:eastAsia="en-US"/>
        </w:rPr>
        <w:t>537 en el 2012 a 58</w:t>
      </w:r>
      <w:r w:rsidR="001A6567">
        <w:rPr>
          <w:rFonts w:eastAsia="Calibri"/>
          <w:lang w:val="es-PE" w:eastAsia="en-US"/>
        </w:rPr>
        <w:t>.</w:t>
      </w:r>
      <w:r w:rsidR="00C8443F" w:rsidRPr="00092053">
        <w:rPr>
          <w:rFonts w:eastAsia="Calibri"/>
          <w:lang w:val="es-PE" w:eastAsia="en-US"/>
        </w:rPr>
        <w:t>429 en el 2015. En el per</w:t>
      </w:r>
      <w:r w:rsidR="0020561B">
        <w:rPr>
          <w:rFonts w:eastAsia="Calibri"/>
          <w:lang w:val="es-PE" w:eastAsia="en-US"/>
        </w:rPr>
        <w:t>í</w:t>
      </w:r>
      <w:r w:rsidR="00C8443F" w:rsidRPr="00092053">
        <w:rPr>
          <w:rFonts w:eastAsia="Calibri"/>
          <w:lang w:val="es-PE" w:eastAsia="en-US"/>
        </w:rPr>
        <w:t>odo enero-agosto de 2016 el PNCVFS registró 44</w:t>
      </w:r>
      <w:r w:rsidR="001A6567">
        <w:rPr>
          <w:rFonts w:eastAsia="Calibri"/>
          <w:lang w:val="es-PE" w:eastAsia="en-US"/>
        </w:rPr>
        <w:t>.</w:t>
      </w:r>
      <w:r w:rsidR="00C8443F" w:rsidRPr="00092053">
        <w:rPr>
          <w:rFonts w:eastAsia="Calibri"/>
          <w:lang w:val="es-PE" w:eastAsia="en-US"/>
        </w:rPr>
        <w:t>879 casos atendidos</w:t>
      </w:r>
      <w:r w:rsidR="00C8443F" w:rsidRPr="00092053">
        <w:rPr>
          <w:rStyle w:val="Refdenotaalfinal"/>
          <w:rFonts w:eastAsia="Calibri"/>
        </w:rPr>
        <w:footnoteReference w:id="26"/>
      </w:r>
      <w:r w:rsidR="00C8443F" w:rsidRPr="00092053">
        <w:rPr>
          <w:rFonts w:eastAsia="Calibri"/>
          <w:lang w:val="es-PE" w:eastAsia="en-US"/>
        </w:rPr>
        <w:t xml:space="preserve">. </w:t>
      </w:r>
      <w:r w:rsidR="00C8443F" w:rsidRPr="00092053">
        <w:rPr>
          <w:rFonts w:eastAsia="Calibri"/>
          <w:b/>
          <w:lang w:val="es-PE" w:eastAsia="en-US"/>
        </w:rPr>
        <w:t xml:space="preserve">Ver Tabla </w:t>
      </w:r>
      <w:r w:rsidR="00FA45BC">
        <w:rPr>
          <w:rFonts w:eastAsia="Calibri"/>
          <w:b/>
          <w:lang w:val="es-PE" w:eastAsia="en-US"/>
        </w:rPr>
        <w:t>núm.</w:t>
      </w:r>
      <w:r w:rsidR="00C8443F" w:rsidRPr="00092053">
        <w:rPr>
          <w:rFonts w:eastAsia="Calibri"/>
          <w:b/>
          <w:lang w:val="es-PE" w:eastAsia="en-US"/>
        </w:rPr>
        <w:t xml:space="preserve"> 1 del Anexo </w:t>
      </w:r>
      <w:r w:rsidR="00FA45BC">
        <w:rPr>
          <w:rFonts w:eastAsia="Calibri"/>
          <w:b/>
          <w:lang w:val="es-PE" w:eastAsia="en-US"/>
        </w:rPr>
        <w:t>núm.</w:t>
      </w:r>
      <w:r w:rsidR="00C8443F" w:rsidRPr="00092053">
        <w:rPr>
          <w:rFonts w:eastAsia="Calibri"/>
          <w:b/>
          <w:lang w:val="es-PE" w:eastAsia="en-US"/>
        </w:rPr>
        <w:t xml:space="preserve"> 3.</w:t>
      </w:r>
    </w:p>
    <w:p w:rsidR="002A208C" w:rsidRPr="00092053" w:rsidRDefault="00092053" w:rsidP="00574AEE">
      <w:pPr>
        <w:pStyle w:val="SingleTxtG"/>
        <w:rPr>
          <w:rFonts w:eastAsia="Calibri"/>
          <w:lang w:val="es-PE" w:eastAsia="en-US"/>
        </w:rPr>
      </w:pPr>
      <w:r w:rsidRPr="00574AEE">
        <w:rPr>
          <w:rFonts w:eastAsia="Calibri"/>
          <w:lang w:val="es-PE" w:eastAsia="en-US"/>
        </w:rPr>
        <w:t>28.</w:t>
      </w:r>
      <w:r w:rsidRPr="00574AEE">
        <w:rPr>
          <w:rFonts w:eastAsia="Calibri"/>
          <w:lang w:val="es-PE" w:eastAsia="en-US"/>
        </w:rPr>
        <w:tab/>
      </w:r>
      <w:r w:rsidR="00C8443F" w:rsidRPr="00092053">
        <w:rPr>
          <w:rFonts w:eastAsia="Calibri"/>
          <w:lang w:val="es-PE" w:eastAsia="en-US"/>
        </w:rPr>
        <w:t>Por ello, se incrementó la cobertura de los CEM a nivel nacional, que a partir del 2015 alcanzó al 100% de provincias del país</w:t>
      </w:r>
      <w:r w:rsidR="00C8443F" w:rsidRPr="00092053">
        <w:rPr>
          <w:rStyle w:val="Refdenotaalfinal"/>
          <w:rFonts w:eastAsia="Calibri"/>
        </w:rPr>
        <w:footnoteReference w:id="27"/>
      </w:r>
      <w:r w:rsidR="00C8443F" w:rsidRPr="00092053">
        <w:rPr>
          <w:rFonts w:eastAsia="Calibri"/>
          <w:lang w:val="es-PE" w:eastAsia="en-US"/>
        </w:rPr>
        <w:t xml:space="preserve"> y a septiembre</w:t>
      </w:r>
      <w:r w:rsidR="00976B47" w:rsidRPr="00092053">
        <w:rPr>
          <w:rFonts w:eastAsia="Calibri"/>
          <w:lang w:val="es-PE" w:eastAsia="en-US"/>
        </w:rPr>
        <w:t xml:space="preserve"> de 2016 ascendió a 245 centros</w:t>
      </w:r>
      <w:r w:rsidR="00C8443F" w:rsidRPr="00092053">
        <w:rPr>
          <w:rStyle w:val="Refdenotaalfinal"/>
          <w:rFonts w:eastAsia="Calibri"/>
        </w:rPr>
        <w:footnoteReference w:id="28"/>
      </w:r>
      <w:r w:rsidR="00976B47" w:rsidRPr="00092053">
        <w:rPr>
          <w:rFonts w:eastAsia="Calibri"/>
          <w:lang w:val="es-PE" w:eastAsia="en-US"/>
        </w:rPr>
        <w:t>.</w:t>
      </w:r>
    </w:p>
    <w:p w:rsidR="002A208C" w:rsidRPr="00092053" w:rsidRDefault="00092053" w:rsidP="00574AEE">
      <w:pPr>
        <w:pStyle w:val="SingleTxtG"/>
        <w:rPr>
          <w:rFonts w:eastAsia="Calibri"/>
          <w:b/>
          <w:lang w:val="es-PE" w:eastAsia="en-US"/>
        </w:rPr>
      </w:pPr>
      <w:r w:rsidRPr="00574AEE">
        <w:rPr>
          <w:rFonts w:eastAsia="Calibri"/>
          <w:lang w:val="es-PE" w:eastAsia="en-US"/>
        </w:rPr>
        <w:lastRenderedPageBreak/>
        <w:t>29.</w:t>
      </w:r>
      <w:r w:rsidRPr="00574AEE">
        <w:rPr>
          <w:rFonts w:eastAsia="Calibri"/>
          <w:lang w:val="es-PE" w:eastAsia="en-US"/>
        </w:rPr>
        <w:tab/>
      </w:r>
      <w:r w:rsidR="00C8443F" w:rsidRPr="00092053">
        <w:rPr>
          <w:rFonts w:eastAsia="Calibri"/>
          <w:lang w:val="es-PE" w:eastAsia="en-US"/>
        </w:rPr>
        <w:t>Por su parte, el Ministerio del Interior (MININTER) ha registrado 122</w:t>
      </w:r>
      <w:r w:rsidR="001A6567">
        <w:rPr>
          <w:rFonts w:eastAsia="Calibri"/>
          <w:lang w:val="es-PE" w:eastAsia="en-US"/>
        </w:rPr>
        <w:t>.</w:t>
      </w:r>
      <w:r w:rsidR="00C8443F" w:rsidRPr="00092053">
        <w:rPr>
          <w:rFonts w:eastAsia="Calibri"/>
          <w:lang w:val="es-PE" w:eastAsia="en-US"/>
        </w:rPr>
        <w:t>689 denuncias por violencia familiar (agresión física, psicológica, sexual y otros) en el 2012; 122</w:t>
      </w:r>
      <w:r w:rsidR="001A6567">
        <w:rPr>
          <w:rFonts w:eastAsia="Calibri"/>
          <w:lang w:val="es-PE" w:eastAsia="en-US"/>
        </w:rPr>
        <w:t>.</w:t>
      </w:r>
      <w:r w:rsidR="00C8443F" w:rsidRPr="00092053">
        <w:rPr>
          <w:rFonts w:eastAsia="Calibri"/>
          <w:lang w:val="es-PE" w:eastAsia="en-US"/>
        </w:rPr>
        <w:t>901 en el 2013; 135</w:t>
      </w:r>
      <w:r w:rsidR="001A6567">
        <w:rPr>
          <w:rFonts w:eastAsia="Calibri"/>
          <w:lang w:val="es-PE" w:eastAsia="en-US"/>
        </w:rPr>
        <w:t>.</w:t>
      </w:r>
      <w:r w:rsidR="00C8443F" w:rsidRPr="00092053">
        <w:rPr>
          <w:rFonts w:eastAsia="Calibri"/>
          <w:lang w:val="es-PE" w:eastAsia="en-US"/>
        </w:rPr>
        <w:t>874 en el 2014 y 137</w:t>
      </w:r>
      <w:r w:rsidR="001A6567">
        <w:rPr>
          <w:rFonts w:eastAsia="Calibri"/>
          <w:lang w:val="es-PE" w:eastAsia="en-US"/>
        </w:rPr>
        <w:t>.</w:t>
      </w:r>
      <w:r w:rsidR="00C8443F" w:rsidRPr="00092053">
        <w:rPr>
          <w:rFonts w:eastAsia="Calibri"/>
          <w:lang w:val="es-PE" w:eastAsia="en-US"/>
        </w:rPr>
        <w:t xml:space="preserve">742 en el 2015. </w:t>
      </w:r>
      <w:r w:rsidR="00976B47" w:rsidRPr="00092053">
        <w:rPr>
          <w:rFonts w:eastAsia="Calibri"/>
          <w:b/>
          <w:lang w:val="es-PE" w:eastAsia="en-US"/>
        </w:rPr>
        <w:t xml:space="preserve">Ver Tabla </w:t>
      </w:r>
      <w:r w:rsidR="00FA45BC">
        <w:rPr>
          <w:rFonts w:eastAsia="Calibri"/>
          <w:b/>
          <w:lang w:val="es-PE" w:eastAsia="en-US"/>
        </w:rPr>
        <w:t>núm.</w:t>
      </w:r>
      <w:r w:rsidR="00976B47" w:rsidRPr="00092053">
        <w:rPr>
          <w:rFonts w:eastAsia="Calibri"/>
          <w:b/>
          <w:lang w:val="es-PE" w:eastAsia="en-US"/>
        </w:rPr>
        <w:t xml:space="preserve"> 2 del Anexo </w:t>
      </w:r>
      <w:r w:rsidR="00FA45BC">
        <w:rPr>
          <w:rFonts w:eastAsia="Calibri"/>
          <w:b/>
          <w:lang w:val="es-PE" w:eastAsia="en-US"/>
        </w:rPr>
        <w:t>núm.</w:t>
      </w:r>
      <w:r w:rsidR="00976B47" w:rsidRPr="00092053">
        <w:rPr>
          <w:rFonts w:eastAsia="Calibri"/>
          <w:b/>
          <w:lang w:val="es-PE" w:eastAsia="en-US"/>
        </w:rPr>
        <w:t xml:space="preserve"> 3</w:t>
      </w:r>
      <w:r w:rsidR="00C8443F" w:rsidRPr="00092053">
        <w:rPr>
          <w:rStyle w:val="Refdenotaalfinal"/>
          <w:rFonts w:eastAsia="Calibri"/>
        </w:rPr>
        <w:footnoteReference w:id="29"/>
      </w:r>
      <w:r w:rsidR="00976B47" w:rsidRPr="00092053">
        <w:rPr>
          <w:rFonts w:eastAsia="Calibri"/>
          <w:b/>
          <w:lang w:val="es-PE" w:eastAsia="en-US"/>
        </w:rPr>
        <w:t>.</w:t>
      </w:r>
    </w:p>
    <w:p w:rsidR="002A208C" w:rsidRPr="00092053" w:rsidRDefault="00092053" w:rsidP="00574AEE">
      <w:pPr>
        <w:pStyle w:val="SingleTxtG"/>
        <w:rPr>
          <w:rFonts w:eastAsia="Calibri"/>
          <w:b/>
          <w:lang w:val="es-PE" w:eastAsia="en-US"/>
        </w:rPr>
      </w:pPr>
      <w:r w:rsidRPr="00574AEE">
        <w:rPr>
          <w:rFonts w:eastAsia="Calibri"/>
          <w:lang w:val="es-PE" w:eastAsia="en-US"/>
        </w:rPr>
        <w:t>30.</w:t>
      </w:r>
      <w:r w:rsidRPr="00574AEE">
        <w:rPr>
          <w:rFonts w:eastAsia="Calibri"/>
          <w:lang w:val="es-PE" w:eastAsia="en-US"/>
        </w:rPr>
        <w:tab/>
      </w:r>
      <w:r w:rsidR="00C8443F" w:rsidRPr="00092053">
        <w:rPr>
          <w:rFonts w:eastAsia="Calibri"/>
          <w:lang w:val="es-PE" w:eastAsia="en-US"/>
        </w:rPr>
        <w:t>Del 2012 al 2015 la misma entidad registró 23</w:t>
      </w:r>
      <w:r w:rsidR="001A6567">
        <w:rPr>
          <w:rFonts w:eastAsia="Calibri"/>
          <w:lang w:val="es-PE" w:eastAsia="en-US"/>
        </w:rPr>
        <w:t>.</w:t>
      </w:r>
      <w:r w:rsidR="00C8443F" w:rsidRPr="00092053">
        <w:rPr>
          <w:rFonts w:eastAsia="Calibri"/>
          <w:lang w:val="es-PE" w:eastAsia="en-US"/>
        </w:rPr>
        <w:t>363 denuncias por violación sexual. Específicamente, en el per</w:t>
      </w:r>
      <w:r w:rsidR="0020561B">
        <w:rPr>
          <w:rFonts w:eastAsia="Calibri"/>
          <w:lang w:val="es-PE" w:eastAsia="en-US"/>
        </w:rPr>
        <w:t>í</w:t>
      </w:r>
      <w:r w:rsidR="00C8443F" w:rsidRPr="00092053">
        <w:rPr>
          <w:rFonts w:eastAsia="Calibri"/>
          <w:lang w:val="es-PE" w:eastAsia="en-US"/>
        </w:rPr>
        <w:t>odo 2013-2015, se registró 15</w:t>
      </w:r>
      <w:r w:rsidR="001A6567">
        <w:rPr>
          <w:rFonts w:eastAsia="Calibri"/>
          <w:lang w:val="es-PE" w:eastAsia="en-US"/>
        </w:rPr>
        <w:t>.</w:t>
      </w:r>
      <w:r w:rsidR="00C8443F" w:rsidRPr="00092053">
        <w:rPr>
          <w:rFonts w:eastAsia="Calibri"/>
          <w:lang w:val="es-PE" w:eastAsia="en-US"/>
        </w:rPr>
        <w:t xml:space="preserve">950 denuncias por violación sexual contra mujeres. </w:t>
      </w:r>
      <w:r w:rsidR="00C8443F" w:rsidRPr="00092053">
        <w:rPr>
          <w:rFonts w:eastAsia="Calibri"/>
          <w:b/>
          <w:lang w:val="es-PE" w:eastAsia="en-US"/>
        </w:rPr>
        <w:t>Ver Ta</w:t>
      </w:r>
      <w:r w:rsidR="00976B47" w:rsidRPr="00092053">
        <w:rPr>
          <w:rFonts w:eastAsia="Calibri"/>
          <w:b/>
          <w:lang w:val="es-PE" w:eastAsia="en-US"/>
        </w:rPr>
        <w:t xml:space="preserve">blas </w:t>
      </w:r>
      <w:r w:rsidR="00FA45BC">
        <w:rPr>
          <w:rFonts w:eastAsia="Calibri"/>
          <w:b/>
          <w:lang w:val="es-PE" w:eastAsia="en-US"/>
        </w:rPr>
        <w:t>núm.</w:t>
      </w:r>
      <w:r w:rsidR="00976B47" w:rsidRPr="00092053">
        <w:rPr>
          <w:rFonts w:eastAsia="Calibri"/>
          <w:b/>
          <w:lang w:val="es-PE" w:eastAsia="en-US"/>
        </w:rPr>
        <w:t xml:space="preserve"> 3 y </w:t>
      </w:r>
      <w:r w:rsidR="00FA45BC">
        <w:rPr>
          <w:rFonts w:eastAsia="Calibri"/>
          <w:b/>
          <w:lang w:val="es-PE" w:eastAsia="en-US"/>
        </w:rPr>
        <w:t>núm.</w:t>
      </w:r>
      <w:r w:rsidR="00976B47" w:rsidRPr="00092053">
        <w:rPr>
          <w:rFonts w:eastAsia="Calibri"/>
          <w:b/>
          <w:lang w:val="es-PE" w:eastAsia="en-US"/>
        </w:rPr>
        <w:t xml:space="preserve"> 4 del Anexo </w:t>
      </w:r>
      <w:r w:rsidR="00FA45BC">
        <w:rPr>
          <w:rFonts w:eastAsia="Calibri"/>
          <w:b/>
          <w:lang w:val="es-PE" w:eastAsia="en-US"/>
        </w:rPr>
        <w:t>núm.</w:t>
      </w:r>
      <w:r w:rsidR="00976B47" w:rsidRPr="00092053">
        <w:rPr>
          <w:rFonts w:eastAsia="Calibri"/>
          <w:b/>
          <w:lang w:val="es-PE" w:eastAsia="en-US"/>
        </w:rPr>
        <w:t xml:space="preserve"> 3</w:t>
      </w:r>
      <w:r w:rsidR="00C8443F" w:rsidRPr="00092053">
        <w:rPr>
          <w:rStyle w:val="Refdenotaalfinal"/>
          <w:rFonts w:eastAsia="Calibri"/>
        </w:rPr>
        <w:footnoteReference w:id="30"/>
      </w:r>
      <w:r w:rsidR="00976B47" w:rsidRPr="00092053">
        <w:rPr>
          <w:rFonts w:eastAsia="Calibri"/>
          <w:b/>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31.</w:t>
      </w:r>
      <w:r w:rsidRPr="00574AEE">
        <w:rPr>
          <w:rFonts w:eastAsia="Calibri"/>
          <w:lang w:val="es-PE" w:eastAsia="en-US"/>
        </w:rPr>
        <w:tab/>
      </w:r>
      <w:r w:rsidR="00C8443F" w:rsidRPr="00092053">
        <w:rPr>
          <w:rFonts w:eastAsia="Calibri"/>
          <w:lang w:val="es-PE" w:eastAsia="en-US"/>
        </w:rPr>
        <w:t>Asimismo, de acuerdo con el Registro de Feminicidio del PNCVFS, entre 2011 y julio de 2016 se reportaron 1</w:t>
      </w:r>
      <w:r w:rsidR="001A6567">
        <w:rPr>
          <w:rFonts w:eastAsia="Calibri"/>
          <w:lang w:val="es-PE" w:eastAsia="en-US"/>
        </w:rPr>
        <w:t>.</w:t>
      </w:r>
      <w:r w:rsidR="00C8443F" w:rsidRPr="00092053">
        <w:rPr>
          <w:rFonts w:eastAsia="Calibri"/>
          <w:lang w:val="es-PE" w:eastAsia="en-US"/>
        </w:rPr>
        <w:t>396 casos de feminicidio y tentativa de este (41% y 59%, respectivamente), con una media de 8 a 10 feminicidios por mes</w:t>
      </w:r>
      <w:r w:rsidR="00C8443F" w:rsidRPr="00092053">
        <w:rPr>
          <w:rStyle w:val="Refdenotaalfinal"/>
          <w:rFonts w:eastAsia="Calibri"/>
        </w:rPr>
        <w:footnoteReference w:id="31"/>
      </w:r>
      <w:r w:rsidR="00C8443F" w:rsidRPr="00092053">
        <w:rPr>
          <w:rFonts w:eastAsia="Calibri"/>
          <w:lang w:val="es-PE" w:eastAsia="en-US"/>
        </w:rPr>
        <w:t xml:space="preserve">. </w:t>
      </w:r>
      <w:r w:rsidR="00C8443F" w:rsidRPr="00092053">
        <w:rPr>
          <w:rFonts w:eastAsia="Calibri"/>
          <w:b/>
          <w:lang w:val="es-PE" w:eastAsia="en-US"/>
        </w:rPr>
        <w:t xml:space="preserve">Ver Tabla </w:t>
      </w:r>
      <w:r w:rsidR="00FA45BC">
        <w:rPr>
          <w:rFonts w:eastAsia="Calibri"/>
          <w:b/>
          <w:lang w:val="es-PE" w:eastAsia="en-US"/>
        </w:rPr>
        <w:t>núm.</w:t>
      </w:r>
      <w:r w:rsidR="00C8443F" w:rsidRPr="00092053">
        <w:rPr>
          <w:rFonts w:eastAsia="Calibri"/>
          <w:b/>
          <w:lang w:val="es-PE" w:eastAsia="en-US"/>
        </w:rPr>
        <w:t xml:space="preserve"> 5 del Anexo </w:t>
      </w:r>
      <w:r w:rsidR="00FA45BC">
        <w:rPr>
          <w:rFonts w:eastAsia="Calibri"/>
          <w:b/>
          <w:lang w:val="es-PE" w:eastAsia="en-US"/>
        </w:rPr>
        <w:t>núm.</w:t>
      </w:r>
      <w:r w:rsidR="00C8443F" w:rsidRPr="00092053">
        <w:rPr>
          <w:rFonts w:eastAsia="Calibri"/>
          <w:b/>
          <w:lang w:val="es-PE" w:eastAsia="en-US"/>
        </w:rPr>
        <w:t xml:space="preserve"> 3.</w:t>
      </w:r>
    </w:p>
    <w:p w:rsidR="002A208C" w:rsidRPr="00092053" w:rsidRDefault="00092053" w:rsidP="00574AEE">
      <w:pPr>
        <w:pStyle w:val="SingleTxtG"/>
        <w:rPr>
          <w:rFonts w:eastAsia="Calibri"/>
          <w:b/>
          <w:lang w:val="es-PE" w:eastAsia="en-US"/>
        </w:rPr>
      </w:pPr>
      <w:r w:rsidRPr="00574AEE">
        <w:rPr>
          <w:rFonts w:eastAsia="Calibri"/>
          <w:lang w:val="es-PE" w:eastAsia="en-US"/>
        </w:rPr>
        <w:t>32.</w:t>
      </w:r>
      <w:r w:rsidRPr="00574AEE">
        <w:rPr>
          <w:rFonts w:eastAsia="Calibri"/>
          <w:lang w:val="es-PE" w:eastAsia="en-US"/>
        </w:rPr>
        <w:tab/>
      </w:r>
      <w:r w:rsidR="00C8443F" w:rsidRPr="00092053">
        <w:rPr>
          <w:rFonts w:eastAsia="Calibri"/>
          <w:lang w:val="es-PE" w:eastAsia="en-US"/>
        </w:rPr>
        <w:t xml:space="preserve">Cabe precisar que desde el 2014 al 2016 el servicio de asistencia legal y defensa de víctimas del MINJUS ha asumido el patrocinio de las mujeres víctimas de violencia y violencia sexual, respectivamente. </w:t>
      </w:r>
      <w:r w:rsidR="00C8443F" w:rsidRPr="00092053">
        <w:rPr>
          <w:rFonts w:eastAsia="Calibri"/>
          <w:b/>
          <w:lang w:val="es-PE" w:eastAsia="en-US"/>
        </w:rPr>
        <w:t xml:space="preserve">Ver Tabla </w:t>
      </w:r>
      <w:r w:rsidR="00FA45BC">
        <w:rPr>
          <w:rFonts w:eastAsia="Calibri"/>
          <w:b/>
          <w:lang w:val="es-PE" w:eastAsia="en-US"/>
        </w:rPr>
        <w:t>núm.</w:t>
      </w:r>
      <w:r w:rsidR="00C8443F" w:rsidRPr="00092053">
        <w:rPr>
          <w:rFonts w:eastAsia="Calibri"/>
          <w:b/>
          <w:lang w:val="es-PE" w:eastAsia="en-US"/>
        </w:rPr>
        <w:t xml:space="preserve"> 6 del Anexo </w:t>
      </w:r>
      <w:r w:rsidR="00FA45BC">
        <w:rPr>
          <w:rFonts w:eastAsia="Calibri"/>
          <w:b/>
          <w:lang w:val="es-PE" w:eastAsia="en-US"/>
        </w:rPr>
        <w:t>núm.</w:t>
      </w:r>
      <w:r w:rsidR="00C8443F" w:rsidRPr="00092053">
        <w:rPr>
          <w:rFonts w:eastAsia="Calibri"/>
          <w:b/>
          <w:lang w:val="es-PE" w:eastAsia="en-US"/>
        </w:rPr>
        <w:t xml:space="preserve"> 3</w:t>
      </w:r>
      <w:r w:rsidR="00C8443F" w:rsidRPr="00092053">
        <w:rPr>
          <w:rStyle w:val="Refdenotaalfinal"/>
          <w:rFonts w:eastAsia="Calibri"/>
        </w:rPr>
        <w:footnoteReference w:id="32"/>
      </w:r>
      <w:r w:rsidR="00976B47" w:rsidRPr="00092053">
        <w:rPr>
          <w:rFonts w:eastAsia="Calibri"/>
          <w:b/>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33.</w:t>
      </w:r>
      <w:r w:rsidRPr="00574AEE">
        <w:rPr>
          <w:rFonts w:eastAsia="Calibri"/>
          <w:lang w:val="es-PE" w:eastAsia="en-US"/>
        </w:rPr>
        <w:tab/>
      </w:r>
      <w:r w:rsidR="00C8443F" w:rsidRPr="00092053">
        <w:rPr>
          <w:rFonts w:eastAsia="Calibri"/>
          <w:lang w:val="es-PE" w:eastAsia="en-US"/>
        </w:rPr>
        <w:t>Por otro lado, del 2009 al 2015 el MIMP ejecutó el segundo Plan Nacional Contra la Violencia hacia la Mujer</w:t>
      </w:r>
      <w:r w:rsidR="00C8443F" w:rsidRPr="00092053">
        <w:rPr>
          <w:rStyle w:val="Refdenotaalfinal"/>
          <w:rFonts w:eastAsia="Calibri"/>
        </w:rPr>
        <w:footnoteReference w:id="33"/>
      </w:r>
      <w:r w:rsidR="00C8443F" w:rsidRPr="00092053">
        <w:rPr>
          <w:rFonts w:eastAsia="Calibri"/>
          <w:lang w:val="es-PE" w:eastAsia="en-US"/>
        </w:rPr>
        <w:t xml:space="preserve">. Entre sus principales acciones están la promulgación de la Ley </w:t>
      </w:r>
      <w:r w:rsidR="00CD52E7">
        <w:rPr>
          <w:rFonts w:eastAsia="Calibri"/>
          <w:lang w:val="es-ES_tradnl"/>
        </w:rPr>
        <w:t>núm.</w:t>
      </w:r>
      <w:r w:rsidR="00C8443F" w:rsidRPr="00092053">
        <w:rPr>
          <w:rFonts w:eastAsia="Calibri"/>
          <w:lang w:val="es-PE" w:eastAsia="en-US"/>
        </w:rPr>
        <w:t xml:space="preserve"> 30314</w:t>
      </w:r>
      <w:r w:rsidR="00C8443F" w:rsidRPr="00092053">
        <w:rPr>
          <w:rStyle w:val="Refdenotaalfinal"/>
          <w:rFonts w:eastAsia="Calibri"/>
        </w:rPr>
        <w:footnoteReference w:id="34"/>
      </w:r>
      <w:r w:rsidR="00C8443F" w:rsidRPr="00092053">
        <w:rPr>
          <w:rFonts w:eastAsia="Calibri"/>
          <w:lang w:val="es-PE" w:eastAsia="en-US"/>
        </w:rPr>
        <w:t xml:space="preserve">, Ley para </w:t>
      </w:r>
      <w:r w:rsidR="0020561B">
        <w:rPr>
          <w:rFonts w:eastAsia="Calibri"/>
          <w:lang w:val="es-PE" w:eastAsia="en-US"/>
        </w:rPr>
        <w:t>P</w:t>
      </w:r>
      <w:r w:rsidR="00C8443F" w:rsidRPr="00092053">
        <w:rPr>
          <w:rFonts w:eastAsia="Calibri"/>
          <w:lang w:val="es-PE" w:eastAsia="en-US"/>
        </w:rPr>
        <w:t xml:space="preserve">revenir y </w:t>
      </w:r>
      <w:r w:rsidR="0020561B">
        <w:rPr>
          <w:rFonts w:eastAsia="Calibri"/>
          <w:lang w:val="es-PE" w:eastAsia="en-US"/>
        </w:rPr>
        <w:t>S</w:t>
      </w:r>
      <w:r w:rsidR="00C8443F" w:rsidRPr="00092053">
        <w:rPr>
          <w:rFonts w:eastAsia="Calibri"/>
          <w:lang w:val="es-PE" w:eastAsia="en-US"/>
        </w:rPr>
        <w:t xml:space="preserve">ancionar el </w:t>
      </w:r>
      <w:r w:rsidR="0020561B">
        <w:rPr>
          <w:rFonts w:eastAsia="Calibri"/>
          <w:lang w:val="es-PE" w:eastAsia="en-US"/>
        </w:rPr>
        <w:t>A</w:t>
      </w:r>
      <w:r w:rsidR="00C8443F" w:rsidRPr="00092053">
        <w:rPr>
          <w:rFonts w:eastAsia="Calibri"/>
          <w:lang w:val="es-PE" w:eastAsia="en-US"/>
        </w:rPr>
        <w:t xml:space="preserve">coso </w:t>
      </w:r>
      <w:r w:rsidR="0020561B">
        <w:rPr>
          <w:rFonts w:eastAsia="Calibri"/>
          <w:lang w:val="es-PE" w:eastAsia="en-US"/>
        </w:rPr>
        <w:t>S</w:t>
      </w:r>
      <w:r w:rsidR="00C8443F" w:rsidRPr="00092053">
        <w:rPr>
          <w:rFonts w:eastAsia="Calibri"/>
          <w:lang w:val="es-PE" w:eastAsia="en-US"/>
        </w:rPr>
        <w:t xml:space="preserve">exual en </w:t>
      </w:r>
      <w:r w:rsidR="0020561B">
        <w:rPr>
          <w:rFonts w:eastAsia="Calibri"/>
          <w:lang w:val="es-PE" w:eastAsia="en-US"/>
        </w:rPr>
        <w:t>E</w:t>
      </w:r>
      <w:r w:rsidR="00C8443F" w:rsidRPr="00092053">
        <w:rPr>
          <w:rFonts w:eastAsia="Calibri"/>
          <w:lang w:val="es-PE" w:eastAsia="en-US"/>
        </w:rPr>
        <w:t xml:space="preserve">spacios </w:t>
      </w:r>
      <w:r w:rsidR="0020561B">
        <w:rPr>
          <w:rFonts w:eastAsia="Calibri"/>
          <w:lang w:val="es-PE" w:eastAsia="en-US"/>
        </w:rPr>
        <w:t>P</w:t>
      </w:r>
      <w:r w:rsidR="00C8443F" w:rsidRPr="00092053">
        <w:rPr>
          <w:rFonts w:eastAsia="Calibri"/>
          <w:lang w:val="es-PE" w:eastAsia="en-US"/>
        </w:rPr>
        <w:t>úblicos, que afecta en especial los derechos de las mujeres y que a la fecha, 28 gobiernos locales y 5 gobiernos provinciales</w:t>
      </w:r>
      <w:r w:rsidR="00C8443F" w:rsidRPr="00092053">
        <w:rPr>
          <w:rStyle w:val="Refdenotaalfinal"/>
          <w:rFonts w:eastAsia="Calibri"/>
        </w:rPr>
        <w:footnoteReference w:id="35"/>
      </w:r>
      <w:r w:rsidR="00C8443F" w:rsidRPr="00092053">
        <w:rPr>
          <w:rFonts w:eastAsia="Calibri"/>
          <w:lang w:val="es-PE" w:eastAsia="en-US"/>
        </w:rPr>
        <w:t xml:space="preserve"> han aprobado ordenanzas para prevenir y sancionar el acoso sexual en espacios públicos.</w:t>
      </w:r>
    </w:p>
    <w:p w:rsidR="002A208C" w:rsidRPr="00092053" w:rsidRDefault="00092053" w:rsidP="00574AEE">
      <w:pPr>
        <w:pStyle w:val="SingleTxtG"/>
        <w:rPr>
          <w:rFonts w:eastAsia="Calibri"/>
          <w:lang w:val="es-PE" w:eastAsia="en-US"/>
        </w:rPr>
      </w:pPr>
      <w:r w:rsidRPr="00574AEE">
        <w:rPr>
          <w:rFonts w:eastAsia="Calibri"/>
          <w:lang w:val="es-PE" w:eastAsia="en-US"/>
        </w:rPr>
        <w:t>34.</w:t>
      </w:r>
      <w:r w:rsidRPr="00574AEE">
        <w:rPr>
          <w:rFonts w:eastAsia="Calibri"/>
          <w:lang w:val="es-PE" w:eastAsia="en-US"/>
        </w:rPr>
        <w:tab/>
      </w:r>
      <w:r w:rsidR="00C8443F" w:rsidRPr="00092053">
        <w:rPr>
          <w:rFonts w:eastAsia="Calibri"/>
          <w:lang w:val="es-PE" w:eastAsia="en-US"/>
        </w:rPr>
        <w:t xml:space="preserve">Igualmente, se aprobó la Ley </w:t>
      </w:r>
      <w:r w:rsidR="00CD52E7">
        <w:rPr>
          <w:rFonts w:eastAsia="Calibri"/>
          <w:lang w:val="es-ES_tradnl"/>
        </w:rPr>
        <w:t>núm.</w:t>
      </w:r>
      <w:r w:rsidR="00C8443F" w:rsidRPr="00092053">
        <w:rPr>
          <w:rFonts w:eastAsia="Calibri"/>
          <w:lang w:val="es-PE" w:eastAsia="en-US"/>
        </w:rPr>
        <w:t xml:space="preserve"> 30364</w:t>
      </w:r>
      <w:r w:rsidR="00C8443F" w:rsidRPr="00092053">
        <w:rPr>
          <w:rStyle w:val="Refdenotaalfinal"/>
          <w:rFonts w:eastAsia="Calibri"/>
        </w:rPr>
        <w:footnoteReference w:id="36"/>
      </w:r>
      <w:r w:rsidR="00C8443F" w:rsidRPr="00092053">
        <w:rPr>
          <w:rFonts w:eastAsia="Calibri"/>
          <w:lang w:val="es-PE" w:eastAsia="en-US"/>
        </w:rPr>
        <w:t xml:space="preserve">, Ley para </w:t>
      </w:r>
      <w:r w:rsidR="0020561B">
        <w:rPr>
          <w:rFonts w:eastAsia="Calibri"/>
          <w:lang w:val="es-PE" w:eastAsia="en-US"/>
        </w:rPr>
        <w:t>P</w:t>
      </w:r>
      <w:r w:rsidR="00C8443F" w:rsidRPr="00092053">
        <w:rPr>
          <w:rFonts w:eastAsia="Calibri"/>
          <w:lang w:val="es-PE" w:eastAsia="en-US"/>
        </w:rPr>
        <w:t xml:space="preserve">revenir, </w:t>
      </w:r>
      <w:r w:rsidR="0020561B">
        <w:rPr>
          <w:rFonts w:eastAsia="Calibri"/>
          <w:lang w:val="es-PE" w:eastAsia="en-US"/>
        </w:rPr>
        <w:t>S</w:t>
      </w:r>
      <w:r w:rsidR="00C8443F" w:rsidRPr="00092053">
        <w:rPr>
          <w:rFonts w:eastAsia="Calibri"/>
          <w:lang w:val="es-PE" w:eastAsia="en-US"/>
        </w:rPr>
        <w:t xml:space="preserve">ancionar y </w:t>
      </w:r>
      <w:r w:rsidR="0020561B">
        <w:rPr>
          <w:rFonts w:eastAsia="Calibri"/>
          <w:lang w:val="es-PE" w:eastAsia="en-US"/>
        </w:rPr>
        <w:t>E</w:t>
      </w:r>
      <w:r w:rsidR="00C8443F" w:rsidRPr="00092053">
        <w:rPr>
          <w:rFonts w:eastAsia="Calibri"/>
          <w:lang w:val="es-PE" w:eastAsia="en-US"/>
        </w:rPr>
        <w:t xml:space="preserve">rradicar la </w:t>
      </w:r>
      <w:r w:rsidR="0020561B">
        <w:rPr>
          <w:rFonts w:eastAsia="Calibri"/>
          <w:lang w:val="es-PE" w:eastAsia="en-US"/>
        </w:rPr>
        <w:t>V</w:t>
      </w:r>
      <w:r w:rsidR="00C8443F" w:rsidRPr="00092053">
        <w:rPr>
          <w:rFonts w:eastAsia="Calibri"/>
          <w:lang w:val="es-PE" w:eastAsia="en-US"/>
        </w:rPr>
        <w:t xml:space="preserve">iolencia contra las </w:t>
      </w:r>
      <w:r w:rsidR="0020561B">
        <w:rPr>
          <w:rFonts w:eastAsia="Calibri"/>
          <w:lang w:val="es-PE" w:eastAsia="en-US"/>
        </w:rPr>
        <w:t>M</w:t>
      </w:r>
      <w:r w:rsidR="00C8443F" w:rsidRPr="00092053">
        <w:rPr>
          <w:rFonts w:eastAsia="Calibri"/>
          <w:lang w:val="es-PE" w:eastAsia="en-US"/>
        </w:rPr>
        <w:t xml:space="preserve">ujeres y los </w:t>
      </w:r>
      <w:r w:rsidR="0020561B">
        <w:rPr>
          <w:rFonts w:eastAsia="Calibri"/>
          <w:lang w:val="es-PE" w:eastAsia="en-US"/>
        </w:rPr>
        <w:t>I</w:t>
      </w:r>
      <w:r w:rsidR="00C8443F" w:rsidRPr="00092053">
        <w:rPr>
          <w:rFonts w:eastAsia="Calibri"/>
          <w:lang w:val="es-PE" w:eastAsia="en-US"/>
        </w:rPr>
        <w:t xml:space="preserve">ntegrantes del </w:t>
      </w:r>
      <w:r w:rsidR="0020561B">
        <w:rPr>
          <w:rFonts w:eastAsia="Calibri"/>
          <w:lang w:val="es-PE" w:eastAsia="en-US"/>
        </w:rPr>
        <w:t>G</w:t>
      </w:r>
      <w:r w:rsidR="00C8443F" w:rsidRPr="00092053">
        <w:rPr>
          <w:rFonts w:eastAsia="Calibri"/>
          <w:lang w:val="es-PE" w:eastAsia="en-US"/>
        </w:rPr>
        <w:t xml:space="preserve">rupo </w:t>
      </w:r>
      <w:r w:rsidR="0020561B">
        <w:rPr>
          <w:rFonts w:eastAsia="Calibri"/>
          <w:lang w:val="es-PE" w:eastAsia="en-US"/>
        </w:rPr>
        <w:t>F</w:t>
      </w:r>
      <w:r w:rsidR="00C8443F" w:rsidRPr="00092053">
        <w:rPr>
          <w:rFonts w:eastAsia="Calibri"/>
          <w:lang w:val="es-PE" w:eastAsia="en-US"/>
        </w:rPr>
        <w:t>amiliar, que establece mecanismos, y políticas integrales de prevención, atención y protección de las víctimas, así como reparación del daño causado; y dispone la persecución, sanción y reeducación de los agresores sentenciados con el fin de garantizar a las mujeres y al grupo familiar una vida libre de violencia asegurando el ejercicio pleno de sus derechos.</w:t>
      </w:r>
    </w:p>
    <w:p w:rsidR="002A208C" w:rsidRPr="00092053" w:rsidRDefault="00092053" w:rsidP="00574AEE">
      <w:pPr>
        <w:pStyle w:val="SingleTxtG"/>
        <w:rPr>
          <w:rFonts w:eastAsia="Calibri"/>
          <w:lang w:val="es-PE" w:eastAsia="en-US"/>
        </w:rPr>
      </w:pPr>
      <w:r w:rsidRPr="00574AEE">
        <w:rPr>
          <w:rFonts w:eastAsia="Calibri"/>
          <w:lang w:val="es-PE" w:eastAsia="en-US"/>
        </w:rPr>
        <w:t>35.</w:t>
      </w:r>
      <w:r w:rsidRPr="00574AEE">
        <w:rPr>
          <w:rFonts w:eastAsia="Calibri"/>
          <w:lang w:val="es-PE" w:eastAsia="en-US"/>
        </w:rPr>
        <w:tab/>
      </w:r>
      <w:r w:rsidR="00C8443F" w:rsidRPr="00092053">
        <w:rPr>
          <w:rFonts w:eastAsia="Calibri"/>
          <w:lang w:val="es-PE" w:eastAsia="en-US"/>
        </w:rPr>
        <w:t xml:space="preserve">Posteriormente, se aprobó el reglamento de la precitada ley mediante el Decreto Supremo </w:t>
      </w:r>
      <w:r w:rsidR="00CD52E7">
        <w:rPr>
          <w:rFonts w:eastAsia="Calibri"/>
          <w:lang w:val="es-ES_tradnl"/>
        </w:rPr>
        <w:t>núm.</w:t>
      </w:r>
      <w:r w:rsidR="00C8443F" w:rsidRPr="00092053">
        <w:rPr>
          <w:rFonts w:eastAsia="Calibri"/>
          <w:lang w:val="es-PE" w:eastAsia="en-US"/>
        </w:rPr>
        <w:t xml:space="preserve"> 009-2016-MIMP</w:t>
      </w:r>
      <w:r w:rsidR="00C8443F" w:rsidRPr="00092053">
        <w:rPr>
          <w:rStyle w:val="Refdenotaalfinal"/>
          <w:rFonts w:eastAsia="Calibri"/>
        </w:rPr>
        <w:footnoteReference w:id="37"/>
      </w:r>
      <w:r w:rsidR="00C8443F" w:rsidRPr="00092053">
        <w:rPr>
          <w:rFonts w:eastAsia="Calibri"/>
          <w:lang w:val="es-PE" w:eastAsia="en-US"/>
        </w:rPr>
        <w:t>, que desarrolla el nuevo esquema procesal para la protección y sanción de hechos de violencia contra las mujeres y los integrantes del grupo familiar.</w:t>
      </w:r>
    </w:p>
    <w:p w:rsidR="002A208C" w:rsidRPr="00092053" w:rsidRDefault="00092053" w:rsidP="00574AEE">
      <w:pPr>
        <w:pStyle w:val="SingleTxtG"/>
        <w:rPr>
          <w:rFonts w:eastAsia="Calibri"/>
          <w:lang w:val="es-PE" w:eastAsia="en-US"/>
        </w:rPr>
      </w:pPr>
      <w:r w:rsidRPr="00574AEE">
        <w:rPr>
          <w:rFonts w:eastAsia="Calibri"/>
          <w:lang w:val="es-PE" w:eastAsia="en-US"/>
        </w:rPr>
        <w:t>36.</w:t>
      </w:r>
      <w:r w:rsidRPr="00574AEE">
        <w:rPr>
          <w:rFonts w:eastAsia="Calibri"/>
          <w:lang w:val="es-PE" w:eastAsia="en-US"/>
        </w:rPr>
        <w:tab/>
      </w:r>
      <w:r w:rsidR="00C8443F" w:rsidRPr="00092053">
        <w:rPr>
          <w:rFonts w:eastAsia="Calibri"/>
          <w:lang w:val="es-PE" w:eastAsia="en-US"/>
        </w:rPr>
        <w:t xml:space="preserve">Al respecto, se incorporó al CP el artículo 122-B, que tipifica las agresiones en contra de las mujeres o integrantes del grupo familiar. El tipo básico señala como pena no menor de uno ni mayor de tres años “al que de cualquier modo cause lesiones corporales a una mujer por su condición de tal o a integrantes del grupo familiar que requieran menos de 10 días de asistencia o descanso, o algún tipo de afectación psicológica, cognitiva o conductual en cualquier de los contextos previstos en el primer párrafo del artículo </w:t>
      </w:r>
      <w:r w:rsidR="00C8443F" w:rsidRPr="00092053">
        <w:rPr>
          <w:rFonts w:eastAsia="Calibri"/>
          <w:lang w:val="es-PE" w:eastAsia="en-US"/>
        </w:rPr>
        <w:lastRenderedPageBreak/>
        <w:t xml:space="preserve">feminicidio” considerándose, entre otras agravantes, “si la víctima es menor de edad, adulta mayor o tiene discapacidad y el </w:t>
      </w:r>
      <w:r w:rsidR="00976B47" w:rsidRPr="00092053">
        <w:rPr>
          <w:rFonts w:eastAsia="Calibri"/>
          <w:lang w:val="es-PE" w:eastAsia="en-US"/>
        </w:rPr>
        <w:t>agente aprovecha esa condición”</w:t>
      </w:r>
      <w:r w:rsidR="00C8443F" w:rsidRPr="00092053">
        <w:rPr>
          <w:rStyle w:val="Refdenotaalfinal"/>
          <w:rFonts w:eastAsia="Calibri"/>
        </w:rPr>
        <w:footnoteReference w:id="38"/>
      </w:r>
      <w:r w:rsidR="00976B47"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37.</w:t>
      </w:r>
      <w:r w:rsidRPr="00574AEE">
        <w:rPr>
          <w:rFonts w:eastAsia="Calibri"/>
          <w:lang w:val="es-PE" w:eastAsia="en-US"/>
        </w:rPr>
        <w:tab/>
      </w:r>
      <w:r w:rsidR="00C8443F" w:rsidRPr="00092053">
        <w:rPr>
          <w:rFonts w:eastAsia="Calibri"/>
          <w:lang w:val="es-PE" w:eastAsia="en-US"/>
        </w:rPr>
        <w:t>Cabe resaltar que los gobiernos regionales de Callao, Moquegua, Junín, Ica, Pasco, Huancavelica, Ayacucho y Ucayali cuentan con planes regionales contra</w:t>
      </w:r>
      <w:r w:rsidR="00976B47" w:rsidRPr="00092053">
        <w:rPr>
          <w:rFonts w:eastAsia="Calibri"/>
          <w:lang w:val="es-PE" w:eastAsia="en-US"/>
        </w:rPr>
        <w:t xml:space="preserve"> la violencia hacia las mujeres</w:t>
      </w:r>
      <w:r w:rsidR="00C8443F" w:rsidRPr="00092053">
        <w:rPr>
          <w:rStyle w:val="Refdenotaalfinal"/>
          <w:rFonts w:eastAsia="Calibri"/>
        </w:rPr>
        <w:footnoteReference w:id="39"/>
      </w:r>
      <w:r w:rsidR="00976B47"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38.</w:t>
      </w:r>
      <w:r w:rsidRPr="00574AEE">
        <w:rPr>
          <w:rFonts w:eastAsia="Calibri"/>
          <w:lang w:val="es-PE" w:eastAsia="en-US"/>
        </w:rPr>
        <w:tab/>
      </w:r>
      <w:r w:rsidR="00C8443F" w:rsidRPr="00092053">
        <w:rPr>
          <w:rFonts w:eastAsia="Calibri"/>
          <w:lang w:val="es-PE" w:eastAsia="en-US"/>
        </w:rPr>
        <w:t xml:space="preserve">Así también, mediante el Decreto Supremo </w:t>
      </w:r>
      <w:r w:rsidR="00CD52E7">
        <w:rPr>
          <w:rFonts w:eastAsia="Calibri"/>
          <w:lang w:val="es-ES_tradnl"/>
        </w:rPr>
        <w:t>núm.</w:t>
      </w:r>
      <w:r w:rsidR="00C8443F" w:rsidRPr="00092053">
        <w:rPr>
          <w:rFonts w:eastAsia="Calibri"/>
          <w:lang w:val="es-PE" w:eastAsia="en-US"/>
        </w:rPr>
        <w:t xml:space="preserve"> 008-2016-MIMP</w:t>
      </w:r>
      <w:r w:rsidR="00C8443F" w:rsidRPr="00092053">
        <w:rPr>
          <w:rStyle w:val="Refdenotaalfinal"/>
          <w:rFonts w:eastAsia="Calibri"/>
        </w:rPr>
        <w:footnoteReference w:id="40"/>
      </w:r>
      <w:r w:rsidR="00C8443F" w:rsidRPr="00092053">
        <w:rPr>
          <w:rFonts w:eastAsia="Calibri"/>
          <w:lang w:val="es-PE" w:eastAsia="en-US"/>
        </w:rPr>
        <w:t xml:space="preserve"> se aprobó el Tercer Plan Nacional contra la Violencia de Género 2016</w:t>
      </w:r>
      <w:r w:rsidR="00AB3C05">
        <w:rPr>
          <w:rFonts w:eastAsia="Calibri"/>
          <w:lang w:val="es-PE" w:eastAsia="en-US"/>
        </w:rPr>
        <w:t>-</w:t>
      </w:r>
      <w:r w:rsidR="00C8443F" w:rsidRPr="00092053">
        <w:rPr>
          <w:rFonts w:eastAsia="Calibri"/>
          <w:lang w:val="es-PE" w:eastAsia="en-US"/>
        </w:rPr>
        <w:t>2021, de aplicación en los tres niveles de gobierno y en los distintos sectores y entidades involucradas en la prevención, sanción y erradicación de la violencia de género.</w:t>
      </w:r>
    </w:p>
    <w:p w:rsidR="002A208C" w:rsidRPr="00092053" w:rsidRDefault="00092053" w:rsidP="00574AEE">
      <w:pPr>
        <w:pStyle w:val="SingleTxtG"/>
        <w:rPr>
          <w:rFonts w:eastAsia="Calibri"/>
          <w:lang w:val="es-PE" w:eastAsia="en-US"/>
        </w:rPr>
      </w:pPr>
      <w:r w:rsidRPr="00574AEE">
        <w:rPr>
          <w:rFonts w:eastAsia="Calibri"/>
          <w:lang w:val="es-PE" w:eastAsia="en-US"/>
        </w:rPr>
        <w:t>39.</w:t>
      </w:r>
      <w:r w:rsidRPr="00574AEE">
        <w:rPr>
          <w:rFonts w:eastAsia="Calibri"/>
          <w:lang w:val="es-PE" w:eastAsia="en-US"/>
        </w:rPr>
        <w:tab/>
      </w:r>
      <w:r w:rsidR="00C8443F" w:rsidRPr="00092053">
        <w:rPr>
          <w:rFonts w:eastAsia="Calibri"/>
          <w:lang w:val="es-PE" w:eastAsia="en-US"/>
        </w:rPr>
        <w:t>Por otro lado, a la fecha, el Poder Judicial (PJ) no ha consignado los datos de sexo, número del documento nacional de identidad y fecha de nacimiento para el registro de su Sistema Integrado Judicial</w:t>
      </w:r>
      <w:r w:rsidR="00C8443F" w:rsidRPr="00092053">
        <w:rPr>
          <w:rStyle w:val="Refdenotaalfinal"/>
          <w:rFonts w:eastAsia="Calibri"/>
        </w:rPr>
        <w:footnoteReference w:id="41"/>
      </w:r>
      <w:r w:rsidR="00C8443F" w:rsidRPr="00092053">
        <w:rPr>
          <w:rFonts w:eastAsia="Calibri"/>
          <w:lang w:val="es-PE" w:eastAsia="en-US"/>
        </w:rPr>
        <w:t>; por lo que no se cuenta con el número de denuncias, investigaciones, enjuiciamientos, condenas y sentencias en casos de violencia de género.</w:t>
      </w:r>
    </w:p>
    <w:p w:rsidR="002A208C" w:rsidRPr="00092053" w:rsidRDefault="00092053" w:rsidP="00574AEE">
      <w:pPr>
        <w:pStyle w:val="SingleTxtG"/>
        <w:rPr>
          <w:rFonts w:eastAsia="Calibri"/>
          <w:lang w:val="es-PE" w:eastAsia="en-US"/>
        </w:rPr>
      </w:pPr>
      <w:r w:rsidRPr="00574AEE">
        <w:rPr>
          <w:rFonts w:eastAsia="Calibri"/>
          <w:lang w:val="es-PE" w:eastAsia="en-US"/>
        </w:rPr>
        <w:t>40.</w:t>
      </w:r>
      <w:r w:rsidRPr="00574AEE">
        <w:rPr>
          <w:rFonts w:eastAsia="Calibri"/>
          <w:lang w:val="es-PE" w:eastAsia="en-US"/>
        </w:rPr>
        <w:tab/>
      </w:r>
      <w:r w:rsidR="00C8443F" w:rsidRPr="00092053">
        <w:rPr>
          <w:rFonts w:eastAsia="Calibri"/>
          <w:lang w:val="es-PE" w:eastAsia="en-US"/>
        </w:rPr>
        <w:t xml:space="preserve">Mediante el Decreto Legislativo </w:t>
      </w:r>
      <w:r w:rsidR="00CD52E7">
        <w:rPr>
          <w:rFonts w:eastAsia="Calibri"/>
          <w:lang w:val="es-ES_tradnl"/>
        </w:rPr>
        <w:t>núm.</w:t>
      </w:r>
      <w:r w:rsidR="00C8443F" w:rsidRPr="00092053">
        <w:rPr>
          <w:rFonts w:eastAsia="Calibri"/>
          <w:lang w:val="es-PE" w:eastAsia="en-US"/>
        </w:rPr>
        <w:t xml:space="preserve"> 1323 se incorporó como circunstancia agravante en el tipo penal de feminicidio (art. 108-B), entre otras, que la víctima sea adulta mayor o se someta a esta a cualquier tipo de explotación humana y se introdujeron mejoras en el tipo penal lesiones graves por violencia contra las mujeres e integrantes del grupo familiar (art. 121-B)</w:t>
      </w:r>
      <w:r w:rsidR="00C8443F" w:rsidRPr="00092053">
        <w:rPr>
          <w:rStyle w:val="Refdenotaalfinal"/>
          <w:rFonts w:eastAsia="Calibri"/>
        </w:rPr>
        <w:footnoteReference w:id="42"/>
      </w:r>
      <w:r w:rsidR="00976B47" w:rsidRPr="00092053">
        <w:rPr>
          <w:rFonts w:eastAsia="Calibri"/>
          <w:lang w:val="es-PE" w:eastAsia="en-US"/>
        </w:rPr>
        <w:t>.</w:t>
      </w:r>
      <w:r w:rsidR="00C8443F" w:rsidRPr="00092053">
        <w:rPr>
          <w:rFonts w:eastAsia="Calibri"/>
          <w:lang w:val="es-PE" w:eastAsia="en-US"/>
        </w:rPr>
        <w:t xml:space="preserve"> </w:t>
      </w:r>
    </w:p>
    <w:p w:rsidR="00C8443F" w:rsidRPr="00092053" w:rsidRDefault="0042499A" w:rsidP="0042499A">
      <w:pPr>
        <w:pStyle w:val="H23G"/>
        <w:rPr>
          <w:rFonts w:eastAsia="Calibri"/>
          <w:lang w:val="es-PE" w:eastAsia="en-US"/>
        </w:rPr>
      </w:pPr>
      <w:bookmarkStart w:id="62" w:name="_Toc468627301"/>
      <w:bookmarkStart w:id="63" w:name="_Toc468642593"/>
      <w:bookmarkStart w:id="64" w:name="_Toc468721263"/>
      <w:bookmarkStart w:id="65" w:name="_Toc471137661"/>
      <w:bookmarkStart w:id="66" w:name="_Toc472097446"/>
      <w:bookmarkStart w:id="67" w:name="_Toc484774069"/>
      <w:r w:rsidRPr="00092053">
        <w:rPr>
          <w:rFonts w:eastAsia="Calibri"/>
          <w:lang w:val="es-PE" w:eastAsia="en-US"/>
        </w:rPr>
        <w:tab/>
      </w:r>
      <w:r w:rsidRPr="00092053">
        <w:rPr>
          <w:rFonts w:eastAsia="Calibri"/>
          <w:lang w:val="es-PE" w:eastAsia="en-US"/>
        </w:rPr>
        <w:tab/>
      </w:r>
      <w:r w:rsidR="00C8443F" w:rsidRPr="00092053">
        <w:rPr>
          <w:rFonts w:eastAsia="Calibri"/>
          <w:lang w:val="es-PE" w:eastAsia="en-US"/>
        </w:rPr>
        <w:t>Respuesta al párrafo 7</w:t>
      </w:r>
      <w:bookmarkEnd w:id="62"/>
      <w:bookmarkEnd w:id="63"/>
      <w:bookmarkEnd w:id="64"/>
      <w:bookmarkEnd w:id="65"/>
      <w:bookmarkEnd w:id="66"/>
      <w:bookmarkEnd w:id="67"/>
      <w:r w:rsidR="00C8443F" w:rsidRPr="00092053">
        <w:rPr>
          <w:rFonts w:eastAsia="Calibri"/>
          <w:lang w:val="es-PE" w:eastAsia="en-US"/>
        </w:rPr>
        <w:t xml:space="preserve"> </w:t>
      </w:r>
    </w:p>
    <w:p w:rsidR="002A208C" w:rsidRPr="00092053" w:rsidRDefault="00092053" w:rsidP="00574AEE">
      <w:pPr>
        <w:pStyle w:val="SingleTxtG"/>
        <w:rPr>
          <w:rFonts w:eastAsia="Calibri"/>
          <w:lang w:val="es-PE" w:eastAsia="en-US"/>
        </w:rPr>
      </w:pPr>
      <w:r w:rsidRPr="00574AEE">
        <w:rPr>
          <w:rFonts w:eastAsia="Calibri"/>
          <w:lang w:val="es-PE" w:eastAsia="en-US"/>
        </w:rPr>
        <w:t>41.</w:t>
      </w:r>
      <w:r w:rsidRPr="00574AEE">
        <w:rPr>
          <w:rFonts w:eastAsia="Calibri"/>
          <w:lang w:val="es-PE" w:eastAsia="en-US"/>
        </w:rPr>
        <w:tab/>
      </w:r>
      <w:r w:rsidR="00C8443F" w:rsidRPr="00092053">
        <w:rPr>
          <w:rFonts w:eastAsia="Calibri"/>
          <w:lang w:val="es-PE" w:eastAsia="en-US"/>
        </w:rPr>
        <w:t>Con relación con la trata de personas, el Perú cuenta con el Sistema de Registro de Estadística del Delito de Trata de Personas y Afines de la PNP (RETA), herramienta del MININTER y la PNP que permite el registro a nivel nacional de las denuncias polici</w:t>
      </w:r>
      <w:r w:rsidR="00976B47" w:rsidRPr="00092053">
        <w:rPr>
          <w:rFonts w:eastAsia="Calibri"/>
          <w:lang w:val="es-PE" w:eastAsia="en-US"/>
        </w:rPr>
        <w:t>ales por trata y delitos afines</w:t>
      </w:r>
      <w:r w:rsidR="00C8443F" w:rsidRPr="00092053">
        <w:rPr>
          <w:rStyle w:val="Refdenotaalfinal"/>
          <w:rFonts w:eastAsia="Calibri"/>
          <w:lang w:val="es-PE"/>
        </w:rPr>
        <w:footnoteReference w:id="43"/>
      </w:r>
      <w:r w:rsidR="00976B47"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42.</w:t>
      </w:r>
      <w:r w:rsidRPr="00574AEE">
        <w:rPr>
          <w:rFonts w:eastAsia="Calibri"/>
          <w:lang w:val="es-PE" w:eastAsia="en-US"/>
        </w:rPr>
        <w:tab/>
      </w:r>
      <w:r w:rsidR="00C8443F" w:rsidRPr="00092053">
        <w:rPr>
          <w:rFonts w:eastAsia="Calibri"/>
          <w:lang w:val="es-PE" w:eastAsia="en-US"/>
        </w:rPr>
        <w:t>En el per</w:t>
      </w:r>
      <w:r w:rsidR="0020561B">
        <w:rPr>
          <w:rFonts w:eastAsia="Calibri"/>
          <w:lang w:val="es-PE" w:eastAsia="en-US"/>
        </w:rPr>
        <w:t>í</w:t>
      </w:r>
      <w:r w:rsidR="00C8443F" w:rsidRPr="00092053">
        <w:rPr>
          <w:rFonts w:eastAsia="Calibri"/>
          <w:lang w:val="es-PE" w:eastAsia="en-US"/>
        </w:rPr>
        <w:t>odo enero 2013 a diciembre 2016</w:t>
      </w:r>
      <w:r w:rsidR="00C8443F" w:rsidRPr="00092053">
        <w:rPr>
          <w:rStyle w:val="Refdenotaalfinal"/>
          <w:rFonts w:eastAsia="Calibri"/>
        </w:rPr>
        <w:footnoteReference w:id="44"/>
      </w:r>
      <w:r w:rsidR="00C8443F" w:rsidRPr="00092053">
        <w:rPr>
          <w:rFonts w:eastAsia="Calibri"/>
          <w:lang w:val="es-PE" w:eastAsia="en-US"/>
        </w:rPr>
        <w:t xml:space="preserve"> el RETA registró 1</w:t>
      </w:r>
      <w:r w:rsidR="00BB3C20">
        <w:rPr>
          <w:rFonts w:eastAsia="Calibri"/>
          <w:lang w:val="es-PE" w:eastAsia="en-US"/>
        </w:rPr>
        <w:t>.</w:t>
      </w:r>
      <w:r w:rsidR="00C8443F" w:rsidRPr="00092053">
        <w:rPr>
          <w:rFonts w:eastAsia="Calibri"/>
          <w:lang w:val="es-PE" w:eastAsia="en-US"/>
        </w:rPr>
        <w:t xml:space="preserve">367 denuncias policiales por este delito y afines. </w:t>
      </w:r>
      <w:r w:rsidR="00C8443F" w:rsidRPr="00092053">
        <w:rPr>
          <w:rFonts w:eastAsia="Calibri"/>
          <w:b/>
          <w:lang w:val="es-PE" w:eastAsia="en-US"/>
        </w:rPr>
        <w:t xml:space="preserve">Ver Tabla </w:t>
      </w:r>
      <w:r w:rsidR="00FA45BC">
        <w:rPr>
          <w:rFonts w:eastAsia="Calibri"/>
          <w:b/>
          <w:lang w:val="es-PE" w:eastAsia="en-US"/>
        </w:rPr>
        <w:t>núm.</w:t>
      </w:r>
      <w:r w:rsidR="00C8443F" w:rsidRPr="00092053">
        <w:rPr>
          <w:rFonts w:eastAsia="Calibri"/>
          <w:b/>
          <w:lang w:val="es-PE" w:eastAsia="en-US"/>
        </w:rPr>
        <w:t xml:space="preserve"> 1 del Anexo </w:t>
      </w:r>
      <w:r w:rsidR="00FA45BC">
        <w:rPr>
          <w:rFonts w:eastAsia="Calibri"/>
          <w:b/>
          <w:lang w:val="es-PE" w:eastAsia="en-US"/>
        </w:rPr>
        <w:t>núm.</w:t>
      </w:r>
      <w:r w:rsidR="00C8443F" w:rsidRPr="00092053">
        <w:rPr>
          <w:rFonts w:eastAsia="Calibri"/>
          <w:b/>
          <w:lang w:val="es-PE" w:eastAsia="en-US"/>
        </w:rPr>
        <w:t xml:space="preserve"> 4</w:t>
      </w:r>
      <w:r w:rsidR="00C8443F"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43.</w:t>
      </w:r>
      <w:r w:rsidRPr="00574AEE">
        <w:rPr>
          <w:rFonts w:eastAsia="Calibri"/>
          <w:lang w:val="es-PE" w:eastAsia="en-US"/>
        </w:rPr>
        <w:tab/>
      </w:r>
      <w:r w:rsidR="00C8443F" w:rsidRPr="00092053">
        <w:rPr>
          <w:rFonts w:eastAsia="Calibri"/>
          <w:lang w:val="es-PE" w:eastAsia="en-US"/>
        </w:rPr>
        <w:t>A su vez, en el mismo per</w:t>
      </w:r>
      <w:r w:rsidR="0020561B">
        <w:rPr>
          <w:rFonts w:eastAsia="Calibri"/>
          <w:lang w:val="es-PE" w:eastAsia="en-US"/>
        </w:rPr>
        <w:t>í</w:t>
      </w:r>
      <w:r w:rsidR="00C8443F" w:rsidRPr="00092053">
        <w:rPr>
          <w:rFonts w:eastAsia="Calibri"/>
          <w:lang w:val="es-PE" w:eastAsia="en-US"/>
        </w:rPr>
        <w:t>odo</w:t>
      </w:r>
      <w:r w:rsidR="00C8443F" w:rsidRPr="00092053">
        <w:rPr>
          <w:rStyle w:val="Refdenotaalfinal"/>
          <w:rFonts w:eastAsia="Calibri"/>
        </w:rPr>
        <w:footnoteReference w:id="45"/>
      </w:r>
      <w:r w:rsidR="00C8443F" w:rsidRPr="00092053">
        <w:rPr>
          <w:rFonts w:eastAsia="Calibri"/>
          <w:lang w:val="es-PE" w:eastAsia="en-US"/>
        </w:rPr>
        <w:t xml:space="preserve"> se registró 6</w:t>
      </w:r>
      <w:r w:rsidR="00BB3C20">
        <w:rPr>
          <w:rFonts w:eastAsia="Calibri"/>
          <w:lang w:val="es-PE" w:eastAsia="en-US"/>
        </w:rPr>
        <w:t>.</w:t>
      </w:r>
      <w:r w:rsidR="00C8443F" w:rsidRPr="00092053">
        <w:rPr>
          <w:rFonts w:eastAsia="Calibri"/>
          <w:lang w:val="es-PE" w:eastAsia="en-US"/>
        </w:rPr>
        <w:t>158víctimas (5</w:t>
      </w:r>
      <w:r w:rsidR="001A6567">
        <w:rPr>
          <w:rFonts w:eastAsia="Calibri"/>
          <w:lang w:val="es-PE" w:eastAsia="en-US"/>
        </w:rPr>
        <w:t>.</w:t>
      </w:r>
      <w:r w:rsidR="00C8443F" w:rsidRPr="00092053">
        <w:rPr>
          <w:rFonts w:eastAsia="Calibri"/>
          <w:lang w:val="es-PE" w:eastAsia="en-US"/>
        </w:rPr>
        <w:t xml:space="preserve">776 mujeres y 382 varones), como se detalla en la Tabla </w:t>
      </w:r>
      <w:r w:rsidR="00CD52E7">
        <w:rPr>
          <w:rFonts w:eastAsia="Calibri"/>
          <w:lang w:val="es-ES_tradnl"/>
        </w:rPr>
        <w:t>núm.</w:t>
      </w:r>
      <w:r w:rsidR="00C8443F" w:rsidRPr="00092053">
        <w:rPr>
          <w:rFonts w:eastAsia="Calibri"/>
          <w:lang w:val="es-PE" w:eastAsia="en-US"/>
        </w:rPr>
        <w:t xml:space="preserve"> 2 del Anexo </w:t>
      </w:r>
      <w:r w:rsidR="00CD52E7">
        <w:rPr>
          <w:rFonts w:eastAsia="Calibri"/>
          <w:lang w:val="es-ES_tradnl"/>
        </w:rPr>
        <w:t>núm.</w:t>
      </w:r>
      <w:r w:rsidR="00C8443F" w:rsidRPr="00092053">
        <w:rPr>
          <w:rFonts w:eastAsia="Calibri"/>
          <w:lang w:val="es-PE" w:eastAsia="en-US"/>
        </w:rPr>
        <w:t xml:space="preserve"> 4. Además, se está tomando en consideración incluir en el RETA datos desagregados sobre la nacionalidad de la víctima. </w:t>
      </w:r>
    </w:p>
    <w:p w:rsidR="002A208C" w:rsidRPr="00092053" w:rsidRDefault="00092053" w:rsidP="00574AEE">
      <w:pPr>
        <w:pStyle w:val="SingleTxtG"/>
        <w:rPr>
          <w:rFonts w:eastAsia="Calibri"/>
          <w:b/>
          <w:lang w:val="es-PE" w:eastAsia="en-US"/>
        </w:rPr>
      </w:pPr>
      <w:r w:rsidRPr="00574AEE">
        <w:rPr>
          <w:rFonts w:eastAsia="Calibri"/>
          <w:lang w:val="es-PE" w:eastAsia="en-US"/>
        </w:rPr>
        <w:t>44.</w:t>
      </w:r>
      <w:r w:rsidRPr="00574AEE">
        <w:rPr>
          <w:rFonts w:eastAsia="Calibri"/>
          <w:lang w:val="es-PE" w:eastAsia="en-US"/>
        </w:rPr>
        <w:tab/>
      </w:r>
      <w:r w:rsidR="00C8443F" w:rsidRPr="00092053">
        <w:rPr>
          <w:rFonts w:eastAsia="Calibri"/>
          <w:lang w:val="es-PE" w:eastAsia="en-US"/>
        </w:rPr>
        <w:t>En cumplimiento de las directivas emitidas por el MP se instó a los fiscales penales a facilitar la participación de defensores públicos de víctimas, además de la ejecución de megaoperativos</w:t>
      </w:r>
      <w:r w:rsidR="00C8443F" w:rsidRPr="00092053">
        <w:rPr>
          <w:rStyle w:val="Refdenotaalfinal"/>
          <w:rFonts w:eastAsia="Calibri"/>
          <w:lang w:eastAsia="en-US"/>
        </w:rPr>
        <w:footnoteReference w:id="46"/>
      </w:r>
      <w:r w:rsidR="00C8443F" w:rsidRPr="00092053">
        <w:rPr>
          <w:rFonts w:eastAsia="Calibri"/>
          <w:lang w:val="es-PE" w:eastAsia="en-US"/>
        </w:rPr>
        <w:t xml:space="preserve"> a nivel nacional. Por ello, el patrocinio de las víctimas aumentó de 278 en el 2014 a 496 en el 2015 y a 682 hasta octubre de 2016</w:t>
      </w:r>
      <w:r w:rsidR="00C8443F" w:rsidRPr="00092053">
        <w:rPr>
          <w:rStyle w:val="Refdenotaalfinal"/>
          <w:rFonts w:eastAsia="Calibri"/>
          <w:lang w:eastAsia="en-US"/>
        </w:rPr>
        <w:footnoteReference w:id="47"/>
      </w:r>
      <w:r w:rsidR="00C8443F" w:rsidRPr="00092053">
        <w:rPr>
          <w:rFonts w:eastAsia="Calibri"/>
          <w:lang w:val="es-PE" w:eastAsia="en-US"/>
        </w:rPr>
        <w:t xml:space="preserve">. </w:t>
      </w:r>
      <w:r w:rsidR="00C8443F" w:rsidRPr="00092053">
        <w:rPr>
          <w:rFonts w:eastAsia="Calibri"/>
          <w:b/>
          <w:lang w:val="es-PE" w:eastAsia="en-US"/>
        </w:rPr>
        <w:t xml:space="preserve">Ver Tabla </w:t>
      </w:r>
      <w:r w:rsidR="00FA45BC">
        <w:rPr>
          <w:rFonts w:eastAsia="Calibri"/>
          <w:b/>
          <w:lang w:val="es-PE" w:eastAsia="en-US"/>
        </w:rPr>
        <w:t>núm.</w:t>
      </w:r>
      <w:r w:rsidR="00C8443F" w:rsidRPr="00092053">
        <w:rPr>
          <w:rFonts w:eastAsia="Calibri"/>
          <w:b/>
          <w:lang w:val="es-PE" w:eastAsia="en-US"/>
        </w:rPr>
        <w:t xml:space="preserve"> 3 del Anexo </w:t>
      </w:r>
      <w:r w:rsidR="00FA45BC">
        <w:rPr>
          <w:rFonts w:eastAsia="Calibri"/>
          <w:b/>
          <w:lang w:val="es-PE" w:eastAsia="en-US"/>
        </w:rPr>
        <w:t xml:space="preserve">núm. </w:t>
      </w:r>
      <w:r w:rsidR="00C8443F" w:rsidRPr="00092053">
        <w:rPr>
          <w:rFonts w:eastAsia="Calibri"/>
          <w:b/>
          <w:lang w:val="es-PE" w:eastAsia="en-US"/>
        </w:rPr>
        <w:t>4.</w:t>
      </w:r>
    </w:p>
    <w:p w:rsidR="002A208C" w:rsidRPr="00092053" w:rsidRDefault="00092053" w:rsidP="00574AEE">
      <w:pPr>
        <w:pStyle w:val="SingleTxtG"/>
        <w:rPr>
          <w:rFonts w:eastAsia="Calibri"/>
          <w:lang w:val="es-PE" w:eastAsia="en-US"/>
        </w:rPr>
      </w:pPr>
      <w:r w:rsidRPr="00574AEE">
        <w:rPr>
          <w:rFonts w:eastAsia="Calibri"/>
          <w:lang w:val="es-PE" w:eastAsia="en-US"/>
        </w:rPr>
        <w:t>45.</w:t>
      </w:r>
      <w:r w:rsidRPr="00574AEE">
        <w:rPr>
          <w:rFonts w:eastAsia="Calibri"/>
          <w:lang w:val="es-PE" w:eastAsia="en-US"/>
        </w:rPr>
        <w:tab/>
      </w:r>
      <w:r w:rsidR="00C8443F" w:rsidRPr="00092053">
        <w:rPr>
          <w:rFonts w:eastAsia="Calibri"/>
          <w:lang w:val="es-PE" w:eastAsia="en-US"/>
        </w:rPr>
        <w:t xml:space="preserve">Además, a través del proyecto INTERTRATA se ha iniciado la primera fase del proceso de interoperabilidad para el intercambio de información sobre trata de personas entre el MININTER, PNP y MP, en base al RETA y al Sistema de información estratégica </w:t>
      </w:r>
      <w:r w:rsidR="00C8443F" w:rsidRPr="00092053">
        <w:rPr>
          <w:rFonts w:eastAsia="Calibri"/>
          <w:lang w:val="es-PE" w:eastAsia="en-US"/>
        </w:rPr>
        <w:lastRenderedPageBreak/>
        <w:t>sobre trata de persona del MP (SISTRA), lo cual permite mejorar la información que s</w:t>
      </w:r>
      <w:r w:rsidR="00976B47" w:rsidRPr="00092053">
        <w:rPr>
          <w:rFonts w:eastAsia="Calibri"/>
          <w:lang w:val="es-PE" w:eastAsia="en-US"/>
        </w:rPr>
        <w:t>e proporciona sobre este delito</w:t>
      </w:r>
      <w:r w:rsidR="00C8443F" w:rsidRPr="00092053">
        <w:rPr>
          <w:rStyle w:val="Refdenotaalfinal"/>
          <w:rFonts w:eastAsia="Calibri"/>
          <w:lang w:val="es-PE"/>
        </w:rPr>
        <w:footnoteReference w:id="48"/>
      </w:r>
      <w:r w:rsidR="00976B47" w:rsidRPr="00092053">
        <w:rPr>
          <w:rFonts w:eastAsia="Calibri"/>
          <w:lang w:val="es-PE" w:eastAsia="en-US"/>
        </w:rPr>
        <w:t>.</w:t>
      </w:r>
    </w:p>
    <w:p w:rsidR="002A208C" w:rsidRPr="00092053" w:rsidRDefault="00092053" w:rsidP="00574AEE">
      <w:pPr>
        <w:pStyle w:val="SingleTxtG"/>
        <w:rPr>
          <w:rFonts w:eastAsia="Calibri"/>
          <w:b/>
          <w:lang w:val="es-PE" w:eastAsia="en-US"/>
        </w:rPr>
      </w:pPr>
      <w:r w:rsidRPr="00574AEE">
        <w:rPr>
          <w:rFonts w:eastAsia="Calibri"/>
          <w:lang w:val="es-PE" w:eastAsia="en-US"/>
        </w:rPr>
        <w:t>46.</w:t>
      </w:r>
      <w:r w:rsidRPr="00574AEE">
        <w:rPr>
          <w:rFonts w:eastAsia="Calibri"/>
          <w:lang w:val="es-PE" w:eastAsia="en-US"/>
        </w:rPr>
        <w:tab/>
      </w:r>
      <w:r w:rsidR="00C8443F" w:rsidRPr="00092053">
        <w:rPr>
          <w:rFonts w:eastAsia="Calibri"/>
          <w:lang w:val="es-PE" w:eastAsia="en-US"/>
        </w:rPr>
        <w:t>Por otro lado, para mejorar la eficacia de la PNP, el 2014 se creó la Dirección de Investigación de Trata de Personas y Tráfico Ilícito de Migrantes de la PNP</w:t>
      </w:r>
      <w:r w:rsidR="00C8443F" w:rsidRPr="00092053">
        <w:rPr>
          <w:rStyle w:val="Refdenotaalfinal"/>
          <w:rFonts w:eastAsia="Calibri"/>
          <w:lang w:val="es-PE"/>
        </w:rPr>
        <w:footnoteReference w:id="49"/>
      </w:r>
      <w:r w:rsidR="00C8443F" w:rsidRPr="00092053">
        <w:rPr>
          <w:rFonts w:eastAsia="Calibri"/>
          <w:lang w:val="es-PE" w:eastAsia="en-US"/>
        </w:rPr>
        <w:t>, la que ha realizado 198 operativos y ha rescatado a 1</w:t>
      </w:r>
      <w:r w:rsidR="00BB3C20">
        <w:rPr>
          <w:rFonts w:eastAsia="Calibri"/>
          <w:lang w:val="es-PE" w:eastAsia="en-US"/>
        </w:rPr>
        <w:t>.</w:t>
      </w:r>
      <w:r w:rsidR="00C8443F" w:rsidRPr="00092053">
        <w:rPr>
          <w:rFonts w:eastAsia="Calibri"/>
          <w:lang w:val="es-PE" w:eastAsia="en-US"/>
        </w:rPr>
        <w:t>348 víctimas hasta diciembre de 2016, de las cuales 284 son menores de edad, 1</w:t>
      </w:r>
      <w:r w:rsidR="00BB3C20">
        <w:rPr>
          <w:rFonts w:eastAsia="Calibri"/>
          <w:lang w:val="es-PE" w:eastAsia="en-US"/>
        </w:rPr>
        <w:t>.</w:t>
      </w:r>
      <w:r w:rsidR="00C8443F" w:rsidRPr="00092053">
        <w:rPr>
          <w:rFonts w:eastAsia="Calibri"/>
          <w:lang w:val="es-PE" w:eastAsia="en-US"/>
        </w:rPr>
        <w:t>046 son adultas y 18 son mujeres extranjeras</w:t>
      </w:r>
      <w:r w:rsidR="00C8443F" w:rsidRPr="00092053">
        <w:rPr>
          <w:rStyle w:val="Refdenotaalfinal"/>
          <w:rFonts w:eastAsia="Calibri"/>
          <w:lang w:val="es-PE"/>
        </w:rPr>
        <w:footnoteReference w:id="50"/>
      </w:r>
      <w:r w:rsidR="00C8443F" w:rsidRPr="00092053">
        <w:rPr>
          <w:rFonts w:eastAsia="Calibri"/>
          <w:lang w:val="es-PE" w:eastAsia="en-US"/>
        </w:rPr>
        <w:t xml:space="preserve">. </w:t>
      </w:r>
      <w:r w:rsidR="00C8443F" w:rsidRPr="00092053">
        <w:rPr>
          <w:rFonts w:eastAsia="Calibri"/>
          <w:b/>
          <w:lang w:val="es-PE" w:eastAsia="en-US"/>
        </w:rPr>
        <w:t xml:space="preserve">Ver Tabla </w:t>
      </w:r>
      <w:r w:rsidR="00FA45BC">
        <w:rPr>
          <w:rFonts w:eastAsia="Calibri"/>
          <w:b/>
          <w:lang w:val="es-PE" w:eastAsia="en-US"/>
        </w:rPr>
        <w:t>núm.</w:t>
      </w:r>
      <w:r w:rsidR="00C8443F" w:rsidRPr="00092053">
        <w:rPr>
          <w:rFonts w:eastAsia="Calibri"/>
          <w:b/>
          <w:lang w:val="es-PE" w:eastAsia="en-US"/>
        </w:rPr>
        <w:t xml:space="preserve"> 4 del Anexo </w:t>
      </w:r>
      <w:r w:rsidR="00FA45BC">
        <w:rPr>
          <w:rFonts w:eastAsia="Calibri"/>
          <w:b/>
          <w:lang w:val="es-PE" w:eastAsia="en-US"/>
        </w:rPr>
        <w:t>núm.</w:t>
      </w:r>
      <w:r w:rsidR="00C8443F" w:rsidRPr="00092053">
        <w:rPr>
          <w:rFonts w:eastAsia="Calibri"/>
          <w:b/>
          <w:lang w:val="es-PE" w:eastAsia="en-US"/>
        </w:rPr>
        <w:t xml:space="preserve"> 4.</w:t>
      </w:r>
    </w:p>
    <w:p w:rsidR="002A208C" w:rsidRPr="00092053" w:rsidRDefault="00092053" w:rsidP="00574AEE">
      <w:pPr>
        <w:pStyle w:val="SingleTxtG"/>
        <w:rPr>
          <w:rFonts w:eastAsia="Calibri"/>
          <w:lang w:val="es-PE" w:eastAsia="en-US"/>
        </w:rPr>
      </w:pPr>
      <w:r w:rsidRPr="00574AEE">
        <w:rPr>
          <w:rFonts w:eastAsia="Calibri"/>
          <w:lang w:val="es-PE" w:eastAsia="en-US"/>
        </w:rPr>
        <w:t>47.</w:t>
      </w:r>
      <w:r w:rsidRPr="00574AEE">
        <w:rPr>
          <w:rFonts w:eastAsia="Calibri"/>
          <w:lang w:val="es-PE" w:eastAsia="en-US"/>
        </w:rPr>
        <w:tab/>
      </w:r>
      <w:r w:rsidR="00C8443F" w:rsidRPr="00092053">
        <w:rPr>
          <w:rFonts w:eastAsia="Calibri"/>
          <w:lang w:val="es-PE" w:eastAsia="en-US"/>
        </w:rPr>
        <w:t xml:space="preserve">Al mismo tiempo se han constituido 26 Departamentos Policiales Desconcentrados de investigación de Trata de Personas y Tráfico Ilícito de Migrantes, a través de los cuales se coordinan acciones de investigación y rescate de víctimas a nivel nacional en 22 de las 24 regiones del país. Estas acciones han sido complementadas con la certificación de instructores </w:t>
      </w:r>
      <w:r w:rsidR="00976B47" w:rsidRPr="00092053">
        <w:rPr>
          <w:rFonts w:eastAsia="Calibri"/>
          <w:lang w:val="es-PE" w:eastAsia="en-US"/>
        </w:rPr>
        <w:t>policiales en trata de personas</w:t>
      </w:r>
      <w:r w:rsidR="00C8443F" w:rsidRPr="00092053">
        <w:rPr>
          <w:rStyle w:val="Refdenotaalfinal"/>
          <w:rFonts w:eastAsia="Calibri"/>
          <w:lang w:val="es-PE"/>
        </w:rPr>
        <w:footnoteReference w:id="51"/>
      </w:r>
      <w:r w:rsidR="00976B47" w:rsidRPr="00092053">
        <w:rPr>
          <w:rFonts w:eastAsia="Calibri"/>
          <w:lang w:val="es-PE" w:eastAsia="en-US"/>
        </w:rPr>
        <w:t>.</w:t>
      </w:r>
      <w:r w:rsidR="00C8443F" w:rsidRPr="00092053">
        <w:rPr>
          <w:rFonts w:eastAsia="Calibri"/>
          <w:lang w:val="es-PE" w:eastAsia="en-US"/>
        </w:rPr>
        <w:t xml:space="preserve"> </w:t>
      </w:r>
    </w:p>
    <w:p w:rsidR="002A208C" w:rsidRPr="00092053" w:rsidRDefault="00092053" w:rsidP="00574AEE">
      <w:pPr>
        <w:pStyle w:val="SingleTxtG"/>
        <w:rPr>
          <w:rFonts w:eastAsia="Calibri"/>
          <w:lang w:val="es-PE" w:eastAsia="en-US"/>
        </w:rPr>
      </w:pPr>
      <w:r w:rsidRPr="00574AEE">
        <w:rPr>
          <w:rFonts w:eastAsia="Calibri"/>
          <w:lang w:val="es-PE" w:eastAsia="en-US"/>
        </w:rPr>
        <w:t>48.</w:t>
      </w:r>
      <w:r w:rsidRPr="00574AEE">
        <w:rPr>
          <w:rFonts w:eastAsia="Calibri"/>
          <w:lang w:val="es-PE" w:eastAsia="en-US"/>
        </w:rPr>
        <w:tab/>
      </w:r>
      <w:r w:rsidR="00C8443F" w:rsidRPr="00092053">
        <w:rPr>
          <w:rFonts w:eastAsia="Calibri"/>
          <w:lang w:val="es-PE" w:eastAsia="en-US"/>
        </w:rPr>
        <w:t>Asimismo, desde el 2012 el MININTER</w:t>
      </w:r>
      <w:r w:rsidR="00C8443F" w:rsidRPr="00092053">
        <w:rPr>
          <w:rStyle w:val="Refdenotaalfinal"/>
          <w:rFonts w:eastAsia="Calibri"/>
          <w:lang w:val="es-PE"/>
        </w:rPr>
        <w:footnoteReference w:id="52"/>
      </w:r>
      <w:r w:rsidR="00C8443F" w:rsidRPr="00092053">
        <w:rPr>
          <w:rFonts w:eastAsia="Calibri"/>
          <w:lang w:val="es-PE" w:eastAsia="en-US"/>
        </w:rPr>
        <w:t xml:space="preserve"> ha logrado informar a 10</w:t>
      </w:r>
      <w:r w:rsidR="00FC3EDA">
        <w:rPr>
          <w:rFonts w:eastAsia="Calibri"/>
          <w:lang w:val="es-PE" w:eastAsia="en-US"/>
        </w:rPr>
        <w:t>.</w:t>
      </w:r>
      <w:r w:rsidR="00C8443F" w:rsidRPr="00092053">
        <w:rPr>
          <w:rFonts w:eastAsia="Calibri"/>
          <w:lang w:val="es-PE" w:eastAsia="en-US"/>
        </w:rPr>
        <w:t>483 efectivos policiales de todo el país a través de diferentes actividades de capacitación.</w:t>
      </w:r>
    </w:p>
    <w:p w:rsidR="002A208C" w:rsidRPr="00092053" w:rsidRDefault="00092053" w:rsidP="00574AEE">
      <w:pPr>
        <w:pStyle w:val="SingleTxtG"/>
        <w:rPr>
          <w:rFonts w:eastAsia="Calibri"/>
          <w:b/>
          <w:lang w:val="es-PE" w:eastAsia="en-US"/>
        </w:rPr>
      </w:pPr>
      <w:r w:rsidRPr="00574AEE">
        <w:rPr>
          <w:rFonts w:eastAsia="Calibri"/>
          <w:lang w:val="es-PE" w:eastAsia="en-US"/>
        </w:rPr>
        <w:t>49.</w:t>
      </w:r>
      <w:r w:rsidRPr="00574AEE">
        <w:rPr>
          <w:rFonts w:eastAsia="Calibri"/>
          <w:lang w:val="es-PE" w:eastAsia="en-US"/>
        </w:rPr>
        <w:tab/>
      </w:r>
      <w:r w:rsidR="00C8443F" w:rsidRPr="00092053">
        <w:rPr>
          <w:rFonts w:eastAsia="Calibri"/>
          <w:lang w:val="es-PE" w:eastAsia="en-US"/>
        </w:rPr>
        <w:t>Por su parte, entre enero de 2013 y diciembre de 2015, el Observatorio de Criminalidad del MP registró 1</w:t>
      </w:r>
      <w:r w:rsidR="00BB3C20">
        <w:rPr>
          <w:rFonts w:eastAsia="Calibri"/>
          <w:lang w:val="es-PE" w:eastAsia="en-US"/>
        </w:rPr>
        <w:t>.</w:t>
      </w:r>
      <w:r w:rsidR="00C8443F" w:rsidRPr="00092053">
        <w:rPr>
          <w:rFonts w:eastAsia="Calibri"/>
          <w:lang w:val="es-PE" w:eastAsia="en-US"/>
        </w:rPr>
        <w:t>848 denuncias</w:t>
      </w:r>
      <w:r w:rsidR="00976B47" w:rsidRPr="00092053">
        <w:rPr>
          <w:rFonts w:eastAsia="Calibri"/>
          <w:lang w:val="es-PE" w:eastAsia="en-US"/>
        </w:rPr>
        <w:t xml:space="preserve"> en distintas regiones del Perú</w:t>
      </w:r>
      <w:r w:rsidR="00C8443F" w:rsidRPr="00092053">
        <w:rPr>
          <w:rStyle w:val="Refdenotaalfinal"/>
          <w:rFonts w:eastAsia="Calibri"/>
          <w:lang w:val="es-PE"/>
        </w:rPr>
        <w:footnoteReference w:id="53"/>
      </w:r>
      <w:r w:rsidR="00976B47" w:rsidRPr="00092053">
        <w:rPr>
          <w:rFonts w:eastAsia="Calibri"/>
          <w:lang w:val="es-PE" w:eastAsia="en-US"/>
        </w:rPr>
        <w:t>.</w:t>
      </w:r>
      <w:r w:rsidR="00C8443F" w:rsidRPr="00092053">
        <w:rPr>
          <w:rFonts w:eastAsia="Calibri"/>
          <w:lang w:val="es-PE" w:eastAsia="en-US"/>
        </w:rPr>
        <w:t xml:space="preserve"> </w:t>
      </w:r>
      <w:r w:rsidR="00C8443F" w:rsidRPr="00092053">
        <w:rPr>
          <w:rFonts w:eastAsia="Calibri"/>
          <w:b/>
          <w:lang w:val="es-PE" w:eastAsia="en-US"/>
        </w:rPr>
        <w:t xml:space="preserve">Ver tabla </w:t>
      </w:r>
      <w:r w:rsidR="00FA45BC">
        <w:rPr>
          <w:rFonts w:eastAsia="Calibri"/>
          <w:b/>
          <w:lang w:val="es-PE" w:eastAsia="en-US"/>
        </w:rPr>
        <w:t>núm.</w:t>
      </w:r>
      <w:r w:rsidR="00C8443F" w:rsidRPr="00092053">
        <w:rPr>
          <w:rFonts w:eastAsia="Calibri"/>
          <w:b/>
          <w:lang w:val="es-PE" w:eastAsia="en-US"/>
        </w:rPr>
        <w:t xml:space="preserve"> 5 del Anexo </w:t>
      </w:r>
      <w:r w:rsidR="00FA45BC">
        <w:rPr>
          <w:rFonts w:eastAsia="Calibri"/>
          <w:b/>
          <w:lang w:val="es-PE" w:eastAsia="en-US"/>
        </w:rPr>
        <w:t>núm.</w:t>
      </w:r>
      <w:r w:rsidR="00C8443F" w:rsidRPr="00092053">
        <w:rPr>
          <w:rFonts w:eastAsia="Calibri"/>
          <w:b/>
          <w:lang w:val="es-PE" w:eastAsia="en-US"/>
        </w:rPr>
        <w:t xml:space="preserve"> 4.</w:t>
      </w:r>
    </w:p>
    <w:p w:rsidR="002A208C" w:rsidRPr="00092053" w:rsidRDefault="00092053" w:rsidP="00574AEE">
      <w:pPr>
        <w:pStyle w:val="SingleTxtG"/>
        <w:rPr>
          <w:rFonts w:eastAsia="Calibri"/>
          <w:lang w:val="es-PE" w:eastAsia="en-US"/>
        </w:rPr>
      </w:pPr>
      <w:r w:rsidRPr="00574AEE">
        <w:rPr>
          <w:rFonts w:eastAsia="Calibri"/>
          <w:lang w:val="es-PE" w:eastAsia="en-US"/>
        </w:rPr>
        <w:t>50.</w:t>
      </w:r>
      <w:r w:rsidRPr="00574AEE">
        <w:rPr>
          <w:rFonts w:eastAsia="Calibri"/>
          <w:lang w:val="es-PE" w:eastAsia="en-US"/>
        </w:rPr>
        <w:tab/>
      </w:r>
      <w:r w:rsidR="00C8443F" w:rsidRPr="00092053">
        <w:rPr>
          <w:rFonts w:eastAsia="Calibri"/>
          <w:lang w:val="es-PE" w:eastAsia="en-US"/>
        </w:rPr>
        <w:t>A su vez, el PJ ha reportado que, a agosto de 2016, mantiene procesos judiciales vigentes en 28 de los 33 distritos judiciales (per</w:t>
      </w:r>
      <w:r w:rsidR="0020561B">
        <w:rPr>
          <w:rFonts w:eastAsia="Calibri"/>
          <w:lang w:val="es-PE" w:eastAsia="en-US"/>
        </w:rPr>
        <w:t>í</w:t>
      </w:r>
      <w:r w:rsidR="00C8443F" w:rsidRPr="00092053">
        <w:rPr>
          <w:rFonts w:eastAsia="Calibri"/>
          <w:lang w:val="es-PE" w:eastAsia="en-US"/>
        </w:rPr>
        <w:t>odo 2015-2016): 227 en desarrollo, 27 sobreseimientos, 42 sentencias condenatorias y 11 absolutorias (en Salas de Cortes Superiores de Justicia)</w:t>
      </w:r>
      <w:r w:rsidR="00C8443F" w:rsidRPr="00092053">
        <w:rPr>
          <w:rStyle w:val="Refdenotaalfinal"/>
          <w:rFonts w:eastAsia="Calibri"/>
          <w:lang w:val="es-PE"/>
        </w:rPr>
        <w:footnoteReference w:id="54"/>
      </w:r>
      <w:r w:rsidR="00C8443F" w:rsidRPr="00092053">
        <w:rPr>
          <w:rFonts w:eastAsia="Calibri"/>
          <w:lang w:val="es-PE" w:eastAsia="en-US"/>
        </w:rPr>
        <w:t xml:space="preserve"> (</w:t>
      </w:r>
      <w:r w:rsidR="00C8443F" w:rsidRPr="00092053">
        <w:rPr>
          <w:rFonts w:eastAsia="Calibri"/>
          <w:b/>
          <w:lang w:val="es-PE" w:eastAsia="en-US"/>
        </w:rPr>
        <w:t xml:space="preserve">Tabla </w:t>
      </w:r>
      <w:r w:rsidR="00FA45BC">
        <w:rPr>
          <w:rFonts w:eastAsia="Calibri"/>
          <w:b/>
          <w:lang w:val="es-PE" w:eastAsia="en-US"/>
        </w:rPr>
        <w:t>núm.</w:t>
      </w:r>
      <w:r w:rsidR="00C8443F" w:rsidRPr="00092053">
        <w:rPr>
          <w:rFonts w:eastAsia="Calibri"/>
          <w:b/>
          <w:lang w:val="es-PE" w:eastAsia="en-US"/>
        </w:rPr>
        <w:t xml:space="preserve"> 6 del Anexo </w:t>
      </w:r>
      <w:r w:rsidR="00FA45BC">
        <w:rPr>
          <w:rFonts w:eastAsia="Calibri"/>
          <w:b/>
          <w:lang w:val="es-PE" w:eastAsia="en-US"/>
        </w:rPr>
        <w:t>núm.</w:t>
      </w:r>
      <w:r w:rsidR="00C8443F" w:rsidRPr="00092053">
        <w:rPr>
          <w:rFonts w:eastAsia="Calibri"/>
          <w:b/>
          <w:lang w:val="es-PE" w:eastAsia="en-US"/>
        </w:rPr>
        <w:t xml:space="preserve"> 4</w:t>
      </w:r>
      <w:r w:rsidR="00C8443F" w:rsidRPr="00092053">
        <w:rPr>
          <w:rFonts w:eastAsia="Calibri"/>
          <w:lang w:val="es-PE" w:eastAsia="en-US"/>
        </w:rPr>
        <w:t>). Esta información no comprende los procesos elevados a la Corte Suprema de Justicia de la República.</w:t>
      </w:r>
    </w:p>
    <w:p w:rsidR="002A208C" w:rsidRPr="00092053" w:rsidRDefault="00092053" w:rsidP="00574AEE">
      <w:pPr>
        <w:pStyle w:val="SingleTxtG"/>
        <w:rPr>
          <w:rFonts w:eastAsia="Calibri"/>
          <w:lang w:val="es-PE" w:eastAsia="en-US"/>
        </w:rPr>
      </w:pPr>
      <w:r w:rsidRPr="00574AEE">
        <w:rPr>
          <w:rFonts w:eastAsia="Calibri"/>
          <w:lang w:val="es-PE" w:eastAsia="en-US"/>
        </w:rPr>
        <w:t>51.</w:t>
      </w:r>
      <w:r w:rsidRPr="00574AEE">
        <w:rPr>
          <w:rFonts w:eastAsia="Calibri"/>
          <w:lang w:val="es-PE" w:eastAsia="en-US"/>
        </w:rPr>
        <w:tab/>
      </w:r>
      <w:r w:rsidR="00C8443F" w:rsidRPr="00092053">
        <w:rPr>
          <w:rFonts w:eastAsia="Calibri"/>
          <w:lang w:val="es-PE" w:eastAsia="en-US"/>
        </w:rPr>
        <w:t>El Registro Nacional de Detenidos y Sentenciados a Pena Privativa de Libertad Efectiva (RENADESPPLE) informó que el número total de detenciones por el delito de trata, en el per</w:t>
      </w:r>
      <w:r w:rsidR="0020561B">
        <w:rPr>
          <w:rFonts w:eastAsia="Calibri"/>
          <w:lang w:val="es-PE" w:eastAsia="en-US"/>
        </w:rPr>
        <w:t>í</w:t>
      </w:r>
      <w:r w:rsidR="00C8443F" w:rsidRPr="00092053">
        <w:rPr>
          <w:rFonts w:eastAsia="Calibri"/>
          <w:lang w:val="es-PE" w:eastAsia="en-US"/>
        </w:rPr>
        <w:t>odo 2012</w:t>
      </w:r>
      <w:r w:rsidR="00AB3C05">
        <w:rPr>
          <w:rFonts w:eastAsia="Calibri"/>
          <w:lang w:val="es-PE" w:eastAsia="en-US"/>
        </w:rPr>
        <w:t>-</w:t>
      </w:r>
      <w:r w:rsidR="00C8443F" w:rsidRPr="00092053">
        <w:rPr>
          <w:rFonts w:eastAsia="Calibri"/>
          <w:lang w:val="es-PE" w:eastAsia="en-US"/>
        </w:rPr>
        <w:t>2016 a nivel nacional fue de 1</w:t>
      </w:r>
      <w:r w:rsidR="008422FC">
        <w:rPr>
          <w:rFonts w:eastAsia="Calibri"/>
          <w:lang w:val="es-PE" w:eastAsia="en-US"/>
        </w:rPr>
        <w:t>.</w:t>
      </w:r>
      <w:r w:rsidR="00C8443F" w:rsidRPr="00092053">
        <w:rPr>
          <w:rFonts w:eastAsia="Calibri"/>
          <w:lang w:val="es-PE" w:eastAsia="en-US"/>
        </w:rPr>
        <w:t>483 (1</w:t>
      </w:r>
      <w:r w:rsidR="008422FC">
        <w:rPr>
          <w:rFonts w:eastAsia="Calibri"/>
          <w:lang w:val="es-PE" w:eastAsia="en-US"/>
        </w:rPr>
        <w:t>.</w:t>
      </w:r>
      <w:r w:rsidR="00C8443F" w:rsidRPr="00092053">
        <w:rPr>
          <w:rFonts w:eastAsia="Calibri"/>
          <w:lang w:val="es-PE" w:eastAsia="en-US"/>
        </w:rPr>
        <w:t xml:space="preserve">027 varones y 456 mujeres), la mayoría de entre 18 y 32 años. </w:t>
      </w:r>
      <w:r w:rsidR="00C8443F" w:rsidRPr="00092053">
        <w:rPr>
          <w:rFonts w:eastAsia="Calibri"/>
          <w:b/>
          <w:lang w:val="es-PE" w:eastAsia="en-US"/>
        </w:rPr>
        <w:t xml:space="preserve">Ver tabla </w:t>
      </w:r>
      <w:r w:rsidR="00FA45BC">
        <w:rPr>
          <w:rFonts w:eastAsia="Calibri"/>
          <w:b/>
          <w:lang w:val="es-PE" w:eastAsia="en-US"/>
        </w:rPr>
        <w:t>núm.</w:t>
      </w:r>
      <w:r w:rsidR="00C8443F" w:rsidRPr="00092053">
        <w:rPr>
          <w:rFonts w:eastAsia="Calibri"/>
          <w:b/>
          <w:lang w:val="es-PE" w:eastAsia="en-US"/>
        </w:rPr>
        <w:t xml:space="preserve"> 7 del Anexo </w:t>
      </w:r>
      <w:r w:rsidR="00FA45BC">
        <w:rPr>
          <w:rFonts w:eastAsia="Calibri"/>
          <w:b/>
          <w:lang w:val="es-PE" w:eastAsia="en-US"/>
        </w:rPr>
        <w:t>núm.</w:t>
      </w:r>
      <w:r w:rsidR="00C8443F" w:rsidRPr="00092053">
        <w:rPr>
          <w:rFonts w:eastAsia="Calibri"/>
          <w:b/>
          <w:lang w:val="es-PE" w:eastAsia="en-US"/>
        </w:rPr>
        <w:t xml:space="preserve"> 4</w:t>
      </w:r>
      <w:r w:rsidR="00C8443F" w:rsidRPr="00092053">
        <w:rPr>
          <w:rStyle w:val="Refdenotaalfinal"/>
          <w:rFonts w:eastAsia="Calibri"/>
        </w:rPr>
        <w:footnoteReference w:id="55"/>
      </w:r>
      <w:r w:rsidR="00AF2E0E">
        <w:rPr>
          <w:rFonts w:eastAsia="Calibri"/>
          <w:b/>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52.</w:t>
      </w:r>
      <w:r w:rsidRPr="00574AEE">
        <w:rPr>
          <w:rFonts w:eastAsia="Calibri"/>
          <w:lang w:val="es-PE" w:eastAsia="en-US"/>
        </w:rPr>
        <w:tab/>
      </w:r>
      <w:r w:rsidR="00C8443F" w:rsidRPr="00092053">
        <w:rPr>
          <w:rFonts w:eastAsia="Calibri"/>
          <w:lang w:val="es-PE" w:eastAsia="en-US"/>
        </w:rPr>
        <w:t>Asimismo, señaló que a nivel nacional hay 442 imputados(as) que ingresaron a centros penitenciarios por este delito en el per</w:t>
      </w:r>
      <w:r w:rsidR="0020561B">
        <w:rPr>
          <w:rFonts w:eastAsia="Calibri"/>
          <w:lang w:val="es-PE" w:eastAsia="en-US"/>
        </w:rPr>
        <w:t>í</w:t>
      </w:r>
      <w:r w:rsidR="00C8443F" w:rsidRPr="00092053">
        <w:rPr>
          <w:rFonts w:eastAsia="Calibri"/>
          <w:lang w:val="es-PE" w:eastAsia="en-US"/>
        </w:rPr>
        <w:t xml:space="preserve">odo 2012-2016. </w:t>
      </w:r>
      <w:r w:rsidR="00C8443F" w:rsidRPr="00092053">
        <w:rPr>
          <w:rFonts w:eastAsia="Calibri"/>
          <w:b/>
          <w:lang w:val="es-PE" w:eastAsia="en-US"/>
        </w:rPr>
        <w:t xml:space="preserve">Ver tabla </w:t>
      </w:r>
      <w:r w:rsidR="00FA45BC">
        <w:rPr>
          <w:rFonts w:eastAsia="Calibri"/>
          <w:b/>
          <w:lang w:val="es-PE" w:eastAsia="en-US"/>
        </w:rPr>
        <w:t>núm.</w:t>
      </w:r>
      <w:r w:rsidR="00C8443F" w:rsidRPr="00092053">
        <w:rPr>
          <w:rFonts w:eastAsia="Calibri"/>
          <w:b/>
          <w:lang w:val="es-PE" w:eastAsia="en-US"/>
        </w:rPr>
        <w:t xml:space="preserve"> 8 del Anexo </w:t>
      </w:r>
      <w:r w:rsidR="00FA45BC">
        <w:rPr>
          <w:rFonts w:eastAsia="Calibri"/>
          <w:b/>
          <w:lang w:val="es-PE" w:eastAsia="en-US"/>
        </w:rPr>
        <w:t>núm.</w:t>
      </w:r>
      <w:r w:rsidR="00C8443F" w:rsidRPr="00092053">
        <w:rPr>
          <w:rFonts w:eastAsia="Calibri"/>
          <w:b/>
          <w:lang w:val="es-PE" w:eastAsia="en-US"/>
        </w:rPr>
        <w:t xml:space="preserve"> 4</w:t>
      </w:r>
      <w:r w:rsidR="00C8443F" w:rsidRPr="00092053">
        <w:rPr>
          <w:rStyle w:val="Refdenotaalfinal"/>
          <w:rFonts w:eastAsia="Calibri"/>
        </w:rPr>
        <w:footnoteReference w:id="56"/>
      </w:r>
      <w:r w:rsidR="00976B47" w:rsidRPr="00092053">
        <w:rPr>
          <w:rFonts w:eastAsia="Calibri"/>
          <w:b/>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53.</w:t>
      </w:r>
      <w:r w:rsidRPr="00574AEE">
        <w:rPr>
          <w:rFonts w:eastAsia="Calibri"/>
          <w:lang w:val="es-PE" w:eastAsia="en-US"/>
        </w:rPr>
        <w:tab/>
      </w:r>
      <w:r w:rsidR="00C8443F" w:rsidRPr="00092053">
        <w:rPr>
          <w:rFonts w:eastAsia="Calibri"/>
          <w:lang w:val="es-PE" w:eastAsia="en-US"/>
        </w:rPr>
        <w:t xml:space="preserve">Adicionalmente, es preciso señalar que la Ley </w:t>
      </w:r>
      <w:r w:rsidR="00CD52E7">
        <w:rPr>
          <w:rFonts w:eastAsia="Calibri"/>
          <w:lang w:val="es-ES_tradnl"/>
        </w:rPr>
        <w:t>núm.</w:t>
      </w:r>
      <w:r w:rsidR="00C8443F" w:rsidRPr="00092053">
        <w:rPr>
          <w:rFonts w:eastAsia="Calibri"/>
          <w:lang w:val="es-PE" w:eastAsia="en-US"/>
        </w:rPr>
        <w:t xml:space="preserve"> 28950, Ley contra la </w:t>
      </w:r>
      <w:r w:rsidR="0020561B">
        <w:rPr>
          <w:rFonts w:eastAsia="Calibri"/>
          <w:lang w:val="es-PE" w:eastAsia="en-US"/>
        </w:rPr>
        <w:t>T</w:t>
      </w:r>
      <w:r w:rsidR="00C8443F" w:rsidRPr="00092053">
        <w:rPr>
          <w:rFonts w:eastAsia="Calibri"/>
          <w:lang w:val="es-PE" w:eastAsia="en-US"/>
        </w:rPr>
        <w:t xml:space="preserve">rata de </w:t>
      </w:r>
      <w:r w:rsidR="0020561B">
        <w:rPr>
          <w:rFonts w:eastAsia="Calibri"/>
          <w:lang w:val="es-PE" w:eastAsia="en-US"/>
        </w:rPr>
        <w:t>P</w:t>
      </w:r>
      <w:r w:rsidR="00C8443F" w:rsidRPr="00092053">
        <w:rPr>
          <w:rFonts w:eastAsia="Calibri"/>
          <w:lang w:val="es-PE" w:eastAsia="en-US"/>
        </w:rPr>
        <w:t>ersonas</w:t>
      </w:r>
      <w:r w:rsidR="00C8443F" w:rsidRPr="00092053">
        <w:rPr>
          <w:rStyle w:val="Refdenotaalfinal"/>
          <w:rFonts w:eastAsia="Calibri"/>
        </w:rPr>
        <w:footnoteReference w:id="57"/>
      </w:r>
      <w:r w:rsidR="00C8443F" w:rsidRPr="00092053">
        <w:rPr>
          <w:rFonts w:eastAsia="Calibri"/>
          <w:lang w:val="es-PE" w:eastAsia="en-US"/>
        </w:rPr>
        <w:t xml:space="preserve">, es la ley marco para su prevención y persecución, así como para la protección e sus víctimas. Con ella, se cumplió con adecuar su legislación interna a los estándares del Protocolo de Palermo, introduciendo en el CP los tipos penales de trata de personas (artículo 153°) y de tráfico ilícito de migrantes (Art. 303°). </w:t>
      </w:r>
    </w:p>
    <w:p w:rsidR="002A208C" w:rsidRPr="00092053" w:rsidRDefault="00092053" w:rsidP="00574AEE">
      <w:pPr>
        <w:pStyle w:val="SingleTxtG"/>
        <w:rPr>
          <w:rFonts w:eastAsia="Calibri"/>
          <w:lang w:val="es-PE" w:eastAsia="en-US"/>
        </w:rPr>
      </w:pPr>
      <w:r w:rsidRPr="00574AEE">
        <w:rPr>
          <w:rFonts w:eastAsia="Calibri"/>
          <w:lang w:val="es-PE" w:eastAsia="en-US"/>
        </w:rPr>
        <w:t>54.</w:t>
      </w:r>
      <w:r w:rsidRPr="00574AEE">
        <w:rPr>
          <w:rFonts w:eastAsia="Calibri"/>
          <w:lang w:val="es-PE" w:eastAsia="en-US"/>
        </w:rPr>
        <w:tab/>
      </w:r>
      <w:r w:rsidR="00C8443F" w:rsidRPr="00092053">
        <w:rPr>
          <w:rFonts w:eastAsia="Calibri"/>
          <w:lang w:val="es-PE" w:eastAsia="en-US"/>
        </w:rPr>
        <w:t xml:space="preserve">Dicha </w:t>
      </w:r>
      <w:r w:rsidR="0020561B">
        <w:rPr>
          <w:rFonts w:eastAsia="Calibri"/>
          <w:lang w:val="es-PE" w:eastAsia="en-US"/>
        </w:rPr>
        <w:t>L</w:t>
      </w:r>
      <w:r w:rsidR="00C8443F" w:rsidRPr="00092053">
        <w:rPr>
          <w:rFonts w:eastAsia="Calibri"/>
          <w:lang w:val="es-PE" w:eastAsia="en-US"/>
        </w:rPr>
        <w:t>ey no solo establece normas sobre investigación y sanción del delito sino también sobre asistencia y protección a víctimas, testigos, colaboradores y peritos, así como sobre la prevención del delito y sus factores de riesgo.</w:t>
      </w:r>
    </w:p>
    <w:p w:rsidR="002A208C" w:rsidRPr="00092053" w:rsidRDefault="00092053" w:rsidP="00574AEE">
      <w:pPr>
        <w:pStyle w:val="SingleTxtG"/>
        <w:rPr>
          <w:rFonts w:eastAsia="Calibri"/>
          <w:lang w:val="es-PE" w:eastAsia="en-US"/>
        </w:rPr>
      </w:pPr>
      <w:r w:rsidRPr="00574AEE">
        <w:rPr>
          <w:rFonts w:eastAsia="Calibri"/>
          <w:lang w:val="es-PE" w:eastAsia="en-US"/>
        </w:rPr>
        <w:lastRenderedPageBreak/>
        <w:t>55.</w:t>
      </w:r>
      <w:r w:rsidRPr="00574AEE">
        <w:rPr>
          <w:rFonts w:eastAsia="Calibri"/>
          <w:lang w:val="es-PE" w:eastAsia="en-US"/>
        </w:rPr>
        <w:tab/>
      </w:r>
      <w:r w:rsidR="00C8443F" w:rsidRPr="00092053">
        <w:rPr>
          <w:rFonts w:eastAsia="Calibri"/>
          <w:lang w:val="es-PE" w:eastAsia="en-US"/>
        </w:rPr>
        <w:t xml:space="preserve">Además, en octubre de 2014 se promulgó la Ley </w:t>
      </w:r>
      <w:r w:rsidR="00CD52E7">
        <w:rPr>
          <w:rFonts w:eastAsia="Calibri"/>
          <w:lang w:val="es-ES_tradnl"/>
        </w:rPr>
        <w:t>núm.</w:t>
      </w:r>
      <w:r w:rsidR="00C8443F" w:rsidRPr="00092053">
        <w:rPr>
          <w:rFonts w:eastAsia="Calibri"/>
          <w:lang w:val="es-PE" w:eastAsia="en-US"/>
        </w:rPr>
        <w:t xml:space="preserve"> 30251</w:t>
      </w:r>
      <w:r w:rsidR="00C8443F" w:rsidRPr="00092053">
        <w:rPr>
          <w:rStyle w:val="Refdenotaalfinal"/>
          <w:rFonts w:eastAsia="Calibri"/>
        </w:rPr>
        <w:footnoteReference w:id="58"/>
      </w:r>
      <w:r w:rsidR="00C8443F" w:rsidRPr="00092053">
        <w:rPr>
          <w:rFonts w:eastAsia="Calibri"/>
          <w:lang w:val="es-PE" w:eastAsia="en-US"/>
        </w:rPr>
        <w:t>, Ley que perfecciona la tipificación del delito de trata de personas y el tráfico ilícito de migrantes, precisándose que la calidad de sujeto activo no recae solo en los que cumplen un rol de promoción, favorecimiento, financiamiento y facilitación sino también en los que participan de la captación, transporte, traslado, acogida, recepción y retención de las víctimas.</w:t>
      </w:r>
    </w:p>
    <w:p w:rsidR="002A208C" w:rsidRPr="00092053" w:rsidRDefault="00092053" w:rsidP="00574AEE">
      <w:pPr>
        <w:pStyle w:val="SingleTxtG"/>
        <w:rPr>
          <w:rFonts w:eastAsia="Calibri"/>
          <w:lang w:val="es-PE" w:eastAsia="en-US"/>
        </w:rPr>
      </w:pPr>
      <w:r w:rsidRPr="00574AEE">
        <w:rPr>
          <w:rFonts w:eastAsia="Calibri"/>
          <w:lang w:val="es-PE" w:eastAsia="en-US"/>
        </w:rPr>
        <w:t>56.</w:t>
      </w:r>
      <w:r w:rsidRPr="00574AEE">
        <w:rPr>
          <w:rFonts w:eastAsia="Calibri"/>
          <w:lang w:val="es-PE" w:eastAsia="en-US"/>
        </w:rPr>
        <w:tab/>
      </w:r>
      <w:r w:rsidR="00C8443F" w:rsidRPr="00092053">
        <w:rPr>
          <w:rFonts w:eastAsia="Calibri"/>
          <w:lang w:val="es-PE" w:eastAsia="en-US"/>
        </w:rPr>
        <w:t>Por otro lado, el Plan Nacional de Acción contra la Trata de Personas 2011-2016</w:t>
      </w:r>
      <w:r w:rsidR="00C8443F" w:rsidRPr="00092053">
        <w:rPr>
          <w:rStyle w:val="Refdenotaalfinal"/>
          <w:rFonts w:eastAsia="Calibri"/>
          <w:lang w:val="es-PE"/>
        </w:rPr>
        <w:footnoteReference w:id="59"/>
      </w:r>
      <w:r w:rsidR="00C8443F" w:rsidRPr="00092053">
        <w:rPr>
          <w:rFonts w:eastAsia="Calibri"/>
          <w:lang w:val="es-PE" w:eastAsia="en-US"/>
        </w:rPr>
        <w:t xml:space="preserve">, tenía como ejes estratégicos la prevención, persecución, protección y asistencia a las víctimas y es sobre su base que las instituciones del Estado y la sociedad civil combaten la trata. </w:t>
      </w:r>
    </w:p>
    <w:p w:rsidR="002A208C" w:rsidRPr="00092053" w:rsidRDefault="00092053" w:rsidP="00574AEE">
      <w:pPr>
        <w:pStyle w:val="SingleTxtG"/>
        <w:rPr>
          <w:rFonts w:eastAsia="Calibri"/>
          <w:lang w:val="es-PE" w:eastAsia="en-US"/>
        </w:rPr>
      </w:pPr>
      <w:r w:rsidRPr="00574AEE">
        <w:rPr>
          <w:rFonts w:eastAsia="Calibri"/>
          <w:lang w:val="es-PE" w:eastAsia="en-US"/>
        </w:rPr>
        <w:t>57.</w:t>
      </w:r>
      <w:r w:rsidRPr="00574AEE">
        <w:rPr>
          <w:rFonts w:eastAsia="Calibri"/>
          <w:lang w:val="es-PE" w:eastAsia="en-US"/>
        </w:rPr>
        <w:tab/>
      </w:r>
      <w:r w:rsidR="00C8443F" w:rsidRPr="00092053">
        <w:rPr>
          <w:rFonts w:eastAsia="Calibri"/>
          <w:lang w:val="es-PE" w:eastAsia="en-US"/>
        </w:rPr>
        <w:t>A su vez, en el per</w:t>
      </w:r>
      <w:r w:rsidR="0020561B">
        <w:rPr>
          <w:rFonts w:eastAsia="Calibri"/>
          <w:lang w:val="es-PE" w:eastAsia="en-US"/>
        </w:rPr>
        <w:t>í</w:t>
      </w:r>
      <w:r w:rsidR="00C8443F" w:rsidRPr="00092053">
        <w:rPr>
          <w:rFonts w:eastAsia="Calibri"/>
          <w:lang w:val="es-PE" w:eastAsia="en-US"/>
        </w:rPr>
        <w:t>odo 2015</w:t>
      </w:r>
      <w:r w:rsidR="00AB3C05">
        <w:rPr>
          <w:rFonts w:eastAsia="Calibri"/>
          <w:lang w:val="es-PE" w:eastAsia="en-US"/>
        </w:rPr>
        <w:t>-</w:t>
      </w:r>
      <w:r w:rsidR="00C8443F" w:rsidRPr="00092053">
        <w:rPr>
          <w:rFonts w:eastAsia="Calibri"/>
          <w:lang w:val="es-PE" w:eastAsia="en-US"/>
        </w:rPr>
        <w:t>2016, se llevaron a cabo 39 actividades de capacitación dirigidas, entre otros, a magistrados y auxiliares de justicia de la especialidad penal en materia de trata y tráfico ilícito de migrantes</w:t>
      </w:r>
      <w:r w:rsidR="00C8443F" w:rsidRPr="00092053">
        <w:rPr>
          <w:rStyle w:val="Refdenotaalfinal"/>
          <w:rFonts w:eastAsia="Calibri"/>
        </w:rPr>
        <w:footnoteReference w:id="60"/>
      </w:r>
      <w:r w:rsidR="00C8443F" w:rsidRPr="00092053">
        <w:rPr>
          <w:rFonts w:eastAsia="Calibri"/>
          <w:lang w:val="es-PE" w:eastAsia="en-US"/>
        </w:rPr>
        <w:t xml:space="preserve">. </w:t>
      </w:r>
      <w:r w:rsidR="00C8443F" w:rsidRPr="00092053">
        <w:rPr>
          <w:rFonts w:eastAsia="Calibri"/>
          <w:b/>
          <w:lang w:val="es-PE" w:eastAsia="en-US"/>
        </w:rPr>
        <w:t xml:space="preserve">Ver Tabla </w:t>
      </w:r>
      <w:r w:rsidR="00FA45BC">
        <w:rPr>
          <w:rFonts w:eastAsia="Calibri"/>
          <w:b/>
          <w:lang w:val="es-PE" w:eastAsia="en-US"/>
        </w:rPr>
        <w:t>núm.</w:t>
      </w:r>
      <w:r w:rsidR="00C8443F" w:rsidRPr="00092053">
        <w:rPr>
          <w:rFonts w:eastAsia="Calibri"/>
          <w:b/>
          <w:lang w:val="es-PE" w:eastAsia="en-US"/>
        </w:rPr>
        <w:t xml:space="preserve"> 9 del Anexo </w:t>
      </w:r>
      <w:r w:rsidR="00FA45BC">
        <w:rPr>
          <w:rFonts w:eastAsia="Calibri"/>
          <w:b/>
          <w:lang w:val="es-PE" w:eastAsia="en-US"/>
        </w:rPr>
        <w:t>núm.</w:t>
      </w:r>
      <w:r w:rsidR="00C8443F" w:rsidRPr="00092053">
        <w:rPr>
          <w:rFonts w:eastAsia="Calibri"/>
          <w:b/>
          <w:lang w:val="es-PE" w:eastAsia="en-US"/>
        </w:rPr>
        <w:t xml:space="preserve"> 4.</w:t>
      </w:r>
    </w:p>
    <w:p w:rsidR="002A208C" w:rsidRPr="00092053" w:rsidRDefault="00092053" w:rsidP="00574AEE">
      <w:pPr>
        <w:pStyle w:val="SingleTxtG"/>
        <w:rPr>
          <w:rFonts w:eastAsia="Calibri"/>
          <w:lang w:val="es-PE" w:eastAsia="en-US"/>
        </w:rPr>
      </w:pPr>
      <w:r w:rsidRPr="00574AEE">
        <w:rPr>
          <w:rFonts w:eastAsia="Calibri"/>
          <w:lang w:val="es-PE" w:eastAsia="en-US"/>
        </w:rPr>
        <w:t>58.</w:t>
      </w:r>
      <w:r w:rsidRPr="00574AEE">
        <w:rPr>
          <w:rFonts w:eastAsia="Calibri"/>
          <w:lang w:val="es-PE" w:eastAsia="en-US"/>
        </w:rPr>
        <w:tab/>
      </w:r>
      <w:r w:rsidR="00C8443F" w:rsidRPr="00092053">
        <w:rPr>
          <w:rFonts w:eastAsia="Calibri"/>
          <w:lang w:val="es-PE" w:eastAsia="en-US"/>
        </w:rPr>
        <w:t xml:space="preserve">Adicionalmente, se han realizado actividades para implementar dependencias que atiendan la Ley </w:t>
      </w:r>
      <w:r w:rsidR="00CD52E7">
        <w:rPr>
          <w:rFonts w:eastAsia="Calibri"/>
          <w:lang w:val="es-ES_tradnl"/>
        </w:rPr>
        <w:t>núm.</w:t>
      </w:r>
      <w:r w:rsidR="00C8443F" w:rsidRPr="00092053">
        <w:rPr>
          <w:rFonts w:eastAsia="Calibri"/>
          <w:lang w:val="es-PE" w:eastAsia="en-US"/>
        </w:rPr>
        <w:t xml:space="preserve"> 30077, al considerar dentro de los delitos de crimen organizado a la trata de personas y el tráfico ilícito de migrantes.</w:t>
      </w:r>
      <w:r w:rsidR="00C8443F" w:rsidRPr="00092053">
        <w:rPr>
          <w:rStyle w:val="Refdenotaalfinal"/>
          <w:rFonts w:eastAsia="Calibri"/>
        </w:rPr>
        <w:footnoteReference w:id="61"/>
      </w:r>
      <w:r w:rsidR="00C8443F" w:rsidRPr="00092053">
        <w:rPr>
          <w:rFonts w:eastAsia="Calibri"/>
          <w:lang w:val="es-PE" w:eastAsia="en-US"/>
        </w:rPr>
        <w:t xml:space="preserve"> </w:t>
      </w:r>
      <w:r w:rsidR="00C8443F" w:rsidRPr="00092053">
        <w:rPr>
          <w:rFonts w:eastAsia="Calibri"/>
          <w:b/>
          <w:lang w:val="es-PE" w:eastAsia="en-US"/>
        </w:rPr>
        <w:t xml:space="preserve">Ver Tabla </w:t>
      </w:r>
      <w:r w:rsidR="00FA45BC">
        <w:rPr>
          <w:rFonts w:eastAsia="Calibri"/>
          <w:b/>
          <w:lang w:val="es-PE" w:eastAsia="en-US"/>
        </w:rPr>
        <w:t>núm.</w:t>
      </w:r>
      <w:r w:rsidR="00C8443F" w:rsidRPr="00092053">
        <w:rPr>
          <w:rFonts w:eastAsia="Calibri"/>
          <w:b/>
          <w:lang w:val="es-PE" w:eastAsia="en-US"/>
        </w:rPr>
        <w:t xml:space="preserve"> 10 del Anexo </w:t>
      </w:r>
      <w:r w:rsidR="00FA45BC">
        <w:rPr>
          <w:rFonts w:eastAsia="Calibri"/>
          <w:b/>
          <w:lang w:val="es-PE" w:eastAsia="en-US"/>
        </w:rPr>
        <w:t>núm.</w:t>
      </w:r>
      <w:r w:rsidR="00C8443F" w:rsidRPr="00092053">
        <w:rPr>
          <w:rFonts w:eastAsia="Calibri"/>
          <w:b/>
          <w:lang w:val="es-PE" w:eastAsia="en-US"/>
        </w:rPr>
        <w:t xml:space="preserve"> 4.</w:t>
      </w:r>
    </w:p>
    <w:p w:rsidR="002A208C" w:rsidRPr="00092053" w:rsidRDefault="00092053" w:rsidP="00574AEE">
      <w:pPr>
        <w:pStyle w:val="SingleTxtG"/>
        <w:rPr>
          <w:rFonts w:eastAsia="Calibri"/>
          <w:lang w:val="es-PE" w:eastAsia="en-US"/>
        </w:rPr>
      </w:pPr>
      <w:r w:rsidRPr="00574AEE">
        <w:rPr>
          <w:rFonts w:eastAsia="Calibri"/>
          <w:lang w:val="es-PE" w:eastAsia="en-US"/>
        </w:rPr>
        <w:t>59.</w:t>
      </w:r>
      <w:r w:rsidRPr="00574AEE">
        <w:rPr>
          <w:rFonts w:eastAsia="Calibri"/>
          <w:lang w:val="es-PE" w:eastAsia="en-US"/>
        </w:rPr>
        <w:tab/>
      </w:r>
      <w:r w:rsidR="00C8443F" w:rsidRPr="00092053">
        <w:rPr>
          <w:rFonts w:eastAsia="Calibri"/>
          <w:lang w:val="es-PE" w:eastAsia="en-US"/>
        </w:rPr>
        <w:t xml:space="preserve">Además, a efectos de asegurar la efectiva protección de las víctimas, se aprobó el Decreto Supremo </w:t>
      </w:r>
      <w:r w:rsidR="00CD52E7">
        <w:rPr>
          <w:rFonts w:eastAsia="Calibri"/>
          <w:lang w:val="es-ES_tradnl"/>
        </w:rPr>
        <w:t>núm.</w:t>
      </w:r>
      <w:r w:rsidR="00C8443F" w:rsidRPr="00092053">
        <w:rPr>
          <w:rFonts w:eastAsia="Calibri"/>
          <w:lang w:val="es-PE" w:eastAsia="en-US"/>
        </w:rPr>
        <w:t xml:space="preserve"> 005-2016-IN</w:t>
      </w:r>
      <w:r w:rsidR="00C8443F" w:rsidRPr="00092053">
        <w:rPr>
          <w:rStyle w:val="Refdenotaalfinal"/>
          <w:rFonts w:eastAsia="Calibri"/>
          <w:lang w:val="es-PE"/>
        </w:rPr>
        <w:footnoteReference w:id="62"/>
      </w:r>
      <w:r w:rsidR="00C8443F" w:rsidRPr="00092053">
        <w:rPr>
          <w:rFonts w:eastAsia="Calibri"/>
          <w:lang w:val="es-PE" w:eastAsia="en-US"/>
        </w:rPr>
        <w:t xml:space="preserve">, “Protocolo Intersectorial para la Prevención y Persecución del Delito y la Protección, Atención y Reintegración de Víctimas de Trata de Personas”, que permite articular las acciones entre las entidades públicas en la prevención y persecución del delito, así como en la atención, protección y reintegración de las víctimas. </w:t>
      </w:r>
    </w:p>
    <w:p w:rsidR="002A208C" w:rsidRPr="00092053" w:rsidRDefault="00092053" w:rsidP="00574AEE">
      <w:pPr>
        <w:pStyle w:val="SingleTxtG"/>
        <w:rPr>
          <w:rFonts w:eastAsia="Calibri"/>
          <w:lang w:val="es-PE" w:eastAsia="en-US"/>
        </w:rPr>
      </w:pPr>
      <w:r w:rsidRPr="00574AEE">
        <w:rPr>
          <w:rFonts w:eastAsia="Calibri"/>
          <w:lang w:val="es-PE" w:eastAsia="en-US"/>
        </w:rPr>
        <w:t>60.</w:t>
      </w:r>
      <w:r w:rsidRPr="00574AEE">
        <w:rPr>
          <w:rFonts w:eastAsia="Calibri"/>
          <w:lang w:val="es-PE" w:eastAsia="en-US"/>
        </w:rPr>
        <w:tab/>
      </w:r>
      <w:r w:rsidR="00C8443F" w:rsidRPr="00092053">
        <w:rPr>
          <w:rFonts w:eastAsia="Calibri"/>
          <w:lang w:val="es-PE" w:eastAsia="en-US"/>
        </w:rPr>
        <w:t xml:space="preserve">Adicionalmente, las instituciones involucradas en la asistencia de las víctimas (MIMP, MP, MININTER) han aprobado diversos protocolos sectoriales de atención. </w:t>
      </w:r>
      <w:r w:rsidR="00C8443F" w:rsidRPr="00092053">
        <w:rPr>
          <w:rFonts w:eastAsia="Calibri"/>
          <w:b/>
          <w:lang w:val="es-PE" w:eastAsia="en-US"/>
        </w:rPr>
        <w:t xml:space="preserve">Ver Tabla </w:t>
      </w:r>
      <w:r w:rsidR="00FA45BC">
        <w:rPr>
          <w:rFonts w:eastAsia="Calibri"/>
          <w:b/>
          <w:lang w:val="es-PE" w:eastAsia="en-US"/>
        </w:rPr>
        <w:t>núm.</w:t>
      </w:r>
      <w:r w:rsidR="00FA45BC" w:rsidRPr="00092053">
        <w:rPr>
          <w:rFonts w:eastAsia="Calibri"/>
          <w:b/>
          <w:lang w:val="es-PE" w:eastAsia="en-US"/>
        </w:rPr>
        <w:t xml:space="preserve"> </w:t>
      </w:r>
      <w:r w:rsidR="00C8443F" w:rsidRPr="00092053">
        <w:rPr>
          <w:rFonts w:eastAsia="Calibri"/>
          <w:b/>
          <w:lang w:val="es-PE" w:eastAsia="en-US"/>
        </w:rPr>
        <w:t xml:space="preserve">11 del Anexo </w:t>
      </w:r>
      <w:r w:rsidR="00FA45BC">
        <w:rPr>
          <w:rFonts w:eastAsia="Calibri"/>
          <w:b/>
          <w:lang w:val="es-PE" w:eastAsia="en-US"/>
        </w:rPr>
        <w:t>núm.</w:t>
      </w:r>
      <w:r w:rsidR="00FA45BC" w:rsidRPr="00092053">
        <w:rPr>
          <w:rFonts w:eastAsia="Calibri"/>
          <w:b/>
          <w:lang w:val="es-PE" w:eastAsia="en-US"/>
        </w:rPr>
        <w:t xml:space="preserve"> </w:t>
      </w:r>
      <w:r w:rsidR="00C8443F" w:rsidRPr="00092053">
        <w:rPr>
          <w:rFonts w:eastAsia="Calibri"/>
          <w:b/>
          <w:lang w:val="es-PE" w:eastAsia="en-US"/>
        </w:rPr>
        <w:t>4.</w:t>
      </w:r>
    </w:p>
    <w:p w:rsidR="002A208C" w:rsidRPr="00092053" w:rsidRDefault="00092053" w:rsidP="00574AEE">
      <w:pPr>
        <w:pStyle w:val="SingleTxtG"/>
        <w:rPr>
          <w:rFonts w:eastAsia="Calibri"/>
          <w:lang w:val="es-PE" w:eastAsia="en-US"/>
        </w:rPr>
      </w:pPr>
      <w:r w:rsidRPr="00574AEE">
        <w:rPr>
          <w:rFonts w:eastAsia="Calibri"/>
          <w:lang w:val="es-PE" w:eastAsia="en-US"/>
        </w:rPr>
        <w:t>61.</w:t>
      </w:r>
      <w:r w:rsidRPr="00574AEE">
        <w:rPr>
          <w:rFonts w:eastAsia="Calibri"/>
          <w:lang w:val="es-PE" w:eastAsia="en-US"/>
        </w:rPr>
        <w:tab/>
      </w:r>
      <w:r w:rsidR="00C8443F" w:rsidRPr="00092053">
        <w:rPr>
          <w:rFonts w:eastAsia="Calibri"/>
          <w:lang w:val="es-PE" w:eastAsia="en-US"/>
        </w:rPr>
        <w:t xml:space="preserve">Por otro lado, el Estado peruano ha suscrito diversos acuerdos bilaterales y subregionales sobre la materia con Ecuador, Bolivia, Colombia y Brasil, a partir de los cuales ha llevado a cabo diversas actividades. </w:t>
      </w:r>
      <w:r w:rsidR="00C8443F" w:rsidRPr="00092053">
        <w:rPr>
          <w:rFonts w:eastAsia="Calibri"/>
          <w:b/>
          <w:lang w:val="es-PE" w:eastAsia="en-US"/>
        </w:rPr>
        <w:t xml:space="preserve">Ver Tabla </w:t>
      </w:r>
      <w:r w:rsidR="00FA45BC">
        <w:rPr>
          <w:rFonts w:eastAsia="Calibri"/>
          <w:b/>
          <w:lang w:val="es-PE" w:eastAsia="en-US"/>
        </w:rPr>
        <w:t>núm.</w:t>
      </w:r>
      <w:r w:rsidR="00C8443F" w:rsidRPr="00092053">
        <w:rPr>
          <w:rFonts w:eastAsia="Calibri"/>
          <w:b/>
          <w:lang w:val="es-PE" w:eastAsia="en-US"/>
        </w:rPr>
        <w:t xml:space="preserve"> 12 del Anexo </w:t>
      </w:r>
      <w:r w:rsidR="00FA45BC">
        <w:rPr>
          <w:rFonts w:eastAsia="Calibri"/>
          <w:b/>
          <w:lang w:val="es-PE" w:eastAsia="en-US"/>
        </w:rPr>
        <w:t>núm.</w:t>
      </w:r>
      <w:r w:rsidR="00C8443F" w:rsidRPr="00092053">
        <w:rPr>
          <w:rFonts w:eastAsia="Calibri"/>
          <w:b/>
          <w:lang w:val="es-PE" w:eastAsia="en-US"/>
        </w:rPr>
        <w:t xml:space="preserve"> 4</w:t>
      </w:r>
      <w:r w:rsidR="00C8443F"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62.</w:t>
      </w:r>
      <w:r w:rsidRPr="00574AEE">
        <w:rPr>
          <w:rFonts w:eastAsia="Calibri"/>
          <w:lang w:val="es-PE" w:eastAsia="en-US"/>
        </w:rPr>
        <w:tab/>
      </w:r>
      <w:r w:rsidR="00C8443F" w:rsidRPr="00092053">
        <w:rPr>
          <w:rFonts w:eastAsia="Calibri"/>
          <w:lang w:val="es-PE" w:eastAsia="en-US"/>
        </w:rPr>
        <w:t>Cabe mencionar la incorporación del tipo penal de explotación sexual (Art. 153-B) en el CP, por el cual se sanciona al que “obliga a una persona a ejercer actos de connotación sexual con la finalidad de obtener un aprovechamiento económico o de otra índole” con la pena privativa de libertad no menor de 10 ni mayor de 15 años, disponiéndose diversos agravantes, entre ellos, cuando dicho delito se d</w:t>
      </w:r>
      <w:r w:rsidR="00581583" w:rsidRPr="00092053">
        <w:rPr>
          <w:rFonts w:eastAsia="Calibri"/>
          <w:lang w:val="es-PE" w:eastAsia="en-US"/>
        </w:rPr>
        <w:t>erive de una situación de trata</w:t>
      </w:r>
      <w:r w:rsidR="00C8443F" w:rsidRPr="00092053">
        <w:rPr>
          <w:rStyle w:val="Refdenotaalfinal"/>
          <w:rFonts w:eastAsia="Calibri"/>
        </w:rPr>
        <w:footnoteReference w:id="63"/>
      </w:r>
      <w:r w:rsidR="00581583"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63.</w:t>
      </w:r>
      <w:r w:rsidRPr="00574AEE">
        <w:rPr>
          <w:rFonts w:eastAsia="Calibri"/>
          <w:lang w:val="es-PE" w:eastAsia="en-US"/>
        </w:rPr>
        <w:tab/>
      </w:r>
      <w:r w:rsidR="00C8443F" w:rsidRPr="00092053">
        <w:rPr>
          <w:rFonts w:eastAsia="Calibri"/>
          <w:lang w:val="es-PE" w:eastAsia="en-US"/>
        </w:rPr>
        <w:t>También se incorporó en dicho Código el tipo penal de esclavitud y otras formas de explotación sexual (artículo 153-C), siendo típica la conducta a través de la cual se obliga a una persona a trabajar en condiciones de esclavitud o servidumbre, o la reduce o mantiene en dichas condiciones, con excepción del delito de explotación sexual</w:t>
      </w:r>
      <w:r w:rsidR="00C8443F" w:rsidRPr="00092053">
        <w:rPr>
          <w:rStyle w:val="Refdenotaalfinal"/>
          <w:rFonts w:eastAsia="Calibri"/>
        </w:rPr>
        <w:footnoteReference w:id="64"/>
      </w:r>
      <w:r w:rsidR="00581583"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64.</w:t>
      </w:r>
      <w:r w:rsidRPr="00574AEE">
        <w:rPr>
          <w:rFonts w:eastAsia="Calibri"/>
          <w:lang w:val="es-PE" w:eastAsia="en-US"/>
        </w:rPr>
        <w:tab/>
      </w:r>
      <w:r w:rsidR="00C8443F" w:rsidRPr="00092053">
        <w:rPr>
          <w:rFonts w:eastAsia="Calibri"/>
          <w:lang w:val="es-PE" w:eastAsia="en-US"/>
        </w:rPr>
        <w:t xml:space="preserve">Recientemente, mediante Decreto Supremo </w:t>
      </w:r>
      <w:r w:rsidR="00CD52E7">
        <w:rPr>
          <w:rFonts w:eastAsia="Calibri"/>
          <w:lang w:val="es-ES_tradnl"/>
        </w:rPr>
        <w:t>núm.</w:t>
      </w:r>
      <w:r w:rsidR="00C8443F" w:rsidRPr="00092053">
        <w:rPr>
          <w:rFonts w:eastAsia="Calibri"/>
          <w:lang w:val="es-PE" w:eastAsia="en-US"/>
        </w:rPr>
        <w:t xml:space="preserve"> 017-2017-IN, se aprobó el Plan Nacional contra</w:t>
      </w:r>
      <w:r w:rsidR="00E2576D" w:rsidRPr="00092053">
        <w:rPr>
          <w:rFonts w:eastAsia="Calibri"/>
          <w:lang w:val="es-PE" w:eastAsia="en-US"/>
        </w:rPr>
        <w:t xml:space="preserve"> la Trata de Personas 2017-2021</w:t>
      </w:r>
      <w:r w:rsidR="00C8443F" w:rsidRPr="00092053">
        <w:rPr>
          <w:rStyle w:val="Refdenotaalfinal"/>
          <w:rFonts w:eastAsia="Calibri"/>
        </w:rPr>
        <w:footnoteReference w:id="65"/>
      </w:r>
      <w:r w:rsidR="00E2576D" w:rsidRPr="00092053">
        <w:rPr>
          <w:rFonts w:eastAsia="Calibri"/>
          <w:lang w:val="es-PE" w:eastAsia="en-US"/>
        </w:rPr>
        <w:t>.</w:t>
      </w:r>
    </w:p>
    <w:p w:rsidR="002A208C" w:rsidRPr="002C565A" w:rsidRDefault="0042499A" w:rsidP="00574AEE">
      <w:pPr>
        <w:pStyle w:val="H1G"/>
        <w:rPr>
          <w:rFonts w:eastAsia="Calibri"/>
          <w:lang w:val="es-PE" w:eastAsia="en-US"/>
        </w:rPr>
      </w:pPr>
      <w:bookmarkStart w:id="68" w:name="_Toc468627302"/>
      <w:bookmarkStart w:id="69" w:name="_Toc468642594"/>
      <w:bookmarkStart w:id="70" w:name="_Toc468721264"/>
      <w:bookmarkStart w:id="71" w:name="_Toc471137662"/>
      <w:bookmarkStart w:id="72" w:name="_Toc472097447"/>
      <w:bookmarkStart w:id="73" w:name="_Toc484774070"/>
      <w:r w:rsidRPr="00FA45BC">
        <w:rPr>
          <w:rFonts w:eastAsia="Calibri"/>
          <w:lang w:val="es-PE" w:eastAsia="en-US"/>
        </w:rPr>
        <w:lastRenderedPageBreak/>
        <w:tab/>
      </w:r>
      <w:r w:rsidRPr="00FA45BC">
        <w:rPr>
          <w:rFonts w:eastAsia="Calibri"/>
          <w:lang w:val="es-PE" w:eastAsia="en-US"/>
        </w:rPr>
        <w:tab/>
      </w:r>
      <w:r w:rsidR="00C8443F" w:rsidRPr="00FA45BC">
        <w:rPr>
          <w:rFonts w:eastAsia="Calibri"/>
          <w:lang w:val="es-PE" w:eastAsia="en-US"/>
        </w:rPr>
        <w:t>Artículo 3°</w:t>
      </w:r>
      <w:bookmarkEnd w:id="68"/>
      <w:bookmarkEnd w:id="69"/>
      <w:bookmarkEnd w:id="70"/>
      <w:bookmarkEnd w:id="71"/>
      <w:bookmarkEnd w:id="72"/>
      <w:bookmarkEnd w:id="73"/>
      <w:r w:rsidR="00C8443F" w:rsidRPr="00FA45BC">
        <w:rPr>
          <w:rFonts w:eastAsia="Calibri"/>
          <w:lang w:val="es-PE" w:eastAsia="en-US"/>
        </w:rPr>
        <w:t xml:space="preserve"> </w:t>
      </w:r>
    </w:p>
    <w:p w:rsidR="00C8443F" w:rsidRPr="00092053" w:rsidRDefault="0042499A" w:rsidP="0042499A">
      <w:pPr>
        <w:pStyle w:val="H23G"/>
        <w:rPr>
          <w:rFonts w:eastAsia="Calibri"/>
          <w:lang w:val="es-PE" w:eastAsia="en-US"/>
        </w:rPr>
      </w:pPr>
      <w:bookmarkStart w:id="74" w:name="_Toc468627303"/>
      <w:bookmarkStart w:id="75" w:name="_Toc468642595"/>
      <w:bookmarkStart w:id="76" w:name="_Toc468721265"/>
      <w:bookmarkStart w:id="77" w:name="_Toc471137663"/>
      <w:bookmarkStart w:id="78" w:name="_Toc472097448"/>
      <w:bookmarkStart w:id="79" w:name="_Toc484774071"/>
      <w:r w:rsidRPr="00092053">
        <w:rPr>
          <w:rFonts w:eastAsia="Calibri"/>
          <w:lang w:val="es-PE" w:eastAsia="en-US"/>
        </w:rPr>
        <w:tab/>
      </w:r>
      <w:r w:rsidRPr="00092053">
        <w:rPr>
          <w:rFonts w:eastAsia="Calibri"/>
          <w:lang w:val="es-PE" w:eastAsia="en-US"/>
        </w:rPr>
        <w:tab/>
      </w:r>
      <w:r w:rsidR="00C8443F" w:rsidRPr="00092053">
        <w:rPr>
          <w:rFonts w:eastAsia="Calibri"/>
          <w:lang w:val="es-PE" w:eastAsia="en-US"/>
        </w:rPr>
        <w:t>Respuesta al párrafo 8</w:t>
      </w:r>
      <w:bookmarkEnd w:id="74"/>
      <w:bookmarkEnd w:id="75"/>
      <w:bookmarkEnd w:id="76"/>
      <w:bookmarkEnd w:id="77"/>
      <w:bookmarkEnd w:id="78"/>
      <w:bookmarkEnd w:id="79"/>
      <w:r w:rsidR="00C8443F" w:rsidRPr="00092053">
        <w:rPr>
          <w:rFonts w:eastAsia="Calibri"/>
          <w:lang w:val="es-PE" w:eastAsia="en-US"/>
        </w:rPr>
        <w:t xml:space="preserve"> </w:t>
      </w:r>
    </w:p>
    <w:p w:rsidR="002A208C" w:rsidRPr="00092053" w:rsidRDefault="00092053" w:rsidP="00574AEE">
      <w:pPr>
        <w:pStyle w:val="SingleTxtG"/>
        <w:rPr>
          <w:rFonts w:eastAsia="Calibri"/>
          <w:lang w:val="es-PE" w:eastAsia="en-US"/>
        </w:rPr>
      </w:pPr>
      <w:r w:rsidRPr="00574AEE">
        <w:rPr>
          <w:rFonts w:eastAsia="Calibri"/>
          <w:lang w:val="es-PE" w:eastAsia="en-US"/>
        </w:rPr>
        <w:t>65.</w:t>
      </w:r>
      <w:r w:rsidRPr="00574AEE">
        <w:rPr>
          <w:rFonts w:eastAsia="Calibri"/>
          <w:lang w:val="es-PE" w:eastAsia="en-US"/>
        </w:rPr>
        <w:tab/>
      </w:r>
      <w:r w:rsidR="00C8443F" w:rsidRPr="00092053">
        <w:rPr>
          <w:rFonts w:eastAsia="Calibri"/>
          <w:lang w:val="es-PE" w:eastAsia="en-US"/>
        </w:rPr>
        <w:t xml:space="preserve">Mediante Decreto Legislativo </w:t>
      </w:r>
      <w:r w:rsidR="00CD52E7">
        <w:rPr>
          <w:rFonts w:eastAsia="Calibri"/>
          <w:lang w:val="es-ES_tradnl"/>
        </w:rPr>
        <w:t>núm.</w:t>
      </w:r>
      <w:r w:rsidR="00C8443F" w:rsidRPr="00092053">
        <w:rPr>
          <w:rFonts w:eastAsia="Calibri"/>
          <w:lang w:val="es-PE" w:eastAsia="en-US"/>
        </w:rPr>
        <w:t xml:space="preserve"> 1350, Decreto Legislativo de Migraciones</w:t>
      </w:r>
      <w:r w:rsidR="00C8443F" w:rsidRPr="00092053">
        <w:rPr>
          <w:rStyle w:val="Refdenotaalfinal"/>
          <w:rFonts w:eastAsia="Calibri"/>
        </w:rPr>
        <w:footnoteReference w:id="66"/>
      </w:r>
      <w:r w:rsidR="00C8443F" w:rsidRPr="00092053">
        <w:rPr>
          <w:rFonts w:eastAsia="Calibri"/>
          <w:lang w:val="es-PE" w:eastAsia="en-US"/>
        </w:rPr>
        <w:t xml:space="preserve"> y su reglamento</w:t>
      </w:r>
      <w:r w:rsidR="00C8443F" w:rsidRPr="00092053">
        <w:rPr>
          <w:rStyle w:val="Refdenotaalfinal"/>
          <w:rFonts w:eastAsia="Calibri"/>
        </w:rPr>
        <w:footnoteReference w:id="67"/>
      </w:r>
      <w:r w:rsidR="00C8443F" w:rsidRPr="00092053">
        <w:rPr>
          <w:rFonts w:eastAsia="Calibri"/>
          <w:lang w:val="es-PE" w:eastAsia="en-US"/>
        </w:rPr>
        <w:t>, se estableció que el Estado peruano tiene la potestad para otorgar la calidad migratoria de residencia humanitaria, entre otros, a los solicitantes de refugio y asilo. Dicha calidad migratoria permitirá realizar actividades lucrativas de manera subordinada, autónoma o por cuenta propia.</w:t>
      </w:r>
    </w:p>
    <w:p w:rsidR="002A208C" w:rsidRPr="00092053" w:rsidRDefault="00092053" w:rsidP="00574AEE">
      <w:pPr>
        <w:pStyle w:val="SingleTxtG"/>
        <w:rPr>
          <w:rFonts w:eastAsia="Calibri"/>
          <w:lang w:val="es-PE" w:eastAsia="en-US"/>
        </w:rPr>
      </w:pPr>
      <w:r w:rsidRPr="00574AEE">
        <w:rPr>
          <w:rFonts w:eastAsia="Calibri"/>
          <w:lang w:val="es-PE" w:eastAsia="en-US"/>
        </w:rPr>
        <w:t>66.</w:t>
      </w:r>
      <w:r w:rsidRPr="00574AEE">
        <w:rPr>
          <w:rFonts w:eastAsia="Calibri"/>
          <w:lang w:val="es-PE" w:eastAsia="en-US"/>
        </w:rPr>
        <w:tab/>
      </w:r>
      <w:r w:rsidR="00C8443F" w:rsidRPr="00092053">
        <w:rPr>
          <w:rFonts w:eastAsia="Calibri"/>
          <w:lang w:val="es-PE" w:eastAsia="en-US"/>
        </w:rPr>
        <w:t>En la actualidad, un solicitante de refugio tiene la protección del Estado peruano en el sentido que puede permanecer en el país y trabajar legalmente en tanto se r</w:t>
      </w:r>
      <w:r w:rsidR="00E2576D" w:rsidRPr="00092053">
        <w:rPr>
          <w:rFonts w:eastAsia="Calibri"/>
          <w:lang w:val="es-PE" w:eastAsia="en-US"/>
        </w:rPr>
        <w:t>esuelva su pedido de protección</w:t>
      </w:r>
      <w:r w:rsidR="00C8443F" w:rsidRPr="00092053">
        <w:rPr>
          <w:rStyle w:val="Refdenotaalfinal"/>
          <w:rFonts w:eastAsia="Calibri"/>
        </w:rPr>
        <w:footnoteReference w:id="68"/>
      </w:r>
      <w:r w:rsidR="00E2576D"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67.</w:t>
      </w:r>
      <w:r w:rsidRPr="00574AEE">
        <w:rPr>
          <w:rFonts w:eastAsia="Calibri"/>
          <w:lang w:val="es-PE" w:eastAsia="en-US"/>
        </w:rPr>
        <w:tab/>
      </w:r>
      <w:r w:rsidR="00C8443F" w:rsidRPr="00092053">
        <w:rPr>
          <w:rFonts w:eastAsia="Calibri"/>
          <w:lang w:val="es-PE" w:eastAsia="en-US"/>
        </w:rPr>
        <w:t xml:space="preserve">Asimismo, en el período objeto de examen ha seguido vigente la Ley </w:t>
      </w:r>
      <w:r w:rsidR="00CD52E7">
        <w:rPr>
          <w:rFonts w:eastAsia="Calibri"/>
          <w:lang w:val="es-ES_tradnl"/>
        </w:rPr>
        <w:t>núm.</w:t>
      </w:r>
      <w:r w:rsidR="00C8443F" w:rsidRPr="00092053">
        <w:rPr>
          <w:rFonts w:eastAsia="Calibri"/>
          <w:lang w:val="es-PE" w:eastAsia="en-US"/>
        </w:rPr>
        <w:t xml:space="preserve"> 27891, Ley del Refugiado, que garantiza en su artículo 5° el principio de no devolución, y su reglamento, aprobado mediante el De</w:t>
      </w:r>
      <w:r w:rsidR="00E2576D" w:rsidRPr="00092053">
        <w:rPr>
          <w:rFonts w:eastAsia="Calibri"/>
          <w:lang w:val="es-PE" w:eastAsia="en-US"/>
        </w:rPr>
        <w:t xml:space="preserve">creto Supremo </w:t>
      </w:r>
      <w:r w:rsidR="00CD52E7">
        <w:rPr>
          <w:rFonts w:eastAsia="Calibri"/>
          <w:lang w:val="es-ES_tradnl"/>
        </w:rPr>
        <w:t>núm.</w:t>
      </w:r>
      <w:r w:rsidR="00E2576D" w:rsidRPr="00092053">
        <w:rPr>
          <w:rFonts w:eastAsia="Calibri"/>
          <w:lang w:val="es-PE" w:eastAsia="en-US"/>
        </w:rPr>
        <w:t xml:space="preserve"> 119-2003-RE</w:t>
      </w:r>
      <w:r w:rsidR="00C8443F" w:rsidRPr="00092053">
        <w:rPr>
          <w:rStyle w:val="Refdenotaalfinal"/>
          <w:rFonts w:eastAsia="Calibri"/>
        </w:rPr>
        <w:footnoteReference w:id="69"/>
      </w:r>
      <w:r w:rsidR="00E2576D" w:rsidRPr="00092053">
        <w:rPr>
          <w:rFonts w:eastAsia="Calibri"/>
          <w:lang w:val="es-PE" w:eastAsia="en-US"/>
        </w:rPr>
        <w:t>.</w:t>
      </w:r>
      <w:r w:rsidR="00C8443F" w:rsidRPr="00092053">
        <w:rPr>
          <w:rFonts w:eastAsia="Calibri"/>
          <w:lang w:val="es-PE" w:eastAsia="en-US"/>
        </w:rPr>
        <w:t xml:space="preserve"> Mediante el Decreto Legislativo de Migraciones se han complementado y reforzado las disposiciones establecidas en la Ley del Refugiado.</w:t>
      </w:r>
    </w:p>
    <w:p w:rsidR="002A208C" w:rsidRPr="00092053" w:rsidRDefault="00092053" w:rsidP="00574AEE">
      <w:pPr>
        <w:pStyle w:val="SingleTxtG"/>
        <w:rPr>
          <w:rFonts w:eastAsia="Calibri"/>
          <w:lang w:val="es-PE" w:eastAsia="en-US"/>
        </w:rPr>
      </w:pPr>
      <w:r w:rsidRPr="00574AEE">
        <w:rPr>
          <w:rFonts w:eastAsia="Calibri"/>
          <w:lang w:val="es-PE" w:eastAsia="en-US"/>
        </w:rPr>
        <w:t>68.</w:t>
      </w:r>
      <w:r w:rsidRPr="00574AEE">
        <w:rPr>
          <w:rFonts w:eastAsia="Calibri"/>
          <w:lang w:val="es-PE" w:eastAsia="en-US"/>
        </w:rPr>
        <w:tab/>
      </w:r>
      <w:r w:rsidR="00C8443F" w:rsidRPr="00092053">
        <w:rPr>
          <w:rFonts w:eastAsia="Calibri"/>
          <w:lang w:val="es-PE" w:eastAsia="en-US"/>
        </w:rPr>
        <w:t>Cabe señalar que las solicitudes para el reconocimiento de la condición de refugiado pueden ser presentadas en puestos migratorios, policiales y reparticiones militares, así como ante la Comisión Especial para los Refugiados. Los solicitantes son registrados y luego entrevistados por personal de la Secretaría Ejecutiva de la citada Comisión, el expediente es estudiado y confrontado con la información brindada por el país de origen, para luego ser sometido a decisión de los miembros de la Comisión. Si la decisión es denegatoria, el interesado puede presentar un recurso de reconsideración ante la misma instancia, o de apelación ante la Comisión Revisora para Asuntos de los Refugiados, que constituye la segunda y última instancia.</w:t>
      </w:r>
    </w:p>
    <w:p w:rsidR="002A208C" w:rsidRPr="00092053" w:rsidRDefault="00092053" w:rsidP="00574AEE">
      <w:pPr>
        <w:pStyle w:val="SingleTxtG"/>
        <w:rPr>
          <w:rFonts w:eastAsia="Calibri"/>
          <w:lang w:val="es-PE" w:eastAsia="en-US"/>
        </w:rPr>
      </w:pPr>
      <w:r w:rsidRPr="00574AEE">
        <w:rPr>
          <w:rFonts w:eastAsia="Calibri"/>
          <w:lang w:val="es-PE" w:eastAsia="en-US"/>
        </w:rPr>
        <w:t>69.</w:t>
      </w:r>
      <w:r w:rsidRPr="00574AEE">
        <w:rPr>
          <w:rFonts w:eastAsia="Calibri"/>
          <w:lang w:val="es-PE" w:eastAsia="en-US"/>
        </w:rPr>
        <w:tab/>
      </w:r>
      <w:r w:rsidR="00C8443F" w:rsidRPr="00092053">
        <w:rPr>
          <w:rFonts w:eastAsia="Calibri"/>
          <w:lang w:val="es-PE" w:eastAsia="en-US"/>
        </w:rPr>
        <w:t>La cancelación de la residencia o permanencia y la expulsión se determinan mediante un procedimiento administrativo y debe constar en una resolución. Sobre dichas decisiones cabe presentar los recursos de impugnación y apelación, lo que es debidamente informado a los interesados. La expulsión es tramitada por la Superintendencia Nacional de Migraciones.</w:t>
      </w:r>
    </w:p>
    <w:p w:rsidR="002A208C" w:rsidRPr="00092053" w:rsidRDefault="00092053" w:rsidP="00574AEE">
      <w:pPr>
        <w:pStyle w:val="SingleTxtG"/>
        <w:rPr>
          <w:rFonts w:eastAsia="Calibri"/>
          <w:lang w:val="es-PE" w:eastAsia="en-US"/>
        </w:rPr>
      </w:pPr>
      <w:r w:rsidRPr="00574AEE">
        <w:rPr>
          <w:rFonts w:eastAsia="Calibri"/>
          <w:lang w:val="es-PE" w:eastAsia="en-US"/>
        </w:rPr>
        <w:t>70.</w:t>
      </w:r>
      <w:r w:rsidRPr="00574AEE">
        <w:rPr>
          <w:rFonts w:eastAsia="Calibri"/>
          <w:lang w:val="es-PE" w:eastAsia="en-US"/>
        </w:rPr>
        <w:tab/>
      </w:r>
      <w:r w:rsidR="00C8443F" w:rsidRPr="00092053">
        <w:rPr>
          <w:rFonts w:eastAsia="Calibri"/>
          <w:lang w:val="es-PE" w:eastAsia="en-US"/>
        </w:rPr>
        <w:t>La Ley del Procedimiento Administrativo General</w:t>
      </w:r>
      <w:r w:rsidR="00C8443F" w:rsidRPr="00092053">
        <w:rPr>
          <w:rStyle w:val="Refdenotaalfinal"/>
          <w:rFonts w:eastAsia="Calibri"/>
        </w:rPr>
        <w:footnoteReference w:id="70"/>
      </w:r>
      <w:r w:rsidR="00C8443F" w:rsidRPr="00092053">
        <w:rPr>
          <w:rFonts w:eastAsia="Calibri"/>
          <w:lang w:val="es-PE" w:eastAsia="en-US"/>
        </w:rPr>
        <w:t xml:space="preserve"> establece que los recursos administrativos no suspenden la ejecución del acto impugnado, salvo que se establezca lo contrario por ley. Sin embargo, la autoridad a la que compete resolver el recurso podrá suspender de oficio o a petición de parte la ejecución del acto recurrido cuando la ejecución pudiera causar perjuicio de imposible o difícil reparación o en caso de apreciarse objetivamente la existencia de un vicio de nulidad.</w:t>
      </w:r>
    </w:p>
    <w:p w:rsidR="00C8443F" w:rsidRPr="00092053" w:rsidRDefault="0042499A" w:rsidP="0042499A">
      <w:pPr>
        <w:pStyle w:val="H23G"/>
        <w:rPr>
          <w:rFonts w:eastAsia="Calibri"/>
          <w:lang w:val="es-PE" w:eastAsia="en-US"/>
        </w:rPr>
      </w:pPr>
      <w:bookmarkStart w:id="80" w:name="_Toc468627304"/>
      <w:bookmarkStart w:id="81" w:name="_Toc468642596"/>
      <w:bookmarkStart w:id="82" w:name="_Toc468721266"/>
      <w:bookmarkStart w:id="83" w:name="_Toc471137664"/>
      <w:bookmarkStart w:id="84" w:name="_Toc472097449"/>
      <w:bookmarkStart w:id="85" w:name="_Toc484774072"/>
      <w:r w:rsidRPr="00092053">
        <w:rPr>
          <w:rFonts w:eastAsia="Calibri"/>
          <w:lang w:val="es-PE" w:eastAsia="en-US"/>
        </w:rPr>
        <w:tab/>
      </w:r>
      <w:r w:rsidRPr="00092053">
        <w:rPr>
          <w:rFonts w:eastAsia="Calibri"/>
          <w:lang w:val="es-PE" w:eastAsia="en-US"/>
        </w:rPr>
        <w:tab/>
      </w:r>
      <w:r w:rsidR="00C8443F" w:rsidRPr="00092053">
        <w:rPr>
          <w:rFonts w:eastAsia="Calibri"/>
          <w:lang w:val="es-PE" w:eastAsia="en-US"/>
        </w:rPr>
        <w:t>Respuesta al párrafo 9</w:t>
      </w:r>
      <w:bookmarkEnd w:id="80"/>
      <w:bookmarkEnd w:id="81"/>
      <w:bookmarkEnd w:id="82"/>
      <w:bookmarkEnd w:id="83"/>
      <w:bookmarkEnd w:id="84"/>
      <w:bookmarkEnd w:id="85"/>
      <w:r w:rsidR="00C8443F" w:rsidRPr="00092053">
        <w:rPr>
          <w:rFonts w:eastAsia="Calibri"/>
          <w:lang w:val="es-PE" w:eastAsia="en-US"/>
        </w:rPr>
        <w:t xml:space="preserve"> </w:t>
      </w:r>
    </w:p>
    <w:p w:rsidR="002A208C" w:rsidRPr="00092053" w:rsidRDefault="00092053" w:rsidP="00574AEE">
      <w:pPr>
        <w:pStyle w:val="SingleTxtG"/>
        <w:rPr>
          <w:rFonts w:eastAsia="Calibri"/>
          <w:b/>
          <w:lang w:val="es-PE" w:eastAsia="en-US"/>
        </w:rPr>
      </w:pPr>
      <w:r w:rsidRPr="00574AEE">
        <w:rPr>
          <w:rFonts w:eastAsia="Calibri"/>
          <w:lang w:val="es-PE" w:eastAsia="en-US"/>
        </w:rPr>
        <w:t>71.</w:t>
      </w:r>
      <w:r w:rsidRPr="00574AEE">
        <w:rPr>
          <w:rFonts w:eastAsia="Calibri"/>
          <w:lang w:val="es-PE" w:eastAsia="en-US"/>
        </w:rPr>
        <w:tab/>
      </w:r>
      <w:r w:rsidR="00C8443F" w:rsidRPr="00092053">
        <w:rPr>
          <w:rFonts w:eastAsia="Calibri"/>
          <w:lang w:val="es-PE" w:eastAsia="en-US"/>
        </w:rPr>
        <w:t>Del 2011 al 2016, el Perú</w:t>
      </w:r>
      <w:r w:rsidR="00C8443F" w:rsidRPr="00092053">
        <w:rPr>
          <w:rStyle w:val="Refdenotaalfinal"/>
          <w:rFonts w:eastAsia="Calibri"/>
        </w:rPr>
        <w:footnoteReference w:id="71"/>
      </w:r>
      <w:r w:rsidR="00C8443F" w:rsidRPr="00092053">
        <w:rPr>
          <w:rFonts w:eastAsia="Calibri"/>
          <w:lang w:val="es-PE" w:eastAsia="en-US"/>
        </w:rPr>
        <w:t xml:space="preserve"> atendió 2</w:t>
      </w:r>
      <w:r w:rsidR="008422FC">
        <w:rPr>
          <w:rFonts w:eastAsia="Calibri"/>
          <w:lang w:val="es-PE" w:eastAsia="en-US"/>
        </w:rPr>
        <w:t>.</w:t>
      </w:r>
      <w:r w:rsidR="00C8443F" w:rsidRPr="00092053">
        <w:rPr>
          <w:rFonts w:eastAsia="Calibri"/>
          <w:lang w:val="es-PE" w:eastAsia="en-US"/>
        </w:rPr>
        <w:t>642 solicitudes de refugio (1</w:t>
      </w:r>
      <w:r w:rsidR="008422FC">
        <w:rPr>
          <w:rFonts w:eastAsia="Calibri"/>
          <w:lang w:val="es-PE" w:eastAsia="en-US"/>
        </w:rPr>
        <w:t>.</w:t>
      </w:r>
      <w:r w:rsidR="00C8443F" w:rsidRPr="00092053">
        <w:rPr>
          <w:rFonts w:eastAsia="Calibri"/>
          <w:lang w:val="es-PE" w:eastAsia="en-US"/>
        </w:rPr>
        <w:t>723 de varones y</w:t>
      </w:r>
      <w:r w:rsidR="008422FC">
        <w:rPr>
          <w:rFonts w:eastAsia="Calibri"/>
          <w:lang w:val="es-PE" w:eastAsia="en-US"/>
        </w:rPr>
        <w:t> </w:t>
      </w:r>
      <w:r w:rsidR="00C8443F" w:rsidRPr="00092053">
        <w:rPr>
          <w:rFonts w:eastAsia="Calibri"/>
          <w:lang w:val="es-PE" w:eastAsia="en-US"/>
        </w:rPr>
        <w:t xml:space="preserve">919 de mujeres). Se otorgó la condición de refugiado a 762 (474 mujeres y 288 varones), provenientes en su mayoría de Colombia, Cuba y Venezuela. De dicho grupo 5 personas están asociadas a casos de tortura. </w:t>
      </w:r>
      <w:r w:rsidR="00C8443F" w:rsidRPr="00092053">
        <w:rPr>
          <w:rFonts w:eastAsia="Calibri"/>
          <w:b/>
          <w:lang w:val="es-PE" w:eastAsia="en-US"/>
        </w:rPr>
        <w:t xml:space="preserve">Ver Tablas </w:t>
      </w:r>
      <w:r w:rsidR="00FA45BC">
        <w:rPr>
          <w:rFonts w:eastAsia="Calibri"/>
          <w:b/>
          <w:lang w:val="es-PE" w:eastAsia="en-US"/>
        </w:rPr>
        <w:t>núm.</w:t>
      </w:r>
      <w:r w:rsidR="00C8443F" w:rsidRPr="00092053">
        <w:rPr>
          <w:rFonts w:eastAsia="Calibri"/>
          <w:b/>
          <w:lang w:val="es-PE" w:eastAsia="en-US"/>
        </w:rPr>
        <w:t xml:space="preserve"> 1 al </w:t>
      </w:r>
      <w:r w:rsidR="00FA45BC">
        <w:rPr>
          <w:rFonts w:eastAsia="Calibri"/>
          <w:b/>
          <w:lang w:val="es-PE" w:eastAsia="en-US"/>
        </w:rPr>
        <w:t>núm.</w:t>
      </w:r>
      <w:r w:rsidR="00C8443F" w:rsidRPr="00092053">
        <w:rPr>
          <w:rFonts w:eastAsia="Calibri"/>
          <w:b/>
          <w:lang w:val="es-PE" w:eastAsia="en-US"/>
        </w:rPr>
        <w:t xml:space="preserve"> 3 del Anexo </w:t>
      </w:r>
      <w:r w:rsidR="00FA45BC">
        <w:rPr>
          <w:rFonts w:eastAsia="Calibri"/>
          <w:b/>
          <w:lang w:val="es-PE" w:eastAsia="en-US"/>
        </w:rPr>
        <w:t>núm.</w:t>
      </w:r>
      <w:r w:rsidR="00C8443F" w:rsidRPr="00092053">
        <w:rPr>
          <w:rFonts w:eastAsia="Calibri"/>
          <w:b/>
          <w:lang w:val="es-PE" w:eastAsia="en-US"/>
        </w:rPr>
        <w:t xml:space="preserve"> 5.</w:t>
      </w:r>
    </w:p>
    <w:p w:rsidR="002A208C" w:rsidRPr="00092053" w:rsidRDefault="00092053" w:rsidP="00574AEE">
      <w:pPr>
        <w:pStyle w:val="SingleTxtG"/>
        <w:rPr>
          <w:rFonts w:eastAsia="Calibri"/>
          <w:lang w:val="es-PE" w:eastAsia="en-US"/>
        </w:rPr>
      </w:pPr>
      <w:r w:rsidRPr="00574AEE">
        <w:rPr>
          <w:rFonts w:eastAsia="Calibri"/>
          <w:lang w:val="es-PE" w:eastAsia="en-US"/>
        </w:rPr>
        <w:lastRenderedPageBreak/>
        <w:t>72.</w:t>
      </w:r>
      <w:r w:rsidRPr="00574AEE">
        <w:rPr>
          <w:rFonts w:eastAsia="Calibri"/>
          <w:lang w:val="es-PE" w:eastAsia="en-US"/>
        </w:rPr>
        <w:tab/>
      </w:r>
      <w:r w:rsidR="00C8443F" w:rsidRPr="00092053">
        <w:rPr>
          <w:rFonts w:eastAsia="Calibri"/>
          <w:lang w:val="es-PE" w:eastAsia="en-US"/>
        </w:rPr>
        <w:t>Cabe señalar que el NCPP establece que no se dispondrá de la extradición pasiva</w:t>
      </w:r>
      <w:r w:rsidR="00C8443F" w:rsidRPr="00092053">
        <w:rPr>
          <w:rStyle w:val="Refdenotaalfinal"/>
          <w:rFonts w:eastAsia="Calibri"/>
        </w:rPr>
        <w:footnoteReference w:id="72"/>
      </w:r>
      <w:r w:rsidR="00C8443F" w:rsidRPr="00092053">
        <w:rPr>
          <w:rFonts w:eastAsia="Calibri"/>
          <w:lang w:val="es-PE" w:eastAsia="en-US"/>
        </w:rPr>
        <w:t>, entre otras causales, cuando: “i) la demanda de extradición motivada por una infracción de derecho común ha sido presentada con el fin de perseguir o de castigar a un individuo por consideraciones de raza, religión, nacionalidad o de opiniones políticas o que la situación del extraditado se exponga a agravarse por una u otra de estas razones; ii) existan especiales razones de soberanía nacional, seguridad u orden público u otros intereses esenciales del Perú, que tornen inconveniente el acogimiento del pedido; y iii) el delito por el que se solicita la extradición tuviere pena de muerte en el Estado requirente y éste no diere seguridades de que no será aplicable”</w:t>
      </w:r>
      <w:r w:rsidR="00AB3C05">
        <w:rPr>
          <w:rFonts w:eastAsia="Calibri"/>
          <w:lang w:val="es-PE" w:eastAsia="en-US"/>
        </w:rPr>
        <w:t>.</w:t>
      </w:r>
    </w:p>
    <w:p w:rsidR="00C8443F" w:rsidRPr="00092053" w:rsidRDefault="0042499A" w:rsidP="0042499A">
      <w:pPr>
        <w:pStyle w:val="H23G"/>
        <w:rPr>
          <w:rFonts w:eastAsia="Calibri"/>
          <w:lang w:val="es-PE" w:eastAsia="en-US"/>
        </w:rPr>
      </w:pPr>
      <w:bookmarkStart w:id="86" w:name="_Toc472097450"/>
      <w:bookmarkStart w:id="87" w:name="_Toc484774073"/>
      <w:r w:rsidRPr="00092053">
        <w:rPr>
          <w:rFonts w:eastAsia="Calibri"/>
          <w:lang w:val="es-PE" w:eastAsia="en-US"/>
        </w:rPr>
        <w:tab/>
      </w:r>
      <w:r w:rsidRPr="00092053">
        <w:rPr>
          <w:rFonts w:eastAsia="Calibri"/>
          <w:lang w:val="es-PE" w:eastAsia="en-US"/>
        </w:rPr>
        <w:tab/>
      </w:r>
      <w:r w:rsidR="00C8443F" w:rsidRPr="00092053">
        <w:rPr>
          <w:rFonts w:eastAsia="Calibri"/>
          <w:lang w:val="es-PE" w:eastAsia="en-US"/>
        </w:rPr>
        <w:t>Respuesta al párrafo 10</w:t>
      </w:r>
      <w:bookmarkEnd w:id="86"/>
      <w:bookmarkEnd w:id="87"/>
      <w:r w:rsidR="00C8443F" w:rsidRPr="00092053">
        <w:rPr>
          <w:rFonts w:eastAsia="Calibri"/>
          <w:lang w:val="es-PE" w:eastAsia="en-US"/>
        </w:rPr>
        <w:t xml:space="preserve"> </w:t>
      </w:r>
    </w:p>
    <w:p w:rsidR="002A208C" w:rsidRPr="00092053" w:rsidRDefault="00092053" w:rsidP="00574AEE">
      <w:pPr>
        <w:pStyle w:val="SingleTxtG"/>
        <w:rPr>
          <w:rFonts w:eastAsia="Calibri"/>
          <w:lang w:val="es-PE" w:eastAsia="en-US"/>
        </w:rPr>
      </w:pPr>
      <w:r w:rsidRPr="00574AEE">
        <w:rPr>
          <w:rFonts w:eastAsia="Calibri"/>
          <w:lang w:val="es-PE" w:eastAsia="en-US"/>
        </w:rPr>
        <w:t>73.</w:t>
      </w:r>
      <w:r w:rsidRPr="00574AEE">
        <w:rPr>
          <w:rFonts w:eastAsia="Calibri"/>
          <w:lang w:val="es-PE" w:eastAsia="en-US"/>
        </w:rPr>
        <w:tab/>
      </w:r>
      <w:r w:rsidR="00C8443F" w:rsidRPr="00092053">
        <w:rPr>
          <w:rFonts w:eastAsia="Calibri"/>
          <w:lang w:val="es-PE" w:eastAsia="en-US"/>
        </w:rPr>
        <w:t>Tratándose de extradición pasiva, el sistema jurídico peruano</w:t>
      </w:r>
      <w:r w:rsidR="00C8443F" w:rsidRPr="00092053">
        <w:rPr>
          <w:rStyle w:val="Refdenotaalfinal"/>
          <w:rFonts w:eastAsia="Calibri"/>
        </w:rPr>
        <w:footnoteReference w:id="73"/>
      </w:r>
      <w:r w:rsidR="00C8443F" w:rsidRPr="00092053">
        <w:rPr>
          <w:rFonts w:eastAsia="Calibri"/>
          <w:lang w:val="es-PE" w:eastAsia="en-US"/>
        </w:rPr>
        <w:t xml:space="preserve"> no acepta la presentación de una Garantía Diplomática de no aplicación de tortura. Respecto de la extradición activa, en algunas normas se exige la presentación de dicha garantía, por lo cual la autoridad judicial requirente la otorga.</w:t>
      </w:r>
    </w:p>
    <w:p w:rsidR="002A208C" w:rsidRPr="00092053" w:rsidRDefault="00092053" w:rsidP="00574AEE">
      <w:pPr>
        <w:pStyle w:val="SingleTxtG"/>
        <w:rPr>
          <w:rFonts w:eastAsia="Calibri"/>
          <w:lang w:val="es-PE" w:eastAsia="en-US"/>
        </w:rPr>
      </w:pPr>
      <w:r w:rsidRPr="00574AEE">
        <w:rPr>
          <w:rFonts w:eastAsia="Calibri"/>
          <w:lang w:val="es-PE" w:eastAsia="en-US"/>
        </w:rPr>
        <w:t>74.</w:t>
      </w:r>
      <w:r w:rsidRPr="00574AEE">
        <w:rPr>
          <w:rFonts w:eastAsia="Calibri"/>
          <w:lang w:val="es-PE" w:eastAsia="en-US"/>
        </w:rPr>
        <w:tab/>
      </w:r>
      <w:r w:rsidR="00C8443F" w:rsidRPr="00092053">
        <w:rPr>
          <w:rFonts w:eastAsia="Calibri"/>
          <w:lang w:val="es-PE" w:eastAsia="en-US"/>
        </w:rPr>
        <w:t>En el 2016 se concedieron dos tipos de extradiciones pasiva y activa, con relación a los casos Wong Ho Wing (República Popular China) y Jaime Michel Cato (Reino Unido de Gran Bretaña)</w:t>
      </w:r>
      <w:r w:rsidR="00C8443F" w:rsidRPr="00092053">
        <w:rPr>
          <w:rStyle w:val="Refdenotaalfinal"/>
          <w:rFonts w:eastAsia="Calibri"/>
        </w:rPr>
        <w:footnoteReference w:id="74"/>
      </w:r>
      <w:r w:rsidR="00C8443F" w:rsidRPr="00092053">
        <w:rPr>
          <w:rFonts w:eastAsia="Calibri"/>
          <w:lang w:val="es-PE" w:eastAsia="en-US"/>
        </w:rPr>
        <w:t xml:space="preserve">. </w:t>
      </w:r>
      <w:r w:rsidR="00C8443F" w:rsidRPr="00092053">
        <w:rPr>
          <w:rFonts w:eastAsia="Calibri"/>
          <w:b/>
          <w:lang w:val="es-PE" w:eastAsia="en-US"/>
        </w:rPr>
        <w:t xml:space="preserve">Ver Tabla </w:t>
      </w:r>
      <w:r w:rsidR="00FA45BC">
        <w:rPr>
          <w:rFonts w:eastAsia="Calibri"/>
          <w:b/>
          <w:lang w:val="es-PE" w:eastAsia="en-US"/>
        </w:rPr>
        <w:t>núm.</w:t>
      </w:r>
      <w:r w:rsidR="00C8443F" w:rsidRPr="00092053">
        <w:rPr>
          <w:rFonts w:eastAsia="Calibri"/>
          <w:b/>
          <w:lang w:val="es-PE" w:eastAsia="en-US"/>
        </w:rPr>
        <w:t xml:space="preserve"> 1 del Anexo </w:t>
      </w:r>
      <w:r w:rsidR="00FA45BC">
        <w:rPr>
          <w:rFonts w:eastAsia="Calibri"/>
          <w:b/>
          <w:lang w:val="es-PE" w:eastAsia="en-US"/>
        </w:rPr>
        <w:t>núm.</w:t>
      </w:r>
      <w:r w:rsidR="00C8443F" w:rsidRPr="00092053">
        <w:rPr>
          <w:rFonts w:eastAsia="Calibri"/>
          <w:b/>
          <w:lang w:val="es-PE" w:eastAsia="en-US"/>
        </w:rPr>
        <w:t xml:space="preserve"> 6.</w:t>
      </w:r>
    </w:p>
    <w:p w:rsidR="002A208C" w:rsidRPr="002C565A" w:rsidRDefault="0042499A" w:rsidP="00574AEE">
      <w:pPr>
        <w:pStyle w:val="H1G"/>
        <w:rPr>
          <w:rFonts w:eastAsia="Calibri"/>
          <w:lang w:val="es-PE" w:eastAsia="en-US"/>
        </w:rPr>
      </w:pPr>
      <w:bookmarkStart w:id="88" w:name="_Toc468627306"/>
      <w:bookmarkStart w:id="89" w:name="_Toc468642598"/>
      <w:bookmarkStart w:id="90" w:name="_Toc468721268"/>
      <w:bookmarkStart w:id="91" w:name="_Toc471137666"/>
      <w:bookmarkStart w:id="92" w:name="_Toc472097451"/>
      <w:bookmarkStart w:id="93" w:name="_Toc484774074"/>
      <w:r w:rsidRPr="00FA45BC">
        <w:rPr>
          <w:rFonts w:eastAsia="Calibri"/>
          <w:lang w:val="es-PE" w:eastAsia="en-US"/>
        </w:rPr>
        <w:tab/>
      </w:r>
      <w:r w:rsidRPr="00FA45BC">
        <w:rPr>
          <w:rFonts w:eastAsia="Calibri"/>
          <w:lang w:val="es-PE" w:eastAsia="en-US"/>
        </w:rPr>
        <w:tab/>
      </w:r>
      <w:r w:rsidR="00C8443F" w:rsidRPr="00FA45BC">
        <w:rPr>
          <w:rFonts w:eastAsia="Calibri"/>
          <w:lang w:val="es-PE" w:eastAsia="en-US"/>
        </w:rPr>
        <w:t>Artículo 5° a 9°</w:t>
      </w:r>
      <w:bookmarkEnd w:id="88"/>
      <w:bookmarkEnd w:id="89"/>
      <w:bookmarkEnd w:id="90"/>
      <w:bookmarkEnd w:id="91"/>
      <w:bookmarkEnd w:id="92"/>
      <w:bookmarkEnd w:id="93"/>
      <w:r w:rsidR="00C8443F" w:rsidRPr="00FA45BC">
        <w:rPr>
          <w:rFonts w:eastAsia="Calibri"/>
          <w:lang w:val="es-PE" w:eastAsia="en-US"/>
        </w:rPr>
        <w:t xml:space="preserve"> </w:t>
      </w:r>
    </w:p>
    <w:p w:rsidR="00C8443F" w:rsidRPr="00092053" w:rsidRDefault="0042499A" w:rsidP="0042499A">
      <w:pPr>
        <w:pStyle w:val="H23G"/>
        <w:rPr>
          <w:rFonts w:eastAsia="Calibri"/>
          <w:lang w:val="es-PE" w:eastAsia="en-US"/>
        </w:rPr>
      </w:pPr>
      <w:bookmarkStart w:id="94" w:name="_Toc468627307"/>
      <w:bookmarkStart w:id="95" w:name="_Toc468642599"/>
      <w:bookmarkStart w:id="96" w:name="_Toc468721269"/>
      <w:bookmarkStart w:id="97" w:name="_Toc471137667"/>
      <w:bookmarkStart w:id="98" w:name="_Toc472097452"/>
      <w:bookmarkStart w:id="99" w:name="_Toc484774075"/>
      <w:r w:rsidRPr="00092053">
        <w:rPr>
          <w:rFonts w:eastAsia="Calibri"/>
          <w:lang w:val="es-PE" w:eastAsia="en-US"/>
        </w:rPr>
        <w:tab/>
      </w:r>
      <w:r w:rsidRPr="00092053">
        <w:rPr>
          <w:rFonts w:eastAsia="Calibri"/>
          <w:lang w:val="es-PE" w:eastAsia="en-US"/>
        </w:rPr>
        <w:tab/>
      </w:r>
      <w:r w:rsidR="00C8443F" w:rsidRPr="00092053">
        <w:rPr>
          <w:rFonts w:eastAsia="Calibri"/>
          <w:lang w:val="es-PE" w:eastAsia="en-US"/>
        </w:rPr>
        <w:t>Respuesta al párrafo 11</w:t>
      </w:r>
      <w:bookmarkEnd w:id="94"/>
      <w:bookmarkEnd w:id="95"/>
      <w:bookmarkEnd w:id="96"/>
      <w:bookmarkEnd w:id="97"/>
      <w:bookmarkEnd w:id="98"/>
      <w:bookmarkEnd w:id="99"/>
      <w:r w:rsidR="00C8443F" w:rsidRPr="00092053">
        <w:rPr>
          <w:rFonts w:eastAsia="Calibri"/>
          <w:lang w:val="es-PE" w:eastAsia="en-US"/>
        </w:rPr>
        <w:t xml:space="preserve"> </w:t>
      </w:r>
    </w:p>
    <w:p w:rsidR="002A208C" w:rsidRPr="00092053" w:rsidRDefault="00092053" w:rsidP="00574AEE">
      <w:pPr>
        <w:pStyle w:val="SingleTxtG"/>
        <w:rPr>
          <w:rFonts w:eastAsia="Calibri"/>
          <w:lang w:val="es-PE" w:eastAsia="en-US"/>
        </w:rPr>
      </w:pPr>
      <w:r w:rsidRPr="00574AEE">
        <w:rPr>
          <w:rFonts w:eastAsia="Calibri"/>
          <w:lang w:val="es-PE" w:eastAsia="en-US"/>
        </w:rPr>
        <w:t>75.</w:t>
      </w:r>
      <w:r w:rsidRPr="00574AEE">
        <w:rPr>
          <w:rFonts w:eastAsia="Calibri"/>
          <w:lang w:val="es-PE" w:eastAsia="en-US"/>
        </w:rPr>
        <w:tab/>
      </w:r>
      <w:r w:rsidR="00C8443F" w:rsidRPr="00092053">
        <w:rPr>
          <w:rFonts w:eastAsia="Calibri"/>
          <w:lang w:val="es-PE" w:eastAsia="en-US"/>
        </w:rPr>
        <w:t>El principio de jurisdicción universal se encuentra previsto en el CP</w:t>
      </w:r>
      <w:r w:rsidR="00C8443F" w:rsidRPr="00092053">
        <w:rPr>
          <w:rStyle w:val="Refdenotaalfinal"/>
          <w:rFonts w:eastAsia="Calibri"/>
        </w:rPr>
        <w:footnoteReference w:id="75"/>
      </w:r>
      <w:r w:rsidR="00C8443F" w:rsidRPr="00092053">
        <w:rPr>
          <w:rFonts w:eastAsia="Calibri"/>
          <w:lang w:val="es-PE" w:eastAsia="en-US"/>
        </w:rPr>
        <w:t xml:space="preserve"> vigente. De acuerdo con dicho principio se atribuye al Estado “la facultad de sancionar hechos delictivos que lesionan determinados bienes jurídicos, especialmente, los reconocidos por la humanidad, y que es cometido por cualqui</w:t>
      </w:r>
      <w:r w:rsidR="00E2576D" w:rsidRPr="00092053">
        <w:rPr>
          <w:rFonts w:eastAsia="Calibri"/>
          <w:lang w:val="es-PE" w:eastAsia="en-US"/>
        </w:rPr>
        <w:t>er persona y en cualquier país”</w:t>
      </w:r>
      <w:r w:rsidR="00C8443F" w:rsidRPr="00092053">
        <w:rPr>
          <w:rStyle w:val="Refdenotaalfinal"/>
          <w:rFonts w:eastAsia="Calibri"/>
        </w:rPr>
        <w:footnoteReference w:id="76"/>
      </w:r>
      <w:r w:rsidR="00E2576D" w:rsidRPr="00092053">
        <w:rPr>
          <w:rFonts w:eastAsia="Calibri"/>
          <w:lang w:val="es-PE" w:eastAsia="en-US"/>
        </w:rPr>
        <w:t>.</w:t>
      </w:r>
    </w:p>
    <w:p w:rsidR="00C8443F" w:rsidRPr="00092053" w:rsidRDefault="0042499A" w:rsidP="0042499A">
      <w:pPr>
        <w:pStyle w:val="H23G"/>
        <w:rPr>
          <w:rFonts w:eastAsia="Calibri"/>
          <w:lang w:val="es-PE" w:eastAsia="en-US"/>
        </w:rPr>
      </w:pPr>
      <w:bookmarkStart w:id="100" w:name="_Toc468627308"/>
      <w:bookmarkStart w:id="101" w:name="_Toc468642600"/>
      <w:bookmarkStart w:id="102" w:name="_Toc468721270"/>
      <w:bookmarkStart w:id="103" w:name="_Toc471137668"/>
      <w:bookmarkStart w:id="104" w:name="_Toc472097453"/>
      <w:bookmarkStart w:id="105" w:name="_Toc484774076"/>
      <w:r w:rsidRPr="00092053">
        <w:rPr>
          <w:rFonts w:eastAsia="Calibri"/>
          <w:lang w:val="es-PE" w:eastAsia="en-US"/>
        </w:rPr>
        <w:tab/>
      </w:r>
      <w:r w:rsidRPr="00092053">
        <w:rPr>
          <w:rFonts w:eastAsia="Calibri"/>
          <w:lang w:val="es-PE" w:eastAsia="en-US"/>
        </w:rPr>
        <w:tab/>
      </w:r>
      <w:r w:rsidR="00C8443F" w:rsidRPr="00092053">
        <w:rPr>
          <w:rFonts w:eastAsia="Calibri"/>
          <w:lang w:val="es-PE" w:eastAsia="en-US"/>
        </w:rPr>
        <w:t>Respuesta al párrafo 12</w:t>
      </w:r>
      <w:bookmarkEnd w:id="100"/>
      <w:bookmarkEnd w:id="101"/>
      <w:bookmarkEnd w:id="102"/>
      <w:bookmarkEnd w:id="103"/>
      <w:bookmarkEnd w:id="104"/>
      <w:bookmarkEnd w:id="105"/>
      <w:r w:rsidR="00C8443F" w:rsidRPr="00092053">
        <w:rPr>
          <w:rFonts w:eastAsia="Calibri"/>
          <w:lang w:val="es-PE" w:eastAsia="en-US"/>
        </w:rPr>
        <w:t xml:space="preserve"> </w:t>
      </w:r>
    </w:p>
    <w:p w:rsidR="002A208C" w:rsidRPr="00092053" w:rsidRDefault="00092053" w:rsidP="00574AEE">
      <w:pPr>
        <w:pStyle w:val="SingleTxtG"/>
        <w:rPr>
          <w:rFonts w:eastAsia="Calibri"/>
          <w:lang w:val="es-PE" w:eastAsia="en-US"/>
        </w:rPr>
      </w:pPr>
      <w:r w:rsidRPr="00574AEE">
        <w:rPr>
          <w:rFonts w:eastAsia="Calibri"/>
          <w:lang w:val="es-PE" w:eastAsia="en-US"/>
        </w:rPr>
        <w:t>76.</w:t>
      </w:r>
      <w:r w:rsidRPr="00574AEE">
        <w:rPr>
          <w:rFonts w:eastAsia="Calibri"/>
          <w:lang w:val="es-PE" w:eastAsia="en-US"/>
        </w:rPr>
        <w:tab/>
      </w:r>
      <w:r w:rsidR="00C8443F" w:rsidRPr="00092053">
        <w:rPr>
          <w:rFonts w:eastAsia="Calibri"/>
          <w:lang w:val="es-PE" w:eastAsia="en-US"/>
        </w:rPr>
        <w:t xml:space="preserve">Los tratados vigentes de cooperación internacional en materia penal y extradición, detallados en las Tablas </w:t>
      </w:r>
      <w:r w:rsidR="00FA45BC" w:rsidRPr="00574AEE">
        <w:rPr>
          <w:rFonts w:eastAsia="Calibri"/>
          <w:lang w:val="es-PE" w:eastAsia="en-US"/>
        </w:rPr>
        <w:t>núm.</w:t>
      </w:r>
      <w:r w:rsidR="00C8443F" w:rsidRPr="00092053">
        <w:rPr>
          <w:rFonts w:eastAsia="Calibri"/>
          <w:lang w:val="es-PE" w:eastAsia="en-US"/>
        </w:rPr>
        <w:t xml:space="preserve"> 1 y </w:t>
      </w:r>
      <w:r w:rsidR="00FA45BC" w:rsidRPr="00353E55">
        <w:rPr>
          <w:rFonts w:eastAsia="Calibri"/>
          <w:lang w:val="es-PE" w:eastAsia="en-US"/>
        </w:rPr>
        <w:t>núm.</w:t>
      </w:r>
      <w:r w:rsidR="00C8443F" w:rsidRPr="00092053">
        <w:rPr>
          <w:rFonts w:eastAsia="Calibri"/>
          <w:lang w:val="es-PE" w:eastAsia="en-US"/>
        </w:rPr>
        <w:t xml:space="preserve"> 2 del Anexo </w:t>
      </w:r>
      <w:r w:rsidR="00FA45BC" w:rsidRPr="00353E55">
        <w:rPr>
          <w:rFonts w:eastAsia="Calibri"/>
          <w:lang w:val="es-PE" w:eastAsia="en-US"/>
        </w:rPr>
        <w:t>núm.</w:t>
      </w:r>
      <w:r w:rsidR="00C8443F" w:rsidRPr="00092053">
        <w:rPr>
          <w:rFonts w:eastAsia="Calibri"/>
          <w:lang w:val="es-PE" w:eastAsia="en-US"/>
        </w:rPr>
        <w:t xml:space="preserve"> 7, recogen el Sistema de la “Pena Mínima” y el “Principio de Reciprocidad</w:t>
      </w:r>
      <w:r w:rsidR="00C8443F" w:rsidRPr="00092053">
        <w:rPr>
          <w:rStyle w:val="Refdenotaalfinal"/>
          <w:rFonts w:eastAsia="Calibri"/>
        </w:rPr>
        <w:footnoteReference w:id="77"/>
      </w:r>
      <w:r w:rsidR="00C8443F" w:rsidRPr="00092053">
        <w:rPr>
          <w:rFonts w:eastAsia="Calibri"/>
          <w:lang w:val="es-PE" w:eastAsia="en-US"/>
        </w:rPr>
        <w:t>”. Asimismo, siendo la CCT parte del ordenamiento jurídico interno peruano los operadores judiciales tienen el mandato de aplicarlo como fuente de interpretación en sus decisiones.</w:t>
      </w:r>
    </w:p>
    <w:p w:rsidR="002A208C" w:rsidRPr="00092053" w:rsidRDefault="00092053" w:rsidP="00574AEE">
      <w:pPr>
        <w:pStyle w:val="SingleTxtG"/>
        <w:rPr>
          <w:rFonts w:eastAsia="Calibri"/>
          <w:lang w:val="es-PE" w:eastAsia="en-US"/>
        </w:rPr>
      </w:pPr>
      <w:r w:rsidRPr="00574AEE">
        <w:rPr>
          <w:rFonts w:eastAsia="Calibri"/>
          <w:lang w:val="es-PE" w:eastAsia="en-US"/>
        </w:rPr>
        <w:t>77.</w:t>
      </w:r>
      <w:r w:rsidRPr="00574AEE">
        <w:rPr>
          <w:rFonts w:eastAsia="Calibri"/>
          <w:lang w:val="es-PE" w:eastAsia="en-US"/>
        </w:rPr>
        <w:tab/>
      </w:r>
      <w:r w:rsidR="00C8443F" w:rsidRPr="00092053">
        <w:rPr>
          <w:rFonts w:eastAsia="Calibri"/>
          <w:lang w:val="es-PE" w:eastAsia="en-US"/>
        </w:rPr>
        <w:t>En los tratados vigentes no se detallan uno a uno los delitos en cuestión como los que se mencionan en el artículo 4° de CCT, pues ello implicaría que cada vez que se dieran nuevas figuras delictivas se t</w:t>
      </w:r>
      <w:r w:rsidR="00E2576D" w:rsidRPr="00092053">
        <w:rPr>
          <w:rFonts w:eastAsia="Calibri"/>
          <w:lang w:val="es-PE" w:eastAsia="en-US"/>
        </w:rPr>
        <w:t>endría que modificar el tratado</w:t>
      </w:r>
      <w:r w:rsidR="00C8443F" w:rsidRPr="00092053">
        <w:rPr>
          <w:rStyle w:val="Refdenotaalfinal"/>
          <w:rFonts w:eastAsia="Calibri"/>
        </w:rPr>
        <w:footnoteReference w:id="78"/>
      </w:r>
      <w:r w:rsidR="00E2576D"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78.</w:t>
      </w:r>
      <w:r w:rsidRPr="00574AEE">
        <w:rPr>
          <w:rFonts w:eastAsia="Calibri"/>
          <w:lang w:val="es-PE" w:eastAsia="en-US"/>
        </w:rPr>
        <w:tab/>
      </w:r>
      <w:r w:rsidR="00C8443F" w:rsidRPr="00092053">
        <w:rPr>
          <w:rFonts w:eastAsia="Calibri"/>
          <w:lang w:val="es-PE" w:eastAsia="en-US"/>
        </w:rPr>
        <w:t xml:space="preserve">Sin embargo, se ha considerado contemplar condiciones generales como las siguientes: a) darán lugar a la extradición de los hechos tipificados como delito por las leyes del Estado Requirente y del Estado Requerido, cualquiera sea su denominación, cuando sean punibles en ambos Estados con una pena privativa de libertad no inferior a un año o cualquier otra mayor; b) si la extradición fuera requerida para la ejecución de una sentencia se exigirá que la parte de la pena que aún quede por cumplir no sea inferior a seis meses; c) si la extradición requerida por uno de los Estados Parte estuviere requerida a delitos diversos y conexos respetando el principio de la doble incriminación para cada uno de ellos bastará con que uno de los mismos satisfaga las exigencias mínimas previstas en los </w:t>
      </w:r>
      <w:r w:rsidR="00C8443F" w:rsidRPr="00092053">
        <w:rPr>
          <w:rFonts w:eastAsia="Calibri"/>
          <w:lang w:val="es-PE" w:eastAsia="en-US"/>
        </w:rPr>
        <w:lastRenderedPageBreak/>
        <w:t>tratados para que pueda concederse la extradición, inclusive respecto de los otros delitos; d)</w:t>
      </w:r>
      <w:r w:rsidR="00BB3C20">
        <w:rPr>
          <w:rFonts w:eastAsia="Calibri"/>
          <w:lang w:val="es-PE" w:eastAsia="en-US"/>
        </w:rPr>
        <w:t> </w:t>
      </w:r>
      <w:r w:rsidR="00C8443F" w:rsidRPr="00092053">
        <w:rPr>
          <w:rFonts w:eastAsia="Calibri"/>
          <w:lang w:val="es-PE" w:eastAsia="en-US"/>
        </w:rPr>
        <w:t>procederá igualmente la extradición respecto de los delitos previstos en Tratados Multilaterales en vigor entre el Estado Requirente y el Estado Requerido; e) cualquier delito que no esté expresamente en los tratados dará lugar a la extradición siempre que cumplan con los requisitos estipulados en</w:t>
      </w:r>
      <w:r w:rsidR="00E2576D" w:rsidRPr="00092053">
        <w:rPr>
          <w:rFonts w:eastAsia="Calibri"/>
          <w:lang w:val="es-PE" w:eastAsia="en-US"/>
        </w:rPr>
        <w:t xml:space="preserve"> los tratados según sea el caso</w:t>
      </w:r>
      <w:r w:rsidR="00C8443F" w:rsidRPr="00092053">
        <w:rPr>
          <w:rStyle w:val="Refdenotaalfinal"/>
          <w:rFonts w:eastAsia="Calibri"/>
        </w:rPr>
        <w:footnoteReference w:id="79"/>
      </w:r>
      <w:r w:rsidR="00E2576D" w:rsidRPr="00092053">
        <w:rPr>
          <w:rFonts w:eastAsia="Calibri"/>
          <w:lang w:val="es-PE" w:eastAsia="en-US"/>
        </w:rPr>
        <w:t>.</w:t>
      </w:r>
    </w:p>
    <w:p w:rsidR="00C8443F" w:rsidRPr="00092053" w:rsidRDefault="0042499A" w:rsidP="0042499A">
      <w:pPr>
        <w:pStyle w:val="H23G"/>
        <w:rPr>
          <w:rFonts w:eastAsia="Calibri"/>
          <w:lang w:val="es-PE" w:eastAsia="en-US"/>
        </w:rPr>
      </w:pPr>
      <w:bookmarkStart w:id="106" w:name="_Toc468627309"/>
      <w:bookmarkStart w:id="107" w:name="_Toc468642601"/>
      <w:bookmarkStart w:id="108" w:name="_Toc468721271"/>
      <w:bookmarkStart w:id="109" w:name="_Toc471137669"/>
      <w:bookmarkStart w:id="110" w:name="_Toc472097454"/>
      <w:bookmarkStart w:id="111" w:name="_Toc484774077"/>
      <w:r w:rsidRPr="00092053">
        <w:rPr>
          <w:rFonts w:eastAsia="Calibri"/>
          <w:lang w:val="es-PE" w:eastAsia="en-US"/>
        </w:rPr>
        <w:tab/>
      </w:r>
      <w:r w:rsidRPr="00092053">
        <w:rPr>
          <w:rFonts w:eastAsia="Calibri"/>
          <w:lang w:val="es-PE" w:eastAsia="en-US"/>
        </w:rPr>
        <w:tab/>
      </w:r>
      <w:r w:rsidR="00C8443F" w:rsidRPr="00092053">
        <w:rPr>
          <w:rFonts w:eastAsia="Calibri"/>
          <w:lang w:val="es-PE" w:eastAsia="en-US"/>
        </w:rPr>
        <w:t>Respuesta al párrafo 13</w:t>
      </w:r>
      <w:bookmarkEnd w:id="106"/>
      <w:bookmarkEnd w:id="107"/>
      <w:bookmarkEnd w:id="108"/>
      <w:bookmarkEnd w:id="109"/>
      <w:bookmarkEnd w:id="110"/>
      <w:bookmarkEnd w:id="111"/>
      <w:r w:rsidR="00C8443F" w:rsidRPr="00092053">
        <w:rPr>
          <w:rFonts w:eastAsia="Calibri"/>
          <w:lang w:val="es-PE" w:eastAsia="en-US"/>
        </w:rPr>
        <w:t xml:space="preserve"> </w:t>
      </w:r>
    </w:p>
    <w:p w:rsidR="002A208C" w:rsidRPr="00092053" w:rsidRDefault="00092053" w:rsidP="00574AEE">
      <w:pPr>
        <w:pStyle w:val="SingleTxtG"/>
        <w:rPr>
          <w:rFonts w:eastAsia="Calibri"/>
          <w:b/>
          <w:lang w:val="es-PE" w:eastAsia="en-US"/>
        </w:rPr>
      </w:pPr>
      <w:r w:rsidRPr="00574AEE">
        <w:rPr>
          <w:rFonts w:eastAsia="Calibri"/>
          <w:lang w:val="es-PE" w:eastAsia="en-US"/>
        </w:rPr>
        <w:t>79.</w:t>
      </w:r>
      <w:r w:rsidRPr="00574AEE">
        <w:rPr>
          <w:rFonts w:eastAsia="Calibri"/>
          <w:lang w:val="es-PE" w:eastAsia="en-US"/>
        </w:rPr>
        <w:tab/>
      </w:r>
      <w:r w:rsidR="00C8443F" w:rsidRPr="00092053">
        <w:rPr>
          <w:rFonts w:eastAsia="Calibri"/>
          <w:lang w:val="es-PE" w:eastAsia="en-US"/>
        </w:rPr>
        <w:t>El Perú tiene vigentes 17 tratados o acuerdos de auxilio judicial, los que son utilizados solamente en las relaciones con el PJ o el MP. Según sus leyes orgánicas, no pueden ser aplicadas a entidades distintas, tratándose de instrumentos destinados a facilitar la actividad procesal, los tratados de asistencia judicial mutua permiten la colaboración en la obtención y diligenciamiento de prueb</w:t>
      </w:r>
      <w:r w:rsidR="00E2576D" w:rsidRPr="00092053">
        <w:rPr>
          <w:rFonts w:eastAsia="Calibri"/>
          <w:lang w:val="es-PE" w:eastAsia="en-US"/>
        </w:rPr>
        <w:t>as en la mayor amplitud posible</w:t>
      </w:r>
      <w:r w:rsidR="00C8443F" w:rsidRPr="00092053">
        <w:rPr>
          <w:rStyle w:val="Refdenotaalfinal"/>
          <w:rFonts w:eastAsia="Calibri"/>
        </w:rPr>
        <w:footnoteReference w:id="80"/>
      </w:r>
      <w:r w:rsidR="00E2576D" w:rsidRPr="00092053">
        <w:rPr>
          <w:rFonts w:eastAsia="Calibri"/>
          <w:lang w:val="es-PE" w:eastAsia="en-US"/>
        </w:rPr>
        <w:t>.</w:t>
      </w:r>
      <w:r w:rsidR="00C8443F" w:rsidRPr="00092053">
        <w:rPr>
          <w:rFonts w:eastAsia="Calibri"/>
          <w:lang w:val="es-PE" w:eastAsia="en-US"/>
        </w:rPr>
        <w:t xml:space="preserve"> </w:t>
      </w:r>
      <w:r w:rsidR="00C8443F" w:rsidRPr="00092053">
        <w:rPr>
          <w:rFonts w:eastAsia="Calibri"/>
          <w:b/>
          <w:lang w:val="es-PE" w:eastAsia="en-US"/>
        </w:rPr>
        <w:t xml:space="preserve">Ver Tabla </w:t>
      </w:r>
      <w:r w:rsidR="00FA45BC">
        <w:rPr>
          <w:rFonts w:eastAsia="Calibri"/>
          <w:b/>
          <w:lang w:val="es-PE" w:eastAsia="en-US"/>
        </w:rPr>
        <w:t>núm.</w:t>
      </w:r>
      <w:r w:rsidR="00C8443F" w:rsidRPr="00092053">
        <w:rPr>
          <w:rFonts w:eastAsia="Calibri"/>
          <w:b/>
          <w:lang w:val="es-PE" w:eastAsia="en-US"/>
        </w:rPr>
        <w:t xml:space="preserve"> 1 del Anexo </w:t>
      </w:r>
      <w:r w:rsidR="00FA45BC">
        <w:rPr>
          <w:rFonts w:eastAsia="Calibri"/>
          <w:b/>
          <w:lang w:val="es-PE" w:eastAsia="en-US"/>
        </w:rPr>
        <w:t>núm.</w:t>
      </w:r>
      <w:r w:rsidR="00C8443F" w:rsidRPr="00092053">
        <w:rPr>
          <w:rFonts w:eastAsia="Calibri"/>
          <w:b/>
          <w:lang w:val="es-PE" w:eastAsia="en-US"/>
        </w:rPr>
        <w:t xml:space="preserve"> 8.</w:t>
      </w:r>
    </w:p>
    <w:p w:rsidR="002A208C" w:rsidRPr="00092053" w:rsidRDefault="00092053" w:rsidP="00574AEE">
      <w:pPr>
        <w:pStyle w:val="SingleTxtG"/>
        <w:rPr>
          <w:rFonts w:eastAsia="Calibri"/>
          <w:lang w:val="es-PE" w:eastAsia="en-US"/>
        </w:rPr>
      </w:pPr>
      <w:r w:rsidRPr="00574AEE">
        <w:rPr>
          <w:rFonts w:eastAsia="Calibri"/>
          <w:lang w:val="es-PE" w:eastAsia="en-US"/>
        </w:rPr>
        <w:t>80.</w:t>
      </w:r>
      <w:r w:rsidRPr="00574AEE">
        <w:rPr>
          <w:rFonts w:eastAsia="Calibri"/>
          <w:lang w:val="es-PE" w:eastAsia="en-US"/>
        </w:rPr>
        <w:tab/>
      </w:r>
      <w:r w:rsidR="00C8443F" w:rsidRPr="00092053">
        <w:rPr>
          <w:rFonts w:eastAsia="Calibri"/>
          <w:lang w:val="es-PE" w:eastAsia="en-US"/>
        </w:rPr>
        <w:t xml:space="preserve">En el NCPP se ha dispuesto que las relaciones de las autoridades peruanas con las extranjeras y con la Corte Penal Internacional (CPI) en materia de cooperación judicial internacional se regirán por los tratados internacionales celebrados por el Perú y, en su defecto, por el principio de reciprocidad en </w:t>
      </w:r>
      <w:r w:rsidR="00E2576D" w:rsidRPr="00092053">
        <w:rPr>
          <w:rFonts w:eastAsia="Calibri"/>
          <w:lang w:val="es-PE" w:eastAsia="en-US"/>
        </w:rPr>
        <w:t>un marco de respeto de los DDHH</w:t>
      </w:r>
      <w:r w:rsidR="00C8443F" w:rsidRPr="00092053">
        <w:rPr>
          <w:rStyle w:val="Refdenotaalfinal"/>
          <w:rFonts w:eastAsia="Calibri"/>
        </w:rPr>
        <w:footnoteReference w:id="81"/>
      </w:r>
      <w:r w:rsidR="00E2576D"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81.</w:t>
      </w:r>
      <w:r w:rsidRPr="00574AEE">
        <w:rPr>
          <w:rFonts w:eastAsia="Calibri"/>
          <w:lang w:val="es-PE" w:eastAsia="en-US"/>
        </w:rPr>
        <w:tab/>
      </w:r>
      <w:r w:rsidR="00C8443F" w:rsidRPr="00092053">
        <w:rPr>
          <w:rFonts w:eastAsia="Calibri"/>
          <w:lang w:val="es-PE" w:eastAsia="en-US"/>
        </w:rPr>
        <w:t>De acuerdo con lo establecido en el artículo 512° del NCPP, la Fiscalía de la Nación, por intermedio de la Unidad de Cooperación Judicial Internacional y Extradiciones, coordina los pedidos de obtención de pruebas, las cuales solo pueden utilizarse para los fines específicos de la asistencia. Así, el artículo 535° del mismo código</w:t>
      </w:r>
      <w:r w:rsidR="00C8443F" w:rsidRPr="00092053">
        <w:rPr>
          <w:rStyle w:val="Refdenotaalfinal"/>
          <w:rFonts w:eastAsia="Calibri"/>
        </w:rPr>
        <w:footnoteReference w:id="82"/>
      </w:r>
      <w:r w:rsidR="00C8443F" w:rsidRPr="00092053">
        <w:rPr>
          <w:rFonts w:eastAsia="Calibri"/>
          <w:lang w:val="es-PE" w:eastAsia="en-US"/>
        </w:rPr>
        <w:t xml:space="preserve"> dispone que estas no podrán divulgarse sin previo consentimiento del MP.</w:t>
      </w:r>
    </w:p>
    <w:p w:rsidR="002A208C" w:rsidRPr="00092053" w:rsidRDefault="00092053" w:rsidP="00574AEE">
      <w:pPr>
        <w:pStyle w:val="SingleTxtG"/>
        <w:rPr>
          <w:rFonts w:eastAsia="Calibri"/>
          <w:lang w:val="es-PE" w:eastAsia="en-US"/>
        </w:rPr>
      </w:pPr>
      <w:r w:rsidRPr="00574AEE">
        <w:rPr>
          <w:rFonts w:eastAsia="Calibri"/>
          <w:lang w:val="es-PE" w:eastAsia="en-US"/>
        </w:rPr>
        <w:t>82.</w:t>
      </w:r>
      <w:r w:rsidRPr="00574AEE">
        <w:rPr>
          <w:rFonts w:eastAsia="Calibri"/>
          <w:lang w:val="es-PE" w:eastAsia="en-US"/>
        </w:rPr>
        <w:tab/>
      </w:r>
      <w:r w:rsidR="00C8443F" w:rsidRPr="00092053">
        <w:rPr>
          <w:rFonts w:eastAsia="Calibri"/>
          <w:lang w:val="es-PE" w:eastAsia="en-US"/>
        </w:rPr>
        <w:t>Al respecto, en el per</w:t>
      </w:r>
      <w:r w:rsidR="0020561B">
        <w:rPr>
          <w:rFonts w:eastAsia="Calibri"/>
          <w:lang w:val="es-PE" w:eastAsia="en-US"/>
        </w:rPr>
        <w:t>í</w:t>
      </w:r>
      <w:r w:rsidR="00C8443F" w:rsidRPr="00092053">
        <w:rPr>
          <w:rFonts w:eastAsia="Calibri"/>
          <w:lang w:val="es-PE" w:eastAsia="en-US"/>
        </w:rPr>
        <w:t xml:space="preserve">odo comprendido, la Unidad de Cooperación Judicial Internacional y Extradiciones del MP ha recibido pedidos de apoyo y cooperación por parte de </w:t>
      </w:r>
      <w:r w:rsidR="00E2576D" w:rsidRPr="00092053">
        <w:rPr>
          <w:rFonts w:eastAsia="Calibri"/>
          <w:lang w:val="es-PE" w:eastAsia="en-US"/>
        </w:rPr>
        <w:t>la CPI al amparo de su Estatuto</w:t>
      </w:r>
      <w:r w:rsidR="00C8443F" w:rsidRPr="00092053">
        <w:rPr>
          <w:rStyle w:val="Refdenotaalfinal"/>
          <w:rFonts w:eastAsia="Calibri"/>
        </w:rPr>
        <w:footnoteReference w:id="83"/>
      </w:r>
      <w:r w:rsidR="00E2576D" w:rsidRPr="00092053">
        <w:rPr>
          <w:rFonts w:eastAsia="Calibri"/>
          <w:lang w:val="es-PE" w:eastAsia="en-US"/>
        </w:rPr>
        <w:t>.</w:t>
      </w:r>
    </w:p>
    <w:p w:rsidR="002A208C" w:rsidRPr="002C565A" w:rsidRDefault="004F7B54" w:rsidP="00574AEE">
      <w:pPr>
        <w:pStyle w:val="H1G"/>
        <w:rPr>
          <w:rFonts w:eastAsia="Calibri"/>
          <w:lang w:val="es-PE" w:eastAsia="en-US"/>
        </w:rPr>
      </w:pPr>
      <w:bookmarkStart w:id="112" w:name="_Toc468627310"/>
      <w:bookmarkStart w:id="113" w:name="_Toc468642602"/>
      <w:bookmarkStart w:id="114" w:name="_Toc468721272"/>
      <w:bookmarkStart w:id="115" w:name="_Toc471137670"/>
      <w:bookmarkStart w:id="116" w:name="_Toc472097455"/>
      <w:bookmarkStart w:id="117" w:name="_Toc484774078"/>
      <w:r w:rsidRPr="00FA45BC">
        <w:rPr>
          <w:rFonts w:eastAsia="Calibri"/>
          <w:lang w:val="es-PE" w:eastAsia="en-US"/>
        </w:rPr>
        <w:tab/>
      </w:r>
      <w:r w:rsidRPr="00FA45BC">
        <w:rPr>
          <w:rFonts w:eastAsia="Calibri"/>
          <w:lang w:val="es-PE" w:eastAsia="en-US"/>
        </w:rPr>
        <w:tab/>
      </w:r>
      <w:r w:rsidR="00C8443F" w:rsidRPr="00FA45BC">
        <w:rPr>
          <w:rFonts w:eastAsia="Calibri"/>
          <w:lang w:val="es-PE" w:eastAsia="en-US"/>
        </w:rPr>
        <w:t>Artículo 10°</w:t>
      </w:r>
      <w:bookmarkEnd w:id="112"/>
      <w:bookmarkEnd w:id="113"/>
      <w:bookmarkEnd w:id="114"/>
      <w:bookmarkEnd w:id="115"/>
      <w:bookmarkEnd w:id="116"/>
      <w:bookmarkEnd w:id="117"/>
    </w:p>
    <w:p w:rsidR="00C8443F" w:rsidRPr="00092053" w:rsidRDefault="004F7B54" w:rsidP="004F7B54">
      <w:pPr>
        <w:pStyle w:val="H23G"/>
        <w:rPr>
          <w:rFonts w:eastAsia="Calibri"/>
          <w:lang w:val="es-PE" w:eastAsia="en-US"/>
        </w:rPr>
      </w:pPr>
      <w:bookmarkStart w:id="118" w:name="_Toc468627311"/>
      <w:bookmarkStart w:id="119" w:name="_Toc468642603"/>
      <w:bookmarkStart w:id="120" w:name="_Toc468721273"/>
      <w:bookmarkStart w:id="121" w:name="_Toc471137671"/>
      <w:bookmarkStart w:id="122" w:name="_Toc472097456"/>
      <w:bookmarkStart w:id="123" w:name="_Toc484774079"/>
      <w:r w:rsidRPr="00092053">
        <w:rPr>
          <w:rFonts w:eastAsia="Calibri"/>
          <w:lang w:val="es-PE" w:eastAsia="en-US"/>
        </w:rPr>
        <w:tab/>
      </w:r>
      <w:r w:rsidRPr="00092053">
        <w:rPr>
          <w:rFonts w:eastAsia="Calibri"/>
          <w:lang w:val="es-PE" w:eastAsia="en-US"/>
        </w:rPr>
        <w:tab/>
      </w:r>
      <w:r w:rsidR="00C8443F" w:rsidRPr="00092053">
        <w:rPr>
          <w:rFonts w:eastAsia="Calibri"/>
          <w:lang w:val="es-PE" w:eastAsia="en-US"/>
        </w:rPr>
        <w:t>Respuesta al párrafo 14</w:t>
      </w:r>
      <w:bookmarkEnd w:id="118"/>
      <w:bookmarkEnd w:id="119"/>
      <w:bookmarkEnd w:id="120"/>
      <w:bookmarkEnd w:id="121"/>
      <w:bookmarkEnd w:id="122"/>
      <w:bookmarkEnd w:id="123"/>
      <w:r w:rsidR="00C8443F" w:rsidRPr="00092053">
        <w:rPr>
          <w:rFonts w:eastAsia="Calibri"/>
          <w:lang w:val="es-PE" w:eastAsia="en-US"/>
        </w:rPr>
        <w:t xml:space="preserve"> </w:t>
      </w:r>
    </w:p>
    <w:p w:rsidR="002A208C" w:rsidRPr="00092053" w:rsidRDefault="00092053" w:rsidP="00574AEE">
      <w:pPr>
        <w:pStyle w:val="SingleTxtG"/>
        <w:rPr>
          <w:rFonts w:eastAsia="Calibri"/>
          <w:lang w:val="es-PE" w:eastAsia="en-US"/>
        </w:rPr>
      </w:pPr>
      <w:r w:rsidRPr="00574AEE">
        <w:rPr>
          <w:rFonts w:eastAsia="Calibri"/>
          <w:lang w:val="es-PE" w:eastAsia="en-US"/>
        </w:rPr>
        <w:t>83.</w:t>
      </w:r>
      <w:r w:rsidRPr="00574AEE">
        <w:rPr>
          <w:rFonts w:eastAsia="Calibri"/>
          <w:lang w:val="es-PE" w:eastAsia="en-US"/>
        </w:rPr>
        <w:tab/>
      </w:r>
      <w:r w:rsidR="00C8443F" w:rsidRPr="00092053">
        <w:rPr>
          <w:rFonts w:eastAsia="Calibri"/>
          <w:lang w:val="es-PE" w:eastAsia="en-US"/>
        </w:rPr>
        <w:t>Se ha aprobado el Plan Nacional de Educación en Derechos y Deberes Fundamentales</w:t>
      </w:r>
      <w:r w:rsidR="00C8443F" w:rsidRPr="00092053">
        <w:rPr>
          <w:rStyle w:val="Refdenotaalfinal"/>
          <w:rFonts w:eastAsia="Calibri"/>
        </w:rPr>
        <w:footnoteReference w:id="84"/>
      </w:r>
      <w:r w:rsidR="00C8443F" w:rsidRPr="00092053">
        <w:rPr>
          <w:rFonts w:eastAsia="Calibri"/>
          <w:lang w:val="es-PE" w:eastAsia="en-US"/>
        </w:rPr>
        <w:t xml:space="preserve"> al 2021 que establece diversas acciones vinculadas con la formación y difusión en DDHH.</w:t>
      </w:r>
    </w:p>
    <w:p w:rsidR="002A208C" w:rsidRPr="00092053" w:rsidRDefault="00092053" w:rsidP="00574AEE">
      <w:pPr>
        <w:pStyle w:val="SingleTxtG"/>
        <w:rPr>
          <w:rFonts w:eastAsia="Calibri"/>
          <w:lang w:val="es-PE" w:eastAsia="en-US"/>
        </w:rPr>
      </w:pPr>
      <w:r w:rsidRPr="00574AEE">
        <w:rPr>
          <w:rFonts w:eastAsia="Calibri"/>
          <w:lang w:val="es-PE" w:eastAsia="en-US"/>
        </w:rPr>
        <w:t>84.</w:t>
      </w:r>
      <w:r w:rsidRPr="00574AEE">
        <w:rPr>
          <w:rFonts w:eastAsia="Calibri"/>
          <w:lang w:val="es-PE" w:eastAsia="en-US"/>
        </w:rPr>
        <w:tab/>
      </w:r>
      <w:r w:rsidR="00C8443F" w:rsidRPr="00092053">
        <w:rPr>
          <w:rFonts w:eastAsia="Calibri"/>
          <w:lang w:val="es-PE" w:eastAsia="en-US"/>
        </w:rPr>
        <w:t>Por su parte, en el per</w:t>
      </w:r>
      <w:r w:rsidR="0020561B">
        <w:rPr>
          <w:rFonts w:eastAsia="Calibri"/>
          <w:lang w:val="es-PE" w:eastAsia="en-US"/>
        </w:rPr>
        <w:t>í</w:t>
      </w:r>
      <w:r w:rsidR="00C8443F" w:rsidRPr="00092053">
        <w:rPr>
          <w:rFonts w:eastAsia="Calibri"/>
          <w:lang w:val="es-PE" w:eastAsia="en-US"/>
        </w:rPr>
        <w:t>odo 2012-2016 la Academia de la Magistratura, ha capacitado a 4</w:t>
      </w:r>
      <w:r w:rsidR="001A6567">
        <w:rPr>
          <w:rFonts w:eastAsia="Calibri"/>
          <w:lang w:val="es-PE" w:eastAsia="en-US"/>
        </w:rPr>
        <w:t>.</w:t>
      </w:r>
      <w:r w:rsidR="00C8443F" w:rsidRPr="00092053">
        <w:rPr>
          <w:rFonts w:eastAsia="Calibri"/>
          <w:lang w:val="es-PE" w:eastAsia="en-US"/>
        </w:rPr>
        <w:t xml:space="preserve">423 magistrados y auxiliares de justicia del PJ y MP en el ámbito nacional </w:t>
      </w:r>
      <w:r w:rsidR="00E2576D" w:rsidRPr="00092053">
        <w:rPr>
          <w:rFonts w:eastAsia="Calibri"/>
          <w:lang w:val="es-PE" w:eastAsia="en-US"/>
        </w:rPr>
        <w:t>(2</w:t>
      </w:r>
      <w:r w:rsidR="001A6567">
        <w:rPr>
          <w:rFonts w:eastAsia="Calibri"/>
          <w:lang w:val="es-PE" w:eastAsia="en-US"/>
        </w:rPr>
        <w:t>.</w:t>
      </w:r>
      <w:r w:rsidR="00E2576D" w:rsidRPr="00092053">
        <w:rPr>
          <w:rFonts w:eastAsia="Calibri"/>
          <w:lang w:val="es-PE" w:eastAsia="en-US"/>
        </w:rPr>
        <w:t>225 varones y 2</w:t>
      </w:r>
      <w:r w:rsidR="001A6567">
        <w:rPr>
          <w:rFonts w:eastAsia="Calibri"/>
          <w:lang w:val="es-PE" w:eastAsia="en-US"/>
        </w:rPr>
        <w:t>.</w:t>
      </w:r>
      <w:r w:rsidR="00E2576D" w:rsidRPr="00092053">
        <w:rPr>
          <w:rFonts w:eastAsia="Calibri"/>
          <w:lang w:val="es-PE" w:eastAsia="en-US"/>
        </w:rPr>
        <w:t>198 mujeres)</w:t>
      </w:r>
      <w:r w:rsidR="00C8443F" w:rsidRPr="00092053">
        <w:rPr>
          <w:rStyle w:val="Refdenotaalfinal"/>
          <w:rFonts w:eastAsia="Calibri"/>
        </w:rPr>
        <w:footnoteReference w:id="85"/>
      </w:r>
      <w:r w:rsidR="00E2576D"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85.</w:t>
      </w:r>
      <w:r w:rsidRPr="00574AEE">
        <w:rPr>
          <w:rFonts w:eastAsia="Calibri"/>
          <w:lang w:val="es-PE" w:eastAsia="en-US"/>
        </w:rPr>
        <w:tab/>
      </w:r>
      <w:r w:rsidR="00C8443F" w:rsidRPr="00092053">
        <w:rPr>
          <w:rFonts w:eastAsia="Calibri"/>
          <w:lang w:val="es-PE" w:eastAsia="en-US"/>
        </w:rPr>
        <w:t xml:space="preserve">En estas capacitaciones se abordaron temas como discapacidad, género y DDHH, sistemas de protección de DDHH, prisión preventiva, violencia familiar, violencia de género, violencia contra niñas, niños y adolescentes, feminicidio, jurisprudencia relevante de la Corte Interamericana de Derechos Humanos, prisión preventiva, trata de personas, pluralismo jurídico y derecho de los pueblos indígenas y derechos constitucionales en Estados de excepción. </w:t>
      </w:r>
      <w:r w:rsidR="00C8443F" w:rsidRPr="00092053">
        <w:rPr>
          <w:rFonts w:eastAsia="Calibri"/>
          <w:b/>
          <w:lang w:val="es-PE" w:eastAsia="en-US"/>
        </w:rPr>
        <w:t xml:space="preserve">Ver Tabla </w:t>
      </w:r>
      <w:r w:rsidR="00FA45BC" w:rsidRPr="00574AEE">
        <w:rPr>
          <w:rFonts w:eastAsia="Calibri"/>
          <w:b/>
          <w:lang w:val="es-PE" w:eastAsia="en-US"/>
        </w:rPr>
        <w:t>núm.</w:t>
      </w:r>
      <w:r w:rsidR="00C8443F" w:rsidRPr="00092053">
        <w:rPr>
          <w:rFonts w:eastAsia="Calibri"/>
          <w:b/>
          <w:lang w:val="es-PE" w:eastAsia="en-US"/>
        </w:rPr>
        <w:t xml:space="preserve"> 1 del Anexo </w:t>
      </w:r>
      <w:r w:rsidR="00FA45BC" w:rsidRPr="00574AEE">
        <w:rPr>
          <w:rFonts w:eastAsia="Calibri"/>
          <w:b/>
          <w:lang w:val="es-PE" w:eastAsia="en-US"/>
        </w:rPr>
        <w:t>núm.</w:t>
      </w:r>
      <w:r w:rsidR="00C8443F" w:rsidRPr="00092053">
        <w:rPr>
          <w:rFonts w:eastAsia="Calibri"/>
          <w:b/>
          <w:lang w:val="es-PE" w:eastAsia="en-US"/>
        </w:rPr>
        <w:t xml:space="preserve"> 9.</w:t>
      </w:r>
    </w:p>
    <w:p w:rsidR="002A208C" w:rsidRPr="00092053" w:rsidRDefault="00092053" w:rsidP="00574AEE">
      <w:pPr>
        <w:pStyle w:val="SingleTxtG"/>
        <w:rPr>
          <w:rFonts w:eastAsia="Calibri"/>
          <w:lang w:val="es-PE" w:eastAsia="en-US"/>
        </w:rPr>
      </w:pPr>
      <w:r w:rsidRPr="00574AEE">
        <w:rPr>
          <w:rFonts w:eastAsia="Calibri"/>
          <w:lang w:val="es-PE" w:eastAsia="en-US"/>
        </w:rPr>
        <w:t>86.</w:t>
      </w:r>
      <w:r w:rsidRPr="00574AEE">
        <w:rPr>
          <w:rFonts w:eastAsia="Calibri"/>
          <w:lang w:val="es-PE" w:eastAsia="en-US"/>
        </w:rPr>
        <w:tab/>
      </w:r>
      <w:r w:rsidR="00C8443F" w:rsidRPr="00092053">
        <w:rPr>
          <w:rFonts w:eastAsia="Calibri"/>
          <w:lang w:val="es-PE" w:eastAsia="en-US"/>
        </w:rPr>
        <w:t xml:space="preserve">Respecto a la formación brindada por los defensores públicos del MINJUS, se han realizado, de forma mensual, charlas y campañas en los diferentes establecimientos </w:t>
      </w:r>
      <w:r w:rsidR="00C8443F" w:rsidRPr="00092053">
        <w:rPr>
          <w:rFonts w:eastAsia="Calibri"/>
          <w:lang w:val="es-PE" w:eastAsia="en-US"/>
        </w:rPr>
        <w:lastRenderedPageBreak/>
        <w:t>penitenciarios a favor de las personas privadas de libertad, dicha labor es cumplida por los defensores públicos especializad</w:t>
      </w:r>
      <w:r w:rsidR="00E2576D" w:rsidRPr="00092053">
        <w:rPr>
          <w:rFonts w:eastAsia="Calibri"/>
          <w:lang w:val="es-PE" w:eastAsia="en-US"/>
        </w:rPr>
        <w:t>os en beneficios penitenciarios</w:t>
      </w:r>
      <w:r w:rsidR="00C8443F" w:rsidRPr="00092053">
        <w:rPr>
          <w:rStyle w:val="Refdenotaalfinal"/>
          <w:rFonts w:eastAsia="Calibri"/>
        </w:rPr>
        <w:footnoteReference w:id="86"/>
      </w:r>
      <w:r w:rsidR="00E2576D"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87.</w:t>
      </w:r>
      <w:r w:rsidRPr="00574AEE">
        <w:rPr>
          <w:rFonts w:eastAsia="Calibri"/>
          <w:lang w:val="es-PE" w:eastAsia="en-US"/>
        </w:rPr>
        <w:tab/>
      </w:r>
      <w:r w:rsidR="00C8443F" w:rsidRPr="00092053">
        <w:rPr>
          <w:rFonts w:eastAsia="Calibri"/>
          <w:lang w:val="es-PE" w:eastAsia="en-US"/>
        </w:rPr>
        <w:t>De otro lado, si bien a la fecha no se ha elaborado una metodología para evaluar la eficacia y los efectos de los programas de formación sobre la reducción de casos de tortura y malos tratos, el Centro de Derecho Internacional Humanitario y Derechos Humanos</w:t>
      </w:r>
      <w:r w:rsidR="00C8443F" w:rsidRPr="00092053">
        <w:rPr>
          <w:rStyle w:val="Refdenotaalfinal"/>
          <w:rFonts w:eastAsia="Calibri"/>
        </w:rPr>
        <w:footnoteReference w:id="87"/>
      </w:r>
      <w:r w:rsidR="00C8443F" w:rsidRPr="00092053">
        <w:rPr>
          <w:rFonts w:eastAsia="Calibri"/>
          <w:lang w:val="es-PE" w:eastAsia="en-US"/>
        </w:rPr>
        <w:t xml:space="preserve"> del Ministerio de Defensa continúa desarrollando actividades de formación y difusión. </w:t>
      </w:r>
    </w:p>
    <w:p w:rsidR="002A208C" w:rsidRPr="00092053" w:rsidRDefault="00092053" w:rsidP="00574AEE">
      <w:pPr>
        <w:pStyle w:val="SingleTxtG"/>
        <w:rPr>
          <w:rFonts w:eastAsia="Calibri"/>
          <w:lang w:val="es-PE" w:eastAsia="en-US"/>
        </w:rPr>
      </w:pPr>
      <w:r w:rsidRPr="00574AEE">
        <w:rPr>
          <w:rFonts w:eastAsia="Calibri"/>
          <w:lang w:val="es-PE" w:eastAsia="en-US"/>
        </w:rPr>
        <w:t>88.</w:t>
      </w:r>
      <w:r w:rsidRPr="00574AEE">
        <w:rPr>
          <w:rFonts w:eastAsia="Calibri"/>
          <w:lang w:val="es-PE" w:eastAsia="en-US"/>
        </w:rPr>
        <w:tab/>
      </w:r>
      <w:r w:rsidR="00C8443F" w:rsidRPr="00092053">
        <w:rPr>
          <w:rFonts w:eastAsia="Calibri"/>
          <w:lang w:val="es-PE" w:eastAsia="en-US"/>
        </w:rPr>
        <w:t xml:space="preserve">Precisamente, entre el 2012 y el 2016 ha capacitado a 7,107 personas, entre personal militar y civil del sector Defensa, jueces y fiscales. Se abordaron distintos temas, entre otros, los estándares de los DDHH, DIH y alcances del Derecho Penal Internacional. </w:t>
      </w:r>
      <w:r w:rsidR="00C8443F" w:rsidRPr="00092053">
        <w:rPr>
          <w:rFonts w:eastAsia="Calibri"/>
          <w:b/>
          <w:lang w:val="es-PE" w:eastAsia="en-US"/>
        </w:rPr>
        <w:t xml:space="preserve">Ver tabla </w:t>
      </w:r>
      <w:r w:rsidR="00FA45BC" w:rsidRPr="00353E55">
        <w:rPr>
          <w:rFonts w:eastAsia="Calibri"/>
          <w:b/>
          <w:lang w:val="es-PE" w:eastAsia="en-US"/>
        </w:rPr>
        <w:t>núm.</w:t>
      </w:r>
      <w:r w:rsidR="00C8443F" w:rsidRPr="00092053">
        <w:rPr>
          <w:rFonts w:eastAsia="Calibri"/>
          <w:b/>
          <w:lang w:val="es-PE" w:eastAsia="en-US"/>
        </w:rPr>
        <w:t xml:space="preserve"> 2 del Anexo </w:t>
      </w:r>
      <w:r w:rsidR="00FA45BC" w:rsidRPr="00353E55">
        <w:rPr>
          <w:rFonts w:eastAsia="Calibri"/>
          <w:b/>
          <w:lang w:val="es-PE" w:eastAsia="en-US"/>
        </w:rPr>
        <w:t>núm.</w:t>
      </w:r>
      <w:r w:rsidR="00C8443F" w:rsidRPr="00092053">
        <w:rPr>
          <w:rFonts w:eastAsia="Calibri"/>
          <w:b/>
          <w:lang w:val="es-PE" w:eastAsia="en-US"/>
        </w:rPr>
        <w:t xml:space="preserve"> 9.</w:t>
      </w:r>
    </w:p>
    <w:p w:rsidR="002A208C" w:rsidRPr="00092053" w:rsidRDefault="00092053" w:rsidP="00574AEE">
      <w:pPr>
        <w:pStyle w:val="SingleTxtG"/>
        <w:rPr>
          <w:rFonts w:eastAsia="Calibri"/>
          <w:lang w:val="es-PE" w:eastAsia="en-US"/>
        </w:rPr>
      </w:pPr>
      <w:r w:rsidRPr="00574AEE">
        <w:rPr>
          <w:rFonts w:eastAsia="Calibri"/>
          <w:lang w:val="es-PE" w:eastAsia="en-US"/>
        </w:rPr>
        <w:t>89.</w:t>
      </w:r>
      <w:r w:rsidRPr="00574AEE">
        <w:rPr>
          <w:rFonts w:eastAsia="Calibri"/>
          <w:lang w:val="es-PE" w:eastAsia="en-US"/>
        </w:rPr>
        <w:tab/>
      </w:r>
      <w:r w:rsidR="00C8443F" w:rsidRPr="00092053">
        <w:rPr>
          <w:rFonts w:eastAsia="Calibri"/>
          <w:lang w:val="es-PE" w:eastAsia="en-US"/>
        </w:rPr>
        <w:t>En el marco de las modificaciones de algunos textos normativos, en el 2016 se estableció como función del Jefe del Comando Conjunto de las Fuerzas Armadas</w:t>
      </w:r>
      <w:r w:rsidR="00C8443F" w:rsidRPr="00092053">
        <w:rPr>
          <w:rStyle w:val="Refdenotaalfinal"/>
          <w:rFonts w:eastAsia="Calibri"/>
        </w:rPr>
        <w:footnoteReference w:id="88"/>
      </w:r>
      <w:r w:rsidR="00E2576D" w:rsidRPr="00092053">
        <w:rPr>
          <w:rFonts w:eastAsia="Calibri"/>
          <w:lang w:val="es-PE" w:eastAsia="en-US"/>
        </w:rPr>
        <w:t xml:space="preserve"> </w:t>
      </w:r>
      <w:r w:rsidR="00C8443F" w:rsidRPr="00092053">
        <w:rPr>
          <w:rFonts w:eastAsia="Calibri"/>
          <w:lang w:val="es-PE" w:eastAsia="en-US"/>
        </w:rPr>
        <w:t xml:space="preserve">(CCFFAA) “disponer la difusión y el cumplimiento de la normativa nacional e internacional de los DDHH y Derecho Internacional Humanitario”. </w:t>
      </w:r>
    </w:p>
    <w:p w:rsidR="002A208C" w:rsidRPr="00092053" w:rsidRDefault="00092053" w:rsidP="00574AEE">
      <w:pPr>
        <w:pStyle w:val="SingleTxtG"/>
        <w:rPr>
          <w:rFonts w:eastAsia="Calibri"/>
          <w:lang w:val="es-PE" w:eastAsia="en-US"/>
        </w:rPr>
      </w:pPr>
      <w:r w:rsidRPr="00574AEE">
        <w:rPr>
          <w:rFonts w:eastAsia="Calibri"/>
          <w:lang w:val="es-PE" w:eastAsia="en-US"/>
        </w:rPr>
        <w:t>90.</w:t>
      </w:r>
      <w:r w:rsidRPr="00574AEE">
        <w:rPr>
          <w:rFonts w:eastAsia="Calibri"/>
          <w:lang w:val="es-PE" w:eastAsia="en-US"/>
        </w:rPr>
        <w:tab/>
      </w:r>
      <w:r w:rsidR="00C8443F" w:rsidRPr="00092053">
        <w:rPr>
          <w:rFonts w:eastAsia="Calibri"/>
          <w:lang w:val="es-PE" w:eastAsia="en-US"/>
        </w:rPr>
        <w:t>Consecuentemente, se asignó al Jefe del Estado Mayor Conjunto</w:t>
      </w:r>
      <w:r w:rsidR="00C8443F" w:rsidRPr="00092053">
        <w:rPr>
          <w:rStyle w:val="Refdenotaalfinal"/>
          <w:rFonts w:eastAsia="Calibri"/>
        </w:rPr>
        <w:footnoteReference w:id="89"/>
      </w:r>
      <w:r w:rsidR="00C8443F" w:rsidRPr="00092053">
        <w:rPr>
          <w:rFonts w:eastAsia="Calibri"/>
          <w:lang w:val="es-PE" w:eastAsia="en-US"/>
        </w:rPr>
        <w:t xml:space="preserve"> de las FFAA la función de “dictar las disposiciones para el cumplimiento de la normativa nacional e internacional y los acuerdos suscritos por el Estado en materia de DIH, en el ámbito de competencia del CCFFAA”, así como proponer la difusión y cumplimiento de estos (incluido el Derecho Internacional de los Derechos Humanos</w:t>
      </w:r>
      <w:r w:rsidR="00C8443F" w:rsidRPr="00092053">
        <w:rPr>
          <w:rStyle w:val="Refdenotaalfinal"/>
          <w:rFonts w:eastAsia="Calibri"/>
        </w:rPr>
        <w:footnoteReference w:id="90"/>
      </w:r>
      <w:r w:rsidR="00C8443F" w:rsidRPr="00AF2E0E">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91.</w:t>
      </w:r>
      <w:r w:rsidRPr="00574AEE">
        <w:rPr>
          <w:rFonts w:eastAsia="Calibri"/>
          <w:lang w:val="es-PE" w:eastAsia="en-US"/>
        </w:rPr>
        <w:tab/>
      </w:r>
      <w:r w:rsidR="00C8443F" w:rsidRPr="00092053">
        <w:rPr>
          <w:rFonts w:eastAsia="Calibri"/>
          <w:lang w:val="es-PE" w:eastAsia="en-US"/>
        </w:rPr>
        <w:t>El Fuero Militar Policial (FMP)</w:t>
      </w:r>
      <w:r w:rsidR="00C8443F" w:rsidRPr="00092053">
        <w:rPr>
          <w:rStyle w:val="Refdenotaalfinal"/>
          <w:rFonts w:eastAsia="Calibri"/>
        </w:rPr>
        <w:footnoteReference w:id="91"/>
      </w:r>
      <w:r w:rsidR="00C8443F" w:rsidRPr="00092053">
        <w:rPr>
          <w:rFonts w:eastAsia="Calibri"/>
          <w:lang w:val="es-PE" w:eastAsia="en-US"/>
        </w:rPr>
        <w:t xml:space="preserve">, a través de su órgano académico, el Centro de Altos Estudios de Justicia Militar organiza el “Curso para Magistrados Militares Policiales”, seguido por oficiales del Cuerpo Jurídico Militar Policial y abogados, estando dentro de las asignaturas desarrolladas: DDHH, Derecho Internacional Público. Así, a la fecha, se ha capacitado a 267 de sus integrantes. </w:t>
      </w:r>
    </w:p>
    <w:p w:rsidR="002A208C" w:rsidRPr="00092053" w:rsidRDefault="00092053" w:rsidP="00574AEE">
      <w:pPr>
        <w:pStyle w:val="SingleTxtG"/>
        <w:rPr>
          <w:rFonts w:eastAsia="Calibri"/>
          <w:lang w:val="es-PE" w:eastAsia="en-US"/>
        </w:rPr>
      </w:pPr>
      <w:r w:rsidRPr="00574AEE">
        <w:rPr>
          <w:rFonts w:eastAsia="Calibri"/>
          <w:lang w:val="es-PE" w:eastAsia="en-US"/>
        </w:rPr>
        <w:t>92.</w:t>
      </w:r>
      <w:r w:rsidRPr="00574AEE">
        <w:rPr>
          <w:rFonts w:eastAsia="Calibri"/>
          <w:lang w:val="es-PE" w:eastAsia="en-US"/>
        </w:rPr>
        <w:tab/>
      </w:r>
      <w:r w:rsidR="00C8443F" w:rsidRPr="00092053">
        <w:rPr>
          <w:rFonts w:eastAsia="Calibri"/>
          <w:lang w:val="es-PE" w:eastAsia="en-US"/>
        </w:rPr>
        <w:t>Por su parte, el MININTER ha mantenido como actividad permanente en su Plan Operativo Institucional la ejecución de acciones de formación en materia de DDHH aplicados a la función policial, a través de cursos y talleres teórico-prácticos. El 2013 se capacitó a 3</w:t>
      </w:r>
      <w:r w:rsidR="008422FC">
        <w:rPr>
          <w:rFonts w:eastAsia="Calibri"/>
          <w:lang w:val="es-PE" w:eastAsia="en-US"/>
        </w:rPr>
        <w:t>.</w:t>
      </w:r>
      <w:r w:rsidR="00C8443F" w:rsidRPr="00092053">
        <w:rPr>
          <w:rFonts w:eastAsia="Calibri"/>
          <w:lang w:val="es-PE" w:eastAsia="en-US"/>
        </w:rPr>
        <w:t>031; el 2014 a 4</w:t>
      </w:r>
      <w:r w:rsidR="008422FC">
        <w:rPr>
          <w:rFonts w:eastAsia="Calibri"/>
          <w:lang w:val="es-PE" w:eastAsia="en-US"/>
        </w:rPr>
        <w:t>.</w:t>
      </w:r>
      <w:r w:rsidR="00C8443F" w:rsidRPr="00092053">
        <w:rPr>
          <w:rFonts w:eastAsia="Calibri"/>
          <w:lang w:val="es-PE" w:eastAsia="en-US"/>
        </w:rPr>
        <w:t>552 y el 2015 a 5</w:t>
      </w:r>
      <w:r w:rsidR="008422FC">
        <w:rPr>
          <w:rFonts w:eastAsia="Calibri"/>
          <w:lang w:val="es-PE" w:eastAsia="en-US"/>
        </w:rPr>
        <w:t>.</w:t>
      </w:r>
      <w:r w:rsidR="00C8443F" w:rsidRPr="00092053">
        <w:rPr>
          <w:rFonts w:eastAsia="Calibri"/>
          <w:lang w:val="es-PE" w:eastAsia="en-US"/>
        </w:rPr>
        <w:t>560 efectivos policiales que prestaban servicios en diferentes unidades policiales del país. En el presente año, la PNP, a través de su Dirección de Asesoramiento en DDHH del Estado Mayor General PNP, informó que se había capacitado a 8</w:t>
      </w:r>
      <w:r w:rsidR="008422FC">
        <w:rPr>
          <w:rFonts w:eastAsia="Calibri"/>
          <w:lang w:val="es-PE" w:eastAsia="en-US"/>
        </w:rPr>
        <w:t>.</w:t>
      </w:r>
      <w:r w:rsidR="00C8443F" w:rsidRPr="00092053">
        <w:rPr>
          <w:rFonts w:eastAsia="Calibri"/>
          <w:lang w:val="es-PE" w:eastAsia="en-US"/>
        </w:rPr>
        <w:t>000 efectivos policiales en veinte actividades en varias regiones del país</w:t>
      </w:r>
      <w:r w:rsidR="00C8443F" w:rsidRPr="00092053">
        <w:rPr>
          <w:rStyle w:val="Refdenotaalfinal"/>
          <w:rFonts w:eastAsia="Calibri"/>
        </w:rPr>
        <w:footnoteReference w:id="92"/>
      </w:r>
      <w:r w:rsidR="00E2576D"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93.</w:t>
      </w:r>
      <w:r w:rsidRPr="00574AEE">
        <w:rPr>
          <w:rFonts w:eastAsia="Calibri"/>
          <w:lang w:val="es-PE" w:eastAsia="en-US"/>
        </w:rPr>
        <w:tab/>
      </w:r>
      <w:r w:rsidR="00C8443F" w:rsidRPr="00092053">
        <w:rPr>
          <w:rFonts w:eastAsia="Calibri"/>
          <w:lang w:val="es-PE" w:eastAsia="en-US"/>
        </w:rPr>
        <w:t xml:space="preserve">Asimismo, con el propósito de afirmar la política sectorial sobre DDHH y uso de la fuerza, a partir de la aprobación del Decreto Legislativo </w:t>
      </w:r>
      <w:r w:rsidR="00CD52E7">
        <w:rPr>
          <w:rFonts w:eastAsia="Calibri"/>
          <w:lang w:val="es-ES_tradnl"/>
        </w:rPr>
        <w:t>núm.</w:t>
      </w:r>
      <w:r w:rsidR="00C8443F" w:rsidRPr="00092053">
        <w:rPr>
          <w:rFonts w:eastAsia="Calibri"/>
          <w:lang w:val="es-PE" w:eastAsia="en-US"/>
        </w:rPr>
        <w:t xml:space="preserve"> 1186</w:t>
      </w:r>
      <w:r w:rsidR="00C8443F" w:rsidRPr="00092053">
        <w:rPr>
          <w:rStyle w:val="Refdenotaalfinal"/>
          <w:rFonts w:eastAsia="Calibri"/>
        </w:rPr>
        <w:footnoteReference w:id="93"/>
      </w:r>
      <w:r w:rsidR="00C8443F" w:rsidRPr="00092053">
        <w:rPr>
          <w:rFonts w:eastAsia="Calibri"/>
          <w:lang w:val="es-PE" w:eastAsia="en-US"/>
        </w:rPr>
        <w:t>, y su reglamento</w:t>
      </w:r>
      <w:r w:rsidR="00C8443F" w:rsidRPr="00092053">
        <w:rPr>
          <w:rStyle w:val="Refdenotaalfinal"/>
          <w:rFonts w:eastAsia="Calibri"/>
        </w:rPr>
        <w:footnoteReference w:id="94"/>
      </w:r>
      <w:r w:rsidR="00C8443F" w:rsidRPr="00092053">
        <w:rPr>
          <w:rFonts w:eastAsia="Calibri"/>
          <w:lang w:val="es-PE" w:eastAsia="en-US"/>
        </w:rPr>
        <w:t xml:space="preserve">, el MININTER ha dispuesto la actualización del Manual de DDHH aplicados a la Función Policial, la formulación de lineamientos para la enseñanza y capacitación en DDHH, la certificación para el uso de medios de policía mediante los cursos de capacitación en DDHH aplicados a la función policial, y la adecuación de los planes de capacitación y entrenamiento relacionados al uso de la fuerza con los estándares y disposiciones establecidos en el Decreto Legislativo </w:t>
      </w:r>
      <w:r w:rsidR="00CD52E7">
        <w:rPr>
          <w:rFonts w:eastAsia="Calibri"/>
          <w:lang w:val="es-ES_tradnl"/>
        </w:rPr>
        <w:t>núm.</w:t>
      </w:r>
      <w:r w:rsidR="00C8443F" w:rsidRPr="00092053">
        <w:rPr>
          <w:rFonts w:eastAsia="Calibri"/>
          <w:lang w:val="es-PE" w:eastAsia="en-US"/>
        </w:rPr>
        <w:t xml:space="preserve"> 1186. En el desarrollo de estas acciones se </w:t>
      </w:r>
      <w:r w:rsidR="00C8443F" w:rsidRPr="00092053">
        <w:rPr>
          <w:rFonts w:eastAsia="Calibri"/>
          <w:lang w:val="es-PE" w:eastAsia="en-US"/>
        </w:rPr>
        <w:lastRenderedPageBreak/>
        <w:t>considera el establecimiento de una metodología para evaluar la eficacia y los efecto</w:t>
      </w:r>
      <w:r w:rsidR="00E2576D" w:rsidRPr="00092053">
        <w:rPr>
          <w:rFonts w:eastAsia="Calibri"/>
          <w:lang w:val="es-PE" w:eastAsia="en-US"/>
        </w:rPr>
        <w:t>s de los programas de formación</w:t>
      </w:r>
      <w:r w:rsidR="00C8443F" w:rsidRPr="00092053">
        <w:rPr>
          <w:rStyle w:val="Refdenotaalfinal"/>
          <w:rFonts w:eastAsia="Calibri"/>
        </w:rPr>
        <w:footnoteReference w:id="95"/>
      </w:r>
      <w:r w:rsidR="00E2576D"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94.</w:t>
      </w:r>
      <w:r w:rsidRPr="00574AEE">
        <w:rPr>
          <w:rFonts w:eastAsia="Calibri"/>
          <w:lang w:val="es-PE" w:eastAsia="en-US"/>
        </w:rPr>
        <w:tab/>
      </w:r>
      <w:r w:rsidR="00C8443F" w:rsidRPr="00092053">
        <w:rPr>
          <w:rFonts w:eastAsia="Calibri"/>
          <w:lang w:val="es-PE" w:eastAsia="en-US"/>
        </w:rPr>
        <w:t xml:space="preserve">De la misma forma, mediante el Decreto Legislativo </w:t>
      </w:r>
      <w:r w:rsidR="00CD52E7">
        <w:rPr>
          <w:rFonts w:eastAsia="Calibri"/>
          <w:lang w:val="es-ES_tradnl"/>
        </w:rPr>
        <w:t>núm.</w:t>
      </w:r>
      <w:r w:rsidR="00C8443F" w:rsidRPr="00092053">
        <w:rPr>
          <w:rFonts w:eastAsia="Calibri"/>
          <w:lang w:val="es-PE" w:eastAsia="en-US"/>
        </w:rPr>
        <w:t xml:space="preserve"> 1318, se establecieron diversas disposiciones para normar la formación profesional de la PNP con la finalidad de lograr un cuerpo policial profesional formado en escuelas que cumplan con una estructura organizativa y funcional eficiente, sobre la base de criterios académicos vinculados</w:t>
      </w:r>
      <w:r w:rsidR="00E2576D" w:rsidRPr="00092053">
        <w:rPr>
          <w:rFonts w:eastAsia="Calibri"/>
          <w:lang w:val="es-PE" w:eastAsia="en-US"/>
        </w:rPr>
        <w:t xml:space="preserve"> a un perfil idóneo para la PNP</w:t>
      </w:r>
      <w:r w:rsidR="00C8443F" w:rsidRPr="00092053">
        <w:rPr>
          <w:rStyle w:val="Refdenotaalfinal"/>
          <w:rFonts w:eastAsia="Calibri"/>
        </w:rPr>
        <w:footnoteReference w:id="96"/>
      </w:r>
      <w:r w:rsidR="00E2576D" w:rsidRPr="00092053">
        <w:rPr>
          <w:rFonts w:eastAsia="Calibri"/>
          <w:lang w:val="es-PE" w:eastAsia="en-US"/>
        </w:rPr>
        <w:t>.</w:t>
      </w:r>
    </w:p>
    <w:p w:rsidR="002A208C" w:rsidRPr="00FA45BC" w:rsidRDefault="004F7B54" w:rsidP="00574AEE">
      <w:pPr>
        <w:pStyle w:val="H1G"/>
        <w:rPr>
          <w:rFonts w:eastAsia="Calibri"/>
          <w:lang w:val="es-PE" w:eastAsia="en-US"/>
        </w:rPr>
      </w:pPr>
      <w:bookmarkStart w:id="124" w:name="_Toc468627312"/>
      <w:bookmarkStart w:id="125" w:name="_Toc468642604"/>
      <w:bookmarkStart w:id="126" w:name="_Toc468721274"/>
      <w:bookmarkStart w:id="127" w:name="_Toc471137672"/>
      <w:bookmarkStart w:id="128" w:name="_Toc472097457"/>
      <w:bookmarkStart w:id="129" w:name="_Toc484774080"/>
      <w:r w:rsidRPr="00FA45BC">
        <w:rPr>
          <w:rFonts w:eastAsia="Calibri"/>
          <w:lang w:val="es-PE" w:eastAsia="en-US"/>
        </w:rPr>
        <w:tab/>
      </w:r>
      <w:r w:rsidRPr="00FA45BC">
        <w:rPr>
          <w:rFonts w:eastAsia="Calibri"/>
          <w:lang w:val="es-PE" w:eastAsia="en-US"/>
        </w:rPr>
        <w:tab/>
      </w:r>
      <w:r w:rsidR="00C8443F" w:rsidRPr="00FA45BC">
        <w:rPr>
          <w:rFonts w:eastAsia="Calibri"/>
          <w:lang w:val="es-PE" w:eastAsia="en-US"/>
        </w:rPr>
        <w:t>Artículo 11°</w:t>
      </w:r>
      <w:bookmarkEnd w:id="124"/>
      <w:bookmarkEnd w:id="125"/>
      <w:bookmarkEnd w:id="126"/>
      <w:bookmarkEnd w:id="127"/>
      <w:bookmarkEnd w:id="128"/>
      <w:bookmarkEnd w:id="129"/>
    </w:p>
    <w:p w:rsidR="002A208C" w:rsidRPr="00092053" w:rsidRDefault="004F7B54" w:rsidP="004F7B54">
      <w:pPr>
        <w:pStyle w:val="H23G"/>
        <w:rPr>
          <w:rFonts w:eastAsia="Calibri"/>
          <w:lang w:val="es-PE" w:eastAsia="en-US"/>
        </w:rPr>
      </w:pPr>
      <w:bookmarkStart w:id="130" w:name="_Toc468627313"/>
      <w:bookmarkStart w:id="131" w:name="_Toc468642605"/>
      <w:bookmarkStart w:id="132" w:name="_Toc468721275"/>
      <w:bookmarkStart w:id="133" w:name="_Toc471137673"/>
      <w:bookmarkStart w:id="134" w:name="_Toc472097458"/>
      <w:bookmarkStart w:id="135" w:name="_Toc484774081"/>
      <w:r w:rsidRPr="00092053">
        <w:rPr>
          <w:rFonts w:eastAsia="Calibri"/>
          <w:lang w:val="es-PE" w:eastAsia="en-US"/>
        </w:rPr>
        <w:tab/>
      </w:r>
      <w:r w:rsidRPr="00092053">
        <w:rPr>
          <w:rFonts w:eastAsia="Calibri"/>
          <w:lang w:val="es-PE" w:eastAsia="en-US"/>
        </w:rPr>
        <w:tab/>
      </w:r>
      <w:r w:rsidR="00C8443F" w:rsidRPr="00092053">
        <w:rPr>
          <w:rFonts w:eastAsia="Calibri"/>
          <w:lang w:val="es-PE" w:eastAsia="en-US"/>
        </w:rPr>
        <w:t>Respuesta al párrafo 16 al 19</w:t>
      </w:r>
      <w:bookmarkEnd w:id="130"/>
      <w:bookmarkEnd w:id="131"/>
      <w:bookmarkEnd w:id="132"/>
      <w:bookmarkEnd w:id="133"/>
      <w:bookmarkEnd w:id="134"/>
      <w:bookmarkEnd w:id="135"/>
      <w:r w:rsidR="00C8443F" w:rsidRPr="00092053">
        <w:rPr>
          <w:rFonts w:eastAsia="Calibri"/>
          <w:lang w:val="es-PE" w:eastAsia="en-US"/>
        </w:rPr>
        <w:t xml:space="preserve"> </w:t>
      </w:r>
    </w:p>
    <w:p w:rsidR="002A208C" w:rsidRPr="00092053" w:rsidRDefault="004F7B54" w:rsidP="004F7B54">
      <w:pPr>
        <w:pStyle w:val="H23G"/>
        <w:rPr>
          <w:rFonts w:eastAsia="Calibri"/>
          <w:lang w:val="es-PE" w:eastAsia="en-US"/>
        </w:rPr>
      </w:pPr>
      <w:r w:rsidRPr="00092053">
        <w:rPr>
          <w:rFonts w:eastAsia="Calibri"/>
          <w:b w:val="0"/>
          <w:lang w:val="es-PE" w:eastAsia="en-US"/>
        </w:rPr>
        <w:tab/>
      </w:r>
      <w:r w:rsidRPr="00092053">
        <w:rPr>
          <w:rFonts w:eastAsia="Calibri"/>
          <w:lang w:val="es-PE" w:eastAsia="en-US"/>
        </w:rPr>
        <w:t>a)</w:t>
      </w:r>
      <w:r w:rsidRPr="00092053">
        <w:rPr>
          <w:rFonts w:eastAsia="Calibri"/>
          <w:lang w:val="es-PE" w:eastAsia="en-US"/>
        </w:rPr>
        <w:tab/>
      </w:r>
      <w:r w:rsidR="00C8443F" w:rsidRPr="00092053">
        <w:rPr>
          <w:rFonts w:eastAsia="Calibri"/>
          <w:lang w:val="es-PE" w:eastAsia="en-US"/>
        </w:rPr>
        <w:t>Condiciones de las personas privadas de libertad</w:t>
      </w:r>
    </w:p>
    <w:p w:rsidR="00C8443F" w:rsidRPr="00092053" w:rsidRDefault="00092053" w:rsidP="00574AEE">
      <w:pPr>
        <w:pStyle w:val="SingleTxtG"/>
        <w:rPr>
          <w:rFonts w:eastAsia="Calibri"/>
          <w:lang w:val="es-PE" w:eastAsia="en-US"/>
        </w:rPr>
      </w:pPr>
      <w:r w:rsidRPr="00574AEE">
        <w:rPr>
          <w:rFonts w:eastAsia="Calibri"/>
          <w:lang w:val="es-PE" w:eastAsia="en-US"/>
        </w:rPr>
        <w:t>95.</w:t>
      </w:r>
      <w:r w:rsidRPr="00574AEE">
        <w:rPr>
          <w:rFonts w:eastAsia="Calibri"/>
          <w:lang w:val="es-PE" w:eastAsia="en-US"/>
        </w:rPr>
        <w:tab/>
      </w:r>
      <w:r w:rsidR="00C8443F" w:rsidRPr="00092053">
        <w:rPr>
          <w:rFonts w:eastAsia="Calibri"/>
          <w:lang w:val="es-PE" w:eastAsia="en-US"/>
        </w:rPr>
        <w:t xml:space="preserve">El Perú aprobó, mediante Decreto Supremo </w:t>
      </w:r>
      <w:r w:rsidR="00CD52E7">
        <w:rPr>
          <w:rFonts w:eastAsia="Calibri"/>
          <w:lang w:val="es-ES_tradnl"/>
        </w:rPr>
        <w:t>núm.</w:t>
      </w:r>
      <w:r w:rsidR="00C8443F" w:rsidRPr="00092053">
        <w:rPr>
          <w:rFonts w:eastAsia="Calibri"/>
          <w:lang w:val="es-PE" w:eastAsia="en-US"/>
        </w:rPr>
        <w:t xml:space="preserve"> 005-2016-JUS</w:t>
      </w:r>
      <w:r w:rsidR="00C8443F" w:rsidRPr="00092053">
        <w:rPr>
          <w:rStyle w:val="Refdenotaalfinal"/>
          <w:rFonts w:eastAsia="Calibri"/>
        </w:rPr>
        <w:footnoteReference w:id="97"/>
      </w:r>
      <w:r w:rsidR="00C8443F" w:rsidRPr="00092053">
        <w:rPr>
          <w:rFonts w:eastAsia="Calibri"/>
          <w:lang w:val="es-PE" w:eastAsia="en-US"/>
        </w:rPr>
        <w:t>, la Política Nacional Penitenciaria y el Plan Nacional de la Política Penitenciaria 2016-2020, que comprende la incorporación del enfoque de DDHH, género, persona e interculturalidad, y cuenta con tres ejes estratégicos: i) sistema de Justicia Penal</w:t>
      </w:r>
      <w:r w:rsidR="00BB3C20">
        <w:rPr>
          <w:rFonts w:eastAsia="Calibri"/>
          <w:lang w:val="es-PE" w:eastAsia="en-US"/>
        </w:rPr>
        <w:t>;</w:t>
      </w:r>
      <w:r w:rsidR="00C8443F" w:rsidRPr="00092053">
        <w:rPr>
          <w:rFonts w:eastAsia="Calibri"/>
          <w:lang w:val="es-PE" w:eastAsia="en-US"/>
        </w:rPr>
        <w:t xml:space="preserve"> ii) tratamiento</w:t>
      </w:r>
      <w:r w:rsidR="00BB3C20">
        <w:rPr>
          <w:rFonts w:eastAsia="Calibri"/>
          <w:lang w:val="es-PE" w:eastAsia="en-US"/>
        </w:rPr>
        <w:t>;</w:t>
      </w:r>
      <w:r w:rsidR="00C8443F" w:rsidRPr="00092053">
        <w:rPr>
          <w:rFonts w:eastAsia="Calibri"/>
          <w:lang w:val="es-PE" w:eastAsia="en-US"/>
        </w:rPr>
        <w:t xml:space="preserve"> y iii)</w:t>
      </w:r>
      <w:r w:rsidR="00BB3C20">
        <w:rPr>
          <w:rFonts w:eastAsia="Calibri"/>
          <w:lang w:val="es-PE" w:eastAsia="en-US"/>
        </w:rPr>
        <w:t> </w:t>
      </w:r>
      <w:r w:rsidR="00C8443F" w:rsidRPr="00092053">
        <w:rPr>
          <w:rFonts w:eastAsia="Calibri"/>
          <w:lang w:val="es-PE" w:eastAsia="en-US"/>
        </w:rPr>
        <w:t>racionalización.</w:t>
      </w:r>
    </w:p>
    <w:p w:rsidR="002A208C" w:rsidRPr="00092053" w:rsidRDefault="00092053" w:rsidP="00574AEE">
      <w:pPr>
        <w:pStyle w:val="SingleTxtG"/>
        <w:rPr>
          <w:rFonts w:eastAsia="Calibri"/>
          <w:lang w:val="es-PE" w:eastAsia="en-US"/>
        </w:rPr>
      </w:pPr>
      <w:r w:rsidRPr="00574AEE">
        <w:rPr>
          <w:rFonts w:eastAsia="Calibri"/>
          <w:lang w:val="es-PE" w:eastAsia="en-US"/>
        </w:rPr>
        <w:t>96.</w:t>
      </w:r>
      <w:r w:rsidRPr="00574AEE">
        <w:rPr>
          <w:rFonts w:eastAsia="Calibri"/>
          <w:lang w:val="es-PE" w:eastAsia="en-US"/>
        </w:rPr>
        <w:tab/>
      </w:r>
      <w:r w:rsidR="00C8443F" w:rsidRPr="00092053">
        <w:rPr>
          <w:rFonts w:eastAsia="Calibri"/>
          <w:lang w:val="es-PE" w:eastAsia="en-US"/>
        </w:rPr>
        <w:t>Adicionalmente, se desarrolló el primer “Censo Nacional de Población Penitenciaria 2016</w:t>
      </w:r>
      <w:r w:rsidR="00C8443F" w:rsidRPr="00092053">
        <w:rPr>
          <w:rStyle w:val="Refdenotaalfinal"/>
          <w:rFonts w:eastAsia="Calibri"/>
        </w:rPr>
        <w:footnoteReference w:id="98"/>
      </w:r>
      <w:r w:rsidR="00C8443F" w:rsidRPr="00092053">
        <w:rPr>
          <w:rFonts w:eastAsia="Calibri"/>
          <w:lang w:val="es-PE" w:eastAsia="en-US"/>
        </w:rPr>
        <w:t>”, realizado de manera conjunta con el Instituto Nacional de Estadística e Informática, el Instituto Nacional Penitenciario (INPE) y el Observatorio Nacional de Criminalidad en los 67 establecimientos penitenciarios del Estado, obteniéndose la siguiente información:</w:t>
      </w:r>
    </w:p>
    <w:p w:rsidR="002A208C" w:rsidRPr="00092053" w:rsidRDefault="004E0651" w:rsidP="004E0651">
      <w:pPr>
        <w:pStyle w:val="SingleTxtG"/>
        <w:rPr>
          <w:rFonts w:eastAsia="Calibri"/>
          <w:b/>
          <w:lang w:val="es-PE" w:eastAsia="en-US"/>
        </w:rPr>
      </w:pPr>
      <w:r w:rsidRPr="00092053">
        <w:rPr>
          <w:rFonts w:eastAsia="Calibri"/>
          <w:lang w:val="es-PE" w:eastAsia="en-US"/>
        </w:rPr>
        <w:tab/>
      </w:r>
      <w:r w:rsidR="00C8443F" w:rsidRPr="00092053">
        <w:rPr>
          <w:rFonts w:eastAsia="Calibri"/>
          <w:lang w:val="es-PE" w:eastAsia="en-US"/>
        </w:rPr>
        <w:t>1</w:t>
      </w:r>
      <w:r w:rsidRPr="00092053">
        <w:rPr>
          <w:rFonts w:eastAsia="Calibri"/>
          <w:lang w:val="es-PE" w:eastAsia="en-US"/>
        </w:rPr>
        <w:t>)</w:t>
      </w:r>
      <w:r w:rsidRPr="00092053">
        <w:rPr>
          <w:rFonts w:eastAsia="Calibri"/>
          <w:lang w:val="es-PE" w:eastAsia="en-US"/>
        </w:rPr>
        <w:tab/>
      </w:r>
      <w:r w:rsidR="00C8443F" w:rsidRPr="00092053">
        <w:rPr>
          <w:rFonts w:eastAsia="Calibri"/>
          <w:lang w:val="es-PE" w:eastAsia="en-US"/>
        </w:rPr>
        <w:t xml:space="preserve">El número de personas privadas de </w:t>
      </w:r>
      <w:r w:rsidR="00C8443F" w:rsidRPr="00092053">
        <w:rPr>
          <w:rFonts w:eastAsia="Calibri"/>
        </w:rPr>
        <w:t>libertad</w:t>
      </w:r>
      <w:r w:rsidR="00C8443F" w:rsidRPr="00092053">
        <w:rPr>
          <w:rFonts w:eastAsia="Calibri"/>
          <w:lang w:val="es-PE" w:eastAsia="en-US"/>
        </w:rPr>
        <w:t xml:space="preserve"> (PPL) en los 66 establecimientos penitenciarios del país es 76</w:t>
      </w:r>
      <w:r w:rsidR="00BB3C20">
        <w:rPr>
          <w:rFonts w:eastAsia="Calibri"/>
          <w:lang w:val="es-PE" w:eastAsia="en-US"/>
        </w:rPr>
        <w:t>.</w:t>
      </w:r>
      <w:r w:rsidR="00C8443F" w:rsidRPr="00092053">
        <w:rPr>
          <w:rFonts w:eastAsia="Calibri"/>
          <w:lang w:val="es-PE" w:eastAsia="en-US"/>
        </w:rPr>
        <w:t>180. Dado que se excluyen 37 casos no especificados, de 76</w:t>
      </w:r>
      <w:r w:rsidR="00785954">
        <w:rPr>
          <w:rFonts w:eastAsia="Calibri"/>
          <w:lang w:val="es-PE" w:eastAsia="en-US"/>
        </w:rPr>
        <w:t>.</w:t>
      </w:r>
      <w:r w:rsidR="00C8443F" w:rsidRPr="00092053">
        <w:rPr>
          <w:rFonts w:eastAsia="Calibri"/>
          <w:lang w:val="es-PE" w:eastAsia="en-US"/>
        </w:rPr>
        <w:t>143 presos, 71</w:t>
      </w:r>
      <w:r w:rsidR="00785954">
        <w:rPr>
          <w:rFonts w:eastAsia="Calibri"/>
          <w:lang w:val="es-PE" w:eastAsia="en-US"/>
        </w:rPr>
        <w:t>.</w:t>
      </w:r>
      <w:r w:rsidR="00C8443F" w:rsidRPr="00092053">
        <w:rPr>
          <w:rFonts w:eastAsia="Calibri"/>
          <w:lang w:val="es-PE" w:eastAsia="en-US"/>
        </w:rPr>
        <w:t>569 son varones y 4</w:t>
      </w:r>
      <w:r w:rsidR="00785954">
        <w:rPr>
          <w:rFonts w:eastAsia="Calibri"/>
          <w:lang w:val="es-PE" w:eastAsia="en-US"/>
        </w:rPr>
        <w:t>.</w:t>
      </w:r>
      <w:r w:rsidR="00C8443F" w:rsidRPr="00092053">
        <w:rPr>
          <w:rFonts w:eastAsia="Calibri"/>
          <w:lang w:val="es-PE" w:eastAsia="en-US"/>
        </w:rPr>
        <w:t>574 son mujeres</w:t>
      </w:r>
      <w:r w:rsidR="00C8443F" w:rsidRPr="00092053">
        <w:rPr>
          <w:rFonts w:eastAsia="Calibri"/>
          <w:vertAlign w:val="superscript"/>
          <w:lang w:val="es-PE" w:eastAsia="en-US"/>
        </w:rPr>
        <w:footnoteReference w:id="99"/>
      </w:r>
      <w:r w:rsidR="00C8443F" w:rsidRPr="00092053">
        <w:rPr>
          <w:rFonts w:eastAsia="Calibri"/>
          <w:lang w:val="es-PE" w:eastAsia="en-US"/>
        </w:rPr>
        <w:t>. Ver</w:t>
      </w:r>
      <w:r w:rsidR="00C8443F" w:rsidRPr="00092053">
        <w:rPr>
          <w:rFonts w:eastAsia="Calibri"/>
          <w:b/>
          <w:lang w:val="es-PE" w:eastAsia="en-US"/>
        </w:rPr>
        <w:t xml:space="preserve"> tabla </w:t>
      </w:r>
      <w:r w:rsidR="00FA45BC" w:rsidRPr="00353E55">
        <w:rPr>
          <w:rFonts w:eastAsia="Calibri"/>
          <w:b/>
          <w:lang w:val="es-PE" w:eastAsia="en-US"/>
        </w:rPr>
        <w:t>núm.</w:t>
      </w:r>
      <w:r w:rsidR="00C8443F" w:rsidRPr="00092053">
        <w:rPr>
          <w:rFonts w:eastAsia="Calibri"/>
          <w:b/>
          <w:lang w:val="es-PE" w:eastAsia="en-US"/>
        </w:rPr>
        <w:t xml:space="preserve"> 1 del Anexo </w:t>
      </w:r>
      <w:r w:rsidR="00FA45BC" w:rsidRPr="00353E55">
        <w:rPr>
          <w:rFonts w:eastAsia="Calibri"/>
          <w:b/>
          <w:lang w:val="es-PE" w:eastAsia="en-US"/>
        </w:rPr>
        <w:t>núm.</w:t>
      </w:r>
      <w:r w:rsidR="00C8443F" w:rsidRPr="00092053">
        <w:rPr>
          <w:rFonts w:eastAsia="Calibri"/>
          <w:b/>
          <w:lang w:val="es-PE" w:eastAsia="en-US"/>
        </w:rPr>
        <w:t xml:space="preserve"> 10.</w:t>
      </w:r>
    </w:p>
    <w:p w:rsidR="002A208C" w:rsidRPr="00092053" w:rsidRDefault="004E0651" w:rsidP="004E0651">
      <w:pPr>
        <w:pStyle w:val="SingleTxtG"/>
        <w:rPr>
          <w:rFonts w:eastAsia="Calibri"/>
          <w:b/>
          <w:lang w:val="es-PE" w:eastAsia="en-US"/>
        </w:rPr>
      </w:pPr>
      <w:r w:rsidRPr="00092053">
        <w:rPr>
          <w:rFonts w:eastAsia="Calibri"/>
          <w:lang w:val="es-PE" w:eastAsia="en-US"/>
        </w:rPr>
        <w:tab/>
        <w:t>2)</w:t>
      </w:r>
      <w:r w:rsidRPr="00092053">
        <w:rPr>
          <w:rFonts w:eastAsia="Calibri"/>
          <w:lang w:val="es-PE" w:eastAsia="en-US"/>
        </w:rPr>
        <w:tab/>
      </w:r>
      <w:r w:rsidR="00C8443F" w:rsidRPr="00092053">
        <w:rPr>
          <w:rFonts w:eastAsia="Calibri"/>
          <w:lang w:val="es-PE" w:eastAsia="en-US"/>
        </w:rPr>
        <w:t>De las 76</w:t>
      </w:r>
      <w:r w:rsidR="00785954">
        <w:rPr>
          <w:rFonts w:eastAsia="Calibri"/>
          <w:lang w:val="es-PE" w:eastAsia="en-US"/>
        </w:rPr>
        <w:t>.</w:t>
      </w:r>
      <w:r w:rsidR="00C8443F" w:rsidRPr="00092053">
        <w:rPr>
          <w:rFonts w:eastAsia="Calibri"/>
          <w:lang w:val="es-PE" w:eastAsia="en-US"/>
        </w:rPr>
        <w:t>142 PPL (se excluyen 38 casos no especificados); 12</w:t>
      </w:r>
      <w:r w:rsidR="00785954">
        <w:rPr>
          <w:rFonts w:eastAsia="Calibri"/>
          <w:lang w:val="es-PE" w:eastAsia="en-US"/>
        </w:rPr>
        <w:t>.</w:t>
      </w:r>
      <w:r w:rsidR="00C8443F" w:rsidRPr="00092053">
        <w:rPr>
          <w:rFonts w:eastAsia="Calibri"/>
          <w:lang w:val="es-PE" w:eastAsia="en-US"/>
        </w:rPr>
        <w:t>285 tienen entre 18 y 24 años; 13</w:t>
      </w:r>
      <w:r w:rsidR="00785954">
        <w:rPr>
          <w:rFonts w:eastAsia="Calibri"/>
          <w:lang w:val="es-PE" w:eastAsia="en-US"/>
        </w:rPr>
        <w:t>.</w:t>
      </w:r>
      <w:r w:rsidR="00C8443F" w:rsidRPr="00092053">
        <w:rPr>
          <w:rFonts w:eastAsia="Calibri"/>
          <w:lang w:val="es-PE" w:eastAsia="en-US"/>
        </w:rPr>
        <w:t>870 entre 25-29 años; 32</w:t>
      </w:r>
      <w:r w:rsidR="00785954">
        <w:rPr>
          <w:rFonts w:eastAsia="Calibri"/>
          <w:lang w:val="es-PE" w:eastAsia="en-US"/>
        </w:rPr>
        <w:t>.</w:t>
      </w:r>
      <w:r w:rsidR="00C8443F" w:rsidRPr="00092053">
        <w:rPr>
          <w:rFonts w:eastAsia="Calibri"/>
          <w:lang w:val="es-PE" w:eastAsia="en-US"/>
        </w:rPr>
        <w:t>926 entre 30-44 años; 14</w:t>
      </w:r>
      <w:r w:rsidR="00785954">
        <w:rPr>
          <w:rFonts w:eastAsia="Calibri"/>
          <w:lang w:val="es-PE" w:eastAsia="en-US"/>
        </w:rPr>
        <w:t>.</w:t>
      </w:r>
      <w:r w:rsidR="00C8443F" w:rsidRPr="00092053">
        <w:rPr>
          <w:rFonts w:eastAsia="Calibri"/>
          <w:lang w:val="es-PE" w:eastAsia="en-US"/>
        </w:rPr>
        <w:t>060 entre 45-59 años y 3</w:t>
      </w:r>
      <w:r w:rsidR="00785954">
        <w:rPr>
          <w:rFonts w:eastAsia="Calibri"/>
          <w:lang w:val="es-PE" w:eastAsia="en-US"/>
        </w:rPr>
        <w:t>.</w:t>
      </w:r>
      <w:r w:rsidR="00C8443F" w:rsidRPr="00092053">
        <w:rPr>
          <w:rFonts w:eastAsia="Calibri"/>
          <w:lang w:val="es-PE" w:eastAsia="en-US"/>
        </w:rPr>
        <w:t>001 tienen entre 60 y más años</w:t>
      </w:r>
      <w:r w:rsidR="00C8443F" w:rsidRPr="00092053">
        <w:rPr>
          <w:rFonts w:eastAsia="Calibri"/>
          <w:vertAlign w:val="superscript"/>
          <w:lang w:val="es-PE" w:eastAsia="en-US"/>
        </w:rPr>
        <w:footnoteReference w:id="100"/>
      </w:r>
      <w:r w:rsidR="00C8443F" w:rsidRPr="00092053">
        <w:rPr>
          <w:rFonts w:eastAsia="Calibri"/>
          <w:lang w:val="es-PE" w:eastAsia="en-US"/>
        </w:rPr>
        <w:t xml:space="preserve">. Ver </w:t>
      </w:r>
      <w:r w:rsidR="00C8443F" w:rsidRPr="00092053">
        <w:rPr>
          <w:rFonts w:eastAsia="Calibri"/>
          <w:b/>
          <w:lang w:val="es-PE" w:eastAsia="en-US"/>
        </w:rPr>
        <w:t xml:space="preserve">tabla </w:t>
      </w:r>
      <w:r w:rsidR="00FA45BC" w:rsidRPr="00353E55">
        <w:rPr>
          <w:rFonts w:eastAsia="Calibri"/>
          <w:b/>
          <w:lang w:val="es-PE" w:eastAsia="en-US"/>
        </w:rPr>
        <w:t>núm.</w:t>
      </w:r>
      <w:r w:rsidR="00C8443F" w:rsidRPr="00092053">
        <w:rPr>
          <w:rFonts w:eastAsia="Calibri"/>
          <w:b/>
          <w:lang w:val="es-PE" w:eastAsia="en-US"/>
        </w:rPr>
        <w:t xml:space="preserve"> 2 del Anexo </w:t>
      </w:r>
      <w:r w:rsidR="00FA45BC" w:rsidRPr="00353E55">
        <w:rPr>
          <w:rFonts w:eastAsia="Calibri"/>
          <w:b/>
          <w:lang w:val="es-PE" w:eastAsia="en-US"/>
        </w:rPr>
        <w:t>núm.</w:t>
      </w:r>
      <w:r w:rsidR="00C8443F" w:rsidRPr="00092053">
        <w:rPr>
          <w:rFonts w:eastAsia="Calibri"/>
          <w:b/>
          <w:lang w:val="es-PE" w:eastAsia="en-US"/>
        </w:rPr>
        <w:t xml:space="preserve"> 10.</w:t>
      </w:r>
    </w:p>
    <w:p w:rsidR="002A208C" w:rsidRPr="00092053" w:rsidRDefault="004E0651" w:rsidP="004E0651">
      <w:pPr>
        <w:pStyle w:val="SingleTxtG"/>
        <w:rPr>
          <w:rFonts w:eastAsia="Calibri"/>
          <w:b/>
          <w:lang w:val="es-PE" w:eastAsia="en-US"/>
        </w:rPr>
      </w:pPr>
      <w:r w:rsidRPr="00092053">
        <w:rPr>
          <w:rFonts w:eastAsia="Calibri"/>
          <w:lang w:val="es-PE" w:eastAsia="en-US"/>
        </w:rPr>
        <w:tab/>
        <w:t>3)</w:t>
      </w:r>
      <w:r w:rsidRPr="00092053">
        <w:rPr>
          <w:rFonts w:eastAsia="Calibri"/>
          <w:lang w:val="es-PE" w:eastAsia="en-US"/>
        </w:rPr>
        <w:tab/>
      </w:r>
      <w:r w:rsidR="00C8443F" w:rsidRPr="00092053">
        <w:rPr>
          <w:rFonts w:eastAsia="Calibri"/>
          <w:lang w:val="es-PE" w:eastAsia="en-US"/>
        </w:rPr>
        <w:t>De las 76</w:t>
      </w:r>
      <w:r w:rsidR="00785954">
        <w:rPr>
          <w:rFonts w:eastAsia="Calibri"/>
          <w:lang w:val="es-PE" w:eastAsia="en-US"/>
        </w:rPr>
        <w:t>.</w:t>
      </w:r>
      <w:r w:rsidR="00C8443F" w:rsidRPr="00092053">
        <w:rPr>
          <w:rFonts w:eastAsia="Calibri"/>
          <w:lang w:val="es-PE" w:eastAsia="en-US"/>
        </w:rPr>
        <w:t>142 PPL (se excluyen 38 casos no especificados), 74</w:t>
      </w:r>
      <w:r w:rsidR="00785954">
        <w:rPr>
          <w:rFonts w:eastAsia="Calibri"/>
          <w:lang w:val="es-PE" w:eastAsia="en-US"/>
        </w:rPr>
        <w:t>.</w:t>
      </w:r>
      <w:r w:rsidR="00C8443F" w:rsidRPr="00092053">
        <w:rPr>
          <w:rFonts w:eastAsia="Calibri"/>
          <w:lang w:val="es-PE" w:eastAsia="en-US"/>
        </w:rPr>
        <w:t>296 son peruanos, de los cuales 53</w:t>
      </w:r>
      <w:r w:rsidR="00785954">
        <w:rPr>
          <w:rFonts w:eastAsia="Calibri"/>
          <w:lang w:val="es-PE" w:eastAsia="en-US"/>
        </w:rPr>
        <w:t>.</w:t>
      </w:r>
      <w:r w:rsidR="00C8443F" w:rsidRPr="00092053">
        <w:rPr>
          <w:rFonts w:eastAsia="Calibri"/>
          <w:lang w:val="es-PE" w:eastAsia="en-US"/>
        </w:rPr>
        <w:t>725 son provincianos y 20</w:t>
      </w:r>
      <w:r w:rsidR="00785954">
        <w:rPr>
          <w:rFonts w:eastAsia="Calibri"/>
          <w:lang w:val="es-PE" w:eastAsia="en-US"/>
        </w:rPr>
        <w:t>.</w:t>
      </w:r>
      <w:r w:rsidR="00C8443F" w:rsidRPr="00092053">
        <w:rPr>
          <w:rFonts w:eastAsia="Calibri"/>
          <w:lang w:val="es-PE" w:eastAsia="en-US"/>
        </w:rPr>
        <w:t>571 son nacidos en Lima Metropolitana; mientras que 1</w:t>
      </w:r>
      <w:r w:rsidR="00785954">
        <w:rPr>
          <w:rFonts w:eastAsia="Calibri"/>
          <w:lang w:val="es-PE" w:eastAsia="en-US"/>
        </w:rPr>
        <w:t>.</w:t>
      </w:r>
      <w:r w:rsidR="00C8443F" w:rsidRPr="00092053">
        <w:rPr>
          <w:rFonts w:eastAsia="Calibri"/>
          <w:lang w:val="es-PE" w:eastAsia="en-US"/>
        </w:rPr>
        <w:t>846 son extranjeros. De estos últimos el 19</w:t>
      </w:r>
      <w:r w:rsidR="00F44089">
        <w:rPr>
          <w:rFonts w:eastAsia="Calibri"/>
          <w:lang w:val="es-PE" w:eastAsia="en-US"/>
        </w:rPr>
        <w:t>,</w:t>
      </w:r>
      <w:r w:rsidR="00C8443F" w:rsidRPr="00092053">
        <w:rPr>
          <w:rFonts w:eastAsia="Calibri"/>
          <w:lang w:val="es-PE" w:eastAsia="en-US"/>
        </w:rPr>
        <w:t>2% son colombianos; 14</w:t>
      </w:r>
      <w:r w:rsidR="00F44089">
        <w:rPr>
          <w:rFonts w:eastAsia="Calibri"/>
          <w:lang w:val="es-PE" w:eastAsia="en-US"/>
        </w:rPr>
        <w:t>,</w:t>
      </w:r>
      <w:r w:rsidR="00C8443F" w:rsidRPr="00092053">
        <w:rPr>
          <w:rFonts w:eastAsia="Calibri"/>
          <w:lang w:val="es-PE" w:eastAsia="en-US"/>
        </w:rPr>
        <w:t>3%, mexicanos; 14%, españoles; 4</w:t>
      </w:r>
      <w:r w:rsidR="00F44089">
        <w:rPr>
          <w:rFonts w:eastAsia="Calibri"/>
          <w:lang w:val="es-PE" w:eastAsia="en-US"/>
        </w:rPr>
        <w:t>,</w:t>
      </w:r>
      <w:r w:rsidR="00C8443F" w:rsidRPr="00092053">
        <w:rPr>
          <w:rFonts w:eastAsia="Calibri"/>
          <w:lang w:val="es-PE" w:eastAsia="en-US"/>
        </w:rPr>
        <w:t>9%, bolivianos y 4</w:t>
      </w:r>
      <w:r w:rsidR="00F44089">
        <w:rPr>
          <w:rFonts w:eastAsia="Calibri"/>
          <w:lang w:val="es-PE" w:eastAsia="en-US"/>
        </w:rPr>
        <w:t>,</w:t>
      </w:r>
      <w:r w:rsidR="00C8443F" w:rsidRPr="00092053">
        <w:rPr>
          <w:rFonts w:eastAsia="Calibri"/>
          <w:lang w:val="es-PE" w:eastAsia="en-US"/>
        </w:rPr>
        <w:t>8%, ecuatorianos</w:t>
      </w:r>
      <w:r w:rsidR="00C8443F" w:rsidRPr="00092053">
        <w:rPr>
          <w:rFonts w:eastAsia="Calibri"/>
          <w:vertAlign w:val="superscript"/>
          <w:lang w:val="es-PE" w:eastAsia="en-US"/>
        </w:rPr>
        <w:footnoteReference w:id="101"/>
      </w:r>
      <w:r w:rsidR="00C8443F" w:rsidRPr="00092053">
        <w:rPr>
          <w:rFonts w:eastAsia="Calibri"/>
          <w:lang w:val="es-PE" w:eastAsia="en-US"/>
        </w:rPr>
        <w:t xml:space="preserve">. Ver </w:t>
      </w:r>
      <w:r w:rsidR="00C8443F" w:rsidRPr="00092053">
        <w:rPr>
          <w:rFonts w:eastAsia="Calibri"/>
          <w:b/>
          <w:lang w:val="es-PE" w:eastAsia="en-US"/>
        </w:rPr>
        <w:t xml:space="preserve">tabla </w:t>
      </w:r>
      <w:r w:rsidR="00FA45BC" w:rsidRPr="00353E55">
        <w:rPr>
          <w:rFonts w:eastAsia="Calibri"/>
          <w:b/>
          <w:lang w:val="es-PE" w:eastAsia="en-US"/>
        </w:rPr>
        <w:t>núm.</w:t>
      </w:r>
      <w:r w:rsidR="00C8443F" w:rsidRPr="00092053">
        <w:rPr>
          <w:rFonts w:eastAsia="Calibri"/>
          <w:b/>
          <w:lang w:val="es-PE" w:eastAsia="en-US"/>
        </w:rPr>
        <w:t xml:space="preserve"> 3 del Anexo </w:t>
      </w:r>
      <w:r w:rsidR="00FA45BC" w:rsidRPr="00353E55">
        <w:rPr>
          <w:rFonts w:eastAsia="Calibri"/>
          <w:b/>
          <w:lang w:val="es-PE" w:eastAsia="en-US"/>
        </w:rPr>
        <w:t>núm.</w:t>
      </w:r>
      <w:r w:rsidR="00C8443F" w:rsidRPr="00092053">
        <w:rPr>
          <w:rFonts w:eastAsia="Calibri"/>
          <w:b/>
          <w:lang w:val="es-PE" w:eastAsia="en-US"/>
        </w:rPr>
        <w:t xml:space="preserve"> 10. </w:t>
      </w:r>
    </w:p>
    <w:p w:rsidR="002A208C" w:rsidRPr="00092053" w:rsidRDefault="004E0651" w:rsidP="004E0651">
      <w:pPr>
        <w:pStyle w:val="SingleTxtG"/>
        <w:rPr>
          <w:rFonts w:eastAsia="Calibri"/>
          <w:lang w:val="es-PE" w:eastAsia="en-US"/>
        </w:rPr>
      </w:pPr>
      <w:r w:rsidRPr="00092053">
        <w:rPr>
          <w:rFonts w:eastAsia="Calibri"/>
          <w:lang w:val="es-PE" w:eastAsia="en-US"/>
        </w:rPr>
        <w:tab/>
        <w:t>4)</w:t>
      </w:r>
      <w:r w:rsidRPr="00092053">
        <w:rPr>
          <w:rFonts w:eastAsia="Calibri"/>
          <w:lang w:val="es-PE" w:eastAsia="en-US"/>
        </w:rPr>
        <w:tab/>
      </w:r>
      <w:r w:rsidR="00C8443F" w:rsidRPr="00092053">
        <w:rPr>
          <w:rFonts w:eastAsia="Calibri"/>
          <w:lang w:val="es-PE" w:eastAsia="en-US"/>
        </w:rPr>
        <w:t>De igual forma, en el citado censo se registró que 67</w:t>
      </w:r>
      <w:r w:rsidR="00785954">
        <w:rPr>
          <w:rFonts w:eastAsia="Calibri"/>
          <w:lang w:val="es-PE" w:eastAsia="en-US"/>
        </w:rPr>
        <w:t>.</w:t>
      </w:r>
      <w:r w:rsidR="00C8443F" w:rsidRPr="00092053">
        <w:rPr>
          <w:rFonts w:eastAsia="Calibri"/>
          <w:lang w:val="es-PE" w:eastAsia="en-US"/>
        </w:rPr>
        <w:t>188 internos(as) tienen como lengua materna el castellano; seguido por 7</w:t>
      </w:r>
      <w:r w:rsidR="00785954">
        <w:rPr>
          <w:rFonts w:eastAsia="Calibri"/>
          <w:lang w:val="es-PE" w:eastAsia="en-US"/>
        </w:rPr>
        <w:t>.</w:t>
      </w:r>
      <w:r w:rsidR="00C8443F" w:rsidRPr="00092053">
        <w:rPr>
          <w:rFonts w:eastAsia="Calibri"/>
          <w:lang w:val="es-PE" w:eastAsia="en-US"/>
        </w:rPr>
        <w:t xml:space="preserve">096 internos(as) que aprendieron el quechua; 770 internos(as) el aymara; 101 internos(as) el ashaninka, entre otras lenguas. Por sexo, el 88,7% de hombres manifestaron haber aprendido en su niñez el castellano y en las mujeres fue 84,8%. Ver </w:t>
      </w:r>
      <w:r w:rsidR="00C8443F" w:rsidRPr="00092053">
        <w:rPr>
          <w:rFonts w:eastAsia="Calibri"/>
          <w:b/>
          <w:lang w:val="es-PE" w:eastAsia="en-US"/>
        </w:rPr>
        <w:t xml:space="preserve">tabla </w:t>
      </w:r>
      <w:r w:rsidR="00FA45BC" w:rsidRPr="00353E55">
        <w:rPr>
          <w:rFonts w:eastAsia="Calibri"/>
          <w:b/>
          <w:lang w:val="es-PE" w:eastAsia="en-US"/>
        </w:rPr>
        <w:t>núm.</w:t>
      </w:r>
      <w:r w:rsidR="00C8443F" w:rsidRPr="00092053">
        <w:rPr>
          <w:rFonts w:eastAsia="Calibri"/>
          <w:b/>
          <w:lang w:val="es-PE" w:eastAsia="en-US"/>
        </w:rPr>
        <w:t xml:space="preserve"> 4 del Anexo </w:t>
      </w:r>
      <w:r w:rsidR="00FA45BC" w:rsidRPr="00353E55">
        <w:rPr>
          <w:rFonts w:eastAsia="Calibri"/>
          <w:b/>
          <w:lang w:val="es-PE" w:eastAsia="en-US"/>
        </w:rPr>
        <w:t>núm.</w:t>
      </w:r>
      <w:r w:rsidR="00C8443F" w:rsidRPr="00092053">
        <w:rPr>
          <w:rFonts w:eastAsia="Calibri"/>
          <w:b/>
          <w:lang w:val="es-PE" w:eastAsia="en-US"/>
        </w:rPr>
        <w:t xml:space="preserve"> 10.</w:t>
      </w:r>
    </w:p>
    <w:p w:rsidR="002A208C" w:rsidRPr="00092053" w:rsidRDefault="004E0651" w:rsidP="004E0651">
      <w:pPr>
        <w:pStyle w:val="SingleTxtG"/>
        <w:rPr>
          <w:rFonts w:eastAsia="Calibri"/>
          <w:b/>
          <w:lang w:val="es-PE" w:eastAsia="en-US"/>
        </w:rPr>
      </w:pPr>
      <w:r w:rsidRPr="00092053">
        <w:rPr>
          <w:rFonts w:eastAsia="Calibri"/>
          <w:lang w:val="es-PE" w:eastAsia="en-US"/>
        </w:rPr>
        <w:lastRenderedPageBreak/>
        <w:tab/>
        <w:t>5)</w:t>
      </w:r>
      <w:r w:rsidRPr="00092053">
        <w:rPr>
          <w:rFonts w:eastAsia="Calibri"/>
          <w:lang w:val="es-PE" w:eastAsia="en-US"/>
        </w:rPr>
        <w:tab/>
      </w:r>
      <w:r w:rsidR="00C8443F" w:rsidRPr="00092053">
        <w:rPr>
          <w:rFonts w:eastAsia="Calibri"/>
          <w:lang w:val="es-PE" w:eastAsia="en-US"/>
        </w:rPr>
        <w:t>Asimismo, 42</w:t>
      </w:r>
      <w:r w:rsidR="00785954">
        <w:rPr>
          <w:rFonts w:eastAsia="Calibri"/>
          <w:lang w:val="es-PE" w:eastAsia="en-US"/>
        </w:rPr>
        <w:t>.</w:t>
      </w:r>
      <w:r w:rsidR="00C8443F" w:rsidRPr="00092053">
        <w:rPr>
          <w:rFonts w:eastAsia="Calibri"/>
          <w:lang w:val="es-PE" w:eastAsia="en-US"/>
        </w:rPr>
        <w:t>659 PPL se autoidentificaron como mestizo(a) y 9</w:t>
      </w:r>
      <w:r w:rsidR="00785954">
        <w:rPr>
          <w:rFonts w:eastAsia="Calibri"/>
          <w:lang w:val="es-PE" w:eastAsia="en-US"/>
        </w:rPr>
        <w:t>.</w:t>
      </w:r>
      <w:r w:rsidR="00C8443F" w:rsidRPr="00092053">
        <w:rPr>
          <w:rFonts w:eastAsia="Calibri"/>
          <w:lang w:val="es-PE" w:eastAsia="en-US"/>
        </w:rPr>
        <w:t>552 como quechua (usualmente de la zona andina y que tienen como lengua materna el quechua y reconocen una historia y antepasados comunes). Ver</w:t>
      </w:r>
      <w:r w:rsidR="00C8443F" w:rsidRPr="00092053">
        <w:rPr>
          <w:rFonts w:eastAsia="Calibri"/>
          <w:b/>
          <w:lang w:val="es-PE" w:eastAsia="en-US"/>
        </w:rPr>
        <w:t xml:space="preserve"> tabla </w:t>
      </w:r>
      <w:r w:rsidR="00FA45BC" w:rsidRPr="00353E55">
        <w:rPr>
          <w:rFonts w:eastAsia="Calibri"/>
          <w:b/>
          <w:lang w:val="es-PE" w:eastAsia="en-US"/>
        </w:rPr>
        <w:t>núm.</w:t>
      </w:r>
      <w:r w:rsidR="00C8443F" w:rsidRPr="00092053">
        <w:rPr>
          <w:rFonts w:eastAsia="Calibri"/>
          <w:b/>
          <w:lang w:val="es-PE" w:eastAsia="en-US"/>
        </w:rPr>
        <w:t xml:space="preserve"> 5 del Anexo </w:t>
      </w:r>
      <w:r w:rsidR="00FA45BC" w:rsidRPr="00353E55">
        <w:rPr>
          <w:rFonts w:eastAsia="Calibri"/>
          <w:b/>
          <w:lang w:val="es-PE" w:eastAsia="en-US"/>
        </w:rPr>
        <w:t>núm.</w:t>
      </w:r>
      <w:r w:rsidR="00C8443F" w:rsidRPr="00092053">
        <w:rPr>
          <w:rFonts w:eastAsia="Calibri"/>
          <w:b/>
          <w:lang w:val="es-PE" w:eastAsia="en-US"/>
        </w:rPr>
        <w:t xml:space="preserve"> 10.</w:t>
      </w:r>
    </w:p>
    <w:p w:rsidR="002A208C" w:rsidRPr="00092053" w:rsidRDefault="004E0651" w:rsidP="004E0651">
      <w:pPr>
        <w:pStyle w:val="SingleTxtG"/>
        <w:rPr>
          <w:rFonts w:eastAsia="Calibri"/>
          <w:b/>
          <w:lang w:val="es-PE" w:eastAsia="en-US"/>
        </w:rPr>
      </w:pPr>
      <w:r w:rsidRPr="00092053">
        <w:rPr>
          <w:rFonts w:eastAsia="Calibri"/>
          <w:lang w:val="es-PE" w:eastAsia="en-US"/>
        </w:rPr>
        <w:tab/>
        <w:t>6)</w:t>
      </w:r>
      <w:r w:rsidRPr="00092053">
        <w:rPr>
          <w:rFonts w:eastAsia="Calibri"/>
          <w:lang w:val="es-PE" w:eastAsia="en-US"/>
        </w:rPr>
        <w:tab/>
      </w:r>
      <w:r w:rsidR="00C8443F" w:rsidRPr="00092053">
        <w:rPr>
          <w:rFonts w:eastAsia="Calibri"/>
          <w:lang w:val="es-PE" w:eastAsia="en-US"/>
        </w:rPr>
        <w:t>A su vez, 39</w:t>
      </w:r>
      <w:r w:rsidR="00785954">
        <w:rPr>
          <w:rFonts w:eastAsia="Calibri"/>
          <w:lang w:val="es-PE" w:eastAsia="en-US"/>
        </w:rPr>
        <w:t>.</w:t>
      </w:r>
      <w:r w:rsidR="00C8443F" w:rsidRPr="00092053">
        <w:rPr>
          <w:rFonts w:eastAsia="Calibri"/>
          <w:lang w:val="es-PE" w:eastAsia="en-US"/>
        </w:rPr>
        <w:t>091 internos refieren estar procesados y 37</w:t>
      </w:r>
      <w:r w:rsidR="00785954">
        <w:rPr>
          <w:rFonts w:eastAsia="Calibri"/>
          <w:lang w:val="es-PE" w:eastAsia="en-US"/>
        </w:rPr>
        <w:t>.</w:t>
      </w:r>
      <w:r w:rsidR="00C8443F" w:rsidRPr="00092053">
        <w:rPr>
          <w:rFonts w:eastAsia="Calibri"/>
          <w:lang w:val="es-PE" w:eastAsia="en-US"/>
        </w:rPr>
        <w:t>052 sentenciados</w:t>
      </w:r>
      <w:r w:rsidR="00C8443F" w:rsidRPr="00092053">
        <w:rPr>
          <w:rFonts w:eastAsia="Calibri"/>
          <w:vertAlign w:val="superscript"/>
          <w:lang w:val="es-PE" w:eastAsia="en-US"/>
        </w:rPr>
        <w:footnoteReference w:id="102"/>
      </w:r>
      <w:r w:rsidR="00C8443F" w:rsidRPr="00092053">
        <w:rPr>
          <w:rFonts w:eastAsia="Calibri"/>
          <w:lang w:val="es-PE" w:eastAsia="en-US"/>
        </w:rPr>
        <w:t xml:space="preserve">. Ver </w:t>
      </w:r>
      <w:r w:rsidR="00C8443F" w:rsidRPr="00092053">
        <w:rPr>
          <w:rFonts w:eastAsia="Calibri"/>
          <w:b/>
          <w:lang w:val="es-PE" w:eastAsia="en-US"/>
        </w:rPr>
        <w:t xml:space="preserve">tabla </w:t>
      </w:r>
      <w:r w:rsidR="00FA45BC" w:rsidRPr="00353E55">
        <w:rPr>
          <w:rFonts w:eastAsia="Calibri"/>
          <w:b/>
          <w:lang w:val="es-PE" w:eastAsia="en-US"/>
        </w:rPr>
        <w:t>núm.</w:t>
      </w:r>
      <w:r w:rsidR="00C8443F" w:rsidRPr="00092053">
        <w:rPr>
          <w:rFonts w:eastAsia="Calibri"/>
          <w:b/>
          <w:lang w:val="es-PE" w:eastAsia="en-US"/>
        </w:rPr>
        <w:t xml:space="preserve"> 6 del Anexo </w:t>
      </w:r>
      <w:r w:rsidR="00FA45BC" w:rsidRPr="00353E55">
        <w:rPr>
          <w:rFonts w:eastAsia="Calibri"/>
          <w:b/>
          <w:lang w:val="es-PE" w:eastAsia="en-US"/>
        </w:rPr>
        <w:t>núm.</w:t>
      </w:r>
      <w:r w:rsidR="00C8443F" w:rsidRPr="00092053">
        <w:rPr>
          <w:rFonts w:eastAsia="Calibri"/>
          <w:b/>
          <w:lang w:val="es-PE" w:eastAsia="en-US"/>
        </w:rPr>
        <w:t xml:space="preserve"> 10. </w:t>
      </w:r>
    </w:p>
    <w:p w:rsidR="002A208C" w:rsidRPr="00092053" w:rsidRDefault="00092053" w:rsidP="00574AEE">
      <w:pPr>
        <w:pStyle w:val="SingleTxtG"/>
        <w:rPr>
          <w:rFonts w:eastAsia="Calibri"/>
          <w:lang w:val="es-PE" w:eastAsia="en-US"/>
        </w:rPr>
      </w:pPr>
      <w:r w:rsidRPr="00574AEE">
        <w:rPr>
          <w:rFonts w:eastAsia="Calibri"/>
          <w:lang w:val="es-PE" w:eastAsia="en-US"/>
        </w:rPr>
        <w:t>97.</w:t>
      </w:r>
      <w:r w:rsidRPr="00574AEE">
        <w:rPr>
          <w:rFonts w:eastAsia="Calibri"/>
          <w:lang w:val="es-PE" w:eastAsia="en-US"/>
        </w:rPr>
        <w:tab/>
      </w:r>
      <w:r w:rsidR="00C8443F" w:rsidRPr="00092053">
        <w:rPr>
          <w:rFonts w:eastAsia="Calibri"/>
          <w:lang w:val="es-PE" w:eastAsia="en-US"/>
        </w:rPr>
        <w:t>Los resultados del referido censo permiten contar con información de todos los internos a nivel nacional, de manera tal que el Consejo Nacional de Política Criminal pueda tomar decisiones sobre la construcción e implementación de políticas públicas en el ámbito social, de la administración de justicia y del sistema de reinserción social.</w:t>
      </w:r>
    </w:p>
    <w:p w:rsidR="002A208C" w:rsidRPr="00092053" w:rsidRDefault="00092053" w:rsidP="00574AEE">
      <w:pPr>
        <w:pStyle w:val="SingleTxtG"/>
        <w:rPr>
          <w:rFonts w:eastAsia="Calibri"/>
          <w:lang w:val="es-PE" w:eastAsia="en-US"/>
        </w:rPr>
      </w:pPr>
      <w:r w:rsidRPr="00574AEE">
        <w:rPr>
          <w:rFonts w:eastAsia="Calibri"/>
          <w:lang w:val="es-PE" w:eastAsia="en-US"/>
        </w:rPr>
        <w:t>98.</w:t>
      </w:r>
      <w:r w:rsidRPr="00574AEE">
        <w:rPr>
          <w:rFonts w:eastAsia="Calibri"/>
          <w:lang w:val="es-PE" w:eastAsia="en-US"/>
        </w:rPr>
        <w:tab/>
      </w:r>
      <w:r w:rsidR="00C8443F" w:rsidRPr="00092053">
        <w:rPr>
          <w:rFonts w:eastAsia="Calibri"/>
          <w:lang w:val="es-PE" w:eastAsia="en-US"/>
        </w:rPr>
        <w:t>Por otro lado, al mes de julio de 2016, la diferencia entre la capacidad de albergue (aforo máximo del sistema penitenciario para albergar a los internos) y la población penal es de 44</w:t>
      </w:r>
      <w:r w:rsidR="00785954">
        <w:rPr>
          <w:rFonts w:eastAsia="Calibri"/>
          <w:lang w:val="es-PE" w:eastAsia="en-US"/>
        </w:rPr>
        <w:t>.</w:t>
      </w:r>
      <w:r w:rsidR="00C8443F" w:rsidRPr="00092053">
        <w:rPr>
          <w:rFonts w:eastAsia="Calibri"/>
          <w:lang w:val="es-PE" w:eastAsia="en-US"/>
        </w:rPr>
        <w:t>850 internos</w:t>
      </w:r>
      <w:r w:rsidR="00C8443F" w:rsidRPr="00092053">
        <w:rPr>
          <w:rFonts w:eastAsia="Calibri"/>
          <w:vertAlign w:val="superscript"/>
          <w:lang w:val="es-PE" w:eastAsia="en-US"/>
        </w:rPr>
        <w:footnoteReference w:id="103"/>
      </w:r>
      <w:r w:rsidR="00C8443F" w:rsidRPr="00092053">
        <w:rPr>
          <w:rFonts w:eastAsia="Calibri"/>
          <w:lang w:val="es-PE" w:eastAsia="en-US"/>
        </w:rPr>
        <w:t>. Ver</w:t>
      </w:r>
      <w:r w:rsidR="00C8443F" w:rsidRPr="00092053">
        <w:rPr>
          <w:rFonts w:eastAsia="Calibri"/>
          <w:b/>
          <w:lang w:val="es-PE" w:eastAsia="en-US"/>
        </w:rPr>
        <w:t xml:space="preserve"> tabla </w:t>
      </w:r>
      <w:r w:rsidR="00FA45BC" w:rsidRPr="00353E55">
        <w:rPr>
          <w:rFonts w:eastAsia="Calibri"/>
          <w:b/>
          <w:lang w:val="es-PE" w:eastAsia="en-US"/>
        </w:rPr>
        <w:t>núm.</w:t>
      </w:r>
      <w:r w:rsidR="00C8443F" w:rsidRPr="00092053">
        <w:rPr>
          <w:rFonts w:eastAsia="Calibri"/>
          <w:b/>
          <w:lang w:val="es-PE" w:eastAsia="en-US"/>
        </w:rPr>
        <w:t xml:space="preserve"> 7 del Anexo </w:t>
      </w:r>
      <w:r w:rsidR="00FA45BC" w:rsidRPr="00353E55">
        <w:rPr>
          <w:rFonts w:eastAsia="Calibri"/>
          <w:b/>
          <w:lang w:val="es-PE" w:eastAsia="en-US"/>
        </w:rPr>
        <w:t>núm.</w:t>
      </w:r>
      <w:r w:rsidR="00C8443F" w:rsidRPr="00092053">
        <w:rPr>
          <w:rFonts w:eastAsia="Calibri"/>
          <w:b/>
          <w:lang w:val="es-PE" w:eastAsia="en-US"/>
        </w:rPr>
        <w:t xml:space="preserve"> 10.</w:t>
      </w:r>
    </w:p>
    <w:p w:rsidR="002A208C" w:rsidRPr="00092053" w:rsidRDefault="00092053" w:rsidP="00574AEE">
      <w:pPr>
        <w:pStyle w:val="SingleTxtG"/>
        <w:rPr>
          <w:rFonts w:eastAsia="Calibri"/>
          <w:lang w:val="es-ES_tradnl"/>
        </w:rPr>
      </w:pPr>
      <w:r w:rsidRPr="00574AEE">
        <w:rPr>
          <w:rFonts w:eastAsia="Calibri"/>
          <w:lang w:val="es-ES_tradnl"/>
        </w:rPr>
        <w:t>99.</w:t>
      </w:r>
      <w:r w:rsidRPr="00574AEE">
        <w:rPr>
          <w:rFonts w:eastAsia="Calibri"/>
          <w:lang w:val="es-ES_tradnl"/>
        </w:rPr>
        <w:tab/>
      </w:r>
      <w:r w:rsidR="00C8443F" w:rsidRPr="00092053">
        <w:rPr>
          <w:rFonts w:eastAsia="Calibri"/>
          <w:lang w:val="es-ES_tradnl"/>
        </w:rPr>
        <w:t xml:space="preserve">Cabe resaltar </w:t>
      </w:r>
      <w:r w:rsidR="00C8443F" w:rsidRPr="00092053">
        <w:rPr>
          <w:rFonts w:eastAsia="Calibri"/>
          <w:lang w:val="es-PE" w:eastAsia="en-US"/>
        </w:rPr>
        <w:t>que</w:t>
      </w:r>
      <w:r w:rsidR="00C8443F" w:rsidRPr="00092053">
        <w:rPr>
          <w:rFonts w:eastAsia="Calibri"/>
          <w:lang w:val="es-ES_tradnl"/>
        </w:rPr>
        <w:t xml:space="preserve">, conforme a lo dispuesto en el artículo 32° numeral 14 de la Ley </w:t>
      </w:r>
      <w:r w:rsidR="00CD52E7">
        <w:rPr>
          <w:rFonts w:eastAsia="Calibri"/>
          <w:lang w:val="es-ES_tradnl"/>
        </w:rPr>
        <w:t>núm.</w:t>
      </w:r>
      <w:r w:rsidR="00C8443F" w:rsidRPr="00092053">
        <w:rPr>
          <w:rFonts w:eastAsia="Calibri"/>
          <w:lang w:val="es-ES_tradnl"/>
        </w:rPr>
        <w:t xml:space="preserve"> 29709</w:t>
      </w:r>
      <w:r w:rsidR="00C8443F" w:rsidRPr="00092053">
        <w:rPr>
          <w:rFonts w:eastAsia="Calibri"/>
          <w:vertAlign w:val="superscript"/>
          <w:lang w:val="es-ES_tradnl"/>
        </w:rPr>
        <w:footnoteReference w:id="104"/>
      </w:r>
      <w:r w:rsidR="00C8443F" w:rsidRPr="00092053">
        <w:rPr>
          <w:rFonts w:eastAsia="Calibri"/>
          <w:lang w:val="es-ES_tradnl"/>
        </w:rPr>
        <w:t xml:space="preserve">, Ley de la Carrera Especial Pública Penitenciaria, uno de los deberes del servidor penitenciario es tener un trato firme, pero respetuoso de los derechos de los privados de libertad y los liberados. </w:t>
      </w:r>
    </w:p>
    <w:p w:rsidR="002A208C" w:rsidRPr="00092053" w:rsidRDefault="00092053" w:rsidP="00574AEE">
      <w:pPr>
        <w:pStyle w:val="SingleTxtG"/>
        <w:rPr>
          <w:rFonts w:eastAsia="Calibri"/>
          <w:lang w:val="es-ES_tradnl"/>
        </w:rPr>
      </w:pPr>
      <w:r w:rsidRPr="00574AEE">
        <w:rPr>
          <w:rFonts w:eastAsia="Calibri"/>
          <w:lang w:val="es-ES_tradnl"/>
        </w:rPr>
        <w:t>100.</w:t>
      </w:r>
      <w:r w:rsidRPr="00574AEE">
        <w:rPr>
          <w:rFonts w:eastAsia="Calibri"/>
          <w:lang w:val="es-ES_tradnl"/>
        </w:rPr>
        <w:tab/>
      </w:r>
      <w:r w:rsidR="00C8443F" w:rsidRPr="00092053">
        <w:rPr>
          <w:rFonts w:eastAsia="Calibri"/>
          <w:lang w:val="es-ES_tradnl"/>
        </w:rPr>
        <w:t xml:space="preserve">Asimismo, en el artículo 54° numeral 29 del reglamento de la referida </w:t>
      </w:r>
      <w:r w:rsidR="0020561B">
        <w:rPr>
          <w:rFonts w:eastAsia="Calibri"/>
          <w:lang w:val="es-ES_tradnl"/>
        </w:rPr>
        <w:t>L</w:t>
      </w:r>
      <w:r w:rsidR="00C8443F" w:rsidRPr="00092053">
        <w:rPr>
          <w:rFonts w:eastAsia="Calibri"/>
          <w:lang w:val="es-ES_tradnl"/>
        </w:rPr>
        <w:t xml:space="preserve">ey, aprobado mediante el Decreto Supremo </w:t>
      </w:r>
      <w:r w:rsidR="00CD52E7">
        <w:rPr>
          <w:rFonts w:eastAsia="Calibri"/>
          <w:lang w:val="es-ES_tradnl"/>
        </w:rPr>
        <w:t>núm.</w:t>
      </w:r>
      <w:r w:rsidR="00C8443F" w:rsidRPr="00092053">
        <w:rPr>
          <w:rFonts w:eastAsia="Calibri"/>
          <w:lang w:val="es-ES_tradnl"/>
        </w:rPr>
        <w:t xml:space="preserve"> 013-2012-JUS</w:t>
      </w:r>
      <w:r w:rsidR="00C8443F" w:rsidRPr="00092053">
        <w:rPr>
          <w:rFonts w:eastAsia="Calibri"/>
          <w:vertAlign w:val="superscript"/>
          <w:lang w:val="es-ES_tradnl"/>
        </w:rPr>
        <w:footnoteReference w:id="105"/>
      </w:r>
      <w:r w:rsidR="00C8443F" w:rsidRPr="00092053">
        <w:rPr>
          <w:rFonts w:eastAsia="Calibri"/>
          <w:lang w:val="es-ES_tradnl"/>
        </w:rPr>
        <w:t>, se establece como una de las prohibiciones del servidor penitenciario realizar actos que pudieran ir en contra de la dignidad de los internos bajo su custodia.</w:t>
      </w:r>
    </w:p>
    <w:p w:rsidR="002A208C" w:rsidRPr="00092053" w:rsidRDefault="00092053" w:rsidP="00574AEE">
      <w:pPr>
        <w:pStyle w:val="SingleTxtG"/>
        <w:rPr>
          <w:rFonts w:eastAsia="Calibri"/>
          <w:lang w:val="es-PE" w:eastAsia="en-US"/>
        </w:rPr>
      </w:pPr>
      <w:r w:rsidRPr="00574AEE">
        <w:rPr>
          <w:rFonts w:eastAsia="Calibri"/>
          <w:lang w:val="es-PE" w:eastAsia="en-US"/>
        </w:rPr>
        <w:t>101.</w:t>
      </w:r>
      <w:r w:rsidRPr="00574AEE">
        <w:rPr>
          <w:rFonts w:eastAsia="Calibri"/>
          <w:lang w:val="es-PE" w:eastAsia="en-US"/>
        </w:rPr>
        <w:tab/>
      </w:r>
      <w:r w:rsidR="00C8443F" w:rsidRPr="00092053">
        <w:rPr>
          <w:rFonts w:eastAsia="Calibri"/>
          <w:lang w:val="es-PE" w:eastAsia="en-US"/>
        </w:rPr>
        <w:t xml:space="preserve">Por otro lado, mediante la Resolución Presidencial </w:t>
      </w:r>
      <w:r w:rsidR="00CD52E7">
        <w:rPr>
          <w:rFonts w:eastAsia="Calibri"/>
          <w:lang w:val="es-ES_tradnl"/>
        </w:rPr>
        <w:t>núm.</w:t>
      </w:r>
      <w:r w:rsidR="00C8443F" w:rsidRPr="00092053">
        <w:rPr>
          <w:rFonts w:eastAsia="Calibri"/>
          <w:lang w:val="es-PE" w:eastAsia="en-US"/>
        </w:rPr>
        <w:t xml:space="preserve"> 296-2012-INPE/P, se conformó la “Comisión Multidisciplinaria para el Diagnóstico, Evaluación y Control del Deceso de Internos en los establecimientos penitenciarios”, a nivel nacional, la cual tiene como función recoger y procesar información sobre internos fallecidos, con el fin de apoyar a la Presidencia del INPE en la toma de decisiones con relaci</w:t>
      </w:r>
      <w:r w:rsidR="00E2576D" w:rsidRPr="00092053">
        <w:rPr>
          <w:rFonts w:eastAsia="Calibri"/>
          <w:lang w:val="es-PE" w:eastAsia="en-US"/>
        </w:rPr>
        <w:t>ón al fallecimiento de internos</w:t>
      </w:r>
      <w:r w:rsidR="00C8443F" w:rsidRPr="00092053">
        <w:rPr>
          <w:rFonts w:eastAsia="Calibri"/>
          <w:vertAlign w:val="superscript"/>
          <w:lang w:val="es-PE" w:eastAsia="en-US"/>
        </w:rPr>
        <w:footnoteReference w:id="106"/>
      </w:r>
      <w:r w:rsidR="00E2576D"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102.</w:t>
      </w:r>
      <w:r w:rsidRPr="00574AEE">
        <w:rPr>
          <w:rFonts w:eastAsia="Calibri"/>
          <w:lang w:val="es-PE" w:eastAsia="en-US"/>
        </w:rPr>
        <w:tab/>
      </w:r>
      <w:r w:rsidR="00C8443F" w:rsidRPr="00092053">
        <w:rPr>
          <w:rFonts w:eastAsia="Calibri"/>
          <w:lang w:val="es-PE" w:eastAsia="en-US"/>
        </w:rPr>
        <w:t>En ese sentido, la referida comisión, informó sobre el número de internos fallecidos en los centros penitenciarios a nivel nacional:</w:t>
      </w:r>
    </w:p>
    <w:p w:rsidR="002A208C" w:rsidRPr="00092053" w:rsidRDefault="004E0651" w:rsidP="004E0651">
      <w:pPr>
        <w:pStyle w:val="SingleTxtG"/>
        <w:rPr>
          <w:rFonts w:eastAsia="Calibri"/>
          <w:lang w:val="es-PE" w:eastAsia="en-US"/>
        </w:rPr>
      </w:pPr>
      <w:r w:rsidRPr="00092053">
        <w:rPr>
          <w:rFonts w:eastAsia="Calibri"/>
          <w:lang w:val="es-PE" w:eastAsia="en-US"/>
        </w:rPr>
        <w:tab/>
        <w:t>1)</w:t>
      </w:r>
      <w:r w:rsidRPr="00092053">
        <w:rPr>
          <w:rFonts w:eastAsia="Calibri"/>
          <w:lang w:val="es-PE" w:eastAsia="en-US"/>
        </w:rPr>
        <w:tab/>
      </w:r>
      <w:r w:rsidR="00C8443F" w:rsidRPr="00092053">
        <w:rPr>
          <w:rFonts w:eastAsia="Calibri"/>
          <w:lang w:val="es-PE" w:eastAsia="en-US"/>
        </w:rPr>
        <w:t>Año 2012: con una población penitenciaria (promedio anual) de 61</w:t>
      </w:r>
      <w:r w:rsidR="00785954">
        <w:rPr>
          <w:rFonts w:eastAsia="Calibri"/>
          <w:lang w:val="es-PE" w:eastAsia="en-US"/>
        </w:rPr>
        <w:t>.</w:t>
      </w:r>
      <w:r w:rsidR="00C8443F" w:rsidRPr="00092053">
        <w:rPr>
          <w:rFonts w:eastAsia="Calibri"/>
          <w:lang w:val="es-PE" w:eastAsia="en-US"/>
        </w:rPr>
        <w:t>390 internos (as); fallecieron 193 (183 varones y 10 mujeres)</w:t>
      </w:r>
      <w:r w:rsidR="00C8443F" w:rsidRPr="00092053">
        <w:rPr>
          <w:rFonts w:eastAsia="Calibri"/>
          <w:vertAlign w:val="superscript"/>
          <w:lang w:val="es-PE" w:eastAsia="en-US"/>
        </w:rPr>
        <w:footnoteReference w:id="107"/>
      </w:r>
      <w:r w:rsidR="00C8443F" w:rsidRPr="00092053">
        <w:rPr>
          <w:rFonts w:eastAsia="Calibri"/>
          <w:lang w:val="es-PE" w:eastAsia="en-US"/>
        </w:rPr>
        <w:t>. Ver</w:t>
      </w:r>
      <w:r w:rsidR="00C8443F" w:rsidRPr="00092053">
        <w:rPr>
          <w:rFonts w:eastAsia="Calibri"/>
          <w:b/>
          <w:lang w:val="es-PE" w:eastAsia="en-US"/>
        </w:rPr>
        <w:t xml:space="preserve"> tabla </w:t>
      </w:r>
      <w:r w:rsidR="00FA45BC" w:rsidRPr="00353E55">
        <w:rPr>
          <w:rFonts w:eastAsia="Calibri"/>
          <w:b/>
          <w:lang w:val="es-PE" w:eastAsia="en-US"/>
        </w:rPr>
        <w:t>núm.</w:t>
      </w:r>
      <w:r w:rsidR="00C8443F" w:rsidRPr="00092053">
        <w:rPr>
          <w:rFonts w:eastAsia="Calibri"/>
          <w:b/>
          <w:lang w:val="es-PE" w:eastAsia="en-US"/>
        </w:rPr>
        <w:t xml:space="preserve"> 8 del Anexo </w:t>
      </w:r>
      <w:r w:rsidR="00234021" w:rsidRPr="00092053">
        <w:rPr>
          <w:rFonts w:eastAsia="Calibri"/>
          <w:b/>
          <w:lang w:val="es-PE" w:eastAsia="en-US"/>
        </w:rPr>
        <w:t xml:space="preserve">núm. </w:t>
      </w:r>
      <w:r w:rsidR="00C8443F" w:rsidRPr="00092053">
        <w:rPr>
          <w:rFonts w:eastAsia="Calibri"/>
          <w:b/>
          <w:lang w:val="es-PE" w:eastAsia="en-US"/>
        </w:rPr>
        <w:t>10</w:t>
      </w:r>
      <w:r w:rsidR="00C8443F" w:rsidRPr="00092053">
        <w:rPr>
          <w:rFonts w:eastAsia="Calibri"/>
          <w:lang w:val="es-PE" w:eastAsia="en-US"/>
        </w:rPr>
        <w:t>.</w:t>
      </w:r>
    </w:p>
    <w:p w:rsidR="002A208C" w:rsidRPr="00092053" w:rsidRDefault="004E0651" w:rsidP="004E0651">
      <w:pPr>
        <w:pStyle w:val="SingleTxtG"/>
        <w:rPr>
          <w:rFonts w:eastAsia="Calibri"/>
          <w:lang w:val="es-PE" w:eastAsia="en-US"/>
        </w:rPr>
      </w:pPr>
      <w:r w:rsidRPr="00092053">
        <w:rPr>
          <w:rFonts w:eastAsia="Calibri"/>
          <w:lang w:val="es-PE" w:eastAsia="en-US"/>
        </w:rPr>
        <w:tab/>
        <w:t>2)</w:t>
      </w:r>
      <w:r w:rsidRPr="00092053">
        <w:rPr>
          <w:rFonts w:eastAsia="Calibri"/>
          <w:lang w:val="es-PE" w:eastAsia="en-US"/>
        </w:rPr>
        <w:tab/>
      </w:r>
      <w:r w:rsidR="00C8443F" w:rsidRPr="00092053">
        <w:rPr>
          <w:rFonts w:eastAsia="Calibri"/>
          <w:lang w:val="es-PE" w:eastAsia="en-US"/>
        </w:rPr>
        <w:t>Año 2013: con una población penitenciaria (promedio del año) de 65</w:t>
      </w:r>
      <w:r w:rsidR="00785954">
        <w:rPr>
          <w:rFonts w:eastAsia="Calibri"/>
          <w:lang w:val="es-PE" w:eastAsia="en-US"/>
        </w:rPr>
        <w:t>.</w:t>
      </w:r>
      <w:r w:rsidR="00C8443F" w:rsidRPr="00092053">
        <w:rPr>
          <w:rFonts w:eastAsia="Calibri"/>
          <w:lang w:val="es-PE" w:eastAsia="en-US"/>
        </w:rPr>
        <w:t>027 internos(as), fallecieron 204 (192 varones y 12 mujeres)</w:t>
      </w:r>
      <w:r w:rsidR="00C8443F" w:rsidRPr="00092053">
        <w:rPr>
          <w:rFonts w:eastAsia="Calibri"/>
          <w:vertAlign w:val="superscript"/>
          <w:lang w:val="es-PE" w:eastAsia="en-US"/>
        </w:rPr>
        <w:footnoteReference w:id="108"/>
      </w:r>
      <w:r w:rsidR="00C8443F" w:rsidRPr="00092053">
        <w:rPr>
          <w:rFonts w:eastAsia="Calibri"/>
          <w:lang w:val="es-PE" w:eastAsia="en-US"/>
        </w:rPr>
        <w:t>. Ver</w:t>
      </w:r>
      <w:r w:rsidR="00C8443F" w:rsidRPr="00092053">
        <w:rPr>
          <w:rFonts w:eastAsia="Calibri"/>
          <w:b/>
          <w:lang w:val="es-PE" w:eastAsia="en-US"/>
        </w:rPr>
        <w:t xml:space="preserve"> tabla </w:t>
      </w:r>
      <w:r w:rsidR="00FA45BC" w:rsidRPr="00353E55">
        <w:rPr>
          <w:rFonts w:eastAsia="Calibri"/>
          <w:b/>
          <w:lang w:val="es-PE" w:eastAsia="en-US"/>
        </w:rPr>
        <w:t>núm.</w:t>
      </w:r>
      <w:r w:rsidR="00C8443F" w:rsidRPr="00092053">
        <w:rPr>
          <w:rFonts w:eastAsia="Calibri"/>
          <w:b/>
          <w:lang w:val="es-PE" w:eastAsia="en-US"/>
        </w:rPr>
        <w:t xml:space="preserve"> 9 del Anexo </w:t>
      </w:r>
      <w:r w:rsidR="00234021" w:rsidRPr="00092053">
        <w:rPr>
          <w:rFonts w:eastAsia="Calibri"/>
          <w:b/>
          <w:lang w:val="es-PE" w:eastAsia="en-US"/>
        </w:rPr>
        <w:t xml:space="preserve">núm. </w:t>
      </w:r>
      <w:r w:rsidR="00C8443F" w:rsidRPr="00092053">
        <w:rPr>
          <w:rFonts w:eastAsia="Calibri"/>
          <w:b/>
          <w:lang w:val="es-PE" w:eastAsia="en-US"/>
        </w:rPr>
        <w:t>10</w:t>
      </w:r>
      <w:r w:rsidR="00C8443F" w:rsidRPr="00092053">
        <w:rPr>
          <w:rFonts w:eastAsia="Calibri"/>
          <w:lang w:val="es-PE" w:eastAsia="en-US"/>
        </w:rPr>
        <w:t>.</w:t>
      </w:r>
    </w:p>
    <w:p w:rsidR="002A208C" w:rsidRPr="00092053" w:rsidRDefault="004E0651" w:rsidP="004E0651">
      <w:pPr>
        <w:pStyle w:val="SingleTxtG"/>
        <w:rPr>
          <w:rFonts w:eastAsia="Calibri"/>
          <w:lang w:val="es-PE" w:eastAsia="en-US"/>
        </w:rPr>
      </w:pPr>
      <w:r w:rsidRPr="00092053">
        <w:rPr>
          <w:rFonts w:eastAsia="Calibri"/>
          <w:lang w:val="es-PE" w:eastAsia="en-US"/>
        </w:rPr>
        <w:tab/>
        <w:t>3)</w:t>
      </w:r>
      <w:r w:rsidRPr="00092053">
        <w:rPr>
          <w:rFonts w:eastAsia="Calibri"/>
          <w:lang w:val="es-PE" w:eastAsia="en-US"/>
        </w:rPr>
        <w:tab/>
      </w:r>
      <w:r w:rsidR="00C8443F" w:rsidRPr="00092053">
        <w:rPr>
          <w:rFonts w:eastAsia="Calibri"/>
          <w:lang w:val="es-PE" w:eastAsia="en-US"/>
        </w:rPr>
        <w:t>Año 2014: con una población penitenciaria (promedio del año) de 70</w:t>
      </w:r>
      <w:r w:rsidR="00785954">
        <w:rPr>
          <w:rFonts w:eastAsia="Calibri"/>
          <w:lang w:val="es-PE" w:eastAsia="en-US"/>
        </w:rPr>
        <w:t>.</w:t>
      </w:r>
      <w:r w:rsidR="00C8443F" w:rsidRPr="00092053">
        <w:rPr>
          <w:rFonts w:eastAsia="Calibri"/>
          <w:lang w:val="es-PE" w:eastAsia="en-US"/>
        </w:rPr>
        <w:t>191 internos(as), fallecieron 242 (234 varones y 8 mujeres)</w:t>
      </w:r>
      <w:r w:rsidR="00C8443F" w:rsidRPr="00092053">
        <w:rPr>
          <w:rFonts w:eastAsia="Calibri"/>
          <w:vertAlign w:val="superscript"/>
          <w:lang w:val="es-PE" w:eastAsia="en-US"/>
        </w:rPr>
        <w:footnoteReference w:id="109"/>
      </w:r>
      <w:r w:rsidR="00C8443F" w:rsidRPr="00092053">
        <w:rPr>
          <w:rFonts w:eastAsia="Calibri"/>
          <w:lang w:val="es-PE" w:eastAsia="en-US"/>
        </w:rPr>
        <w:t>. Ver</w:t>
      </w:r>
      <w:r w:rsidR="00C8443F" w:rsidRPr="00092053">
        <w:rPr>
          <w:rFonts w:eastAsia="Calibri"/>
          <w:b/>
          <w:lang w:val="es-PE" w:eastAsia="en-US"/>
        </w:rPr>
        <w:t xml:space="preserve"> tabla </w:t>
      </w:r>
      <w:r w:rsidR="00FA45BC" w:rsidRPr="00353E55">
        <w:rPr>
          <w:rFonts w:eastAsia="Calibri"/>
          <w:b/>
          <w:lang w:val="es-PE" w:eastAsia="en-US"/>
        </w:rPr>
        <w:t>núm.</w:t>
      </w:r>
      <w:r w:rsidR="00C8443F" w:rsidRPr="00092053">
        <w:rPr>
          <w:rFonts w:eastAsia="Calibri"/>
          <w:b/>
          <w:lang w:val="es-PE" w:eastAsia="en-US"/>
        </w:rPr>
        <w:t xml:space="preserve"> 10 del Anexo </w:t>
      </w:r>
      <w:r w:rsidR="00234021" w:rsidRPr="00092053">
        <w:rPr>
          <w:rFonts w:eastAsia="Calibri"/>
          <w:b/>
          <w:lang w:val="es-PE" w:eastAsia="en-US"/>
        </w:rPr>
        <w:t xml:space="preserve">núm. </w:t>
      </w:r>
      <w:r w:rsidR="00C8443F" w:rsidRPr="00092053">
        <w:rPr>
          <w:rFonts w:eastAsia="Calibri"/>
          <w:b/>
          <w:lang w:val="es-PE" w:eastAsia="en-US"/>
        </w:rPr>
        <w:t>10</w:t>
      </w:r>
      <w:r w:rsidR="00C8443F"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lastRenderedPageBreak/>
        <w:t>103.</w:t>
      </w:r>
      <w:r w:rsidRPr="00574AEE">
        <w:rPr>
          <w:rFonts w:eastAsia="Calibri"/>
          <w:lang w:val="es-PE" w:eastAsia="en-US"/>
        </w:rPr>
        <w:tab/>
      </w:r>
      <w:r w:rsidR="00C8443F" w:rsidRPr="00092053">
        <w:rPr>
          <w:rFonts w:eastAsia="Calibri"/>
          <w:lang w:val="es-PE" w:eastAsia="en-US"/>
        </w:rPr>
        <w:t>Cabe señalar que en el Plan Nacional de Acceso a la Justicia de las Personas en Condición de Vulnerabilidad 2016</w:t>
      </w:r>
      <w:r w:rsidR="00AB3C05">
        <w:rPr>
          <w:rFonts w:eastAsia="Calibri"/>
          <w:lang w:val="es-PE" w:eastAsia="en-US"/>
        </w:rPr>
        <w:t>-</w:t>
      </w:r>
      <w:r w:rsidR="00C8443F" w:rsidRPr="00092053">
        <w:rPr>
          <w:rFonts w:eastAsia="Calibri"/>
          <w:lang w:val="es-PE" w:eastAsia="en-US"/>
        </w:rPr>
        <w:t>2021 del PJ</w:t>
      </w:r>
      <w:r w:rsidR="00C8443F" w:rsidRPr="00092053">
        <w:rPr>
          <w:rFonts w:eastAsia="Calibri"/>
          <w:vertAlign w:val="superscript"/>
          <w:lang w:val="es-PE" w:eastAsia="en-US"/>
        </w:rPr>
        <w:footnoteReference w:id="110"/>
      </w:r>
      <w:r w:rsidR="00C8443F" w:rsidRPr="00092053">
        <w:rPr>
          <w:rFonts w:eastAsia="Calibri"/>
          <w:lang w:val="es-PE" w:eastAsia="en-US"/>
        </w:rPr>
        <w:t xml:space="preserve"> se incorpora el “Eje </w:t>
      </w:r>
      <w:r w:rsidR="00CD52E7">
        <w:rPr>
          <w:rFonts w:eastAsia="Calibri"/>
          <w:lang w:val="es-ES_tradnl"/>
        </w:rPr>
        <w:t>núm.</w:t>
      </w:r>
      <w:r w:rsidR="00C8443F" w:rsidRPr="00092053">
        <w:rPr>
          <w:rFonts w:eastAsia="Calibri"/>
          <w:lang w:val="es-PE" w:eastAsia="en-US"/>
        </w:rPr>
        <w:t xml:space="preserve"> 9: Privación de La Libertad” que define estrategias de implementación que benefician a las PPL, entre ellas</w:t>
      </w:r>
      <w:r w:rsidR="00AE2D52">
        <w:rPr>
          <w:rFonts w:eastAsia="Calibri"/>
          <w:lang w:val="es-PE" w:eastAsia="en-US"/>
        </w:rPr>
        <w:t>:</w:t>
      </w:r>
      <w:r w:rsidR="00C8443F" w:rsidRPr="00092053">
        <w:rPr>
          <w:rFonts w:eastAsia="Calibri"/>
          <w:lang w:val="es-PE" w:eastAsia="en-US"/>
        </w:rPr>
        <w:t xml:space="preserve"> “</w:t>
      </w:r>
      <w:r w:rsidR="00C8443F" w:rsidRPr="00574AEE">
        <w:rPr>
          <w:rFonts w:eastAsia="Calibri"/>
          <w:lang w:val="es-PE" w:eastAsia="en-US"/>
        </w:rPr>
        <w:t xml:space="preserve">i) </w:t>
      </w:r>
      <w:r w:rsidR="00C8443F" w:rsidRPr="00092053">
        <w:rPr>
          <w:rFonts w:eastAsia="Calibri"/>
          <w:lang w:val="es-PE" w:eastAsia="en-US"/>
        </w:rPr>
        <w:t>coordinar con el INPE, para identificar a las personas en condición de vulnerabilidad privadas de libertad, con la finalidad de brindarles un trato acorde a su situación</w:t>
      </w:r>
      <w:r w:rsidR="00785954">
        <w:rPr>
          <w:rFonts w:eastAsia="Calibri"/>
          <w:lang w:val="es-PE" w:eastAsia="en-US"/>
        </w:rPr>
        <w:t>;</w:t>
      </w:r>
      <w:r w:rsidR="00C8443F" w:rsidRPr="00092053">
        <w:rPr>
          <w:rFonts w:eastAsia="Calibri"/>
          <w:lang w:val="es-PE" w:eastAsia="en-US"/>
        </w:rPr>
        <w:t xml:space="preserve"> </w:t>
      </w:r>
      <w:r w:rsidR="00C8443F" w:rsidRPr="00574AEE">
        <w:rPr>
          <w:rFonts w:eastAsia="Calibri"/>
          <w:lang w:val="es-PE" w:eastAsia="en-US"/>
        </w:rPr>
        <w:t xml:space="preserve">ii) </w:t>
      </w:r>
      <w:r w:rsidR="00C8443F" w:rsidRPr="00092053">
        <w:rPr>
          <w:rFonts w:eastAsia="Calibri"/>
          <w:lang w:val="es-PE" w:eastAsia="en-US"/>
        </w:rPr>
        <w:t>actualizar los datos estadísticos respecto a los sentenciados (as) e inculpados (as) que son personas en condición de vulnerabilidad a fin de mejorar sus atenciones médicas, alimentos, higiene, entre otros”.</w:t>
      </w:r>
    </w:p>
    <w:p w:rsidR="00C8443F" w:rsidRPr="00092053" w:rsidRDefault="00092053" w:rsidP="00574AEE">
      <w:pPr>
        <w:pStyle w:val="SingleTxtG"/>
        <w:rPr>
          <w:rFonts w:eastAsia="Calibri"/>
          <w:lang w:val="es-PE" w:eastAsia="en-US"/>
        </w:rPr>
      </w:pPr>
      <w:r w:rsidRPr="00574AEE">
        <w:rPr>
          <w:rFonts w:eastAsia="Calibri"/>
          <w:lang w:val="es-PE" w:eastAsia="en-US"/>
        </w:rPr>
        <w:t>104.</w:t>
      </w:r>
      <w:r w:rsidRPr="00574AEE">
        <w:rPr>
          <w:rFonts w:eastAsia="Calibri"/>
          <w:lang w:val="es-PE" w:eastAsia="en-US"/>
        </w:rPr>
        <w:tab/>
      </w:r>
      <w:r w:rsidR="00C8443F" w:rsidRPr="00092053">
        <w:rPr>
          <w:rFonts w:eastAsia="Calibri"/>
          <w:lang w:val="es-PE" w:eastAsia="en-US"/>
        </w:rPr>
        <w:t xml:space="preserve">Además, se impulsó la aprobación del Decreto Legislativo </w:t>
      </w:r>
      <w:r w:rsidR="00CD52E7">
        <w:rPr>
          <w:rFonts w:eastAsia="Calibri"/>
          <w:lang w:val="es-ES_tradnl"/>
        </w:rPr>
        <w:t>núm.</w:t>
      </w:r>
      <w:r w:rsidR="00C8443F" w:rsidRPr="00092053">
        <w:rPr>
          <w:rFonts w:eastAsia="Calibri"/>
          <w:lang w:val="es-PE" w:eastAsia="en-US"/>
        </w:rPr>
        <w:t xml:space="preserve"> 1229</w:t>
      </w:r>
      <w:r w:rsidR="00C8443F" w:rsidRPr="00092053">
        <w:rPr>
          <w:rFonts w:eastAsia="Calibri"/>
          <w:vertAlign w:val="superscript"/>
          <w:lang w:val="es-PE" w:eastAsia="en-US"/>
        </w:rPr>
        <w:footnoteReference w:id="111"/>
      </w:r>
      <w:r w:rsidR="00C8443F" w:rsidRPr="00092053">
        <w:rPr>
          <w:rFonts w:eastAsia="Calibri"/>
          <w:lang w:val="es-PE" w:eastAsia="en-US"/>
        </w:rPr>
        <w:t xml:space="preserve">, reglamentado mediante el </w:t>
      </w:r>
      <w:r w:rsidR="00E2576D" w:rsidRPr="00092053">
        <w:rPr>
          <w:rFonts w:eastAsia="Calibri"/>
          <w:lang w:val="es-PE" w:eastAsia="en-US"/>
        </w:rPr>
        <w:t xml:space="preserve">Decreto Supremo </w:t>
      </w:r>
      <w:r w:rsidR="00CD52E7">
        <w:rPr>
          <w:rFonts w:eastAsia="Calibri"/>
          <w:lang w:val="es-ES_tradnl"/>
        </w:rPr>
        <w:t>núm.</w:t>
      </w:r>
      <w:r w:rsidR="00E2576D" w:rsidRPr="00092053">
        <w:rPr>
          <w:rFonts w:eastAsia="Calibri"/>
          <w:lang w:val="es-PE" w:eastAsia="en-US"/>
        </w:rPr>
        <w:t xml:space="preserve"> 007-2016-JUS</w:t>
      </w:r>
      <w:r w:rsidR="00C8443F" w:rsidRPr="00092053">
        <w:rPr>
          <w:rFonts w:eastAsia="Calibri"/>
          <w:vertAlign w:val="superscript"/>
          <w:lang w:val="es-PE" w:eastAsia="en-US"/>
        </w:rPr>
        <w:footnoteReference w:id="112"/>
      </w:r>
      <w:r w:rsidR="00E2576D" w:rsidRPr="00092053">
        <w:rPr>
          <w:rFonts w:eastAsia="Calibri"/>
          <w:lang w:val="es-PE" w:eastAsia="en-US"/>
        </w:rPr>
        <w:t xml:space="preserve">, </w:t>
      </w:r>
      <w:r w:rsidR="00C8443F" w:rsidRPr="00092053">
        <w:rPr>
          <w:rFonts w:eastAsia="Calibri"/>
          <w:lang w:val="es-PE" w:eastAsia="en-US"/>
        </w:rPr>
        <w:t>que declaró de interés público y prioridad nacional la adopción de medidas para el mejoramiento e implementación de servicios que mejoren las condiciones de la infraestructura, administración, tratamiento y seguridad penitenciaria.</w:t>
      </w:r>
    </w:p>
    <w:p w:rsidR="002A208C" w:rsidRPr="00092053" w:rsidRDefault="00092053" w:rsidP="00574AEE">
      <w:pPr>
        <w:pStyle w:val="SingleTxtG"/>
        <w:rPr>
          <w:rFonts w:eastAsia="Calibri"/>
          <w:lang w:val="es-PE" w:eastAsia="en-US"/>
        </w:rPr>
      </w:pPr>
      <w:r w:rsidRPr="00574AEE">
        <w:rPr>
          <w:rFonts w:eastAsia="Calibri"/>
          <w:lang w:val="es-PE" w:eastAsia="en-US"/>
        </w:rPr>
        <w:t>105.</w:t>
      </w:r>
      <w:r w:rsidRPr="00574AEE">
        <w:rPr>
          <w:rFonts w:eastAsia="Calibri"/>
          <w:lang w:val="es-PE" w:eastAsia="en-US"/>
        </w:rPr>
        <w:tab/>
      </w:r>
      <w:r w:rsidR="00C8443F" w:rsidRPr="00092053">
        <w:rPr>
          <w:rFonts w:eastAsia="Calibri"/>
          <w:lang w:val="es-PE" w:eastAsia="en-US"/>
        </w:rPr>
        <w:t xml:space="preserve">De otro lado, también son de aplicación los alcances del Decreto Legislativo </w:t>
      </w:r>
      <w:r w:rsidR="00CD52E7">
        <w:rPr>
          <w:rFonts w:eastAsia="Calibri"/>
          <w:lang w:val="es-ES_tradnl"/>
        </w:rPr>
        <w:t>núm.</w:t>
      </w:r>
      <w:r w:rsidR="001069B7">
        <w:rPr>
          <w:rFonts w:eastAsia="Calibri"/>
          <w:lang w:val="es-PE" w:eastAsia="en-US"/>
        </w:rPr>
        <w:t> </w:t>
      </w:r>
      <w:r w:rsidR="00C8443F" w:rsidRPr="00092053">
        <w:rPr>
          <w:rFonts w:eastAsia="Calibri"/>
          <w:lang w:val="es-PE" w:eastAsia="en-US"/>
        </w:rPr>
        <w:t>1322</w:t>
      </w:r>
      <w:r w:rsidR="00C8443F" w:rsidRPr="00092053">
        <w:rPr>
          <w:rFonts w:eastAsia="Calibri"/>
          <w:vertAlign w:val="superscript"/>
          <w:lang w:val="es-PE" w:eastAsia="en-US"/>
        </w:rPr>
        <w:footnoteReference w:id="113"/>
      </w:r>
      <w:r w:rsidR="00C8443F" w:rsidRPr="00092053">
        <w:rPr>
          <w:rFonts w:eastAsia="Calibri"/>
          <w:lang w:val="es-PE" w:eastAsia="en-US"/>
        </w:rPr>
        <w:t xml:space="preserve">, que busca, entre otros, contribuir con la disminución de los niveles de hacinamiento en los establecimientos penitenciarios, mediante un sistema de vigilancia electrónica que procede: </w:t>
      </w:r>
      <w:r w:rsidR="00C8443F" w:rsidRPr="00574AEE">
        <w:rPr>
          <w:rFonts w:eastAsia="Calibri"/>
          <w:lang w:val="es-PE" w:eastAsia="en-US"/>
        </w:rPr>
        <w:t>i)</w:t>
      </w:r>
      <w:r w:rsidR="00C8443F" w:rsidRPr="00092053">
        <w:rPr>
          <w:rFonts w:eastAsia="Calibri"/>
          <w:lang w:val="es-PE" w:eastAsia="en-US"/>
        </w:rPr>
        <w:t xml:space="preserve"> para el caso de los procesados, cuando la imputación se refiera a la presunta comisión de delitos sancionados con una pena no mayor a ocho años</w:t>
      </w:r>
      <w:r w:rsidR="00785954">
        <w:rPr>
          <w:rFonts w:eastAsia="Calibri"/>
          <w:lang w:val="es-PE" w:eastAsia="en-US"/>
        </w:rPr>
        <w:t>;</w:t>
      </w:r>
      <w:r w:rsidR="00C8443F" w:rsidRPr="00092053">
        <w:rPr>
          <w:rFonts w:eastAsia="Calibri"/>
          <w:lang w:val="es-PE" w:eastAsia="en-US"/>
        </w:rPr>
        <w:t xml:space="preserve"> y </w:t>
      </w:r>
      <w:r w:rsidR="00C8443F" w:rsidRPr="00574AEE">
        <w:rPr>
          <w:rFonts w:eastAsia="Calibri"/>
          <w:lang w:val="es-PE" w:eastAsia="en-US"/>
        </w:rPr>
        <w:t>ii)</w:t>
      </w:r>
      <w:r w:rsidR="00C8443F" w:rsidRPr="00092053">
        <w:rPr>
          <w:rFonts w:eastAsia="Calibri"/>
          <w:lang w:val="es-PE" w:eastAsia="en-US"/>
        </w:rPr>
        <w:t xml:space="preserve"> para el caso de los condenados con una pena privativa de libertad efectiva no mayor a ocho años. </w:t>
      </w:r>
    </w:p>
    <w:p w:rsidR="002A208C" w:rsidRPr="00092053" w:rsidRDefault="00092053" w:rsidP="00574AEE">
      <w:pPr>
        <w:pStyle w:val="SingleTxtG"/>
        <w:rPr>
          <w:rFonts w:eastAsia="Calibri"/>
          <w:lang w:val="es-PE" w:eastAsia="en-US"/>
        </w:rPr>
      </w:pPr>
      <w:r w:rsidRPr="00574AEE">
        <w:rPr>
          <w:rFonts w:eastAsia="Calibri"/>
          <w:lang w:val="es-PE" w:eastAsia="en-US"/>
        </w:rPr>
        <w:t>106.</w:t>
      </w:r>
      <w:r w:rsidRPr="00574AEE">
        <w:rPr>
          <w:rFonts w:eastAsia="Calibri"/>
          <w:lang w:val="es-PE" w:eastAsia="en-US"/>
        </w:rPr>
        <w:tab/>
      </w:r>
      <w:r w:rsidR="00C8443F" w:rsidRPr="00092053">
        <w:rPr>
          <w:rFonts w:eastAsia="Calibri"/>
          <w:lang w:val="es-PE" w:eastAsia="en-US"/>
        </w:rPr>
        <w:t>La citada norma considera como criterios de prioridad para el otorgamiento de la vigilancia electrónica, entre otros, a mayores de 65 años, personas que tengan enfermedad grave acreditada con pericia médico legal, personas con discapacidad física permanente que afecte su desplazamiento, mujeres gestantes, mujeres con hijos menores de tres años, la madre o padre que sea cabeza de familia con hijo menor de edad o con hijo o cónyuge que tenga discapacidad permanente, siempre y cua</w:t>
      </w:r>
      <w:r w:rsidR="00E2576D" w:rsidRPr="00092053">
        <w:rPr>
          <w:rFonts w:eastAsia="Calibri"/>
          <w:lang w:val="es-PE" w:eastAsia="en-US"/>
        </w:rPr>
        <w:t>ndo haya estado bajo su cuidado</w:t>
      </w:r>
      <w:r w:rsidR="00C8443F" w:rsidRPr="00092053">
        <w:rPr>
          <w:rFonts w:eastAsia="Calibri"/>
          <w:vertAlign w:val="superscript"/>
          <w:lang w:val="es-PE" w:eastAsia="en-US"/>
        </w:rPr>
        <w:footnoteReference w:id="114"/>
      </w:r>
      <w:r w:rsidR="00E2576D"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107.</w:t>
      </w:r>
      <w:r w:rsidRPr="00574AEE">
        <w:rPr>
          <w:rFonts w:eastAsia="Calibri"/>
          <w:lang w:val="es-PE" w:eastAsia="en-US"/>
        </w:rPr>
        <w:tab/>
      </w:r>
      <w:r w:rsidR="00C8443F" w:rsidRPr="00092053">
        <w:rPr>
          <w:rFonts w:eastAsia="Calibri"/>
          <w:lang w:val="es-PE" w:eastAsia="en-US"/>
        </w:rPr>
        <w:t>Además, se modificaron las disposiciones del artículo 290° del NCPP</w:t>
      </w:r>
      <w:r w:rsidR="00C8443F" w:rsidRPr="00092053">
        <w:rPr>
          <w:rFonts w:eastAsia="Calibri"/>
          <w:vertAlign w:val="superscript"/>
          <w:lang w:val="es-PE" w:eastAsia="en-US"/>
        </w:rPr>
        <w:footnoteReference w:id="115"/>
      </w:r>
      <w:r w:rsidR="00C8443F" w:rsidRPr="00092053">
        <w:rPr>
          <w:rFonts w:eastAsia="Calibri"/>
          <w:lang w:val="es-PE" w:eastAsia="en-US"/>
        </w:rPr>
        <w:t xml:space="preserve"> sobre la detención domiciliaria, estableciendo que se impondrá esta cuando, pese a corresponder prisión preventiva, el imputado: i) es mayor de 65 años; ii) sufre de una enfermedad grave o incurable o de </w:t>
      </w:r>
      <w:r w:rsidR="00C8443F" w:rsidRPr="00574AEE">
        <w:rPr>
          <w:rFonts w:eastAsia="Calibri"/>
          <w:lang w:val="es-PE" w:eastAsia="en-US"/>
        </w:rPr>
        <w:t>iii)</w:t>
      </w:r>
      <w:r w:rsidR="00C8443F" w:rsidRPr="00092053">
        <w:rPr>
          <w:rFonts w:eastAsia="Calibri"/>
          <w:lang w:val="es-PE" w:eastAsia="en-US"/>
        </w:rPr>
        <w:t xml:space="preserve"> grave incapacidad física permanente que afecte sensiblemente su capacidad de desplazamiento</w:t>
      </w:r>
      <w:r w:rsidR="00785954">
        <w:rPr>
          <w:rFonts w:eastAsia="Calibri"/>
          <w:lang w:val="es-PE" w:eastAsia="en-US"/>
        </w:rPr>
        <w:t>;</w:t>
      </w:r>
      <w:r w:rsidR="00C8443F" w:rsidRPr="00092053">
        <w:rPr>
          <w:rFonts w:eastAsia="Calibri"/>
          <w:lang w:val="es-PE" w:eastAsia="en-US"/>
        </w:rPr>
        <w:t xml:space="preserve"> y </w:t>
      </w:r>
      <w:r w:rsidR="00C8443F" w:rsidRPr="00574AEE">
        <w:rPr>
          <w:rFonts w:eastAsia="Calibri"/>
          <w:lang w:val="es-PE" w:eastAsia="en-US"/>
        </w:rPr>
        <w:t>iv)</w:t>
      </w:r>
      <w:r w:rsidR="00C8443F" w:rsidRPr="00092053">
        <w:rPr>
          <w:rFonts w:eastAsia="Calibri"/>
          <w:lang w:val="es-PE" w:eastAsia="en-US"/>
        </w:rPr>
        <w:t xml:space="preserve"> es una madre gestante.</w:t>
      </w:r>
    </w:p>
    <w:p w:rsidR="002A208C" w:rsidRPr="00092053" w:rsidRDefault="00092053" w:rsidP="00574AEE">
      <w:pPr>
        <w:pStyle w:val="SingleTxtG"/>
        <w:rPr>
          <w:rFonts w:eastAsia="Calibri"/>
          <w:lang w:val="es-PE" w:eastAsia="en-US"/>
        </w:rPr>
      </w:pPr>
      <w:r w:rsidRPr="00574AEE">
        <w:rPr>
          <w:rFonts w:eastAsia="Calibri"/>
          <w:lang w:val="es-PE" w:eastAsia="en-US"/>
        </w:rPr>
        <w:t>108.</w:t>
      </w:r>
      <w:r w:rsidRPr="00574AEE">
        <w:rPr>
          <w:rFonts w:eastAsia="Calibri"/>
          <w:lang w:val="es-PE" w:eastAsia="en-US"/>
        </w:rPr>
        <w:tab/>
      </w:r>
      <w:r w:rsidR="00C8443F" w:rsidRPr="00092053">
        <w:rPr>
          <w:rFonts w:eastAsia="Calibri"/>
          <w:lang w:val="es-PE" w:eastAsia="en-US"/>
        </w:rPr>
        <w:t>Asimismo, la Resolución Presidencial del INPE</w:t>
      </w:r>
      <w:r w:rsidR="00C8443F" w:rsidRPr="00092053">
        <w:rPr>
          <w:rFonts w:eastAsia="Calibri"/>
          <w:vertAlign w:val="superscript"/>
          <w:lang w:val="es-PE" w:eastAsia="en-US"/>
        </w:rPr>
        <w:footnoteReference w:id="116"/>
      </w:r>
      <w:r w:rsidR="00C8443F" w:rsidRPr="00092053">
        <w:rPr>
          <w:rFonts w:eastAsia="Calibri"/>
          <w:lang w:val="es-PE" w:eastAsia="en-US"/>
        </w:rPr>
        <w:t xml:space="preserve"> </w:t>
      </w:r>
      <w:r w:rsidR="00CD52E7">
        <w:rPr>
          <w:rFonts w:eastAsia="Calibri"/>
          <w:lang w:val="es-ES_tradnl"/>
        </w:rPr>
        <w:t>núm.</w:t>
      </w:r>
      <w:r w:rsidR="00C8443F" w:rsidRPr="00092053">
        <w:rPr>
          <w:rFonts w:eastAsia="Calibri"/>
          <w:lang w:val="es-PE" w:eastAsia="en-US"/>
        </w:rPr>
        <w:t xml:space="preserve"> 017-2016-INPE, aprueba la Directiva de “Creación, implementación y ejecución de intervención en reclusión para la reinserción social”.</w:t>
      </w:r>
    </w:p>
    <w:p w:rsidR="002A208C" w:rsidRPr="00092053" w:rsidRDefault="00092053" w:rsidP="00574AEE">
      <w:pPr>
        <w:pStyle w:val="SingleTxtG"/>
        <w:rPr>
          <w:rFonts w:eastAsia="Calibri"/>
          <w:lang w:val="es-PE" w:eastAsia="en-US"/>
        </w:rPr>
      </w:pPr>
      <w:r w:rsidRPr="00574AEE">
        <w:rPr>
          <w:rFonts w:eastAsia="Calibri"/>
          <w:lang w:val="es-PE" w:eastAsia="en-US"/>
        </w:rPr>
        <w:t>109.</w:t>
      </w:r>
      <w:r w:rsidRPr="00574AEE">
        <w:rPr>
          <w:rFonts w:eastAsia="Calibri"/>
          <w:lang w:val="es-PE" w:eastAsia="en-US"/>
        </w:rPr>
        <w:tab/>
      </w:r>
      <w:r w:rsidR="00C8443F" w:rsidRPr="00092053">
        <w:rPr>
          <w:rFonts w:eastAsia="Calibri"/>
          <w:lang w:val="es-PE" w:eastAsia="en-US"/>
        </w:rPr>
        <w:t xml:space="preserve">En esa línea, se aprobó el Decreto Legislativo </w:t>
      </w:r>
      <w:r w:rsidR="00CD52E7">
        <w:rPr>
          <w:rFonts w:eastAsia="Calibri"/>
          <w:lang w:val="es-ES_tradnl"/>
        </w:rPr>
        <w:t>núm.</w:t>
      </w:r>
      <w:r w:rsidR="00C8443F" w:rsidRPr="00092053">
        <w:rPr>
          <w:rFonts w:eastAsia="Calibri"/>
          <w:lang w:val="es-PE" w:eastAsia="en-US"/>
        </w:rPr>
        <w:t xml:space="preserve"> 1343</w:t>
      </w:r>
      <w:r w:rsidR="00C8443F" w:rsidRPr="00092053">
        <w:rPr>
          <w:rFonts w:eastAsia="Calibri"/>
          <w:vertAlign w:val="superscript"/>
          <w:lang w:val="es-PE" w:eastAsia="en-US"/>
        </w:rPr>
        <w:footnoteReference w:id="117"/>
      </w:r>
      <w:r w:rsidR="00C8443F" w:rsidRPr="00092053">
        <w:rPr>
          <w:rFonts w:eastAsia="Calibri"/>
          <w:lang w:val="es-PE" w:eastAsia="en-US"/>
        </w:rPr>
        <w:t xml:space="preserve">, para la promoción e implementación de cárceles productivas, con el objeto de regular y fortalecer el tratamiento </w:t>
      </w:r>
      <w:r w:rsidR="00C8443F" w:rsidRPr="00092053">
        <w:rPr>
          <w:rFonts w:eastAsia="Calibri"/>
          <w:lang w:val="es-PE" w:eastAsia="en-US"/>
        </w:rPr>
        <w:lastRenderedPageBreak/>
        <w:t>penitenciario y postpenitenciario, a través de la promoción y desarrollo de actividades productivas para la reinserción laboral y la resocialización.</w:t>
      </w:r>
    </w:p>
    <w:p w:rsidR="002A208C" w:rsidRPr="00092053" w:rsidRDefault="00092053" w:rsidP="00574AEE">
      <w:pPr>
        <w:pStyle w:val="SingleTxtG"/>
        <w:rPr>
          <w:rFonts w:eastAsia="Calibri"/>
          <w:lang w:val="es-PE" w:eastAsia="en-US"/>
        </w:rPr>
      </w:pPr>
      <w:r w:rsidRPr="00574AEE">
        <w:rPr>
          <w:rFonts w:eastAsia="Calibri"/>
          <w:lang w:val="es-PE" w:eastAsia="en-US"/>
        </w:rPr>
        <w:t>110.</w:t>
      </w:r>
      <w:r w:rsidRPr="00574AEE">
        <w:rPr>
          <w:rFonts w:eastAsia="Calibri"/>
          <w:lang w:val="es-PE" w:eastAsia="en-US"/>
        </w:rPr>
        <w:tab/>
      </w:r>
      <w:r w:rsidR="00C8443F" w:rsidRPr="00092053">
        <w:rPr>
          <w:rFonts w:eastAsia="Calibri"/>
          <w:lang w:val="es-PE" w:eastAsia="en-US"/>
        </w:rPr>
        <w:t xml:space="preserve">Por otro lado, como reconocimiento de la importancia de la perspectiva de género en las políticas penitenciarias, en el 2015 el INPE, con la asistencia técnica de la Dirección General para la Transversalización del Enfoque de Género del MIMP, creó la Comisión de Naturaleza Permanente para la Transversalización del Enfoque de Género. </w:t>
      </w:r>
    </w:p>
    <w:p w:rsidR="002A208C" w:rsidRPr="00092053" w:rsidRDefault="00092053" w:rsidP="00574AEE">
      <w:pPr>
        <w:pStyle w:val="SingleTxtG"/>
        <w:rPr>
          <w:rFonts w:eastAsia="Calibri"/>
          <w:lang w:val="es-PE" w:eastAsia="en-US"/>
        </w:rPr>
      </w:pPr>
      <w:r w:rsidRPr="00574AEE">
        <w:rPr>
          <w:rFonts w:eastAsia="Calibri"/>
          <w:lang w:val="es-PE" w:eastAsia="en-US"/>
        </w:rPr>
        <w:t>111.</w:t>
      </w:r>
      <w:r w:rsidRPr="00574AEE">
        <w:rPr>
          <w:rFonts w:eastAsia="Calibri"/>
          <w:lang w:val="es-PE" w:eastAsia="en-US"/>
        </w:rPr>
        <w:tab/>
      </w:r>
      <w:r w:rsidR="00C8443F" w:rsidRPr="00092053">
        <w:rPr>
          <w:rFonts w:eastAsia="Calibri"/>
          <w:lang w:val="es-PE" w:eastAsia="en-US"/>
        </w:rPr>
        <w:t xml:space="preserve">Asimismo, en el 2016 se aprobó la Directiva </w:t>
      </w:r>
      <w:r w:rsidR="00CD52E7">
        <w:rPr>
          <w:rFonts w:eastAsia="Calibri"/>
          <w:lang w:val="es-ES_tradnl"/>
        </w:rPr>
        <w:t>núm.</w:t>
      </w:r>
      <w:r w:rsidR="00C8443F" w:rsidRPr="00092053">
        <w:rPr>
          <w:rFonts w:eastAsia="Calibri"/>
          <w:lang w:val="es-PE" w:eastAsia="en-US"/>
        </w:rPr>
        <w:t xml:space="preserve"> 012-2016-INPE-DTP, denominada “Atención integral y tratamiento penitenciario para mujeres procesadas o sentenciadas en establecimientos penitenciarios y medio libre” con el fin de establecer las pautas para la atención de la población femenina privada de libertad en áreas como ingreso, clasificación, alojamiento, infraestructura, segu</w:t>
      </w:r>
      <w:r w:rsidR="00E2576D" w:rsidRPr="00092053">
        <w:rPr>
          <w:rFonts w:eastAsia="Calibri"/>
          <w:lang w:val="es-PE" w:eastAsia="en-US"/>
        </w:rPr>
        <w:t>ridad penitenciaria, ente otras</w:t>
      </w:r>
      <w:r w:rsidR="00C8443F" w:rsidRPr="00092053">
        <w:rPr>
          <w:rFonts w:eastAsia="Calibri"/>
          <w:vertAlign w:val="superscript"/>
          <w:lang w:val="es-PE" w:eastAsia="en-US"/>
        </w:rPr>
        <w:footnoteReference w:id="118"/>
      </w:r>
      <w:r w:rsidR="00E2576D" w:rsidRPr="00092053">
        <w:rPr>
          <w:rFonts w:eastAsia="Calibri"/>
          <w:lang w:val="es-PE" w:eastAsia="en-US"/>
        </w:rPr>
        <w:t>.</w:t>
      </w:r>
      <w:r w:rsidR="00C8443F" w:rsidRPr="00092053">
        <w:rPr>
          <w:rFonts w:eastAsia="Calibri"/>
          <w:lang w:val="es-PE" w:eastAsia="en-US"/>
        </w:rPr>
        <w:t xml:space="preserve"> </w:t>
      </w:r>
    </w:p>
    <w:p w:rsidR="002A208C" w:rsidRPr="00092053" w:rsidRDefault="00092053" w:rsidP="00574AEE">
      <w:pPr>
        <w:pStyle w:val="SingleTxtG"/>
        <w:rPr>
          <w:rFonts w:eastAsia="Calibri"/>
          <w:lang w:val="es-PE" w:eastAsia="en-US"/>
        </w:rPr>
      </w:pPr>
      <w:r w:rsidRPr="00574AEE">
        <w:rPr>
          <w:rFonts w:eastAsia="Calibri"/>
          <w:lang w:val="es-PE" w:eastAsia="en-US"/>
        </w:rPr>
        <w:t>112.</w:t>
      </w:r>
      <w:r w:rsidRPr="00574AEE">
        <w:rPr>
          <w:rFonts w:eastAsia="Calibri"/>
          <w:lang w:val="es-PE" w:eastAsia="en-US"/>
        </w:rPr>
        <w:tab/>
      </w:r>
      <w:r w:rsidR="00C8443F" w:rsidRPr="00092053">
        <w:rPr>
          <w:rFonts w:eastAsia="Calibri"/>
          <w:lang w:val="es-PE" w:eastAsia="en-US"/>
        </w:rPr>
        <w:t xml:space="preserve">Además, mediante el Decreto Supremo </w:t>
      </w:r>
      <w:r w:rsidR="00CD52E7">
        <w:rPr>
          <w:rFonts w:eastAsia="Calibri"/>
          <w:lang w:val="es-ES_tradnl"/>
        </w:rPr>
        <w:t>núm.</w:t>
      </w:r>
      <w:r w:rsidR="00C8443F" w:rsidRPr="00092053">
        <w:rPr>
          <w:rFonts w:eastAsia="Calibri"/>
          <w:lang w:val="es-PE" w:eastAsia="en-US"/>
        </w:rPr>
        <w:t xml:space="preserve"> 006-2016-MIMP</w:t>
      </w:r>
      <w:r w:rsidR="00C8443F" w:rsidRPr="00092053">
        <w:rPr>
          <w:rFonts w:eastAsia="Calibri"/>
          <w:vertAlign w:val="superscript"/>
          <w:lang w:val="es-PE" w:eastAsia="en-US"/>
        </w:rPr>
        <w:footnoteReference w:id="119"/>
      </w:r>
      <w:r w:rsidR="00C8443F" w:rsidRPr="00092053">
        <w:rPr>
          <w:rFonts w:eastAsia="Calibri"/>
          <w:lang w:val="es-PE" w:eastAsia="en-US"/>
        </w:rPr>
        <w:t xml:space="preserve"> se aprobó el “Protocolo intersectorial entre el MIMP y el INPE para la atención oportuna de hijas o hijos menores de edad de las madres internas en establecimientos penitenciarios</w:t>
      </w:r>
      <w:r w:rsidR="00C8443F" w:rsidRPr="00574AEE">
        <w:rPr>
          <w:rFonts w:eastAsia="Calibri"/>
          <w:lang w:val="es-PE" w:eastAsia="en-US"/>
        </w:rPr>
        <w:t>”</w:t>
      </w:r>
      <w:r w:rsidR="00C8443F" w:rsidRPr="00092053">
        <w:rPr>
          <w:rFonts w:eastAsia="Calibri"/>
          <w:lang w:val="es-PE" w:eastAsia="en-US"/>
        </w:rPr>
        <w:t>,</w:t>
      </w:r>
      <w:r w:rsidR="00C8443F" w:rsidRPr="00092053">
        <w:rPr>
          <w:rFonts w:eastAsia="Calibri"/>
          <w:i/>
          <w:lang w:val="es-PE" w:eastAsia="en-US"/>
        </w:rPr>
        <w:t xml:space="preserve"> </w:t>
      </w:r>
      <w:r w:rsidR="00C8443F" w:rsidRPr="00092053">
        <w:rPr>
          <w:rFonts w:eastAsia="Calibri"/>
          <w:lang w:val="es-PE" w:eastAsia="en-US"/>
        </w:rPr>
        <w:t>su finalidad es restablecer el ejercicio de los derechos de las niñas, niños y adolescentes, hijas o hijos de las madres que se encuentran en los establecimientos penitenciarios, para que logren un desarrollo integral y saludable en su entorno familiar.</w:t>
      </w:r>
    </w:p>
    <w:p w:rsidR="002A208C" w:rsidRPr="00092053" w:rsidRDefault="00092053" w:rsidP="00574AEE">
      <w:pPr>
        <w:pStyle w:val="SingleTxtG"/>
        <w:rPr>
          <w:rFonts w:eastAsia="Calibri"/>
          <w:lang w:val="es-PE" w:eastAsia="en-US"/>
        </w:rPr>
      </w:pPr>
      <w:r w:rsidRPr="00574AEE">
        <w:rPr>
          <w:rFonts w:eastAsia="Calibri"/>
          <w:lang w:val="es-PE" w:eastAsia="en-US"/>
        </w:rPr>
        <w:t>113.</w:t>
      </w:r>
      <w:r w:rsidRPr="00574AEE">
        <w:rPr>
          <w:rFonts w:eastAsia="Calibri"/>
          <w:lang w:val="es-PE" w:eastAsia="en-US"/>
        </w:rPr>
        <w:tab/>
      </w:r>
      <w:r w:rsidR="00C8443F" w:rsidRPr="00092053">
        <w:rPr>
          <w:rFonts w:eastAsia="Calibri"/>
          <w:lang w:val="es-PE" w:eastAsia="en-US"/>
        </w:rPr>
        <w:t>Asimismo, en el 2015 el MIMP y el INPE han suscrito un Convenio Marco de Cooperación Interinstitucional para mejorar el</w:t>
      </w:r>
      <w:r w:rsidR="00E2576D" w:rsidRPr="00092053">
        <w:rPr>
          <w:rFonts w:eastAsia="Calibri"/>
          <w:lang w:val="es-PE" w:eastAsia="en-US"/>
        </w:rPr>
        <w:t xml:space="preserve"> Sistema Penitenciario Nacional</w:t>
      </w:r>
      <w:r w:rsidR="00C8443F" w:rsidRPr="00092053">
        <w:rPr>
          <w:rFonts w:eastAsia="Calibri"/>
          <w:vertAlign w:val="superscript"/>
          <w:lang w:val="es-PE" w:eastAsia="en-US"/>
        </w:rPr>
        <w:footnoteReference w:id="120"/>
      </w:r>
      <w:r w:rsidR="00E2576D" w:rsidRPr="00092053">
        <w:rPr>
          <w:rFonts w:eastAsia="Calibri"/>
          <w:lang w:val="es-PE" w:eastAsia="en-US"/>
        </w:rPr>
        <w:t>.</w:t>
      </w:r>
    </w:p>
    <w:p w:rsidR="002A208C" w:rsidRPr="00092053" w:rsidRDefault="00092053" w:rsidP="00574AEE">
      <w:pPr>
        <w:pStyle w:val="SingleTxtG"/>
        <w:rPr>
          <w:rFonts w:eastAsia="Calibri"/>
          <w:lang w:val="es-ES_tradnl"/>
        </w:rPr>
      </w:pPr>
      <w:r w:rsidRPr="00574AEE">
        <w:rPr>
          <w:rFonts w:eastAsia="Calibri"/>
          <w:lang w:val="es-ES_tradnl"/>
        </w:rPr>
        <w:t>114.</w:t>
      </w:r>
      <w:r w:rsidRPr="00574AEE">
        <w:rPr>
          <w:rFonts w:eastAsia="Calibri"/>
          <w:lang w:val="es-ES_tradnl"/>
        </w:rPr>
        <w:tab/>
      </w:r>
      <w:r w:rsidR="00C8443F" w:rsidRPr="00092053">
        <w:rPr>
          <w:rFonts w:eastAsia="Calibri"/>
          <w:lang w:val="es-ES_tradnl"/>
        </w:rPr>
        <w:t xml:space="preserve">Del mismo modo, se aprobó la Ley </w:t>
      </w:r>
      <w:r w:rsidR="00CD52E7">
        <w:rPr>
          <w:rFonts w:eastAsia="Calibri"/>
          <w:lang w:val="es-ES_tradnl"/>
        </w:rPr>
        <w:t>núm.</w:t>
      </w:r>
      <w:r w:rsidR="00C8443F" w:rsidRPr="00092053">
        <w:rPr>
          <w:rFonts w:eastAsia="Calibri"/>
          <w:lang w:val="es-ES_tradnl"/>
        </w:rPr>
        <w:t xml:space="preserve"> 30287, Ley de Prevención y Control de la Tuberculosis en el Perú</w:t>
      </w:r>
      <w:r w:rsidR="00C8443F" w:rsidRPr="00092053">
        <w:rPr>
          <w:rFonts w:eastAsia="Calibri"/>
          <w:vertAlign w:val="superscript"/>
          <w:lang w:val="es-ES_tradnl"/>
        </w:rPr>
        <w:footnoteReference w:id="121"/>
      </w:r>
      <w:r w:rsidR="00C8443F" w:rsidRPr="00092053">
        <w:rPr>
          <w:rFonts w:eastAsia="Calibri"/>
          <w:lang w:val="es-ES_tradnl"/>
        </w:rPr>
        <w:t>, que dispone que cuando se trata de una PPL</w:t>
      </w:r>
      <w:r w:rsidR="00C8443F" w:rsidRPr="00092053">
        <w:rPr>
          <w:rFonts w:eastAsia="Calibri"/>
          <w:vertAlign w:val="superscript"/>
          <w:lang w:val="es-ES_tradnl"/>
        </w:rPr>
        <w:footnoteReference w:id="122"/>
      </w:r>
      <w:r w:rsidR="00C8443F" w:rsidRPr="00092053">
        <w:rPr>
          <w:rFonts w:eastAsia="Calibri"/>
          <w:lang w:val="es-ES_tradnl"/>
        </w:rPr>
        <w:t xml:space="preserve"> con diagnóstico de TBC, el MINJUS, a través del INPE, en coordinación con el Ministerio de Salud (MINSA), implementará la estrategia sanitaria de prevención y control de la TBC de acuerdo al Plan Nacional Multisectorial contra la TBC en los servicios de salud de los centros penitenciarios del país. </w:t>
      </w:r>
    </w:p>
    <w:p w:rsidR="002A208C" w:rsidRPr="00092053" w:rsidRDefault="00092053" w:rsidP="00574AEE">
      <w:pPr>
        <w:pStyle w:val="SingleTxtG"/>
        <w:rPr>
          <w:rFonts w:eastAsia="Calibri"/>
          <w:lang w:val="es-ES_tradnl"/>
        </w:rPr>
      </w:pPr>
      <w:r w:rsidRPr="00574AEE">
        <w:rPr>
          <w:rFonts w:eastAsia="Calibri"/>
          <w:lang w:val="es-ES_tradnl"/>
        </w:rPr>
        <w:t>115.</w:t>
      </w:r>
      <w:r w:rsidRPr="00574AEE">
        <w:rPr>
          <w:rFonts w:eastAsia="Calibri"/>
          <w:lang w:val="es-ES_tradnl"/>
        </w:rPr>
        <w:tab/>
      </w:r>
      <w:r w:rsidR="00C8443F" w:rsidRPr="00092053">
        <w:rPr>
          <w:rFonts w:eastAsia="Calibri"/>
          <w:lang w:val="es-ES_tradnl"/>
        </w:rPr>
        <w:t>Así, se dispone que el MINJUS</w:t>
      </w:r>
      <w:r w:rsidR="00C8443F" w:rsidRPr="00092053">
        <w:rPr>
          <w:rFonts w:eastAsia="Calibri"/>
          <w:vertAlign w:val="superscript"/>
          <w:lang w:val="es-ES_tradnl"/>
        </w:rPr>
        <w:footnoteReference w:id="123"/>
      </w:r>
      <w:r w:rsidR="00C8443F" w:rsidRPr="00092053">
        <w:rPr>
          <w:rFonts w:eastAsia="Calibri"/>
          <w:lang w:val="es-ES_tradnl"/>
        </w:rPr>
        <w:t xml:space="preserve">, a través del INPE, determinará la ubicación o </w:t>
      </w:r>
      <w:r w:rsidR="00C8443F" w:rsidRPr="00092053">
        <w:rPr>
          <w:rFonts w:eastAsia="Calibri"/>
          <w:lang w:val="es-PE" w:eastAsia="en-US"/>
        </w:rPr>
        <w:t>reubicación</w:t>
      </w:r>
      <w:r w:rsidR="00C8443F" w:rsidRPr="00092053">
        <w:rPr>
          <w:rFonts w:eastAsia="Calibri"/>
          <w:lang w:val="es-ES_tradnl"/>
        </w:rPr>
        <w:t xml:space="preserve"> de la persona afectada por TBC en un establecimiento penitenciario. Uno de los criterios será la disponibilidad del tratamiento médico anti TBC; los establecimientos penitenciarios del país implementarán ambientes especiales para ubicar a los internos afectados por TBC en cualquiera de sus formas clínicas, mientras dure su tratamiento médico, y brindará medidas de control de infecciones a las personas que los visitan.</w:t>
      </w:r>
    </w:p>
    <w:p w:rsidR="002A208C" w:rsidRPr="00092053" w:rsidRDefault="00092053" w:rsidP="00574AEE">
      <w:pPr>
        <w:pStyle w:val="SingleTxtG"/>
        <w:rPr>
          <w:rFonts w:eastAsia="Calibri"/>
          <w:lang w:val="es-ES_tradnl"/>
        </w:rPr>
      </w:pPr>
      <w:r w:rsidRPr="00574AEE">
        <w:rPr>
          <w:rFonts w:eastAsia="Calibri"/>
          <w:lang w:val="es-ES_tradnl"/>
        </w:rPr>
        <w:t>116.</w:t>
      </w:r>
      <w:r w:rsidRPr="00574AEE">
        <w:rPr>
          <w:rFonts w:eastAsia="Calibri"/>
          <w:lang w:val="es-ES_tradnl"/>
        </w:rPr>
        <w:tab/>
      </w:r>
      <w:r w:rsidR="00C8443F" w:rsidRPr="00092053">
        <w:rPr>
          <w:rFonts w:eastAsia="Calibri"/>
          <w:lang w:val="es-ES_tradnl"/>
        </w:rPr>
        <w:t xml:space="preserve">A la luz de la situación descrita, mediante el Decreto Legislativo </w:t>
      </w:r>
      <w:r w:rsidR="00CD52E7">
        <w:rPr>
          <w:rFonts w:eastAsia="Calibri"/>
          <w:lang w:val="es-ES_tradnl"/>
        </w:rPr>
        <w:t>núm.</w:t>
      </w:r>
      <w:r w:rsidR="00C8443F" w:rsidRPr="00092053">
        <w:rPr>
          <w:rFonts w:eastAsia="Calibri"/>
          <w:lang w:val="es-ES_tradnl"/>
        </w:rPr>
        <w:t xml:space="preserve"> 1325</w:t>
      </w:r>
      <w:r w:rsidR="00C8443F" w:rsidRPr="00092053">
        <w:rPr>
          <w:rFonts w:eastAsia="Calibri"/>
          <w:vertAlign w:val="superscript"/>
          <w:lang w:val="es-ES_tradnl"/>
        </w:rPr>
        <w:footnoteReference w:id="124"/>
      </w:r>
      <w:r w:rsidR="00C8443F" w:rsidRPr="00092053">
        <w:rPr>
          <w:rFonts w:eastAsia="Calibri"/>
          <w:lang w:val="es-ES_tradnl"/>
        </w:rPr>
        <w:t xml:space="preserve"> se declaró en emergencia por 24 meses el Sistema Nacional Penitenciario y el INPE, por razones de seguridad, salud, hacinamiento y deficiente infraestructura, a fin de revertir la aguda crisis que atraviesan los establecimientos penitenciarios a nivel nacional. </w:t>
      </w:r>
    </w:p>
    <w:p w:rsidR="002A208C" w:rsidRPr="00092053" w:rsidRDefault="004F7B54" w:rsidP="004F7B54">
      <w:pPr>
        <w:pStyle w:val="H23G"/>
        <w:rPr>
          <w:rFonts w:eastAsia="Calibri"/>
          <w:lang w:val="es-PE" w:eastAsia="en-US"/>
        </w:rPr>
      </w:pPr>
      <w:r w:rsidRPr="00092053">
        <w:rPr>
          <w:rFonts w:eastAsia="Calibri"/>
          <w:lang w:val="es-PE" w:eastAsia="en-US"/>
        </w:rPr>
        <w:lastRenderedPageBreak/>
        <w:tab/>
        <w:t>b)</w:t>
      </w:r>
      <w:r w:rsidRPr="00092053">
        <w:rPr>
          <w:rFonts w:eastAsia="Calibri"/>
          <w:lang w:val="es-PE" w:eastAsia="en-US"/>
        </w:rPr>
        <w:tab/>
      </w:r>
      <w:r w:rsidR="00C8443F" w:rsidRPr="00092053">
        <w:rPr>
          <w:rFonts w:eastAsia="Calibri"/>
          <w:lang w:val="es-PE" w:eastAsia="en-US"/>
        </w:rPr>
        <w:t>Datos estadísticos PPL y Tortura</w:t>
      </w:r>
    </w:p>
    <w:p w:rsidR="002A208C" w:rsidRPr="00092053" w:rsidRDefault="00092053" w:rsidP="00574AEE">
      <w:pPr>
        <w:pStyle w:val="SingleTxtG"/>
        <w:rPr>
          <w:rFonts w:eastAsia="Calibri"/>
          <w:lang w:val="es-PE" w:eastAsia="en-US"/>
        </w:rPr>
      </w:pPr>
      <w:r w:rsidRPr="00574AEE">
        <w:rPr>
          <w:rFonts w:eastAsia="Calibri"/>
          <w:lang w:val="es-PE" w:eastAsia="en-US"/>
        </w:rPr>
        <w:t>117.</w:t>
      </w:r>
      <w:r w:rsidRPr="00574AEE">
        <w:rPr>
          <w:rFonts w:eastAsia="Calibri"/>
          <w:lang w:val="es-PE" w:eastAsia="en-US"/>
        </w:rPr>
        <w:tab/>
      </w:r>
      <w:r w:rsidR="00C8443F" w:rsidRPr="00092053">
        <w:rPr>
          <w:rFonts w:eastAsia="Calibri"/>
          <w:lang w:val="es-PE" w:eastAsia="en-US"/>
        </w:rPr>
        <w:t>El RENADESPPLE</w:t>
      </w:r>
      <w:r w:rsidR="00C8443F" w:rsidRPr="00092053">
        <w:rPr>
          <w:rFonts w:eastAsia="Calibri"/>
          <w:vertAlign w:val="superscript"/>
          <w:lang w:val="es-PE" w:eastAsia="en-US"/>
        </w:rPr>
        <w:footnoteReference w:id="125"/>
      </w:r>
      <w:r w:rsidR="00C8443F" w:rsidRPr="00092053">
        <w:rPr>
          <w:rFonts w:eastAsia="Calibri"/>
          <w:lang w:val="es-PE" w:eastAsia="en-US"/>
        </w:rPr>
        <w:t xml:space="preserve"> como organismo encargado de consolidar una serie de campos de registro que comprende todos los delitos tipificados en el CP, incluidos los delitos de lesa humanidad como el delito de tortura, informó lo siguiente:</w:t>
      </w:r>
    </w:p>
    <w:p w:rsidR="002A208C" w:rsidRPr="00092053" w:rsidRDefault="004E0651" w:rsidP="004E0651">
      <w:pPr>
        <w:pStyle w:val="SingleTxtG"/>
        <w:rPr>
          <w:rFonts w:eastAsia="Calibri"/>
          <w:lang w:val="es-PE" w:eastAsia="en-US"/>
        </w:rPr>
      </w:pPr>
      <w:r w:rsidRPr="00092053">
        <w:rPr>
          <w:rFonts w:eastAsia="Calibri"/>
          <w:lang w:val="es-PE" w:eastAsia="en-US"/>
        </w:rPr>
        <w:tab/>
        <w:t>1)</w:t>
      </w:r>
      <w:r w:rsidRPr="00092053">
        <w:rPr>
          <w:rFonts w:eastAsia="Calibri"/>
          <w:lang w:val="es-PE" w:eastAsia="en-US"/>
        </w:rPr>
        <w:tab/>
      </w:r>
      <w:r w:rsidR="00C8443F" w:rsidRPr="00092053">
        <w:rPr>
          <w:rFonts w:eastAsia="Calibri"/>
          <w:lang w:val="es-PE" w:eastAsia="en-US"/>
        </w:rPr>
        <w:t>Hay 77 personas recluidas en los establecimientos penitenciarios por el delito de tortura, según el distrito judicial, en el per</w:t>
      </w:r>
      <w:r w:rsidR="001069B7">
        <w:rPr>
          <w:rFonts w:eastAsia="Calibri"/>
          <w:lang w:val="es-PE" w:eastAsia="en-US"/>
        </w:rPr>
        <w:t>í</w:t>
      </w:r>
      <w:r w:rsidR="00C8443F" w:rsidRPr="00092053">
        <w:rPr>
          <w:rFonts w:eastAsia="Calibri"/>
          <w:lang w:val="es-PE" w:eastAsia="en-US"/>
        </w:rPr>
        <w:t>odo 2000-2015. Ver</w:t>
      </w:r>
      <w:r w:rsidR="00C8443F" w:rsidRPr="00092053">
        <w:rPr>
          <w:rFonts w:eastAsia="Calibri"/>
          <w:b/>
          <w:lang w:val="es-PE" w:eastAsia="en-US"/>
        </w:rPr>
        <w:t xml:space="preserve"> Tabla </w:t>
      </w:r>
      <w:r w:rsidR="00FA45BC" w:rsidRPr="00353E55">
        <w:rPr>
          <w:rFonts w:eastAsia="Calibri"/>
          <w:b/>
          <w:lang w:val="es-PE" w:eastAsia="en-US"/>
        </w:rPr>
        <w:t>núm.</w:t>
      </w:r>
      <w:r w:rsidR="00C8443F" w:rsidRPr="00092053">
        <w:rPr>
          <w:rFonts w:eastAsia="Calibri"/>
          <w:b/>
          <w:lang w:val="es-PE" w:eastAsia="en-US"/>
        </w:rPr>
        <w:t xml:space="preserve"> 1 del Anexo </w:t>
      </w:r>
      <w:r w:rsidR="00FA45BC" w:rsidRPr="00353E55">
        <w:rPr>
          <w:rFonts w:eastAsia="Calibri"/>
          <w:b/>
          <w:lang w:val="es-PE" w:eastAsia="en-US"/>
        </w:rPr>
        <w:t>núm.</w:t>
      </w:r>
      <w:r w:rsidR="00C8443F" w:rsidRPr="00092053">
        <w:rPr>
          <w:rFonts w:eastAsia="Calibri"/>
          <w:b/>
          <w:lang w:val="es-PE" w:eastAsia="en-US"/>
        </w:rPr>
        <w:t xml:space="preserve"> 11.</w:t>
      </w:r>
    </w:p>
    <w:p w:rsidR="002A208C" w:rsidRPr="00092053" w:rsidRDefault="004E0651" w:rsidP="004E0651">
      <w:pPr>
        <w:pStyle w:val="SingleTxtG"/>
        <w:rPr>
          <w:rFonts w:eastAsia="Calibri"/>
          <w:lang w:val="es-PE" w:eastAsia="en-US"/>
        </w:rPr>
      </w:pPr>
      <w:r w:rsidRPr="00092053">
        <w:rPr>
          <w:rFonts w:eastAsia="Calibri"/>
          <w:lang w:val="es-PE" w:eastAsia="en-US"/>
        </w:rPr>
        <w:tab/>
        <w:t>2)</w:t>
      </w:r>
      <w:r w:rsidRPr="00092053">
        <w:rPr>
          <w:rFonts w:eastAsia="Calibri"/>
          <w:lang w:val="es-PE" w:eastAsia="en-US"/>
        </w:rPr>
        <w:tab/>
      </w:r>
      <w:r w:rsidR="00C8443F" w:rsidRPr="00092053">
        <w:rPr>
          <w:rFonts w:eastAsia="Calibri"/>
          <w:lang w:val="es-PE" w:eastAsia="en-US"/>
        </w:rPr>
        <w:t xml:space="preserve">El 100% de detenidos son varones. Ver </w:t>
      </w:r>
      <w:r w:rsidR="00C8443F" w:rsidRPr="00092053">
        <w:rPr>
          <w:rFonts w:eastAsia="Calibri"/>
          <w:b/>
          <w:lang w:val="es-PE" w:eastAsia="en-US"/>
        </w:rPr>
        <w:t xml:space="preserve">Tabla </w:t>
      </w:r>
      <w:r w:rsidR="00FA45BC" w:rsidRPr="00353E55">
        <w:rPr>
          <w:rFonts w:eastAsia="Calibri"/>
          <w:b/>
          <w:lang w:val="es-PE" w:eastAsia="en-US"/>
        </w:rPr>
        <w:t>núm.</w:t>
      </w:r>
      <w:r w:rsidR="00C8443F" w:rsidRPr="00092053">
        <w:rPr>
          <w:rFonts w:eastAsia="Calibri"/>
          <w:b/>
          <w:lang w:val="es-PE" w:eastAsia="en-US"/>
        </w:rPr>
        <w:t xml:space="preserve"> 2 del Anexo </w:t>
      </w:r>
      <w:r w:rsidR="00FA45BC" w:rsidRPr="00353E55">
        <w:rPr>
          <w:rFonts w:eastAsia="Calibri"/>
          <w:b/>
          <w:lang w:val="es-PE" w:eastAsia="en-US"/>
        </w:rPr>
        <w:t>núm.</w:t>
      </w:r>
      <w:r w:rsidR="00C8443F" w:rsidRPr="00092053">
        <w:rPr>
          <w:rFonts w:eastAsia="Calibri"/>
          <w:b/>
          <w:lang w:val="es-PE" w:eastAsia="en-US"/>
        </w:rPr>
        <w:t xml:space="preserve"> 11.</w:t>
      </w:r>
    </w:p>
    <w:p w:rsidR="002A208C" w:rsidRPr="00092053" w:rsidRDefault="004E0651" w:rsidP="004E0651">
      <w:pPr>
        <w:pStyle w:val="SingleTxtG"/>
        <w:rPr>
          <w:rFonts w:eastAsia="Calibri"/>
          <w:lang w:val="es-PE" w:eastAsia="en-US"/>
        </w:rPr>
      </w:pPr>
      <w:r w:rsidRPr="00092053">
        <w:rPr>
          <w:rFonts w:eastAsia="Calibri"/>
          <w:lang w:val="es-PE" w:eastAsia="en-US"/>
        </w:rPr>
        <w:tab/>
        <w:t>3)</w:t>
      </w:r>
      <w:r w:rsidRPr="00092053">
        <w:rPr>
          <w:rFonts w:eastAsia="Calibri"/>
          <w:lang w:val="es-PE" w:eastAsia="en-US"/>
        </w:rPr>
        <w:tab/>
      </w:r>
      <w:r w:rsidR="00C8443F" w:rsidRPr="00092053">
        <w:rPr>
          <w:rFonts w:eastAsia="Calibri"/>
          <w:lang w:val="es-PE" w:eastAsia="en-US"/>
        </w:rPr>
        <w:t xml:space="preserve">A su vez, en base a la búsqueda de cada uno de los detenidos en el RENIEC, sus edades oscilan entre 18-22 años (5 detenidos), 23-27 años (11), 28-32 años (10), 33-37 años (12), 38-42 años (13), 43-47 años (15), 48-52 años (6), 53-57 años (1) y 58-62 años (1). Ver </w:t>
      </w:r>
      <w:r w:rsidR="00C8443F" w:rsidRPr="00092053">
        <w:rPr>
          <w:rFonts w:eastAsia="Calibri"/>
          <w:b/>
          <w:lang w:val="es-PE" w:eastAsia="en-US"/>
        </w:rPr>
        <w:t xml:space="preserve">Tabla </w:t>
      </w:r>
      <w:r w:rsidR="00FA45BC" w:rsidRPr="00353E55">
        <w:rPr>
          <w:rFonts w:eastAsia="Calibri"/>
          <w:b/>
          <w:lang w:val="es-PE" w:eastAsia="en-US"/>
        </w:rPr>
        <w:t>núm.</w:t>
      </w:r>
      <w:r w:rsidR="00C8443F" w:rsidRPr="00092053">
        <w:rPr>
          <w:rFonts w:eastAsia="Calibri"/>
          <w:b/>
          <w:lang w:val="es-PE" w:eastAsia="en-US"/>
        </w:rPr>
        <w:t xml:space="preserve"> 3 del Anexo </w:t>
      </w:r>
      <w:r w:rsidR="00FA45BC" w:rsidRPr="00353E55">
        <w:rPr>
          <w:rFonts w:eastAsia="Calibri"/>
          <w:b/>
          <w:lang w:val="es-PE" w:eastAsia="en-US"/>
        </w:rPr>
        <w:t>núm.</w:t>
      </w:r>
      <w:r w:rsidR="00C8443F" w:rsidRPr="00092053">
        <w:rPr>
          <w:rFonts w:eastAsia="Calibri"/>
          <w:b/>
          <w:lang w:val="es-PE" w:eastAsia="en-US"/>
        </w:rPr>
        <w:t xml:space="preserve"> 11.</w:t>
      </w:r>
    </w:p>
    <w:p w:rsidR="002A208C" w:rsidRPr="00092053" w:rsidRDefault="004E0651" w:rsidP="004E0651">
      <w:pPr>
        <w:pStyle w:val="SingleTxtG"/>
        <w:rPr>
          <w:rFonts w:eastAsia="Calibri"/>
          <w:lang w:val="es-PE" w:eastAsia="en-US"/>
        </w:rPr>
      </w:pPr>
      <w:r w:rsidRPr="00092053">
        <w:rPr>
          <w:rFonts w:eastAsia="Calibri"/>
          <w:lang w:val="es-PE" w:eastAsia="en-US"/>
        </w:rPr>
        <w:tab/>
        <w:t>4)</w:t>
      </w:r>
      <w:r w:rsidRPr="00092053">
        <w:rPr>
          <w:rFonts w:eastAsia="Calibri"/>
          <w:lang w:val="es-PE" w:eastAsia="en-US"/>
        </w:rPr>
        <w:tab/>
      </w:r>
      <w:r w:rsidR="00C8443F" w:rsidRPr="00092053">
        <w:rPr>
          <w:rFonts w:eastAsia="Calibri"/>
          <w:lang w:val="es-PE" w:eastAsia="en-US"/>
        </w:rPr>
        <w:t>Por otro lado, hay 78 personas de nacionalidad peruana en el per</w:t>
      </w:r>
      <w:r w:rsidR="001069B7">
        <w:rPr>
          <w:rFonts w:eastAsia="Calibri"/>
          <w:lang w:val="es-PE" w:eastAsia="en-US"/>
        </w:rPr>
        <w:t>í</w:t>
      </w:r>
      <w:r w:rsidR="00C8443F" w:rsidRPr="00092053">
        <w:rPr>
          <w:rFonts w:eastAsia="Calibri"/>
          <w:lang w:val="es-PE" w:eastAsia="en-US"/>
        </w:rPr>
        <w:t xml:space="preserve">odo de 2000-2016. Cabe señalar que la Gerencia de Coordinación Administrativa del RENADESPPLE se encuentra realizando una ficha de registro que incorpora la variable “pueblo indígena u originario”, además de la variable “lugar de nacimiento”. Ver </w:t>
      </w:r>
      <w:r w:rsidR="00C8443F" w:rsidRPr="00092053">
        <w:rPr>
          <w:rFonts w:eastAsia="Calibri"/>
          <w:b/>
          <w:lang w:val="es-PE" w:eastAsia="en-US"/>
        </w:rPr>
        <w:t xml:space="preserve">Tabla </w:t>
      </w:r>
      <w:r w:rsidR="00FA45BC" w:rsidRPr="00353E55">
        <w:rPr>
          <w:rFonts w:eastAsia="Calibri"/>
          <w:b/>
          <w:lang w:val="es-PE" w:eastAsia="en-US"/>
        </w:rPr>
        <w:t>núm.</w:t>
      </w:r>
      <w:r w:rsidR="00C8443F" w:rsidRPr="00092053">
        <w:rPr>
          <w:rFonts w:eastAsia="Calibri"/>
          <w:b/>
          <w:lang w:val="es-PE" w:eastAsia="en-US"/>
        </w:rPr>
        <w:t xml:space="preserve"> 4 del Anexo </w:t>
      </w:r>
      <w:r w:rsidR="00FA45BC" w:rsidRPr="00353E55">
        <w:rPr>
          <w:rFonts w:eastAsia="Calibri"/>
          <w:b/>
          <w:lang w:val="es-PE" w:eastAsia="en-US"/>
        </w:rPr>
        <w:t>núm.</w:t>
      </w:r>
      <w:r w:rsidR="00C8443F" w:rsidRPr="00092053">
        <w:rPr>
          <w:rFonts w:eastAsia="Calibri"/>
          <w:b/>
          <w:lang w:val="es-PE" w:eastAsia="en-US"/>
        </w:rPr>
        <w:t xml:space="preserve"> 11.</w:t>
      </w:r>
    </w:p>
    <w:p w:rsidR="002A208C" w:rsidRPr="00092053" w:rsidRDefault="004E0651" w:rsidP="004E0651">
      <w:pPr>
        <w:pStyle w:val="SingleTxtG"/>
        <w:rPr>
          <w:rFonts w:eastAsia="Calibri"/>
          <w:lang w:val="es-PE" w:eastAsia="en-US"/>
        </w:rPr>
      </w:pPr>
      <w:r w:rsidRPr="00092053">
        <w:rPr>
          <w:rFonts w:eastAsia="Calibri"/>
          <w:lang w:val="es-PE" w:eastAsia="en-US"/>
        </w:rPr>
        <w:tab/>
        <w:t>5)</w:t>
      </w:r>
      <w:r w:rsidRPr="00092053">
        <w:rPr>
          <w:rFonts w:eastAsia="Calibri"/>
          <w:lang w:val="es-PE" w:eastAsia="en-US"/>
        </w:rPr>
        <w:tab/>
      </w:r>
      <w:r w:rsidR="00C8443F" w:rsidRPr="00092053">
        <w:rPr>
          <w:rFonts w:eastAsia="Calibri"/>
          <w:lang w:val="es-PE" w:eastAsia="en-US"/>
        </w:rPr>
        <w:t>Asimismo, 12 reclusos tienen la situación jurídica de procesados, es decir, se le da la calidad de acusado en base a las pruebas o medios de convicción existentes en el desarrollo del proceso penal. Ver</w:t>
      </w:r>
      <w:r w:rsidR="00C8443F" w:rsidRPr="00092053">
        <w:rPr>
          <w:rFonts w:eastAsia="Calibri"/>
          <w:b/>
          <w:lang w:val="es-PE" w:eastAsia="en-US"/>
        </w:rPr>
        <w:t xml:space="preserve"> Tabla </w:t>
      </w:r>
      <w:r w:rsidR="00FA45BC" w:rsidRPr="00353E55">
        <w:rPr>
          <w:rFonts w:eastAsia="Calibri"/>
          <w:b/>
          <w:lang w:val="es-PE" w:eastAsia="en-US"/>
        </w:rPr>
        <w:t>núm.</w:t>
      </w:r>
      <w:r w:rsidR="00C8443F" w:rsidRPr="00092053">
        <w:rPr>
          <w:rFonts w:eastAsia="Calibri"/>
          <w:b/>
          <w:lang w:val="es-PE" w:eastAsia="en-US"/>
        </w:rPr>
        <w:t xml:space="preserve"> 5 del Anexo </w:t>
      </w:r>
      <w:r w:rsidR="00FA45BC" w:rsidRPr="00353E55">
        <w:rPr>
          <w:rFonts w:eastAsia="Calibri"/>
          <w:b/>
          <w:lang w:val="es-PE" w:eastAsia="en-US"/>
        </w:rPr>
        <w:t>núm.</w:t>
      </w:r>
      <w:r w:rsidR="00C8443F" w:rsidRPr="00092053">
        <w:rPr>
          <w:rFonts w:eastAsia="Calibri"/>
          <w:b/>
          <w:lang w:val="es-PE" w:eastAsia="en-US"/>
        </w:rPr>
        <w:t xml:space="preserve"> 11.</w:t>
      </w:r>
    </w:p>
    <w:p w:rsidR="002A208C" w:rsidRPr="00092053" w:rsidRDefault="004E0651" w:rsidP="004E0651">
      <w:pPr>
        <w:pStyle w:val="SingleTxtG"/>
        <w:rPr>
          <w:rFonts w:eastAsia="Calibri"/>
          <w:lang w:val="es-PE" w:eastAsia="en-US"/>
        </w:rPr>
      </w:pPr>
      <w:r w:rsidRPr="00092053">
        <w:rPr>
          <w:rFonts w:eastAsia="Calibri"/>
          <w:lang w:val="es-PE" w:eastAsia="en-US"/>
        </w:rPr>
        <w:tab/>
        <w:t>6)</w:t>
      </w:r>
      <w:r w:rsidRPr="00092053">
        <w:rPr>
          <w:rFonts w:eastAsia="Calibri"/>
          <w:lang w:val="es-PE" w:eastAsia="en-US"/>
        </w:rPr>
        <w:tab/>
      </w:r>
      <w:r w:rsidR="00C8443F" w:rsidRPr="00092053">
        <w:rPr>
          <w:rFonts w:eastAsia="Calibri"/>
          <w:lang w:val="es-PE" w:eastAsia="en-US"/>
        </w:rPr>
        <w:t>Además, 6 tienen la condición jurídica de sentenciados, es decir, que el órgano jurisdiccional ha emitido una resolución condenatoria de pena privativa de libertad efectiva. A la fecha se cuenta con un total de tres internamientos por el delito de tortura. Ver</w:t>
      </w:r>
      <w:r w:rsidR="00C8443F" w:rsidRPr="00092053">
        <w:rPr>
          <w:rFonts w:eastAsia="Calibri"/>
          <w:b/>
          <w:lang w:val="es-PE" w:eastAsia="en-US"/>
        </w:rPr>
        <w:t xml:space="preserve"> Tabla </w:t>
      </w:r>
      <w:r w:rsidR="00FA45BC" w:rsidRPr="00353E55">
        <w:rPr>
          <w:rFonts w:eastAsia="Calibri"/>
          <w:b/>
          <w:lang w:val="es-PE" w:eastAsia="en-US"/>
        </w:rPr>
        <w:t>núm.</w:t>
      </w:r>
      <w:r w:rsidR="00C8443F" w:rsidRPr="00092053">
        <w:rPr>
          <w:rFonts w:eastAsia="Calibri"/>
          <w:b/>
          <w:lang w:val="es-PE" w:eastAsia="en-US"/>
        </w:rPr>
        <w:t xml:space="preserve"> </w:t>
      </w:r>
      <w:r w:rsidR="00C8443F" w:rsidRPr="00092053">
        <w:rPr>
          <w:rFonts w:eastAsia="Calibri"/>
          <w:lang w:val="es-PE" w:eastAsia="en-US"/>
        </w:rPr>
        <w:t>5</w:t>
      </w:r>
      <w:r w:rsidR="00C8443F" w:rsidRPr="00092053">
        <w:rPr>
          <w:rFonts w:eastAsia="Calibri"/>
          <w:b/>
          <w:lang w:val="es-PE" w:eastAsia="en-US"/>
        </w:rPr>
        <w:t xml:space="preserve"> del Anexo </w:t>
      </w:r>
      <w:r w:rsidR="00FA45BC" w:rsidRPr="00353E55">
        <w:rPr>
          <w:rFonts w:eastAsia="Calibri"/>
          <w:b/>
          <w:lang w:val="es-PE" w:eastAsia="en-US"/>
        </w:rPr>
        <w:t>núm.</w:t>
      </w:r>
      <w:r w:rsidR="00C8443F" w:rsidRPr="00092053">
        <w:rPr>
          <w:rFonts w:eastAsia="Calibri"/>
          <w:b/>
          <w:lang w:val="es-PE" w:eastAsia="en-US"/>
        </w:rPr>
        <w:t xml:space="preserve"> 11.</w:t>
      </w:r>
    </w:p>
    <w:p w:rsidR="002A208C" w:rsidRPr="00092053" w:rsidRDefault="004E0651" w:rsidP="004E0651">
      <w:pPr>
        <w:pStyle w:val="SingleTxtG"/>
        <w:rPr>
          <w:rFonts w:eastAsia="Calibri"/>
          <w:lang w:val="es-PE" w:eastAsia="en-US"/>
        </w:rPr>
      </w:pPr>
      <w:r w:rsidRPr="00092053">
        <w:rPr>
          <w:rFonts w:eastAsia="Calibri"/>
          <w:lang w:val="es-PE" w:eastAsia="en-US"/>
        </w:rPr>
        <w:tab/>
        <w:t>7)</w:t>
      </w:r>
      <w:r w:rsidRPr="00092053">
        <w:rPr>
          <w:rFonts w:eastAsia="Calibri"/>
          <w:lang w:val="es-PE" w:eastAsia="en-US"/>
        </w:rPr>
        <w:tab/>
      </w:r>
      <w:r w:rsidR="00C8443F" w:rsidRPr="00092053">
        <w:rPr>
          <w:rFonts w:eastAsia="Calibri"/>
          <w:lang w:val="es-PE" w:eastAsia="en-US"/>
        </w:rPr>
        <w:t>Según la información proporcionada, son 16 los ingresos a los establecimientos penitenciarios por el delito de tortura, comprendidos entre el 2010 y 2016, de acuerdo al distrito judicial al que pertenecen, señalados a continuación: Lima (7), Sullana (1), Loreto (3), Junín (1), Ica (3), Cusco (1). Ver</w:t>
      </w:r>
      <w:r w:rsidR="00C8443F" w:rsidRPr="00092053">
        <w:rPr>
          <w:rFonts w:eastAsia="Calibri"/>
          <w:b/>
          <w:lang w:val="es-PE" w:eastAsia="en-US"/>
        </w:rPr>
        <w:t xml:space="preserve"> Tabla </w:t>
      </w:r>
      <w:r w:rsidR="00FA45BC" w:rsidRPr="00353E55">
        <w:rPr>
          <w:rFonts w:eastAsia="Calibri"/>
          <w:b/>
          <w:lang w:val="es-PE" w:eastAsia="en-US"/>
        </w:rPr>
        <w:t>núm.</w:t>
      </w:r>
      <w:r w:rsidR="00C8443F" w:rsidRPr="00092053">
        <w:rPr>
          <w:rFonts w:eastAsia="Calibri"/>
          <w:b/>
          <w:lang w:val="es-PE" w:eastAsia="en-US"/>
        </w:rPr>
        <w:t xml:space="preserve"> 6 del Anexo </w:t>
      </w:r>
      <w:r w:rsidR="00FA45BC" w:rsidRPr="00353E55">
        <w:rPr>
          <w:rFonts w:eastAsia="Calibri"/>
          <w:b/>
          <w:lang w:val="es-PE" w:eastAsia="en-US"/>
        </w:rPr>
        <w:t>núm.</w:t>
      </w:r>
      <w:r w:rsidR="00FA45BC">
        <w:rPr>
          <w:rFonts w:eastAsia="Calibri"/>
          <w:b/>
          <w:lang w:val="es-PE" w:eastAsia="en-US"/>
        </w:rPr>
        <w:t> </w:t>
      </w:r>
      <w:r w:rsidR="00C8443F" w:rsidRPr="00092053">
        <w:rPr>
          <w:rFonts w:eastAsia="Calibri"/>
          <w:b/>
          <w:lang w:val="es-PE" w:eastAsia="en-US"/>
        </w:rPr>
        <w:t>11.</w:t>
      </w:r>
    </w:p>
    <w:p w:rsidR="002A208C" w:rsidRPr="00092053" w:rsidRDefault="004E0651" w:rsidP="004E0651">
      <w:pPr>
        <w:pStyle w:val="SingleTxtG"/>
        <w:rPr>
          <w:rFonts w:eastAsia="Calibri"/>
          <w:lang w:val="es-PE" w:eastAsia="en-US"/>
        </w:rPr>
      </w:pPr>
      <w:r w:rsidRPr="00092053">
        <w:rPr>
          <w:rFonts w:eastAsia="Calibri"/>
          <w:lang w:val="es-PE" w:eastAsia="en-US"/>
        </w:rPr>
        <w:tab/>
        <w:t>8)</w:t>
      </w:r>
      <w:r w:rsidRPr="00092053">
        <w:rPr>
          <w:rFonts w:eastAsia="Calibri"/>
          <w:lang w:val="es-PE" w:eastAsia="en-US"/>
        </w:rPr>
        <w:tab/>
      </w:r>
      <w:r w:rsidR="00C8443F" w:rsidRPr="00092053">
        <w:rPr>
          <w:rFonts w:eastAsia="Calibri"/>
          <w:lang w:val="es-PE" w:eastAsia="en-US"/>
        </w:rPr>
        <w:t>En el per</w:t>
      </w:r>
      <w:r w:rsidR="001069B7">
        <w:rPr>
          <w:rFonts w:eastAsia="Calibri"/>
          <w:lang w:val="es-PE" w:eastAsia="en-US"/>
        </w:rPr>
        <w:t>í</w:t>
      </w:r>
      <w:r w:rsidR="00C8443F" w:rsidRPr="00092053">
        <w:rPr>
          <w:rFonts w:eastAsia="Calibri"/>
          <w:lang w:val="es-PE" w:eastAsia="en-US"/>
        </w:rPr>
        <w:t xml:space="preserve">odo 2010-2015 15 reclusos vinculados a tortura egresaron de los establecimientos penitenciarios. Ver </w:t>
      </w:r>
      <w:r w:rsidR="00C8443F" w:rsidRPr="00092053">
        <w:rPr>
          <w:rFonts w:eastAsia="Calibri"/>
          <w:b/>
          <w:lang w:val="es-PE" w:eastAsia="en-US"/>
        </w:rPr>
        <w:t xml:space="preserve">Tabla </w:t>
      </w:r>
      <w:r w:rsidR="00FA45BC" w:rsidRPr="00353E55">
        <w:rPr>
          <w:rFonts w:eastAsia="Calibri"/>
          <w:b/>
          <w:lang w:val="es-PE" w:eastAsia="en-US"/>
        </w:rPr>
        <w:t>núm.</w:t>
      </w:r>
      <w:r w:rsidR="00C8443F" w:rsidRPr="00092053">
        <w:rPr>
          <w:rFonts w:eastAsia="Calibri"/>
          <w:b/>
          <w:lang w:val="es-PE" w:eastAsia="en-US"/>
        </w:rPr>
        <w:t xml:space="preserve"> 7 del Anexo </w:t>
      </w:r>
      <w:r w:rsidR="00FA45BC" w:rsidRPr="00353E55">
        <w:rPr>
          <w:rFonts w:eastAsia="Calibri"/>
          <w:b/>
          <w:lang w:val="es-PE" w:eastAsia="en-US"/>
        </w:rPr>
        <w:t>núm.</w:t>
      </w:r>
      <w:r w:rsidR="00C8443F" w:rsidRPr="00092053">
        <w:rPr>
          <w:rFonts w:eastAsia="Calibri"/>
          <w:b/>
          <w:lang w:val="es-PE" w:eastAsia="en-US"/>
        </w:rPr>
        <w:t xml:space="preserve"> 11.</w:t>
      </w:r>
    </w:p>
    <w:p w:rsidR="00C8443F" w:rsidRPr="00092053" w:rsidRDefault="004F7B54" w:rsidP="004F7B54">
      <w:pPr>
        <w:pStyle w:val="H23G"/>
        <w:rPr>
          <w:rFonts w:eastAsia="Calibri"/>
          <w:lang w:val="es-PE" w:eastAsia="en-US"/>
        </w:rPr>
      </w:pPr>
      <w:r w:rsidRPr="00092053">
        <w:rPr>
          <w:rFonts w:eastAsia="Calibri"/>
          <w:lang w:val="es-PE" w:eastAsia="en-US"/>
        </w:rPr>
        <w:tab/>
        <w:t>c)</w:t>
      </w:r>
      <w:r w:rsidRPr="00092053">
        <w:rPr>
          <w:rFonts w:eastAsia="Calibri"/>
          <w:lang w:val="es-PE" w:eastAsia="en-US"/>
        </w:rPr>
        <w:tab/>
      </w:r>
      <w:r w:rsidR="00C8443F" w:rsidRPr="00092053">
        <w:rPr>
          <w:rFonts w:eastAsia="Calibri"/>
          <w:lang w:val="es-PE" w:eastAsia="en-US"/>
        </w:rPr>
        <w:t>Centros Juveniles</w:t>
      </w:r>
    </w:p>
    <w:p w:rsidR="002A208C" w:rsidRPr="00092053" w:rsidRDefault="00092053" w:rsidP="00574AEE">
      <w:pPr>
        <w:pStyle w:val="SingleTxtG"/>
        <w:rPr>
          <w:rFonts w:eastAsia="Calibri"/>
          <w:lang w:val="es-ES_tradnl"/>
        </w:rPr>
      </w:pPr>
      <w:r w:rsidRPr="00574AEE">
        <w:rPr>
          <w:rFonts w:eastAsia="Calibri"/>
          <w:lang w:val="es-ES_tradnl"/>
        </w:rPr>
        <w:t>118.</w:t>
      </w:r>
      <w:r w:rsidRPr="00574AEE">
        <w:rPr>
          <w:rFonts w:eastAsia="Calibri"/>
          <w:lang w:val="es-ES_tradnl"/>
        </w:rPr>
        <w:tab/>
      </w:r>
      <w:r w:rsidR="00C8443F" w:rsidRPr="00092053">
        <w:rPr>
          <w:rFonts w:eastAsia="Calibri"/>
          <w:lang w:val="es-ES_tradnl"/>
        </w:rPr>
        <w:t>En el per</w:t>
      </w:r>
      <w:r w:rsidR="001069B7">
        <w:rPr>
          <w:rFonts w:eastAsia="Calibri"/>
          <w:lang w:val="es-ES_tradnl"/>
        </w:rPr>
        <w:t>í</w:t>
      </w:r>
      <w:r w:rsidR="00C8443F" w:rsidRPr="00092053">
        <w:rPr>
          <w:rFonts w:eastAsia="Calibri"/>
          <w:lang w:val="es-ES_tradnl"/>
        </w:rPr>
        <w:t xml:space="preserve">odo </w:t>
      </w:r>
      <w:r w:rsidR="00C8443F" w:rsidRPr="00092053">
        <w:rPr>
          <w:rFonts w:eastAsia="Calibri"/>
          <w:lang w:val="es-PE" w:eastAsia="en-US"/>
        </w:rPr>
        <w:t>2012</w:t>
      </w:r>
      <w:r w:rsidR="00C8443F" w:rsidRPr="00092053">
        <w:rPr>
          <w:rFonts w:eastAsia="Calibri"/>
          <w:lang w:val="es-ES_tradnl"/>
        </w:rPr>
        <w:t>-agosto de 2016, 29</w:t>
      </w:r>
      <w:r w:rsidR="006C0519">
        <w:rPr>
          <w:rFonts w:eastAsia="Calibri"/>
          <w:lang w:val="es-ES_tradnl"/>
        </w:rPr>
        <w:t>.</w:t>
      </w:r>
      <w:r w:rsidR="00C8443F" w:rsidRPr="00092053">
        <w:rPr>
          <w:rFonts w:eastAsia="Calibri"/>
          <w:lang w:val="es-ES_tradnl"/>
        </w:rPr>
        <w:t>048 adolescentes fueron atendidos a nivel nacional en los centros juveniles de diagnóstico y rehabilitación, bajo la modalidad de medio cerrado y medio abierto: 2012 (5</w:t>
      </w:r>
      <w:r w:rsidR="006C0519">
        <w:rPr>
          <w:rFonts w:eastAsia="Calibri"/>
          <w:lang w:val="es-ES_tradnl"/>
        </w:rPr>
        <w:t>.</w:t>
      </w:r>
      <w:r w:rsidR="00C8443F" w:rsidRPr="00092053">
        <w:rPr>
          <w:rFonts w:eastAsia="Calibri"/>
          <w:lang w:val="es-ES_tradnl"/>
        </w:rPr>
        <w:t>201), 2013 (5</w:t>
      </w:r>
      <w:r w:rsidR="006C0519">
        <w:rPr>
          <w:rFonts w:eastAsia="Calibri"/>
          <w:lang w:val="es-ES_tradnl"/>
        </w:rPr>
        <w:t>.</w:t>
      </w:r>
      <w:r w:rsidR="00C8443F" w:rsidRPr="00092053">
        <w:rPr>
          <w:rFonts w:eastAsia="Calibri"/>
          <w:lang w:val="es-ES_tradnl"/>
        </w:rPr>
        <w:t>5</w:t>
      </w:r>
      <w:r w:rsidR="00E2576D" w:rsidRPr="00092053">
        <w:rPr>
          <w:rFonts w:eastAsia="Calibri"/>
          <w:lang w:val="es-ES_tradnl"/>
        </w:rPr>
        <w:t>45), 2014 (5</w:t>
      </w:r>
      <w:r w:rsidR="006C0519">
        <w:rPr>
          <w:rFonts w:eastAsia="Calibri"/>
          <w:lang w:val="es-ES_tradnl"/>
        </w:rPr>
        <w:t>.</w:t>
      </w:r>
      <w:r w:rsidR="00E2576D" w:rsidRPr="00092053">
        <w:rPr>
          <w:rFonts w:eastAsia="Calibri"/>
          <w:lang w:val="es-ES_tradnl"/>
        </w:rPr>
        <w:t>905), 2015 (6</w:t>
      </w:r>
      <w:r w:rsidR="006C0519">
        <w:rPr>
          <w:rFonts w:eastAsia="Calibri"/>
          <w:lang w:val="es-ES_tradnl"/>
        </w:rPr>
        <w:t>.</w:t>
      </w:r>
      <w:r w:rsidR="00E2576D" w:rsidRPr="00092053">
        <w:rPr>
          <w:rFonts w:eastAsia="Calibri"/>
          <w:lang w:val="es-ES_tradnl"/>
        </w:rPr>
        <w:t>611)</w:t>
      </w:r>
      <w:r w:rsidR="00C8443F" w:rsidRPr="00092053">
        <w:rPr>
          <w:rFonts w:eastAsia="Calibri"/>
          <w:vertAlign w:val="superscript"/>
          <w:lang w:val="es-ES_tradnl"/>
        </w:rPr>
        <w:footnoteReference w:id="126"/>
      </w:r>
      <w:r w:rsidR="00E2576D" w:rsidRPr="00092053">
        <w:rPr>
          <w:rFonts w:eastAsia="Calibri"/>
          <w:lang w:val="es-ES_tradnl"/>
        </w:rPr>
        <w:t>.</w:t>
      </w:r>
      <w:r w:rsidR="00C8443F" w:rsidRPr="00092053">
        <w:rPr>
          <w:rFonts w:eastAsia="Calibri"/>
          <w:lang w:val="es-ES_tradnl"/>
        </w:rPr>
        <w:t xml:space="preserve"> Ver </w:t>
      </w:r>
      <w:r w:rsidR="00C8443F" w:rsidRPr="00092053">
        <w:rPr>
          <w:rFonts w:eastAsia="Calibri"/>
          <w:b/>
          <w:lang w:val="es-PE" w:eastAsia="en-US"/>
        </w:rPr>
        <w:t xml:space="preserve">Anexo </w:t>
      </w:r>
      <w:r w:rsidR="00FA45BC" w:rsidRPr="00353E55">
        <w:rPr>
          <w:rFonts w:eastAsia="Calibri"/>
          <w:b/>
          <w:lang w:val="es-PE" w:eastAsia="en-US"/>
        </w:rPr>
        <w:t>núm.</w:t>
      </w:r>
      <w:r w:rsidR="00C8443F" w:rsidRPr="00092053">
        <w:rPr>
          <w:rFonts w:eastAsia="Calibri"/>
          <w:b/>
          <w:lang w:val="es-PE" w:eastAsia="en-US"/>
        </w:rPr>
        <w:t xml:space="preserve"> 12.</w:t>
      </w:r>
    </w:p>
    <w:p w:rsidR="002A208C" w:rsidRPr="00092053" w:rsidRDefault="00092053" w:rsidP="00574AEE">
      <w:pPr>
        <w:pStyle w:val="SingleTxtG"/>
        <w:rPr>
          <w:rFonts w:eastAsia="Calibri"/>
          <w:lang w:val="es-ES_tradnl"/>
        </w:rPr>
      </w:pPr>
      <w:r w:rsidRPr="00574AEE">
        <w:rPr>
          <w:rFonts w:eastAsia="Calibri"/>
          <w:lang w:val="es-ES_tradnl"/>
        </w:rPr>
        <w:t>119.</w:t>
      </w:r>
      <w:r w:rsidRPr="00574AEE">
        <w:rPr>
          <w:rFonts w:eastAsia="Calibri"/>
          <w:lang w:val="es-ES_tradnl"/>
        </w:rPr>
        <w:tab/>
      </w:r>
      <w:r w:rsidR="00C8443F" w:rsidRPr="00092053">
        <w:rPr>
          <w:rFonts w:eastAsia="Calibri"/>
          <w:lang w:val="es-ES_tradnl"/>
        </w:rPr>
        <w:t>M</w:t>
      </w:r>
      <w:r w:rsidR="00C8443F" w:rsidRPr="00092053">
        <w:rPr>
          <w:rFonts w:eastAsia="Calibri"/>
          <w:lang w:val="es-PE" w:eastAsia="en-US"/>
        </w:rPr>
        <w:t xml:space="preserve">ediante la Resolución Administrativa </w:t>
      </w:r>
      <w:r w:rsidR="00CD52E7">
        <w:rPr>
          <w:rFonts w:eastAsia="Calibri"/>
          <w:lang w:val="es-ES_tradnl"/>
        </w:rPr>
        <w:t>núm.</w:t>
      </w:r>
      <w:r w:rsidR="00C8443F" w:rsidRPr="00092053">
        <w:rPr>
          <w:rFonts w:eastAsia="Calibri"/>
          <w:lang w:val="es-PE" w:eastAsia="en-US"/>
        </w:rPr>
        <w:t xml:space="preserve"> 190-2013-CE-PJ (28.08.2013) el Consejo Ejecutivo del PJ dispuso la réplica del modelo de Centros Juveniles de Medio Abierto – Servicio de Orientación al Adolescente (SOA) en los distritos judiciales del país. </w:t>
      </w:r>
    </w:p>
    <w:p w:rsidR="002A208C" w:rsidRPr="00092053" w:rsidRDefault="00092053" w:rsidP="00574AEE">
      <w:pPr>
        <w:pStyle w:val="SingleTxtG"/>
        <w:rPr>
          <w:rFonts w:eastAsia="Calibri"/>
          <w:lang w:val="es-ES_tradnl"/>
        </w:rPr>
      </w:pPr>
      <w:r w:rsidRPr="00574AEE">
        <w:rPr>
          <w:rFonts w:eastAsia="Calibri"/>
          <w:lang w:val="es-ES_tradnl"/>
        </w:rPr>
        <w:t>120.</w:t>
      </w:r>
      <w:r w:rsidRPr="00574AEE">
        <w:rPr>
          <w:rFonts w:eastAsia="Calibri"/>
          <w:lang w:val="es-ES_tradnl"/>
        </w:rPr>
        <w:tab/>
      </w:r>
      <w:r w:rsidR="00C8443F" w:rsidRPr="00092053">
        <w:rPr>
          <w:rFonts w:eastAsia="Calibri"/>
          <w:lang w:val="es-ES_tradnl"/>
        </w:rPr>
        <w:t>En</w:t>
      </w:r>
      <w:r w:rsidR="00C8443F" w:rsidRPr="00092053">
        <w:rPr>
          <w:rFonts w:eastAsia="Calibri"/>
          <w:lang w:val="es-PE" w:eastAsia="en-US"/>
        </w:rPr>
        <w:t xml:space="preserve"> esa línea, durante el 2015</w:t>
      </w:r>
      <w:r w:rsidR="00C8443F" w:rsidRPr="00092053">
        <w:rPr>
          <w:rFonts w:eastAsia="Calibri"/>
          <w:vertAlign w:val="superscript"/>
          <w:lang w:val="es-PE" w:eastAsia="en-US"/>
        </w:rPr>
        <w:footnoteReference w:id="127"/>
      </w:r>
      <w:r w:rsidR="00C8443F" w:rsidRPr="00092053">
        <w:rPr>
          <w:rFonts w:eastAsia="Calibri"/>
          <w:lang w:val="es-PE" w:eastAsia="en-US"/>
        </w:rPr>
        <w:t xml:space="preserve"> el PJ implementó siete (7) SOAs, ubicados de Arequipa, Lima Norte, Lima Este, Chiclayo, Trujillo, Callao y Huancayo. En el primer </w:t>
      </w:r>
      <w:r w:rsidR="00C8443F" w:rsidRPr="00092053">
        <w:rPr>
          <w:rFonts w:eastAsia="Calibri"/>
          <w:lang w:val="es-PE" w:eastAsia="en-US"/>
        </w:rPr>
        <w:lastRenderedPageBreak/>
        <w:t>semestre de 2016 se crearon nuevos SOAs en la Corte Superior de Justicia de Sullana</w:t>
      </w:r>
      <w:r w:rsidR="00C8443F" w:rsidRPr="00092053">
        <w:rPr>
          <w:rFonts w:eastAsia="Calibri"/>
          <w:vertAlign w:val="superscript"/>
          <w:lang w:val="es-PE" w:eastAsia="en-US"/>
        </w:rPr>
        <w:footnoteReference w:id="128"/>
      </w:r>
      <w:r w:rsidR="00C8443F" w:rsidRPr="00092053">
        <w:rPr>
          <w:rFonts w:eastAsia="Calibri"/>
          <w:lang w:val="es-PE" w:eastAsia="en-US"/>
        </w:rPr>
        <w:t xml:space="preserve">, Huánuco, Huancavelica </w:t>
      </w:r>
      <w:r w:rsidR="00E2576D" w:rsidRPr="00092053">
        <w:rPr>
          <w:rFonts w:eastAsia="Calibri"/>
          <w:lang w:val="es-PE" w:eastAsia="en-US"/>
        </w:rPr>
        <w:t>y Santa</w:t>
      </w:r>
      <w:r w:rsidR="00C8443F" w:rsidRPr="00092053">
        <w:rPr>
          <w:rFonts w:eastAsia="Calibri"/>
          <w:vertAlign w:val="superscript"/>
          <w:lang w:val="es-PE" w:eastAsia="en-US"/>
        </w:rPr>
        <w:footnoteReference w:id="129"/>
      </w:r>
      <w:r w:rsidR="00E2576D" w:rsidRPr="00092053">
        <w:rPr>
          <w:rFonts w:eastAsia="Calibri"/>
          <w:lang w:val="es-PE" w:eastAsia="en-US"/>
        </w:rPr>
        <w:t>.</w:t>
      </w:r>
    </w:p>
    <w:p w:rsidR="002A208C" w:rsidRPr="00092053" w:rsidRDefault="00092053" w:rsidP="00574AEE">
      <w:pPr>
        <w:pStyle w:val="SingleTxtG"/>
        <w:rPr>
          <w:rFonts w:eastAsia="Calibri"/>
          <w:lang w:val="es-ES_tradnl"/>
        </w:rPr>
      </w:pPr>
      <w:r w:rsidRPr="00574AEE">
        <w:rPr>
          <w:rFonts w:eastAsia="Calibri"/>
          <w:lang w:val="es-ES_tradnl"/>
        </w:rPr>
        <w:t>121.</w:t>
      </w:r>
      <w:r w:rsidRPr="00574AEE">
        <w:rPr>
          <w:rFonts w:eastAsia="Calibri"/>
          <w:lang w:val="es-ES_tradnl"/>
        </w:rPr>
        <w:tab/>
      </w:r>
      <w:r w:rsidR="00C8443F" w:rsidRPr="00092053">
        <w:rPr>
          <w:rFonts w:eastAsia="Calibri"/>
          <w:lang w:val="es-PE" w:eastAsia="en-US"/>
        </w:rPr>
        <w:t>También se viene promoviendo medidas de prevención, como la “Política Nacional de Prevención y Tratamiento del Adolescente en Conflicto con la Ley Penal</w:t>
      </w:r>
      <w:r w:rsidR="00AB3C05">
        <w:rPr>
          <w:rFonts w:eastAsia="Calibri"/>
          <w:lang w:val="es-PE" w:eastAsia="en-US"/>
        </w:rPr>
        <w:t xml:space="preserve"> </w:t>
      </w:r>
      <w:r w:rsidR="00C8443F" w:rsidRPr="00092053">
        <w:rPr>
          <w:rFonts w:eastAsia="Calibri"/>
          <w:lang w:val="es-PE" w:eastAsia="en-US"/>
        </w:rPr>
        <w:t>–</w:t>
      </w:r>
      <w:r w:rsidR="00AB3C05">
        <w:rPr>
          <w:rFonts w:eastAsia="Calibri"/>
          <w:lang w:val="es-PE" w:eastAsia="en-US"/>
        </w:rPr>
        <w:t xml:space="preserve"> </w:t>
      </w:r>
      <w:r w:rsidR="00C8443F" w:rsidRPr="00092053">
        <w:rPr>
          <w:rFonts w:eastAsia="Calibri"/>
          <w:lang w:val="es-PE" w:eastAsia="en-US"/>
        </w:rPr>
        <w:t>PUEDO</w:t>
      </w:r>
      <w:r w:rsidR="00C8443F" w:rsidRPr="00092053">
        <w:rPr>
          <w:rFonts w:eastAsia="Calibri"/>
          <w:vertAlign w:val="superscript"/>
          <w:lang w:val="es-PE" w:eastAsia="en-US"/>
        </w:rPr>
        <w:footnoteReference w:id="130"/>
      </w:r>
      <w:r w:rsidR="00C8443F" w:rsidRPr="00092053">
        <w:rPr>
          <w:rFonts w:eastAsia="Calibri"/>
          <w:lang w:val="es-PE" w:eastAsia="en-US"/>
        </w:rPr>
        <w:t xml:space="preserve">”, que fomenta la disminución del involucramiento de las y los adolescentes en conflicto con la ley penal, a través de las siguientes acciones: </w:t>
      </w:r>
      <w:r w:rsidR="00C8443F" w:rsidRPr="00574AEE">
        <w:rPr>
          <w:rFonts w:eastAsia="Calibri"/>
          <w:lang w:val="es-PE" w:eastAsia="en-US"/>
        </w:rPr>
        <w:t>i)</w:t>
      </w:r>
      <w:r w:rsidR="00C8443F" w:rsidRPr="00092053">
        <w:rPr>
          <w:rFonts w:eastAsia="Calibri"/>
          <w:lang w:val="es-PE" w:eastAsia="en-US"/>
        </w:rPr>
        <w:t xml:space="preserve"> la reducción de las conductas antisociales</w:t>
      </w:r>
      <w:r w:rsidR="006C0519">
        <w:rPr>
          <w:rFonts w:eastAsia="Calibri"/>
          <w:lang w:val="es-PE" w:eastAsia="en-US"/>
        </w:rPr>
        <w:t>;</w:t>
      </w:r>
      <w:r w:rsidR="00C8443F" w:rsidRPr="00092053">
        <w:rPr>
          <w:rFonts w:eastAsia="Calibri"/>
          <w:lang w:val="es-PE" w:eastAsia="en-US"/>
        </w:rPr>
        <w:t xml:space="preserve"> </w:t>
      </w:r>
      <w:r w:rsidR="00C8443F" w:rsidRPr="00574AEE">
        <w:rPr>
          <w:rFonts w:eastAsia="Calibri"/>
          <w:lang w:val="es-PE" w:eastAsia="en-US"/>
        </w:rPr>
        <w:t>ii)</w:t>
      </w:r>
      <w:r w:rsidR="00C8443F" w:rsidRPr="00092053">
        <w:rPr>
          <w:rFonts w:eastAsia="Calibri"/>
          <w:lang w:val="es-PE" w:eastAsia="en-US"/>
        </w:rPr>
        <w:t xml:space="preserve"> una administración de justicia eficaz y garantista</w:t>
      </w:r>
      <w:r w:rsidR="006C0519">
        <w:rPr>
          <w:rFonts w:eastAsia="Calibri"/>
          <w:lang w:val="es-PE" w:eastAsia="en-US"/>
        </w:rPr>
        <w:t>;</w:t>
      </w:r>
      <w:r w:rsidR="00C8443F" w:rsidRPr="00092053">
        <w:rPr>
          <w:rFonts w:eastAsia="Calibri"/>
          <w:lang w:val="es-PE" w:eastAsia="en-US"/>
        </w:rPr>
        <w:t xml:space="preserve"> y </w:t>
      </w:r>
      <w:r w:rsidR="00C8443F" w:rsidRPr="00574AEE">
        <w:rPr>
          <w:rFonts w:eastAsia="Calibri"/>
          <w:lang w:val="es-PE" w:eastAsia="en-US"/>
        </w:rPr>
        <w:t>iii)</w:t>
      </w:r>
      <w:r w:rsidR="00C8443F" w:rsidRPr="00092053">
        <w:rPr>
          <w:rFonts w:eastAsia="Calibri"/>
          <w:lang w:val="es-PE" w:eastAsia="en-US"/>
        </w:rPr>
        <w:t xml:space="preserve"> la resocialización del adolescente y reparación a la víctima, a través de la implementación de veinte (20) iniciativas multisectoriales que abordan los ámbitos de familia, escuela, trabajo, pares, comunidad, ambiente, administración de justicia </w:t>
      </w:r>
      <w:r w:rsidR="00E2576D" w:rsidRPr="00092053">
        <w:rPr>
          <w:rFonts w:eastAsia="Calibri"/>
          <w:lang w:val="es-PE" w:eastAsia="en-US"/>
        </w:rPr>
        <w:t>y sistema de reinserción social</w:t>
      </w:r>
      <w:r w:rsidR="00C8443F" w:rsidRPr="00092053">
        <w:rPr>
          <w:rFonts w:eastAsia="Calibri"/>
          <w:vertAlign w:val="superscript"/>
          <w:lang w:val="es-PE" w:eastAsia="en-US"/>
        </w:rPr>
        <w:footnoteReference w:id="131"/>
      </w:r>
      <w:r w:rsidR="00E2576D" w:rsidRPr="00092053">
        <w:rPr>
          <w:rFonts w:eastAsia="Calibri"/>
          <w:lang w:val="es-PE" w:eastAsia="en-US"/>
        </w:rPr>
        <w:t>.</w:t>
      </w:r>
      <w:r w:rsidR="00C8443F" w:rsidRPr="00092053">
        <w:rPr>
          <w:rFonts w:eastAsia="Calibri"/>
          <w:lang w:val="es-PE" w:eastAsia="en-US"/>
        </w:rPr>
        <w:t xml:space="preserve"> </w:t>
      </w:r>
    </w:p>
    <w:p w:rsidR="002A208C" w:rsidRPr="00092053" w:rsidRDefault="00092053" w:rsidP="00574AEE">
      <w:pPr>
        <w:pStyle w:val="SingleTxtG"/>
        <w:rPr>
          <w:rFonts w:eastAsia="Calibri"/>
          <w:lang w:val="es-ES_tradnl"/>
        </w:rPr>
      </w:pPr>
      <w:r w:rsidRPr="00574AEE">
        <w:rPr>
          <w:rFonts w:eastAsia="Calibri"/>
          <w:lang w:val="es-ES_tradnl"/>
        </w:rPr>
        <w:t>122.</w:t>
      </w:r>
      <w:r w:rsidRPr="00574AEE">
        <w:rPr>
          <w:rFonts w:eastAsia="Calibri"/>
          <w:lang w:val="es-ES_tradnl"/>
        </w:rPr>
        <w:tab/>
      </w:r>
      <w:r w:rsidR="00C8443F" w:rsidRPr="00092053">
        <w:rPr>
          <w:rFonts w:eastAsia="Calibri"/>
          <w:lang w:val="es-ES_tradnl"/>
        </w:rPr>
        <w:t xml:space="preserve">El Sistema </w:t>
      </w:r>
      <w:r w:rsidR="00C8443F" w:rsidRPr="00092053">
        <w:rPr>
          <w:rFonts w:eastAsia="Calibri"/>
          <w:lang w:val="es-PE" w:eastAsia="en-US"/>
        </w:rPr>
        <w:t>Nacional</w:t>
      </w:r>
      <w:r w:rsidR="00C8443F" w:rsidRPr="00092053">
        <w:rPr>
          <w:rFonts w:eastAsia="Calibri"/>
          <w:lang w:val="es-ES_tradnl"/>
        </w:rPr>
        <w:t xml:space="preserve"> de Reinserción Social del Adolescente en Conflicto con la Ley Penal, actualmente a cargo del PJ, ha sido transferido al MINJUS. El plazo máximo ejecutar esta acción es 365 días hábiles desde la instalación de la Comis</w:t>
      </w:r>
      <w:r w:rsidR="00E2576D" w:rsidRPr="00092053">
        <w:rPr>
          <w:rFonts w:eastAsia="Calibri"/>
          <w:lang w:val="es-ES_tradnl"/>
        </w:rPr>
        <w:t>ión Técnica a cargo del proceso</w:t>
      </w:r>
      <w:r w:rsidR="00C8443F" w:rsidRPr="00092053">
        <w:rPr>
          <w:rFonts w:eastAsia="Calibri"/>
          <w:vertAlign w:val="superscript"/>
          <w:lang w:val="es-ES_tradnl"/>
        </w:rPr>
        <w:footnoteReference w:id="132"/>
      </w:r>
      <w:r w:rsidR="00E2576D" w:rsidRPr="00092053">
        <w:rPr>
          <w:rFonts w:eastAsia="Calibri"/>
          <w:lang w:val="es-ES_tradnl"/>
        </w:rPr>
        <w:t>.</w:t>
      </w:r>
      <w:r w:rsidR="00C8443F" w:rsidRPr="00092053">
        <w:rPr>
          <w:rFonts w:eastAsia="Calibri"/>
          <w:lang w:val="es-ES_tradnl"/>
        </w:rPr>
        <w:t xml:space="preserve"> </w:t>
      </w:r>
    </w:p>
    <w:p w:rsidR="002A208C" w:rsidRPr="00092053" w:rsidRDefault="00092053" w:rsidP="00574AEE">
      <w:pPr>
        <w:pStyle w:val="SingleTxtG"/>
        <w:rPr>
          <w:rFonts w:eastAsia="Calibri"/>
          <w:lang w:val="es-ES_tradnl"/>
        </w:rPr>
      </w:pPr>
      <w:r w:rsidRPr="00574AEE">
        <w:rPr>
          <w:rFonts w:eastAsia="Calibri"/>
          <w:lang w:val="es-ES_tradnl"/>
        </w:rPr>
        <w:t>123.</w:t>
      </w:r>
      <w:r w:rsidRPr="00574AEE">
        <w:rPr>
          <w:rFonts w:eastAsia="Calibri"/>
          <w:lang w:val="es-ES_tradnl"/>
        </w:rPr>
        <w:tab/>
      </w:r>
      <w:r w:rsidR="00C8443F" w:rsidRPr="00092053">
        <w:rPr>
          <w:rFonts w:eastAsia="Calibri"/>
          <w:lang w:val="es-ES_tradnl"/>
        </w:rPr>
        <w:t xml:space="preserve">A su vez, </w:t>
      </w:r>
      <w:r w:rsidR="00C8443F" w:rsidRPr="00092053">
        <w:rPr>
          <w:rFonts w:eastAsia="Calibri"/>
          <w:lang w:val="es-PE" w:eastAsia="en-US"/>
        </w:rPr>
        <w:t>recientemente</w:t>
      </w:r>
      <w:r w:rsidR="00C8443F" w:rsidRPr="00092053">
        <w:rPr>
          <w:rFonts w:eastAsia="Calibri"/>
          <w:lang w:val="es-ES_tradnl"/>
        </w:rPr>
        <w:t xml:space="preserve"> se aprobó el Código de responsabilidad penal de adolescentes cuyas edades oscilan entre 14 y antes de alcanzar los 18 años (Decreto Legislativo </w:t>
      </w:r>
      <w:r w:rsidR="00CD52E7">
        <w:rPr>
          <w:rFonts w:eastAsia="Calibri"/>
          <w:lang w:val="es-ES_tradnl"/>
        </w:rPr>
        <w:t>núm.</w:t>
      </w:r>
      <w:r w:rsidR="00C8443F" w:rsidRPr="00092053">
        <w:rPr>
          <w:rFonts w:eastAsia="Calibri"/>
          <w:lang w:val="es-ES_tradnl"/>
        </w:rPr>
        <w:t xml:space="preserve"> 1348)</w:t>
      </w:r>
      <w:r w:rsidR="00C8443F" w:rsidRPr="00092053">
        <w:rPr>
          <w:rFonts w:eastAsia="Calibri"/>
          <w:vertAlign w:val="superscript"/>
          <w:lang w:val="es-ES_tradnl"/>
        </w:rPr>
        <w:footnoteReference w:id="133"/>
      </w:r>
      <w:r w:rsidR="00C8443F" w:rsidRPr="00092053">
        <w:rPr>
          <w:rFonts w:eastAsia="Calibri"/>
          <w:lang w:val="es-ES_tradnl"/>
        </w:rPr>
        <w:t>, a efectos de que en su caso se regule el proceso de responsabilidad penal por la comisión de infracciones tipificadas en el Código Penal o en las leyes especiales como delitos o faltas.</w:t>
      </w:r>
    </w:p>
    <w:p w:rsidR="00C8443F" w:rsidRPr="00092053" w:rsidRDefault="004F7B54" w:rsidP="004F7B54">
      <w:pPr>
        <w:pStyle w:val="H23G"/>
        <w:rPr>
          <w:rFonts w:eastAsia="Calibri"/>
          <w:lang w:val="es-PE" w:eastAsia="en-US"/>
        </w:rPr>
      </w:pPr>
      <w:bookmarkStart w:id="136" w:name="_Toc468627314"/>
      <w:bookmarkStart w:id="137" w:name="_Toc468642606"/>
      <w:bookmarkStart w:id="138" w:name="_Toc468721276"/>
      <w:bookmarkStart w:id="139" w:name="_Toc471137674"/>
      <w:bookmarkStart w:id="140" w:name="_Toc472097459"/>
      <w:bookmarkStart w:id="141" w:name="_Toc484774082"/>
      <w:r w:rsidRPr="00092053">
        <w:rPr>
          <w:rFonts w:eastAsia="Calibri"/>
          <w:lang w:val="es-PE" w:eastAsia="en-US"/>
        </w:rPr>
        <w:tab/>
      </w:r>
      <w:r w:rsidRPr="00092053">
        <w:rPr>
          <w:rFonts w:eastAsia="Calibri"/>
          <w:lang w:val="es-PE" w:eastAsia="en-US"/>
        </w:rPr>
        <w:tab/>
      </w:r>
      <w:r w:rsidR="00C8443F" w:rsidRPr="00092053">
        <w:rPr>
          <w:rFonts w:eastAsia="Calibri"/>
          <w:lang w:val="es-PE" w:eastAsia="en-US"/>
        </w:rPr>
        <w:t>Respuesta al párrafo 20</w:t>
      </w:r>
      <w:bookmarkEnd w:id="136"/>
      <w:bookmarkEnd w:id="137"/>
      <w:bookmarkEnd w:id="138"/>
      <w:bookmarkEnd w:id="139"/>
      <w:bookmarkEnd w:id="140"/>
      <w:bookmarkEnd w:id="141"/>
    </w:p>
    <w:p w:rsidR="002A208C" w:rsidRPr="00092053" w:rsidRDefault="00092053" w:rsidP="00574AEE">
      <w:pPr>
        <w:pStyle w:val="SingleTxtG"/>
        <w:rPr>
          <w:rFonts w:eastAsia="Calibri"/>
          <w:lang w:val="es-PE" w:eastAsia="en-US"/>
        </w:rPr>
      </w:pPr>
      <w:r w:rsidRPr="00574AEE">
        <w:rPr>
          <w:rFonts w:eastAsia="Calibri"/>
          <w:lang w:val="es-PE" w:eastAsia="en-US"/>
        </w:rPr>
        <w:t>124.</w:t>
      </w:r>
      <w:r w:rsidRPr="00574AEE">
        <w:rPr>
          <w:rFonts w:eastAsia="Calibri"/>
          <w:lang w:val="es-PE" w:eastAsia="en-US"/>
        </w:rPr>
        <w:tab/>
      </w:r>
      <w:r w:rsidR="00C8443F" w:rsidRPr="00092053">
        <w:rPr>
          <w:rFonts w:eastAsia="Calibri"/>
          <w:lang w:val="es-PE" w:eastAsia="en-US"/>
        </w:rPr>
        <w:t xml:space="preserve">En </w:t>
      </w:r>
      <w:r w:rsidR="00C8443F" w:rsidRPr="00092053">
        <w:rPr>
          <w:rFonts w:eastAsia="Calibri"/>
          <w:lang w:val="es-ES_tradnl"/>
        </w:rPr>
        <w:t>diciembre</w:t>
      </w:r>
      <w:r w:rsidR="00C8443F" w:rsidRPr="00092053">
        <w:rPr>
          <w:rFonts w:eastAsia="Calibri"/>
          <w:lang w:val="es-PE" w:eastAsia="en-US"/>
        </w:rPr>
        <w:t xml:space="preserve"> de 2012 el Estado peruano aprobó la Ley </w:t>
      </w:r>
      <w:r w:rsidR="00CD52E7">
        <w:rPr>
          <w:rFonts w:eastAsia="Calibri"/>
          <w:lang w:val="es-ES_tradnl"/>
        </w:rPr>
        <w:t>núm.</w:t>
      </w:r>
      <w:r w:rsidR="00C8443F" w:rsidRPr="00092053">
        <w:rPr>
          <w:rFonts w:eastAsia="Calibri"/>
          <w:lang w:val="es-PE" w:eastAsia="en-US"/>
        </w:rPr>
        <w:t xml:space="preserve"> 29973</w:t>
      </w:r>
      <w:r w:rsidR="00C8443F" w:rsidRPr="00092053">
        <w:rPr>
          <w:rFonts w:eastAsia="Calibri"/>
          <w:vertAlign w:val="superscript"/>
          <w:lang w:val="es-PE" w:eastAsia="en-US"/>
        </w:rPr>
        <w:footnoteReference w:id="134"/>
      </w:r>
      <w:r w:rsidR="00C8443F" w:rsidRPr="00092053">
        <w:rPr>
          <w:rFonts w:eastAsia="Calibri"/>
          <w:lang w:val="es-PE" w:eastAsia="en-US"/>
        </w:rPr>
        <w:t xml:space="preserve">, Ley General de la Persona con Discapacidad, a fin de establecer el marco legal para la promoción, protección y realización en condiciones de igualdad de los derechos de la persona con discapacidad. </w:t>
      </w:r>
    </w:p>
    <w:p w:rsidR="002A208C" w:rsidRPr="00092053" w:rsidRDefault="00092053" w:rsidP="00574AEE">
      <w:pPr>
        <w:pStyle w:val="SingleTxtG"/>
        <w:rPr>
          <w:rFonts w:eastAsia="Calibri"/>
          <w:lang w:val="es-PE" w:eastAsia="en-US"/>
        </w:rPr>
      </w:pPr>
      <w:r w:rsidRPr="00574AEE">
        <w:rPr>
          <w:rFonts w:eastAsia="Calibri"/>
          <w:lang w:val="es-PE" w:eastAsia="en-US"/>
        </w:rPr>
        <w:t>125.</w:t>
      </w:r>
      <w:r w:rsidRPr="00574AEE">
        <w:rPr>
          <w:rFonts w:eastAsia="Calibri"/>
          <w:lang w:val="es-PE" w:eastAsia="en-US"/>
        </w:rPr>
        <w:tab/>
      </w:r>
      <w:r w:rsidR="00C8443F" w:rsidRPr="00092053">
        <w:rPr>
          <w:rFonts w:eastAsia="Calibri"/>
          <w:lang w:val="es-PE" w:eastAsia="en-US"/>
        </w:rPr>
        <w:t xml:space="preserve">Su reglamento fue aprobado en el 2014 mediante el Decreto Supremo </w:t>
      </w:r>
      <w:r w:rsidR="00CD52E7">
        <w:rPr>
          <w:rFonts w:eastAsia="Calibri"/>
          <w:lang w:val="es-ES_tradnl"/>
        </w:rPr>
        <w:t>núm.</w:t>
      </w:r>
      <w:r w:rsidR="00CD52E7">
        <w:rPr>
          <w:rFonts w:eastAsia="Calibri"/>
          <w:lang w:val="es-PE" w:eastAsia="en-US"/>
        </w:rPr>
        <w:t> </w:t>
      </w:r>
      <w:r w:rsidR="00C8443F" w:rsidRPr="00092053">
        <w:rPr>
          <w:rFonts w:eastAsia="Calibri"/>
          <w:lang w:val="es-PE" w:eastAsia="en-US"/>
        </w:rPr>
        <w:t>002</w:t>
      </w:r>
      <w:r w:rsidR="00CD52E7">
        <w:rPr>
          <w:rFonts w:eastAsia="Calibri"/>
          <w:lang w:val="es-PE" w:eastAsia="en-US"/>
        </w:rPr>
        <w:noBreakHyphen/>
      </w:r>
      <w:r w:rsidR="00C8443F" w:rsidRPr="00092053">
        <w:rPr>
          <w:rFonts w:eastAsia="Calibri"/>
          <w:lang w:val="es-PE" w:eastAsia="en-US"/>
        </w:rPr>
        <w:t>2014-MIMP</w:t>
      </w:r>
      <w:r w:rsidR="00C8443F" w:rsidRPr="00092053">
        <w:rPr>
          <w:rFonts w:eastAsia="Calibri"/>
          <w:vertAlign w:val="superscript"/>
          <w:lang w:val="es-PE" w:eastAsia="en-US"/>
        </w:rPr>
        <w:footnoteReference w:id="135"/>
      </w:r>
      <w:r w:rsidR="00C8443F" w:rsidRPr="00092053">
        <w:rPr>
          <w:rFonts w:eastAsia="Calibri"/>
          <w:lang w:val="es-PE" w:eastAsia="en-US"/>
        </w:rPr>
        <w:t>, en cuyo numeral 17 de su artículo 3° se señala que “los organismos vinculados a la administración de justicia y mecanismos alternativos de resolución de conflictos son las entidades que conforman el Tribunal Constitucional, PJ, MP, Consejo Nacional de la Magistratura, el MINJUS, FMP, y demás instituciones u operadores que aplican mecanism</w:t>
      </w:r>
      <w:r w:rsidR="00E2576D" w:rsidRPr="00092053">
        <w:rPr>
          <w:rFonts w:eastAsia="Calibri"/>
          <w:lang w:val="es-PE" w:eastAsia="en-US"/>
        </w:rPr>
        <w:t>os de resolución de conflictos”</w:t>
      </w:r>
      <w:r w:rsidR="00C8443F" w:rsidRPr="00092053">
        <w:rPr>
          <w:rFonts w:eastAsia="Calibri"/>
          <w:vertAlign w:val="superscript"/>
          <w:lang w:val="es-PE" w:eastAsia="en-US"/>
        </w:rPr>
        <w:footnoteReference w:id="136"/>
      </w:r>
      <w:r w:rsidR="00E2576D"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126.</w:t>
      </w:r>
      <w:r w:rsidRPr="00574AEE">
        <w:rPr>
          <w:rFonts w:eastAsia="Calibri"/>
          <w:lang w:val="es-PE" w:eastAsia="en-US"/>
        </w:rPr>
        <w:tab/>
      </w:r>
      <w:r w:rsidR="00C8443F" w:rsidRPr="00092053">
        <w:rPr>
          <w:rFonts w:eastAsia="Calibri"/>
          <w:lang w:val="es-PE" w:eastAsia="en-US"/>
        </w:rPr>
        <w:t>Con la aprobación de estos documentos se cambia la visión de la discapacidad, pasándose de un enfoque médico rehabilitador a uno social y de derechos que coloca a la persona con discapacidad y su integración social como eje principal de todas las intervenciones de carácter in</w:t>
      </w:r>
      <w:r w:rsidR="00E2576D" w:rsidRPr="00092053">
        <w:rPr>
          <w:rFonts w:eastAsia="Calibri"/>
          <w:lang w:val="es-PE" w:eastAsia="en-US"/>
        </w:rPr>
        <w:t>tegral para su inclusión social</w:t>
      </w:r>
      <w:r w:rsidR="00C8443F" w:rsidRPr="00092053">
        <w:rPr>
          <w:rFonts w:eastAsia="Calibri"/>
          <w:vertAlign w:val="superscript"/>
          <w:lang w:val="es-PE" w:eastAsia="en-US"/>
        </w:rPr>
        <w:footnoteReference w:id="137"/>
      </w:r>
      <w:r w:rsidR="00E2576D"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lastRenderedPageBreak/>
        <w:t>127.</w:t>
      </w:r>
      <w:r w:rsidRPr="00574AEE">
        <w:rPr>
          <w:rFonts w:eastAsia="Calibri"/>
          <w:lang w:val="es-PE" w:eastAsia="en-US"/>
        </w:rPr>
        <w:tab/>
      </w:r>
      <w:r w:rsidR="00C8443F" w:rsidRPr="00092053">
        <w:rPr>
          <w:rFonts w:eastAsia="Calibri"/>
          <w:lang w:val="es-PE" w:eastAsia="en-US"/>
        </w:rPr>
        <w:t xml:space="preserve">Asimismo, en el 2015 se </w:t>
      </w:r>
      <w:r w:rsidR="00C8443F" w:rsidRPr="00092053">
        <w:rPr>
          <w:rFonts w:eastAsia="Calibri"/>
          <w:lang w:val="es-ES_tradnl"/>
        </w:rPr>
        <w:t>aprobó</w:t>
      </w:r>
      <w:r w:rsidR="00C8443F" w:rsidRPr="00092053">
        <w:rPr>
          <w:rFonts w:eastAsia="Calibri"/>
          <w:lang w:val="es-PE" w:eastAsia="en-US"/>
        </w:rPr>
        <w:t xml:space="preserve"> el reglamento de la Ley </w:t>
      </w:r>
      <w:r w:rsidR="00CD52E7">
        <w:rPr>
          <w:rFonts w:eastAsia="Calibri"/>
          <w:lang w:val="es-ES_tradnl"/>
        </w:rPr>
        <w:t>núm.</w:t>
      </w:r>
      <w:r w:rsidR="00C8443F" w:rsidRPr="00092053">
        <w:rPr>
          <w:rFonts w:eastAsia="Calibri"/>
          <w:lang w:val="es-PE" w:eastAsia="en-US"/>
        </w:rPr>
        <w:t xml:space="preserve"> 29889</w:t>
      </w:r>
      <w:r w:rsidR="00C8443F" w:rsidRPr="00092053">
        <w:rPr>
          <w:rFonts w:eastAsia="Calibri"/>
          <w:vertAlign w:val="superscript"/>
          <w:lang w:val="es-PE" w:eastAsia="en-US"/>
        </w:rPr>
        <w:footnoteReference w:id="138"/>
      </w:r>
      <w:r w:rsidR="00C8443F" w:rsidRPr="00092053">
        <w:rPr>
          <w:rFonts w:eastAsia="Calibri"/>
          <w:lang w:val="es-PE" w:eastAsia="en-US"/>
        </w:rPr>
        <w:t xml:space="preserve"> (Decreto Supremo </w:t>
      </w:r>
      <w:r w:rsidR="00CD52E7">
        <w:rPr>
          <w:rFonts w:eastAsia="Calibri"/>
          <w:lang w:val="es-ES_tradnl"/>
        </w:rPr>
        <w:t>núm.</w:t>
      </w:r>
      <w:r w:rsidR="00C8443F" w:rsidRPr="00092053">
        <w:rPr>
          <w:rFonts w:eastAsia="Calibri"/>
          <w:lang w:val="es-PE" w:eastAsia="en-US"/>
        </w:rPr>
        <w:t xml:space="preserve"> 0033-2015-SA</w:t>
      </w:r>
      <w:r w:rsidR="00C8443F" w:rsidRPr="00092053">
        <w:rPr>
          <w:rFonts w:eastAsia="Calibri"/>
          <w:vertAlign w:val="superscript"/>
          <w:lang w:val="es-PE" w:eastAsia="en-US"/>
        </w:rPr>
        <w:footnoteReference w:id="139"/>
      </w:r>
      <w:r w:rsidR="00C8443F" w:rsidRPr="00092053">
        <w:rPr>
          <w:rFonts w:eastAsia="Calibri"/>
          <w:lang w:val="es-PE" w:eastAsia="en-US"/>
        </w:rPr>
        <w:t>), cuyo objetivo es garantizar que las personas con problemas de salud mental tengan acceso universal y equitativo a las intervenciones de protección de la salud, prevención, tratamiento, recuperación y rehabilitación psicosocial, con una visión integral y un enfoque de DDHH en los diferentes niveles de atención.</w:t>
      </w:r>
    </w:p>
    <w:p w:rsidR="002A208C" w:rsidRPr="00092053" w:rsidRDefault="00092053" w:rsidP="00574AEE">
      <w:pPr>
        <w:pStyle w:val="SingleTxtG"/>
        <w:rPr>
          <w:rFonts w:eastAsia="Calibri"/>
          <w:lang w:val="es-PE" w:eastAsia="en-US"/>
        </w:rPr>
      </w:pPr>
      <w:r w:rsidRPr="00574AEE">
        <w:rPr>
          <w:rFonts w:eastAsia="Calibri"/>
          <w:lang w:val="es-PE" w:eastAsia="en-US"/>
        </w:rPr>
        <w:t>128.</w:t>
      </w:r>
      <w:r w:rsidRPr="00574AEE">
        <w:rPr>
          <w:rFonts w:eastAsia="Calibri"/>
          <w:lang w:val="es-PE" w:eastAsia="en-US"/>
        </w:rPr>
        <w:tab/>
      </w:r>
      <w:r w:rsidR="00C8443F" w:rsidRPr="00092053">
        <w:rPr>
          <w:rFonts w:eastAsia="Calibri"/>
          <w:lang w:val="es-PE" w:eastAsia="en-US"/>
        </w:rPr>
        <w:t>Al respecto, en el reglamento, se reconoce a las personas con problemas de salud mental, entre otros, los siguientes derechos</w:t>
      </w:r>
      <w:r w:rsidR="00C8443F" w:rsidRPr="00092053">
        <w:rPr>
          <w:rFonts w:eastAsia="Calibri"/>
          <w:vertAlign w:val="superscript"/>
          <w:lang w:val="es-PE" w:eastAsia="en-US"/>
        </w:rPr>
        <w:footnoteReference w:id="140"/>
      </w:r>
      <w:r w:rsidR="00C8443F" w:rsidRPr="00092053">
        <w:rPr>
          <w:rFonts w:eastAsia="Calibri"/>
          <w:lang w:val="es-PE" w:eastAsia="en-US"/>
        </w:rPr>
        <w:t xml:space="preserve">: i) derecho a contar con servicios de internamiento u hospitalización </w:t>
      </w:r>
      <w:r w:rsidR="00C8443F" w:rsidRPr="00092053">
        <w:rPr>
          <w:rFonts w:eastAsia="Calibri"/>
          <w:lang w:val="es-ES_tradnl"/>
        </w:rPr>
        <w:t>como</w:t>
      </w:r>
      <w:r w:rsidR="00C8443F" w:rsidRPr="00092053">
        <w:rPr>
          <w:rFonts w:eastAsia="Calibri"/>
          <w:lang w:val="es-PE" w:eastAsia="en-US"/>
        </w:rPr>
        <w:t xml:space="preserve"> recurso terapéutico de carácter excepcional</w:t>
      </w:r>
      <w:r w:rsidR="001A6567">
        <w:rPr>
          <w:rFonts w:eastAsia="Calibri"/>
          <w:lang w:val="es-PE" w:eastAsia="en-US"/>
        </w:rPr>
        <w:t>;</w:t>
      </w:r>
      <w:r w:rsidR="00C8443F" w:rsidRPr="00092053">
        <w:rPr>
          <w:rFonts w:eastAsia="Calibri"/>
          <w:lang w:val="es-PE" w:eastAsia="en-US"/>
        </w:rPr>
        <w:t xml:space="preserve"> ii)</w:t>
      </w:r>
      <w:r w:rsidR="001A6567">
        <w:rPr>
          <w:rFonts w:eastAsia="Calibri"/>
          <w:lang w:val="es-PE" w:eastAsia="en-US"/>
        </w:rPr>
        <w:t> </w:t>
      </w:r>
      <w:r w:rsidR="00C8443F" w:rsidRPr="00092053">
        <w:rPr>
          <w:rFonts w:eastAsia="Calibri"/>
          <w:lang w:val="es-PE" w:eastAsia="en-US"/>
        </w:rPr>
        <w:t>otorgar su consentimiento informado, libre y voluntario, sin que medie ningún mecanismo que vicie su voluntad, para el procedimiento o tratamiento indicado</w:t>
      </w:r>
      <w:r w:rsidR="001A6567">
        <w:rPr>
          <w:rFonts w:eastAsia="Calibri"/>
          <w:lang w:val="es-PE" w:eastAsia="en-US"/>
        </w:rPr>
        <w:t>;</w:t>
      </w:r>
      <w:r w:rsidR="00C8443F" w:rsidRPr="00092053">
        <w:rPr>
          <w:rFonts w:eastAsia="Calibri"/>
          <w:lang w:val="es-PE" w:eastAsia="en-US"/>
        </w:rPr>
        <w:t xml:space="preserve"> iii) recibir un tratamiento lo menos restrictivo posible</w:t>
      </w:r>
      <w:r w:rsidR="001A6567">
        <w:rPr>
          <w:rFonts w:eastAsia="Calibri"/>
          <w:lang w:val="es-PE" w:eastAsia="en-US"/>
        </w:rPr>
        <w:t>;</w:t>
      </w:r>
      <w:r w:rsidR="00C8443F" w:rsidRPr="00092053">
        <w:rPr>
          <w:rFonts w:eastAsia="Calibri"/>
          <w:lang w:val="es-PE" w:eastAsia="en-US"/>
        </w:rPr>
        <w:t xml:space="preserve"> iv) recibir la medicación correspondiente con fines terapéuticos o de diagnóstico, y nunca como castigo o para conveniencia de terceros</w:t>
      </w:r>
      <w:r w:rsidR="001A6567">
        <w:rPr>
          <w:rFonts w:eastAsia="Calibri"/>
          <w:lang w:val="es-PE" w:eastAsia="en-US"/>
        </w:rPr>
        <w:t>;</w:t>
      </w:r>
      <w:r w:rsidR="00C8443F" w:rsidRPr="00092053">
        <w:rPr>
          <w:rFonts w:eastAsia="Calibri"/>
          <w:lang w:val="es-PE" w:eastAsia="en-US"/>
        </w:rPr>
        <w:t xml:space="preserve"> y v) no ser objeto de aplicación de ningún método anticonceptivo sin previo consentimiento informado.</w:t>
      </w:r>
    </w:p>
    <w:p w:rsidR="002A208C" w:rsidRPr="00092053" w:rsidRDefault="00092053" w:rsidP="00574AEE">
      <w:pPr>
        <w:pStyle w:val="SingleTxtG"/>
        <w:rPr>
          <w:rFonts w:eastAsia="Calibri"/>
          <w:lang w:val="es-PE" w:eastAsia="en-US"/>
        </w:rPr>
      </w:pPr>
      <w:r w:rsidRPr="00574AEE">
        <w:rPr>
          <w:rFonts w:eastAsia="Calibri"/>
          <w:lang w:val="es-PE" w:eastAsia="en-US"/>
        </w:rPr>
        <w:t>129.</w:t>
      </w:r>
      <w:r w:rsidRPr="00574AEE">
        <w:rPr>
          <w:rFonts w:eastAsia="Calibri"/>
          <w:lang w:val="es-PE" w:eastAsia="en-US"/>
        </w:rPr>
        <w:tab/>
      </w:r>
      <w:r w:rsidR="00C8443F" w:rsidRPr="00092053">
        <w:rPr>
          <w:rFonts w:eastAsia="Calibri"/>
          <w:lang w:val="es-PE" w:eastAsia="en-US"/>
        </w:rPr>
        <w:t xml:space="preserve">Cabe señalar que la Norma Técnica </w:t>
      </w:r>
      <w:r w:rsidR="00CD52E7">
        <w:rPr>
          <w:rFonts w:eastAsia="Calibri"/>
          <w:lang w:val="es-ES_tradnl"/>
        </w:rPr>
        <w:t>núm.</w:t>
      </w:r>
      <w:r w:rsidR="00C8443F" w:rsidRPr="00092053">
        <w:rPr>
          <w:rFonts w:eastAsia="Calibri"/>
          <w:lang w:val="es-PE" w:eastAsia="en-US"/>
        </w:rPr>
        <w:t xml:space="preserve"> 032-MINSA/DGSP-V01, “Norma Técnica de Planificación Familiar” (Resolución Ministerial </w:t>
      </w:r>
      <w:r w:rsidR="00CD52E7">
        <w:rPr>
          <w:rFonts w:eastAsia="Calibri"/>
          <w:lang w:val="es-ES_tradnl"/>
        </w:rPr>
        <w:t>núm.</w:t>
      </w:r>
      <w:r w:rsidR="00C8443F" w:rsidRPr="00092053">
        <w:rPr>
          <w:rFonts w:eastAsia="Calibri"/>
          <w:lang w:val="es-PE" w:eastAsia="en-US"/>
        </w:rPr>
        <w:t xml:space="preserve"> 536-2005-MINSA), que permitía la anticoncepción quirúrgica voluntaria (AQV) a las personas con incapacidad mental sin su consentimiento, fue derogada por el artículo 3° de la Resolución Ministerial </w:t>
      </w:r>
      <w:r w:rsidR="00CD52E7">
        <w:rPr>
          <w:rFonts w:eastAsia="Calibri"/>
          <w:lang w:val="es-ES_tradnl"/>
        </w:rPr>
        <w:t>núm.</w:t>
      </w:r>
      <w:r w:rsidR="00CD52E7">
        <w:rPr>
          <w:rFonts w:eastAsia="Calibri"/>
          <w:lang w:val="es-PE" w:eastAsia="en-US"/>
        </w:rPr>
        <w:t> </w:t>
      </w:r>
      <w:r w:rsidR="00C8443F" w:rsidRPr="00092053">
        <w:rPr>
          <w:rFonts w:eastAsia="Calibri"/>
          <w:lang w:val="es-PE" w:eastAsia="en-US"/>
        </w:rPr>
        <w:t>652</w:t>
      </w:r>
      <w:r w:rsidR="00CD52E7">
        <w:rPr>
          <w:rFonts w:eastAsia="Calibri"/>
          <w:lang w:val="es-PE" w:eastAsia="en-US"/>
        </w:rPr>
        <w:noBreakHyphen/>
      </w:r>
      <w:r w:rsidR="00C8443F" w:rsidRPr="00092053">
        <w:rPr>
          <w:rFonts w:eastAsia="Calibri"/>
          <w:lang w:val="es-PE" w:eastAsia="en-US"/>
        </w:rPr>
        <w:t>2016-MINSA, en septiembre de 2016.</w:t>
      </w:r>
    </w:p>
    <w:p w:rsidR="002A208C" w:rsidRPr="00092053" w:rsidRDefault="00092053" w:rsidP="00574AEE">
      <w:pPr>
        <w:pStyle w:val="SingleTxtG"/>
        <w:rPr>
          <w:rFonts w:eastAsia="Calibri"/>
          <w:lang w:val="es-PE" w:eastAsia="en-US"/>
        </w:rPr>
      </w:pPr>
      <w:r w:rsidRPr="00574AEE">
        <w:rPr>
          <w:rFonts w:eastAsia="Calibri"/>
          <w:lang w:val="es-PE" w:eastAsia="en-US"/>
        </w:rPr>
        <w:t>130.</w:t>
      </w:r>
      <w:r w:rsidRPr="00574AEE">
        <w:rPr>
          <w:rFonts w:eastAsia="Calibri"/>
          <w:lang w:val="es-PE" w:eastAsia="en-US"/>
        </w:rPr>
        <w:tab/>
      </w:r>
      <w:r w:rsidR="00C8443F" w:rsidRPr="00092053">
        <w:rPr>
          <w:rFonts w:eastAsia="Calibri"/>
          <w:lang w:val="es-PE" w:eastAsia="en-US"/>
        </w:rPr>
        <w:t xml:space="preserve">De otro lado, el </w:t>
      </w:r>
      <w:r w:rsidR="00C8443F" w:rsidRPr="00092053">
        <w:rPr>
          <w:rFonts w:eastAsia="Calibri"/>
          <w:lang w:val="es-ES_tradnl"/>
        </w:rPr>
        <w:t>INPE</w:t>
      </w:r>
      <w:r w:rsidR="00C8443F" w:rsidRPr="00092053">
        <w:rPr>
          <w:rFonts w:eastAsia="Calibri"/>
          <w:lang w:val="es-PE" w:eastAsia="en-US"/>
        </w:rPr>
        <w:t xml:space="preserve"> y el Seguro Integral de Salud (SIS) firmaron un Convenio Marco de Cooperación Interinstitucional</w:t>
      </w:r>
      <w:r w:rsidR="00C8443F" w:rsidRPr="00092053">
        <w:rPr>
          <w:rFonts w:eastAsia="Calibri"/>
          <w:vertAlign w:val="superscript"/>
          <w:lang w:val="es-PE" w:eastAsia="en-US"/>
        </w:rPr>
        <w:footnoteReference w:id="141"/>
      </w:r>
      <w:r w:rsidR="00C8443F" w:rsidRPr="00092053">
        <w:rPr>
          <w:rFonts w:eastAsia="Calibri"/>
          <w:lang w:val="es-PE" w:eastAsia="en-US"/>
        </w:rPr>
        <w:t xml:space="preserve"> a efectos de que las PPL en establecimientos penitenciarios a nivel nacional, incluidas las personas con discapacidad, puedan afiliarse a dicho seguro.</w:t>
      </w:r>
    </w:p>
    <w:p w:rsidR="002A208C" w:rsidRPr="00092053" w:rsidRDefault="00092053" w:rsidP="00574AEE">
      <w:pPr>
        <w:pStyle w:val="SingleTxtG"/>
        <w:rPr>
          <w:rFonts w:eastAsia="Calibri"/>
          <w:lang w:val="es-ES_tradnl"/>
        </w:rPr>
      </w:pPr>
      <w:r w:rsidRPr="00574AEE">
        <w:rPr>
          <w:rFonts w:eastAsia="Calibri"/>
          <w:lang w:val="es-ES_tradnl"/>
        </w:rPr>
        <w:t>131.</w:t>
      </w:r>
      <w:r w:rsidRPr="00574AEE">
        <w:rPr>
          <w:rFonts w:eastAsia="Calibri"/>
          <w:lang w:val="es-ES_tradnl"/>
        </w:rPr>
        <w:tab/>
      </w:r>
      <w:r w:rsidR="00C8443F" w:rsidRPr="00092053">
        <w:rPr>
          <w:rFonts w:eastAsia="Calibri"/>
          <w:lang w:val="es-ES_tradnl"/>
        </w:rPr>
        <w:t xml:space="preserve">En el marco de dicho convenio el SIS se comprometió, entre otras acciones, a coordinar conjuntamente con las autoridades del MINSA y del INPE intervenciones y/o campañas médicas preventivas en cada uno de los establecimientos penitenciarios, de acuerdo con la disponibilidad presupuestal y condiciones necesarias. </w:t>
      </w:r>
    </w:p>
    <w:p w:rsidR="002A208C" w:rsidRPr="002C565A" w:rsidRDefault="004F7B54" w:rsidP="00574AEE">
      <w:pPr>
        <w:pStyle w:val="H1G"/>
        <w:rPr>
          <w:rFonts w:eastAsia="Calibri"/>
          <w:lang w:val="es-PE" w:eastAsia="en-US"/>
        </w:rPr>
      </w:pPr>
      <w:bookmarkStart w:id="142" w:name="_Toc468627315"/>
      <w:bookmarkStart w:id="143" w:name="_Toc468642607"/>
      <w:bookmarkStart w:id="144" w:name="_Toc468721277"/>
      <w:bookmarkStart w:id="145" w:name="_Toc471137675"/>
      <w:bookmarkStart w:id="146" w:name="_Toc472097460"/>
      <w:bookmarkStart w:id="147" w:name="_Toc484774083"/>
      <w:r w:rsidRPr="00FA45BC">
        <w:rPr>
          <w:rFonts w:eastAsia="Calibri"/>
          <w:lang w:val="es-PE" w:eastAsia="en-US"/>
        </w:rPr>
        <w:tab/>
      </w:r>
      <w:r w:rsidRPr="00FA45BC">
        <w:rPr>
          <w:rFonts w:eastAsia="Calibri"/>
          <w:lang w:val="es-PE" w:eastAsia="en-US"/>
        </w:rPr>
        <w:tab/>
      </w:r>
      <w:r w:rsidR="00C8443F" w:rsidRPr="00FA45BC">
        <w:rPr>
          <w:rFonts w:eastAsia="Calibri"/>
          <w:lang w:val="es-PE" w:eastAsia="en-US"/>
        </w:rPr>
        <w:t>Artículo 12° y 13°</w:t>
      </w:r>
      <w:bookmarkEnd w:id="142"/>
      <w:bookmarkEnd w:id="143"/>
      <w:bookmarkEnd w:id="144"/>
      <w:bookmarkEnd w:id="145"/>
      <w:bookmarkEnd w:id="146"/>
      <w:bookmarkEnd w:id="147"/>
    </w:p>
    <w:p w:rsidR="00C8443F" w:rsidRPr="00092053" w:rsidRDefault="004F7B54" w:rsidP="004F7B54">
      <w:pPr>
        <w:pStyle w:val="H23G"/>
        <w:rPr>
          <w:rFonts w:eastAsia="Calibri"/>
          <w:lang w:val="es-PE" w:eastAsia="en-US"/>
        </w:rPr>
      </w:pPr>
      <w:bookmarkStart w:id="148" w:name="_Toc468627316"/>
      <w:bookmarkStart w:id="149" w:name="_Toc468642608"/>
      <w:bookmarkStart w:id="150" w:name="_Toc468721278"/>
      <w:bookmarkStart w:id="151" w:name="_Toc471137676"/>
      <w:bookmarkStart w:id="152" w:name="_Toc472097461"/>
      <w:bookmarkStart w:id="153" w:name="_Toc484774084"/>
      <w:r w:rsidRPr="00092053">
        <w:rPr>
          <w:rFonts w:eastAsia="Calibri"/>
          <w:lang w:val="es-PE" w:eastAsia="en-US"/>
        </w:rPr>
        <w:tab/>
      </w:r>
      <w:r w:rsidRPr="00092053">
        <w:rPr>
          <w:rFonts w:eastAsia="Calibri"/>
          <w:lang w:val="es-PE" w:eastAsia="en-US"/>
        </w:rPr>
        <w:tab/>
      </w:r>
      <w:r w:rsidR="00C8443F" w:rsidRPr="00092053">
        <w:rPr>
          <w:rFonts w:eastAsia="Calibri"/>
          <w:lang w:val="es-PE" w:eastAsia="en-US"/>
        </w:rPr>
        <w:t>Respuesta al párrafo 21</w:t>
      </w:r>
      <w:bookmarkEnd w:id="148"/>
      <w:bookmarkEnd w:id="149"/>
      <w:bookmarkEnd w:id="150"/>
      <w:bookmarkEnd w:id="151"/>
      <w:bookmarkEnd w:id="152"/>
      <w:bookmarkEnd w:id="153"/>
      <w:r w:rsidR="00C8443F" w:rsidRPr="00092053">
        <w:rPr>
          <w:rFonts w:eastAsia="Calibri"/>
          <w:lang w:val="es-PE" w:eastAsia="en-US"/>
        </w:rPr>
        <w:t xml:space="preserve"> </w:t>
      </w:r>
    </w:p>
    <w:p w:rsidR="002A208C" w:rsidRPr="00092053" w:rsidRDefault="00092053" w:rsidP="00574AEE">
      <w:pPr>
        <w:pStyle w:val="SingleTxtG"/>
        <w:rPr>
          <w:rFonts w:eastAsia="Calibri"/>
          <w:lang w:val="es-PE" w:eastAsia="en-US"/>
        </w:rPr>
      </w:pPr>
      <w:r w:rsidRPr="00574AEE">
        <w:rPr>
          <w:rFonts w:eastAsia="Calibri"/>
          <w:lang w:val="es-PE" w:eastAsia="en-US"/>
        </w:rPr>
        <w:t>132.</w:t>
      </w:r>
      <w:r w:rsidRPr="00574AEE">
        <w:rPr>
          <w:rFonts w:eastAsia="Calibri"/>
          <w:lang w:val="es-PE" w:eastAsia="en-US"/>
        </w:rPr>
        <w:tab/>
      </w:r>
      <w:r w:rsidR="00C8443F" w:rsidRPr="00092053">
        <w:rPr>
          <w:rFonts w:eastAsia="Calibri"/>
          <w:lang w:val="es-PE" w:eastAsia="en-US"/>
        </w:rPr>
        <w:t xml:space="preserve">En relación con denuncias por actos de tortura o malos tratos registrados, la Inspectoría del MININTER brindó </w:t>
      </w:r>
      <w:r w:rsidR="00C8443F" w:rsidRPr="00092053">
        <w:rPr>
          <w:rFonts w:eastAsia="Calibri"/>
          <w:lang w:val="es-ES_tradnl"/>
        </w:rPr>
        <w:t>información</w:t>
      </w:r>
      <w:r w:rsidR="00C8443F" w:rsidRPr="00092053">
        <w:rPr>
          <w:rFonts w:eastAsia="Calibri"/>
          <w:lang w:val="es-PE" w:eastAsia="en-US"/>
        </w:rPr>
        <w:t xml:space="preserve"> sobre cuatro procesos administrativos disciplinarios que involucraban a efectivos de la PNP</w:t>
      </w:r>
      <w:r w:rsidR="00C8443F" w:rsidRPr="00092053">
        <w:rPr>
          <w:rFonts w:eastAsia="Calibri"/>
          <w:vertAlign w:val="superscript"/>
          <w:lang w:val="es-PE" w:eastAsia="en-US"/>
        </w:rPr>
        <w:footnoteReference w:id="142"/>
      </w:r>
      <w:r w:rsidR="00C8443F" w:rsidRPr="00092053">
        <w:rPr>
          <w:rFonts w:eastAsia="Calibri"/>
          <w:lang w:val="es-PE" w:eastAsia="en-US"/>
        </w:rPr>
        <w:t xml:space="preserve">. Ver </w:t>
      </w:r>
      <w:r w:rsidR="00C8443F" w:rsidRPr="00092053">
        <w:rPr>
          <w:rFonts w:eastAsia="Calibri"/>
          <w:b/>
          <w:lang w:val="es-PE" w:eastAsia="en-US"/>
        </w:rPr>
        <w:t xml:space="preserve">tabla </w:t>
      </w:r>
      <w:r w:rsidR="00FA45BC" w:rsidRPr="00353E55">
        <w:rPr>
          <w:rFonts w:eastAsia="Calibri"/>
          <w:b/>
          <w:lang w:val="es-PE" w:eastAsia="en-US"/>
        </w:rPr>
        <w:t>núm.</w:t>
      </w:r>
      <w:r w:rsidR="00C8443F" w:rsidRPr="00092053">
        <w:rPr>
          <w:rFonts w:eastAsia="Calibri"/>
          <w:b/>
          <w:lang w:val="es-PE" w:eastAsia="en-US"/>
        </w:rPr>
        <w:t xml:space="preserve"> 1 del Anexo </w:t>
      </w:r>
      <w:r w:rsidR="00FA45BC" w:rsidRPr="00353E55">
        <w:rPr>
          <w:rFonts w:eastAsia="Calibri"/>
          <w:b/>
          <w:lang w:val="es-PE" w:eastAsia="en-US"/>
        </w:rPr>
        <w:t>núm.</w:t>
      </w:r>
      <w:r w:rsidR="00C8443F" w:rsidRPr="00092053">
        <w:rPr>
          <w:rFonts w:eastAsia="Calibri"/>
          <w:b/>
          <w:lang w:val="es-PE" w:eastAsia="en-US"/>
        </w:rPr>
        <w:t xml:space="preserve"> 13</w:t>
      </w:r>
      <w:r w:rsidR="00C8443F"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133.</w:t>
      </w:r>
      <w:r w:rsidRPr="00574AEE">
        <w:rPr>
          <w:rFonts w:eastAsia="Calibri"/>
          <w:lang w:val="es-PE" w:eastAsia="en-US"/>
        </w:rPr>
        <w:tab/>
      </w:r>
      <w:r w:rsidR="00C8443F" w:rsidRPr="00092053">
        <w:rPr>
          <w:rFonts w:eastAsia="Calibri"/>
          <w:lang w:val="es-PE" w:eastAsia="en-US"/>
        </w:rPr>
        <w:t xml:space="preserve">Por su parte, la Inspectoría General de la PNP proporcionó información sobre investigaciones </w:t>
      </w:r>
      <w:r w:rsidR="00C8443F" w:rsidRPr="00092053">
        <w:rPr>
          <w:rFonts w:eastAsia="Calibri"/>
          <w:lang w:val="es-ES_tradnl"/>
        </w:rPr>
        <w:t>administrativo</w:t>
      </w:r>
      <w:r w:rsidR="00C8443F" w:rsidRPr="00092053">
        <w:rPr>
          <w:rFonts w:eastAsia="Calibri"/>
          <w:lang w:val="es-PE" w:eastAsia="en-US"/>
        </w:rPr>
        <w:t xml:space="preserve"> disciplinarias en el per</w:t>
      </w:r>
      <w:r w:rsidR="001069B7">
        <w:rPr>
          <w:rFonts w:eastAsia="Calibri"/>
          <w:lang w:val="es-PE" w:eastAsia="en-US"/>
        </w:rPr>
        <w:t>í</w:t>
      </w:r>
      <w:r w:rsidR="00C8443F" w:rsidRPr="00092053">
        <w:rPr>
          <w:rFonts w:eastAsia="Calibri"/>
          <w:lang w:val="es-PE" w:eastAsia="en-US"/>
        </w:rPr>
        <w:t>odo 2012-2016</w:t>
      </w:r>
      <w:r w:rsidR="00C8443F" w:rsidRPr="00092053">
        <w:rPr>
          <w:rFonts w:eastAsia="Calibri"/>
          <w:vertAlign w:val="superscript"/>
          <w:lang w:val="es-PE" w:eastAsia="en-US"/>
        </w:rPr>
        <w:footnoteReference w:id="143"/>
      </w:r>
      <w:r w:rsidR="00C8443F" w:rsidRPr="00092053">
        <w:rPr>
          <w:rFonts w:eastAsia="Calibri"/>
          <w:lang w:val="es-PE" w:eastAsia="en-US"/>
        </w:rPr>
        <w:t xml:space="preserve">. Ver </w:t>
      </w:r>
      <w:r w:rsidR="00C8443F" w:rsidRPr="00092053">
        <w:rPr>
          <w:rFonts w:eastAsia="Calibri"/>
          <w:b/>
          <w:lang w:val="es-PE" w:eastAsia="en-US"/>
        </w:rPr>
        <w:t xml:space="preserve">tabla </w:t>
      </w:r>
      <w:r w:rsidR="00FA45BC" w:rsidRPr="00353E55">
        <w:rPr>
          <w:rFonts w:eastAsia="Calibri"/>
          <w:b/>
          <w:lang w:val="es-PE" w:eastAsia="en-US"/>
        </w:rPr>
        <w:t>núm.</w:t>
      </w:r>
      <w:r w:rsidR="00C8443F" w:rsidRPr="00092053">
        <w:rPr>
          <w:rFonts w:eastAsia="Calibri"/>
          <w:b/>
          <w:lang w:val="es-PE" w:eastAsia="en-US"/>
        </w:rPr>
        <w:t xml:space="preserve"> 2 del Anexo </w:t>
      </w:r>
      <w:r w:rsidR="00FA45BC" w:rsidRPr="00353E55">
        <w:rPr>
          <w:rFonts w:eastAsia="Calibri"/>
          <w:b/>
          <w:lang w:val="es-PE" w:eastAsia="en-US"/>
        </w:rPr>
        <w:t>núm.</w:t>
      </w:r>
      <w:r w:rsidR="00C8443F" w:rsidRPr="00092053">
        <w:rPr>
          <w:rFonts w:eastAsia="Calibri"/>
          <w:b/>
          <w:lang w:val="es-PE" w:eastAsia="en-US"/>
        </w:rPr>
        <w:t xml:space="preserve"> 13</w:t>
      </w:r>
      <w:r w:rsidR="00C8443F"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134.</w:t>
      </w:r>
      <w:r w:rsidRPr="00574AEE">
        <w:rPr>
          <w:rFonts w:eastAsia="Calibri"/>
          <w:lang w:val="es-PE" w:eastAsia="en-US"/>
        </w:rPr>
        <w:tab/>
      </w:r>
      <w:r w:rsidR="00C8443F" w:rsidRPr="00092053">
        <w:rPr>
          <w:rFonts w:eastAsia="Calibri"/>
          <w:lang w:val="es-PE" w:eastAsia="en-US"/>
        </w:rPr>
        <w:t xml:space="preserve">Asimismo, </w:t>
      </w:r>
      <w:r w:rsidR="00C8443F" w:rsidRPr="00092053">
        <w:rPr>
          <w:rFonts w:eastAsia="Calibri"/>
          <w:lang w:val="es-ES_tradnl"/>
        </w:rPr>
        <w:t>recientemente</w:t>
      </w:r>
      <w:r w:rsidR="00C8443F" w:rsidRPr="00092053">
        <w:rPr>
          <w:rFonts w:eastAsia="Calibri"/>
          <w:lang w:val="es-PE" w:eastAsia="en-US"/>
        </w:rPr>
        <w:t xml:space="preserve"> se aprobó el Decreto Legislativo </w:t>
      </w:r>
      <w:r w:rsidR="00CD52E7">
        <w:rPr>
          <w:rFonts w:eastAsia="Calibri"/>
          <w:lang w:val="es-ES_tradnl"/>
        </w:rPr>
        <w:t>núm.</w:t>
      </w:r>
      <w:r w:rsidR="00C8443F" w:rsidRPr="00092053">
        <w:rPr>
          <w:rFonts w:eastAsia="Calibri"/>
          <w:lang w:val="es-PE" w:eastAsia="en-US"/>
        </w:rPr>
        <w:t xml:space="preserve"> 1268</w:t>
      </w:r>
      <w:r w:rsidR="00C8443F" w:rsidRPr="00092053">
        <w:rPr>
          <w:rFonts w:eastAsia="Calibri"/>
          <w:vertAlign w:val="superscript"/>
          <w:lang w:val="es-PE" w:eastAsia="en-US"/>
        </w:rPr>
        <w:footnoteReference w:id="144"/>
      </w:r>
      <w:r w:rsidR="00C8443F" w:rsidRPr="00092053">
        <w:rPr>
          <w:rFonts w:eastAsia="Calibri"/>
          <w:lang w:val="es-PE" w:eastAsia="en-US"/>
        </w:rPr>
        <w:t>, Decreto Legislativo que regula el Régimen Disciplinario de la PNP, en el que se considera como una infracción muy grave “practicar actos de tortura a las personas que se encuentren bajo su custodia”.</w:t>
      </w:r>
    </w:p>
    <w:p w:rsidR="002A208C" w:rsidRPr="00092053" w:rsidRDefault="00092053" w:rsidP="00574AEE">
      <w:pPr>
        <w:pStyle w:val="SingleTxtG"/>
        <w:rPr>
          <w:rFonts w:eastAsia="Calibri"/>
          <w:lang w:val="es-PE" w:eastAsia="en-US"/>
        </w:rPr>
      </w:pPr>
      <w:r w:rsidRPr="00574AEE">
        <w:rPr>
          <w:rFonts w:eastAsia="Calibri"/>
          <w:lang w:val="es-PE" w:eastAsia="en-US"/>
        </w:rPr>
        <w:lastRenderedPageBreak/>
        <w:t>135.</w:t>
      </w:r>
      <w:r w:rsidRPr="00574AEE">
        <w:rPr>
          <w:rFonts w:eastAsia="Calibri"/>
          <w:lang w:val="es-PE" w:eastAsia="en-US"/>
        </w:rPr>
        <w:tab/>
      </w:r>
      <w:r w:rsidR="00C8443F" w:rsidRPr="00092053">
        <w:rPr>
          <w:rFonts w:eastAsia="Calibri"/>
          <w:lang w:val="es-PE" w:eastAsia="en-US"/>
        </w:rPr>
        <w:t xml:space="preserve">A su vez, si bien no se </w:t>
      </w:r>
      <w:r w:rsidR="00C8443F" w:rsidRPr="00092053">
        <w:rPr>
          <w:rFonts w:eastAsia="Calibri"/>
          <w:lang w:val="es-ES_tradnl"/>
        </w:rPr>
        <w:t>cuenta</w:t>
      </w:r>
      <w:r w:rsidR="00C8443F" w:rsidRPr="00092053">
        <w:rPr>
          <w:rFonts w:eastAsia="Calibri"/>
          <w:lang w:val="es-PE" w:eastAsia="en-US"/>
        </w:rPr>
        <w:t xml:space="preserve"> con los datos estadísticos desglosados por sexo, edad, origen étnico o nacionalidad, la Coordinadora de la Fiscalía Superior Penal Nacional y Fiscalías Penales Supranacionales informó de 83 casos tramitados en las Fiscalías Penales Supraprovinciales de Lima por el delito contra la humanidad (tortura) durante el per</w:t>
      </w:r>
      <w:r w:rsidR="001069B7">
        <w:rPr>
          <w:rFonts w:eastAsia="Calibri"/>
          <w:lang w:val="es-PE" w:eastAsia="en-US"/>
        </w:rPr>
        <w:t>í</w:t>
      </w:r>
      <w:r w:rsidR="00C8443F" w:rsidRPr="00092053">
        <w:rPr>
          <w:rFonts w:eastAsia="Calibri"/>
          <w:lang w:val="es-PE" w:eastAsia="en-US"/>
        </w:rPr>
        <w:t>odo 2011-2016, 22 de ellos en investigación preliminar, 5 en formalización, 14 fueron derivados; 49, archivados definitivamente y 3 tienen otro estado</w:t>
      </w:r>
      <w:r w:rsidR="00C8443F" w:rsidRPr="00092053">
        <w:rPr>
          <w:rFonts w:eastAsia="Calibri"/>
          <w:vertAlign w:val="superscript"/>
          <w:lang w:val="es-PE" w:eastAsia="en-US"/>
        </w:rPr>
        <w:footnoteReference w:id="145"/>
      </w:r>
      <w:r w:rsidR="00C8443F" w:rsidRPr="00092053">
        <w:rPr>
          <w:rFonts w:eastAsia="Calibri"/>
          <w:lang w:val="es-PE" w:eastAsia="en-US"/>
        </w:rPr>
        <w:t>. Ver</w:t>
      </w:r>
      <w:r w:rsidR="00C8443F" w:rsidRPr="00092053">
        <w:rPr>
          <w:rFonts w:eastAsia="Calibri"/>
          <w:b/>
          <w:lang w:val="es-PE" w:eastAsia="en-US"/>
        </w:rPr>
        <w:t xml:space="preserve"> tabla </w:t>
      </w:r>
      <w:r w:rsidR="00FA45BC" w:rsidRPr="00353E55">
        <w:rPr>
          <w:rFonts w:eastAsia="Calibri"/>
          <w:b/>
          <w:lang w:val="es-PE" w:eastAsia="en-US"/>
        </w:rPr>
        <w:t>núm.</w:t>
      </w:r>
      <w:r w:rsidR="00C8443F" w:rsidRPr="00092053">
        <w:rPr>
          <w:rFonts w:eastAsia="Calibri"/>
          <w:b/>
          <w:lang w:val="es-PE" w:eastAsia="en-US"/>
        </w:rPr>
        <w:t xml:space="preserve"> 3 del Anexo </w:t>
      </w:r>
      <w:r w:rsidR="00FA45BC" w:rsidRPr="00353E55">
        <w:rPr>
          <w:rFonts w:eastAsia="Calibri"/>
          <w:b/>
          <w:lang w:val="es-PE" w:eastAsia="en-US"/>
        </w:rPr>
        <w:t>núm.</w:t>
      </w:r>
      <w:r w:rsidR="00C8443F" w:rsidRPr="00092053">
        <w:rPr>
          <w:rFonts w:eastAsia="Calibri"/>
          <w:b/>
          <w:lang w:val="es-PE" w:eastAsia="en-US"/>
        </w:rPr>
        <w:t xml:space="preserve"> 13.</w:t>
      </w:r>
    </w:p>
    <w:p w:rsidR="002A208C" w:rsidRPr="00092053" w:rsidRDefault="00092053" w:rsidP="00574AEE">
      <w:pPr>
        <w:pStyle w:val="SingleTxtG"/>
        <w:rPr>
          <w:rFonts w:eastAsia="Calibri"/>
          <w:b/>
          <w:lang w:val="es-PE" w:eastAsia="en-US"/>
        </w:rPr>
      </w:pPr>
      <w:r w:rsidRPr="00574AEE">
        <w:rPr>
          <w:rFonts w:eastAsia="Calibri"/>
          <w:lang w:val="es-PE" w:eastAsia="en-US"/>
        </w:rPr>
        <w:t>136.</w:t>
      </w:r>
      <w:r w:rsidRPr="00574AEE">
        <w:rPr>
          <w:rFonts w:eastAsia="Calibri"/>
          <w:lang w:val="es-PE" w:eastAsia="en-US"/>
        </w:rPr>
        <w:tab/>
      </w:r>
      <w:r w:rsidR="00C8443F" w:rsidRPr="00092053">
        <w:rPr>
          <w:rFonts w:eastAsia="Calibri"/>
          <w:lang w:val="es-PE" w:eastAsia="en-US"/>
        </w:rPr>
        <w:t xml:space="preserve">Por otro lado, en las Fiscalías Penales Supraprovinciales del Subsistema de Provincia por el delito contra la </w:t>
      </w:r>
      <w:r w:rsidR="00C8443F" w:rsidRPr="00092053">
        <w:rPr>
          <w:rFonts w:eastAsia="Calibri"/>
          <w:lang w:val="es-ES_tradnl"/>
        </w:rPr>
        <w:t>humanidad</w:t>
      </w:r>
      <w:r w:rsidR="00C8443F" w:rsidRPr="00092053">
        <w:rPr>
          <w:rFonts w:eastAsia="Calibri"/>
          <w:lang w:val="es-PE" w:eastAsia="en-US"/>
        </w:rPr>
        <w:t xml:space="preserve"> (tortura) se tramitaron 78 casos en el mismo per</w:t>
      </w:r>
      <w:r w:rsidR="001069B7">
        <w:rPr>
          <w:rFonts w:eastAsia="Calibri"/>
          <w:lang w:val="es-PE" w:eastAsia="en-US"/>
        </w:rPr>
        <w:t>í</w:t>
      </w:r>
      <w:r w:rsidR="00C8443F" w:rsidRPr="00092053">
        <w:rPr>
          <w:rFonts w:eastAsia="Calibri"/>
          <w:lang w:val="es-PE" w:eastAsia="en-US"/>
        </w:rPr>
        <w:t>odo, 18 de ellos en investigación preliminar, 1 en formalización, 2 fueron derivados; 37, archivados definitivamente y 20 tienen otro estado</w:t>
      </w:r>
      <w:r w:rsidR="00C8443F" w:rsidRPr="00092053">
        <w:rPr>
          <w:rFonts w:eastAsia="Calibri"/>
          <w:vertAlign w:val="superscript"/>
          <w:lang w:val="es-PE" w:eastAsia="en-US"/>
        </w:rPr>
        <w:footnoteReference w:id="146"/>
      </w:r>
      <w:r w:rsidR="00C8443F" w:rsidRPr="00092053">
        <w:rPr>
          <w:rFonts w:eastAsia="Calibri"/>
          <w:lang w:val="es-PE" w:eastAsia="en-US"/>
        </w:rPr>
        <w:t>. Ver</w:t>
      </w:r>
      <w:r w:rsidR="00C8443F" w:rsidRPr="00092053">
        <w:rPr>
          <w:rFonts w:eastAsia="Calibri"/>
          <w:b/>
          <w:lang w:val="es-PE" w:eastAsia="en-US"/>
        </w:rPr>
        <w:t xml:space="preserve"> tabla </w:t>
      </w:r>
      <w:r w:rsidR="00FA45BC" w:rsidRPr="00353E55">
        <w:rPr>
          <w:rFonts w:eastAsia="Calibri"/>
          <w:b/>
          <w:lang w:val="es-PE" w:eastAsia="en-US"/>
        </w:rPr>
        <w:t>núm.</w:t>
      </w:r>
      <w:r w:rsidR="00C8443F" w:rsidRPr="00092053">
        <w:rPr>
          <w:rFonts w:eastAsia="Calibri"/>
          <w:b/>
          <w:lang w:val="es-PE" w:eastAsia="en-US"/>
        </w:rPr>
        <w:t xml:space="preserve"> 4 del Anexo </w:t>
      </w:r>
      <w:r w:rsidR="00FA45BC" w:rsidRPr="00353E55">
        <w:rPr>
          <w:rFonts w:eastAsia="Calibri"/>
          <w:b/>
          <w:lang w:val="es-PE" w:eastAsia="en-US"/>
        </w:rPr>
        <w:t>núm.</w:t>
      </w:r>
      <w:r w:rsidR="00C8443F" w:rsidRPr="00092053">
        <w:rPr>
          <w:rFonts w:eastAsia="Calibri"/>
          <w:b/>
          <w:lang w:val="es-PE" w:eastAsia="en-US"/>
        </w:rPr>
        <w:t xml:space="preserve"> 13. </w:t>
      </w:r>
    </w:p>
    <w:p w:rsidR="002A208C" w:rsidRPr="00092053" w:rsidRDefault="00092053" w:rsidP="00574AEE">
      <w:pPr>
        <w:pStyle w:val="SingleTxtG"/>
        <w:rPr>
          <w:rFonts w:eastAsia="Calibri"/>
          <w:b/>
          <w:lang w:val="es-PE" w:eastAsia="en-US"/>
        </w:rPr>
      </w:pPr>
      <w:r w:rsidRPr="00574AEE">
        <w:rPr>
          <w:rFonts w:eastAsia="Calibri"/>
          <w:lang w:val="es-PE" w:eastAsia="en-US"/>
        </w:rPr>
        <w:t>137.</w:t>
      </w:r>
      <w:r w:rsidRPr="00574AEE">
        <w:rPr>
          <w:rFonts w:eastAsia="Calibri"/>
          <w:lang w:val="es-PE" w:eastAsia="en-US"/>
        </w:rPr>
        <w:tab/>
      </w:r>
      <w:r w:rsidR="00C8443F" w:rsidRPr="00092053">
        <w:rPr>
          <w:rFonts w:eastAsia="Calibri"/>
          <w:lang w:val="es-PE" w:eastAsia="en-US"/>
        </w:rPr>
        <w:t xml:space="preserve">Respecto del caso de Wilhem Calero Coronel (expediente </w:t>
      </w:r>
      <w:r w:rsidR="00CD52E7">
        <w:rPr>
          <w:rFonts w:eastAsia="Calibri"/>
          <w:lang w:val="es-ES_tradnl"/>
        </w:rPr>
        <w:t>núm.</w:t>
      </w:r>
      <w:r w:rsidR="00C8443F" w:rsidRPr="00092053">
        <w:rPr>
          <w:rFonts w:eastAsia="Calibri"/>
          <w:lang w:val="es-PE" w:eastAsia="en-US"/>
        </w:rPr>
        <w:t xml:space="preserve"> 280-2010-0-JR), la Sala Penal Permanente de Lima dispuso que el tipo penal aplicable al imputado Marcial Francisco Soria Serrano es el de homicidio culposo y no el de delito contra la humanidad-tortura agravada por muerte. Por ello, se le impuso la pena privativa de libertad efectiva de cuatro años, computada desde el 14 de octubre de 2010. Asimismo, se fijó en 35</w:t>
      </w:r>
      <w:r w:rsidR="006C0519">
        <w:rPr>
          <w:rFonts w:eastAsia="Calibri"/>
          <w:lang w:val="es-PE" w:eastAsia="en-US"/>
        </w:rPr>
        <w:t>.</w:t>
      </w:r>
      <w:r w:rsidR="00C8443F" w:rsidRPr="00092053">
        <w:rPr>
          <w:rFonts w:eastAsia="Calibri"/>
          <w:lang w:val="es-PE" w:eastAsia="en-US"/>
        </w:rPr>
        <w:t>000 soles la reparación civil que el condenado debía abonar a la parte agraviada.</w:t>
      </w:r>
    </w:p>
    <w:p w:rsidR="002A208C" w:rsidRPr="00092053" w:rsidRDefault="00092053" w:rsidP="00574AEE">
      <w:pPr>
        <w:pStyle w:val="SingleTxtG"/>
        <w:rPr>
          <w:rFonts w:eastAsia="Calibri"/>
          <w:b/>
          <w:lang w:val="es-PE" w:eastAsia="en-US"/>
        </w:rPr>
      </w:pPr>
      <w:r w:rsidRPr="00574AEE">
        <w:rPr>
          <w:rFonts w:eastAsia="Calibri"/>
          <w:lang w:val="es-PE" w:eastAsia="en-US"/>
        </w:rPr>
        <w:t>138.</w:t>
      </w:r>
      <w:r w:rsidRPr="00574AEE">
        <w:rPr>
          <w:rFonts w:eastAsia="Calibri"/>
          <w:lang w:val="es-PE" w:eastAsia="en-US"/>
        </w:rPr>
        <w:tab/>
      </w:r>
      <w:r w:rsidR="00C8443F" w:rsidRPr="00092053">
        <w:rPr>
          <w:rFonts w:eastAsia="Calibri"/>
          <w:lang w:val="es-PE" w:eastAsia="en-US"/>
        </w:rPr>
        <w:t xml:space="preserve">En ese sentido, </w:t>
      </w:r>
      <w:r w:rsidR="00C8443F" w:rsidRPr="00092053">
        <w:rPr>
          <w:rFonts w:eastAsia="Calibri"/>
          <w:lang w:val="es-ES_tradnl"/>
        </w:rPr>
        <w:t>mediante</w:t>
      </w:r>
      <w:r w:rsidR="00C8443F" w:rsidRPr="00092053">
        <w:rPr>
          <w:rFonts w:eastAsia="Calibri"/>
          <w:lang w:val="es-PE" w:eastAsia="en-US"/>
        </w:rPr>
        <w:t xml:space="preserve"> resolución del 17 de febrero de 2015 se declaró cumplida la pena privativa de libertad efectiva de cuatro años impuesta a Marcial Soria. Posteriormente, en abril del mismo año, el Segundo Juzgado Penal Nacional requirió al sentenciado cumplir con el pago del íntegro de la reparación civil, con lo que el caso está en etapa de ejecución de sentencia.</w:t>
      </w:r>
    </w:p>
    <w:p w:rsidR="002A208C" w:rsidRPr="00092053" w:rsidRDefault="00092053" w:rsidP="00574AEE">
      <w:pPr>
        <w:pStyle w:val="SingleTxtG"/>
        <w:rPr>
          <w:rFonts w:eastAsia="Calibri"/>
          <w:lang w:val="es-PE" w:eastAsia="en-US"/>
        </w:rPr>
      </w:pPr>
      <w:r w:rsidRPr="00574AEE">
        <w:rPr>
          <w:rFonts w:eastAsia="Calibri"/>
          <w:lang w:val="es-PE" w:eastAsia="en-US"/>
        </w:rPr>
        <w:t>139.</w:t>
      </w:r>
      <w:r w:rsidRPr="00574AEE">
        <w:rPr>
          <w:rFonts w:eastAsia="Calibri"/>
          <w:lang w:val="es-PE" w:eastAsia="en-US"/>
        </w:rPr>
        <w:tab/>
      </w:r>
      <w:r w:rsidR="00C8443F" w:rsidRPr="00092053">
        <w:rPr>
          <w:rFonts w:eastAsia="Calibri"/>
          <w:lang w:val="es-PE" w:eastAsia="en-US"/>
        </w:rPr>
        <w:t xml:space="preserve">Respecto del caso de Gerson Falla (expediente </w:t>
      </w:r>
      <w:r w:rsidR="00CD52E7">
        <w:rPr>
          <w:rFonts w:eastAsia="Calibri"/>
          <w:lang w:val="es-ES_tradnl"/>
        </w:rPr>
        <w:t>núm.</w:t>
      </w:r>
      <w:r w:rsidR="00C8443F" w:rsidRPr="00092053">
        <w:rPr>
          <w:rFonts w:eastAsia="Calibri"/>
          <w:lang w:val="es-PE" w:eastAsia="en-US"/>
        </w:rPr>
        <w:t xml:space="preserve"> 501-2011-0-JR), el 3 de octubre de 2016 la Sala Penal Nacional condenó en un nuevo juicio oral a 10 años de pena privativa de la libertad a Alfredo Huamán Alférez como autor del delito de tortura agravada por resultado de lesiones graves seguido de muerte, en agravio de Gerson Alexis Falla Marreros. También ordenó el pago de 250</w:t>
      </w:r>
      <w:r w:rsidR="006476B0">
        <w:rPr>
          <w:rFonts w:eastAsia="Calibri"/>
          <w:lang w:val="es-PE" w:eastAsia="en-US"/>
        </w:rPr>
        <w:t>.</w:t>
      </w:r>
      <w:r w:rsidR="00C8443F" w:rsidRPr="00092053">
        <w:rPr>
          <w:rFonts w:eastAsia="Calibri"/>
          <w:lang w:val="es-PE" w:eastAsia="en-US"/>
        </w:rPr>
        <w:t xml:space="preserve">000 soles por reparación civil (solidariamente con el tercero civilmente responsable, el Estado) y dispuso la remisión de copias al MP para que se investigue la participación de otras personas en el delito. </w:t>
      </w:r>
    </w:p>
    <w:p w:rsidR="00C8443F" w:rsidRPr="00092053" w:rsidRDefault="004F7B54" w:rsidP="004F7B54">
      <w:pPr>
        <w:pStyle w:val="H23G"/>
        <w:rPr>
          <w:rFonts w:eastAsia="Calibri"/>
          <w:lang w:val="es-PE" w:eastAsia="en-US"/>
        </w:rPr>
      </w:pPr>
      <w:bookmarkStart w:id="154" w:name="_Toc468627317"/>
      <w:bookmarkStart w:id="155" w:name="_Toc468642609"/>
      <w:bookmarkStart w:id="156" w:name="_Toc468721279"/>
      <w:bookmarkStart w:id="157" w:name="_Toc471137677"/>
      <w:bookmarkStart w:id="158" w:name="_Toc472097462"/>
      <w:bookmarkStart w:id="159" w:name="_Toc484774085"/>
      <w:r w:rsidRPr="00092053">
        <w:rPr>
          <w:rFonts w:eastAsia="Calibri"/>
          <w:lang w:val="es-PE" w:eastAsia="en-US"/>
        </w:rPr>
        <w:tab/>
      </w:r>
      <w:r w:rsidRPr="00092053">
        <w:rPr>
          <w:rFonts w:eastAsia="Calibri"/>
          <w:lang w:val="es-PE" w:eastAsia="en-US"/>
        </w:rPr>
        <w:tab/>
      </w:r>
      <w:r w:rsidR="00C8443F" w:rsidRPr="00092053">
        <w:rPr>
          <w:rFonts w:eastAsia="Calibri"/>
          <w:lang w:val="es-PE" w:eastAsia="en-US"/>
        </w:rPr>
        <w:t>Respuesta al párrafo 22</w:t>
      </w:r>
      <w:bookmarkEnd w:id="154"/>
      <w:bookmarkEnd w:id="155"/>
      <w:bookmarkEnd w:id="156"/>
      <w:bookmarkEnd w:id="157"/>
      <w:bookmarkEnd w:id="158"/>
      <w:bookmarkEnd w:id="159"/>
      <w:r w:rsidR="00C8443F" w:rsidRPr="00092053">
        <w:rPr>
          <w:rFonts w:eastAsia="Calibri"/>
          <w:lang w:val="es-PE" w:eastAsia="en-US"/>
        </w:rPr>
        <w:t xml:space="preserve"> </w:t>
      </w:r>
    </w:p>
    <w:p w:rsidR="002A208C" w:rsidRPr="00092053" w:rsidRDefault="00092053" w:rsidP="00574AEE">
      <w:pPr>
        <w:pStyle w:val="SingleTxtG"/>
        <w:rPr>
          <w:rFonts w:eastAsia="Calibri"/>
          <w:lang w:val="es-PE" w:eastAsia="en-US"/>
        </w:rPr>
      </w:pPr>
      <w:r w:rsidRPr="00574AEE">
        <w:rPr>
          <w:rFonts w:eastAsia="Calibri"/>
          <w:lang w:val="es-PE" w:eastAsia="en-US"/>
        </w:rPr>
        <w:t>140.</w:t>
      </w:r>
      <w:r w:rsidRPr="00574AEE">
        <w:rPr>
          <w:rFonts w:eastAsia="Calibri"/>
          <w:lang w:val="es-PE" w:eastAsia="en-US"/>
        </w:rPr>
        <w:tab/>
      </w:r>
      <w:r w:rsidR="00C8443F" w:rsidRPr="00092053">
        <w:rPr>
          <w:rFonts w:eastAsia="Calibri"/>
          <w:lang w:val="es-PE" w:eastAsia="en-US"/>
        </w:rPr>
        <w:t>Los denunciantes pueden recusar al juez, de conformidad con los artículos 26° del Código de Procedimientos Penales y 54° y 55° del NCPP cuando tienen dudas de su imparcialidad, sin que ello vulnere la independencia de la función jurisdiccional, principio reconocido por la CPP.</w:t>
      </w:r>
    </w:p>
    <w:p w:rsidR="002A208C" w:rsidRPr="00092053" w:rsidRDefault="00092053" w:rsidP="00574AEE">
      <w:pPr>
        <w:pStyle w:val="SingleTxtG"/>
        <w:rPr>
          <w:rFonts w:eastAsia="Calibri"/>
          <w:lang w:val="es-PE" w:eastAsia="en-US"/>
        </w:rPr>
      </w:pPr>
      <w:r w:rsidRPr="00574AEE">
        <w:rPr>
          <w:rFonts w:eastAsia="Calibri"/>
          <w:lang w:val="es-PE" w:eastAsia="en-US"/>
        </w:rPr>
        <w:t>141.</w:t>
      </w:r>
      <w:r w:rsidRPr="00574AEE">
        <w:rPr>
          <w:rFonts w:eastAsia="Calibri"/>
          <w:lang w:val="es-PE" w:eastAsia="en-US"/>
        </w:rPr>
        <w:tab/>
      </w:r>
      <w:r w:rsidR="00C8443F" w:rsidRPr="00092053">
        <w:rPr>
          <w:rFonts w:eastAsia="Calibri"/>
          <w:lang w:val="es-PE" w:eastAsia="en-US"/>
        </w:rPr>
        <w:t xml:space="preserve">Asimismo, la </w:t>
      </w:r>
      <w:r w:rsidR="00C8443F" w:rsidRPr="00092053">
        <w:rPr>
          <w:rFonts w:eastAsia="Calibri"/>
          <w:lang w:val="es-ES_tradnl"/>
        </w:rPr>
        <w:t>Presidencia</w:t>
      </w:r>
      <w:r w:rsidR="00C8443F" w:rsidRPr="00092053">
        <w:rPr>
          <w:rFonts w:eastAsia="Calibri"/>
          <w:lang w:val="es-PE" w:eastAsia="en-US"/>
        </w:rPr>
        <w:t xml:space="preserve"> del PJ exhortó a los jueces penales de la República la imposición y ejecución de sanciones penales suficientemente riguros</w:t>
      </w:r>
      <w:r w:rsidR="00E2576D" w:rsidRPr="00092053">
        <w:rPr>
          <w:rFonts w:eastAsia="Calibri"/>
          <w:lang w:val="es-PE" w:eastAsia="en-US"/>
        </w:rPr>
        <w:t>as y severas cuando corresponda</w:t>
      </w:r>
      <w:r w:rsidR="00C8443F" w:rsidRPr="00092053">
        <w:rPr>
          <w:rFonts w:eastAsia="Calibri"/>
          <w:vertAlign w:val="superscript"/>
          <w:lang w:val="es-PE" w:eastAsia="en-US"/>
        </w:rPr>
        <w:footnoteReference w:id="147"/>
      </w:r>
      <w:r w:rsidR="00E2576D" w:rsidRPr="00092053">
        <w:rPr>
          <w:rFonts w:eastAsia="Calibri"/>
          <w:lang w:val="es-PE" w:eastAsia="en-US"/>
        </w:rPr>
        <w:t>,</w:t>
      </w:r>
      <w:r w:rsidR="00C8443F" w:rsidRPr="00092053">
        <w:rPr>
          <w:rFonts w:eastAsia="Calibri"/>
          <w:lang w:val="es-PE" w:eastAsia="en-US"/>
        </w:rPr>
        <w:t xml:space="preserve"> en el ejercicio de su independencia y sujetos a la Constitución y las leyes. </w:t>
      </w:r>
    </w:p>
    <w:p w:rsidR="002A208C" w:rsidRPr="00092053" w:rsidRDefault="00092053" w:rsidP="00574AEE">
      <w:pPr>
        <w:pStyle w:val="SingleTxtG"/>
        <w:rPr>
          <w:rFonts w:eastAsia="Calibri"/>
          <w:lang w:val="es-PE" w:eastAsia="en-US"/>
        </w:rPr>
      </w:pPr>
      <w:r w:rsidRPr="00574AEE">
        <w:rPr>
          <w:rFonts w:eastAsia="Calibri"/>
          <w:lang w:val="es-PE" w:eastAsia="en-US"/>
        </w:rPr>
        <w:t>142.</w:t>
      </w:r>
      <w:r w:rsidRPr="00574AEE">
        <w:rPr>
          <w:rFonts w:eastAsia="Calibri"/>
          <w:lang w:val="es-PE" w:eastAsia="en-US"/>
        </w:rPr>
        <w:tab/>
      </w:r>
      <w:r w:rsidR="00E2576D" w:rsidRPr="00092053">
        <w:rPr>
          <w:rFonts w:eastAsia="Calibri"/>
          <w:lang w:val="es-ES_tradnl"/>
        </w:rPr>
        <w:t>De otro lado</w:t>
      </w:r>
      <w:r w:rsidR="00C8443F" w:rsidRPr="00092053">
        <w:rPr>
          <w:rFonts w:eastAsia="Calibri"/>
          <w:vertAlign w:val="superscript"/>
          <w:lang w:val="es-PE" w:eastAsia="en-US"/>
        </w:rPr>
        <w:footnoteReference w:id="148"/>
      </w:r>
      <w:r w:rsidR="00E2576D" w:rsidRPr="00092053">
        <w:rPr>
          <w:rFonts w:eastAsia="Calibri"/>
          <w:lang w:val="es-ES_tradnl"/>
        </w:rPr>
        <w:t>,</w:t>
      </w:r>
      <w:r w:rsidR="00C8443F" w:rsidRPr="00092053">
        <w:rPr>
          <w:rFonts w:eastAsia="Calibri"/>
          <w:lang w:val="es-ES_tradnl"/>
        </w:rPr>
        <w:t xml:space="preserve"> </w:t>
      </w:r>
      <w:r w:rsidR="00C8443F" w:rsidRPr="00092053">
        <w:rPr>
          <w:rFonts w:eastAsia="Calibri"/>
          <w:lang w:val="es-PE" w:eastAsia="en-US"/>
        </w:rPr>
        <w:t xml:space="preserve">a nivel nacional se permite que las y los adolescentes puedan denunciar de manera anónima sin que exista el temor a recibir represalias. Además, existe un Monitoreo Técnico Normativo que implica la verificación del cumplimiento normativo en cada uno de los centros juveniles y SOAs a nivel nacional. En esta actividad también se realizan acciones de seguimiento, supervisión en el cumplimiento de actividades, tareas y metas físicas y financieras planteadas </w:t>
      </w:r>
      <w:r w:rsidR="00E2576D" w:rsidRPr="00092053">
        <w:rPr>
          <w:rFonts w:eastAsia="Calibri"/>
          <w:lang w:val="es-PE" w:eastAsia="en-US"/>
        </w:rPr>
        <w:t>en el Plan Operativo del Centro</w:t>
      </w:r>
      <w:r w:rsidR="00C8443F" w:rsidRPr="00092053">
        <w:rPr>
          <w:rFonts w:eastAsia="Calibri"/>
          <w:vertAlign w:val="superscript"/>
          <w:lang w:val="es-PE" w:eastAsia="en-US"/>
        </w:rPr>
        <w:footnoteReference w:id="149"/>
      </w:r>
      <w:r w:rsidR="00E2576D"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lastRenderedPageBreak/>
        <w:t>143.</w:t>
      </w:r>
      <w:r w:rsidRPr="00574AEE">
        <w:rPr>
          <w:rFonts w:eastAsia="Calibri"/>
          <w:lang w:val="es-PE" w:eastAsia="en-US"/>
        </w:rPr>
        <w:tab/>
      </w:r>
      <w:r w:rsidR="00C8443F" w:rsidRPr="00092053">
        <w:rPr>
          <w:rFonts w:eastAsia="Calibri"/>
          <w:lang w:val="es-PE" w:eastAsia="en-US"/>
        </w:rPr>
        <w:t>En las acciones de monitoreo, el personal de la Gerencia de Centros Juveniles entrevista en forma aleatoria a los adolescentes, les consulta sobre la calidad del servicio y el trato recibido de los operadores del sist</w:t>
      </w:r>
      <w:r w:rsidR="00E2576D" w:rsidRPr="00092053">
        <w:rPr>
          <w:rFonts w:eastAsia="Calibri"/>
          <w:lang w:val="es-PE" w:eastAsia="en-US"/>
        </w:rPr>
        <w:t>ema del centro juvenil revisado</w:t>
      </w:r>
      <w:r w:rsidR="00C8443F" w:rsidRPr="00092053">
        <w:rPr>
          <w:rFonts w:eastAsia="Calibri"/>
          <w:vertAlign w:val="superscript"/>
          <w:lang w:val="es-PE" w:eastAsia="en-US"/>
        </w:rPr>
        <w:footnoteReference w:id="150"/>
      </w:r>
      <w:r w:rsidR="00E2576D"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144.</w:t>
      </w:r>
      <w:r w:rsidRPr="00574AEE">
        <w:rPr>
          <w:rFonts w:eastAsia="Calibri"/>
          <w:lang w:val="es-PE" w:eastAsia="en-US"/>
        </w:rPr>
        <w:tab/>
      </w:r>
      <w:r w:rsidR="00C8443F" w:rsidRPr="00092053">
        <w:rPr>
          <w:rFonts w:eastAsia="Calibri"/>
          <w:lang w:val="es-PE" w:eastAsia="en-US"/>
        </w:rPr>
        <w:t xml:space="preserve">Además, se llevan a cabo visitas inopinadas de las Fiscalías de Familia de turno, Defensoría del Pueblo, </w:t>
      </w:r>
      <w:r w:rsidR="00C8443F" w:rsidRPr="00092053">
        <w:rPr>
          <w:rFonts w:eastAsia="Calibri"/>
          <w:lang w:val="es-ES_tradnl"/>
        </w:rPr>
        <w:t>instituciones</w:t>
      </w:r>
      <w:r w:rsidR="00C8443F" w:rsidRPr="00092053">
        <w:rPr>
          <w:rFonts w:eastAsia="Calibri"/>
          <w:lang w:val="es-PE" w:eastAsia="en-US"/>
        </w:rPr>
        <w:t xml:space="preserve"> de DDHH, las que recorren frecuentemente los diversos cen</w:t>
      </w:r>
      <w:r w:rsidR="00E2576D" w:rsidRPr="00092053">
        <w:rPr>
          <w:rFonts w:eastAsia="Calibri"/>
          <w:lang w:val="es-PE" w:eastAsia="en-US"/>
        </w:rPr>
        <w:t>tros juveniles a nivel nacional</w:t>
      </w:r>
      <w:r w:rsidR="00C8443F" w:rsidRPr="00092053">
        <w:rPr>
          <w:rFonts w:eastAsia="Calibri"/>
          <w:vertAlign w:val="superscript"/>
          <w:lang w:val="es-PE" w:eastAsia="en-US"/>
        </w:rPr>
        <w:footnoteReference w:id="151"/>
      </w:r>
      <w:r w:rsidR="00E2576D"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145.</w:t>
      </w:r>
      <w:r w:rsidRPr="00574AEE">
        <w:rPr>
          <w:rFonts w:eastAsia="Calibri"/>
          <w:lang w:val="es-PE" w:eastAsia="en-US"/>
        </w:rPr>
        <w:tab/>
      </w:r>
      <w:r w:rsidR="00C8443F" w:rsidRPr="00092053">
        <w:rPr>
          <w:rFonts w:eastAsia="Calibri"/>
          <w:lang w:val="es-ES_tradnl"/>
        </w:rPr>
        <w:t xml:space="preserve">A su vez, se cuenta con la Resolución Administrativa </w:t>
      </w:r>
      <w:r w:rsidR="00CD52E7">
        <w:rPr>
          <w:rFonts w:eastAsia="Calibri"/>
          <w:lang w:val="es-ES_tradnl"/>
        </w:rPr>
        <w:t>núm.</w:t>
      </w:r>
      <w:r w:rsidR="00C8443F" w:rsidRPr="00092053">
        <w:rPr>
          <w:rFonts w:eastAsia="Calibri"/>
          <w:lang w:val="es-ES_tradnl"/>
        </w:rPr>
        <w:t xml:space="preserve"> 040-2013-GG-PJ</w:t>
      </w:r>
      <w:r w:rsidR="00C8443F" w:rsidRPr="00092053">
        <w:rPr>
          <w:rFonts w:eastAsia="Calibri"/>
          <w:vertAlign w:val="superscript"/>
          <w:lang w:val="es-ES_tradnl"/>
        </w:rPr>
        <w:footnoteReference w:id="152"/>
      </w:r>
      <w:r w:rsidR="00C8443F" w:rsidRPr="00092053">
        <w:rPr>
          <w:rFonts w:eastAsia="Calibri"/>
          <w:lang w:val="es-ES_tradnl"/>
        </w:rPr>
        <w:t>, que aprueba el “Reglamento de Derechos, Deberes y Sanciones de los Adolescentes en conflicto con la Ley Penal de los Centros Juveniles de Medio Cerrado del Poder Judicial”. Su finalidad es establecer las disposiciones que se tomarán en cuenta para el manejo del comportamiento de los adolescentes que cumplen medida socioeducativa de internación en los centros juveniles a nivel nacional, orientándolos permanentemente hacia conductas responsables que les permita una interacción armoniosa con otros individuos, para el logro de una adecuada reinserción social.</w:t>
      </w:r>
    </w:p>
    <w:p w:rsidR="002A208C" w:rsidRPr="00092053" w:rsidRDefault="00092053" w:rsidP="00574AEE">
      <w:pPr>
        <w:pStyle w:val="SingleTxtG"/>
        <w:rPr>
          <w:rFonts w:eastAsia="Calibri"/>
          <w:lang w:val="es-PE" w:eastAsia="en-US"/>
        </w:rPr>
      </w:pPr>
      <w:r w:rsidRPr="00574AEE">
        <w:rPr>
          <w:rFonts w:eastAsia="Calibri"/>
          <w:lang w:val="es-PE" w:eastAsia="en-US"/>
        </w:rPr>
        <w:t>146.</w:t>
      </w:r>
      <w:r w:rsidRPr="00574AEE">
        <w:rPr>
          <w:rFonts w:eastAsia="Calibri"/>
          <w:lang w:val="es-PE" w:eastAsia="en-US"/>
        </w:rPr>
        <w:tab/>
      </w:r>
      <w:r w:rsidR="00C8443F" w:rsidRPr="00092053">
        <w:rPr>
          <w:rFonts w:eastAsia="Calibri"/>
          <w:lang w:val="es-ES_tradnl"/>
        </w:rPr>
        <w:t>Por otro lado, en el “Plan Nacional de Acceso a la Justicia de las Personas en Condición de Vulnerabilidad 2016</w:t>
      </w:r>
      <w:r w:rsidR="00AB3C05">
        <w:rPr>
          <w:rFonts w:eastAsia="Calibri"/>
          <w:lang w:val="es-ES_tradnl"/>
        </w:rPr>
        <w:t>-</w:t>
      </w:r>
      <w:r w:rsidR="00C8443F" w:rsidRPr="00092053">
        <w:rPr>
          <w:rFonts w:eastAsia="Calibri"/>
          <w:lang w:val="es-ES_tradnl"/>
        </w:rPr>
        <w:t>2021” del PJ</w:t>
      </w:r>
      <w:r w:rsidR="00C8443F" w:rsidRPr="00092053">
        <w:rPr>
          <w:rFonts w:eastAsia="Calibri"/>
          <w:vertAlign w:val="superscript"/>
          <w:lang w:val="es-ES_tradnl"/>
        </w:rPr>
        <w:footnoteReference w:id="153"/>
      </w:r>
      <w:r w:rsidR="00C8443F" w:rsidRPr="00092053">
        <w:rPr>
          <w:rFonts w:eastAsia="Calibri"/>
          <w:lang w:val="es-ES_tradnl"/>
        </w:rPr>
        <w:t xml:space="preserve"> se establece como eje estratégico </w:t>
      </w:r>
      <w:r w:rsidR="00CD52E7">
        <w:rPr>
          <w:rFonts w:eastAsia="Calibri"/>
          <w:lang w:val="es-ES_tradnl"/>
        </w:rPr>
        <w:t>núm. </w:t>
      </w:r>
      <w:r w:rsidR="00C8443F" w:rsidRPr="00092053">
        <w:rPr>
          <w:rFonts w:eastAsia="Calibri"/>
          <w:lang w:val="es-ES_tradnl"/>
        </w:rPr>
        <w:t>2: “Adolescentes en conflicto con la Ley Penal”, cuyos objetivos se centran en promover la protección de sus derechos.</w:t>
      </w:r>
    </w:p>
    <w:p w:rsidR="00C8443F" w:rsidRPr="00092053" w:rsidRDefault="004F7B54" w:rsidP="004F7B54">
      <w:pPr>
        <w:pStyle w:val="H23G"/>
        <w:rPr>
          <w:rFonts w:eastAsia="Calibri"/>
          <w:lang w:val="es-PE" w:eastAsia="en-US"/>
        </w:rPr>
      </w:pPr>
      <w:bookmarkStart w:id="160" w:name="_Toc468627318"/>
      <w:bookmarkStart w:id="161" w:name="_Toc468642610"/>
      <w:bookmarkStart w:id="162" w:name="_Toc468721280"/>
      <w:bookmarkStart w:id="163" w:name="_Toc471137678"/>
      <w:bookmarkStart w:id="164" w:name="_Toc472097463"/>
      <w:bookmarkStart w:id="165" w:name="_Toc484774086"/>
      <w:r w:rsidRPr="00092053">
        <w:rPr>
          <w:rFonts w:eastAsia="Calibri"/>
          <w:lang w:val="es-PE" w:eastAsia="en-US"/>
        </w:rPr>
        <w:tab/>
      </w:r>
      <w:r w:rsidRPr="00092053">
        <w:rPr>
          <w:rFonts w:eastAsia="Calibri"/>
          <w:lang w:val="es-PE" w:eastAsia="en-US"/>
        </w:rPr>
        <w:tab/>
      </w:r>
      <w:r w:rsidR="00C8443F" w:rsidRPr="00092053">
        <w:rPr>
          <w:rFonts w:eastAsia="Calibri"/>
          <w:lang w:val="es-PE" w:eastAsia="en-US"/>
        </w:rPr>
        <w:t>Respuesta al párrafo 23</w:t>
      </w:r>
      <w:bookmarkEnd w:id="160"/>
      <w:bookmarkEnd w:id="161"/>
      <w:bookmarkEnd w:id="162"/>
      <w:bookmarkEnd w:id="163"/>
      <w:bookmarkEnd w:id="164"/>
      <w:bookmarkEnd w:id="165"/>
      <w:r w:rsidR="00C8443F" w:rsidRPr="00092053">
        <w:rPr>
          <w:rFonts w:eastAsia="Calibri"/>
          <w:lang w:val="es-PE" w:eastAsia="en-US"/>
        </w:rPr>
        <w:t xml:space="preserve"> </w:t>
      </w:r>
    </w:p>
    <w:p w:rsidR="002A208C" w:rsidRPr="00092053" w:rsidRDefault="00092053" w:rsidP="00574AEE">
      <w:pPr>
        <w:pStyle w:val="SingleTxtG"/>
        <w:rPr>
          <w:rFonts w:eastAsia="Calibri"/>
          <w:lang w:val="es-PE" w:eastAsia="en-US"/>
        </w:rPr>
      </w:pPr>
      <w:r w:rsidRPr="00574AEE">
        <w:rPr>
          <w:rFonts w:eastAsia="Calibri"/>
          <w:lang w:val="es-PE" w:eastAsia="en-US"/>
        </w:rPr>
        <w:t>147.</w:t>
      </w:r>
      <w:r w:rsidRPr="00574AEE">
        <w:rPr>
          <w:rFonts w:eastAsia="Calibri"/>
          <w:lang w:val="es-PE" w:eastAsia="en-US"/>
        </w:rPr>
        <w:tab/>
      </w:r>
      <w:r w:rsidR="00C8443F" w:rsidRPr="00092053">
        <w:rPr>
          <w:rFonts w:eastAsia="Calibri"/>
          <w:lang w:val="es-ES_tradnl" w:eastAsia="en-US"/>
        </w:rPr>
        <w:t xml:space="preserve">Para el caso de </w:t>
      </w:r>
      <w:r w:rsidR="00C8443F" w:rsidRPr="00092053">
        <w:rPr>
          <w:rFonts w:eastAsia="Calibri"/>
          <w:lang w:val="es-ES_tradnl"/>
        </w:rPr>
        <w:t>reconocimiento</w:t>
      </w:r>
      <w:r w:rsidR="00C8443F" w:rsidRPr="00092053">
        <w:rPr>
          <w:rFonts w:eastAsia="Calibri"/>
          <w:lang w:val="es-ES_tradnl" w:eastAsia="en-US"/>
        </w:rPr>
        <w:t xml:space="preserve"> médico, el </w:t>
      </w:r>
      <w:r w:rsidR="00C8443F" w:rsidRPr="00092053">
        <w:rPr>
          <w:rFonts w:eastAsia="Calibri"/>
          <w:lang w:val="es-PE" w:eastAsia="en-US"/>
        </w:rPr>
        <w:t>Instituto</w:t>
      </w:r>
      <w:r w:rsidR="00C8443F" w:rsidRPr="00092053">
        <w:rPr>
          <w:rFonts w:eastAsia="Calibri"/>
          <w:lang w:val="es-ES_tradnl" w:eastAsia="en-US"/>
        </w:rPr>
        <w:t xml:space="preserve"> de Medicina Legal y Ciencias Forenses</w:t>
      </w:r>
      <w:r w:rsidR="00C8443F" w:rsidRPr="00092053">
        <w:rPr>
          <w:rFonts w:eastAsia="Calibri"/>
          <w:vertAlign w:val="superscript"/>
          <w:lang w:val="es-ES_tradnl" w:eastAsia="en-US"/>
        </w:rPr>
        <w:footnoteReference w:id="154"/>
      </w:r>
      <w:r w:rsidR="00C8443F" w:rsidRPr="00092053">
        <w:rPr>
          <w:rFonts w:eastAsia="Calibri"/>
          <w:lang w:val="es-ES_tradnl" w:eastAsia="en-US"/>
        </w:rPr>
        <w:t xml:space="preserve"> (IML) cuenta con el “Protocolo de Investigación de Torturas o Tratos Crueles, Inhumanos o Degradantes”, una adaptación del Protocolo de Estambul” aprobado mediante el Memorándum </w:t>
      </w:r>
      <w:r w:rsidR="00CD52E7">
        <w:rPr>
          <w:rFonts w:eastAsia="Calibri"/>
          <w:lang w:val="es-ES_tradnl"/>
        </w:rPr>
        <w:t>núm.</w:t>
      </w:r>
      <w:r w:rsidR="00C8443F" w:rsidRPr="00092053">
        <w:rPr>
          <w:rFonts w:eastAsia="Calibri"/>
          <w:lang w:val="es-ES_tradnl" w:eastAsia="en-US"/>
        </w:rPr>
        <w:t xml:space="preserve"> 271-2010-MP-FN-IML/JN (Fecha: 6.4.2010). </w:t>
      </w:r>
    </w:p>
    <w:p w:rsidR="00C8443F" w:rsidRPr="00092053" w:rsidRDefault="00092053" w:rsidP="00574AEE">
      <w:pPr>
        <w:pStyle w:val="SingleTxtG"/>
        <w:rPr>
          <w:rFonts w:eastAsia="Calibri"/>
          <w:lang w:val="es-PE" w:eastAsia="en-US"/>
        </w:rPr>
      </w:pPr>
      <w:r w:rsidRPr="00574AEE">
        <w:rPr>
          <w:rFonts w:eastAsia="Calibri"/>
          <w:lang w:val="es-PE" w:eastAsia="en-US"/>
        </w:rPr>
        <w:t>148.</w:t>
      </w:r>
      <w:r w:rsidRPr="00574AEE">
        <w:rPr>
          <w:rFonts w:eastAsia="Calibri"/>
          <w:lang w:val="es-PE" w:eastAsia="en-US"/>
        </w:rPr>
        <w:tab/>
      </w:r>
      <w:r w:rsidR="00C8443F" w:rsidRPr="00092053">
        <w:rPr>
          <w:rFonts w:eastAsia="Calibri"/>
          <w:lang w:val="es-PE" w:eastAsia="en-US"/>
        </w:rPr>
        <w:t>La División Clínico Forense del IML</w:t>
      </w:r>
      <w:r w:rsidR="00C8443F" w:rsidRPr="00092053">
        <w:rPr>
          <w:rFonts w:eastAsia="Calibri"/>
          <w:vertAlign w:val="superscript"/>
          <w:lang w:val="es-PE" w:eastAsia="en-US"/>
        </w:rPr>
        <w:footnoteReference w:id="155"/>
      </w:r>
      <w:r w:rsidR="00C8443F" w:rsidRPr="00092053">
        <w:rPr>
          <w:rFonts w:eastAsia="Calibri"/>
          <w:lang w:val="es-PE" w:eastAsia="en-US"/>
        </w:rPr>
        <w:t xml:space="preserve"> tiene un equipo especial encargado de evaluar casos presuntos de torturas, integrado por distintos profesionales. Actualmente, forman parte del equipo 2 médicos, 3 psiquiatras y 3 psicólogos. Este equipo utiliza el “Protocolo para la detección de lesiones resultantes de tortura en personas vivas</w:t>
      </w:r>
      <w:r w:rsidR="00C8443F" w:rsidRPr="00092053">
        <w:rPr>
          <w:rFonts w:eastAsia="Calibri"/>
          <w:i/>
          <w:lang w:val="es-PE" w:eastAsia="en-US"/>
        </w:rPr>
        <w:t xml:space="preserve"> </w:t>
      </w:r>
      <w:r w:rsidR="00C8443F" w:rsidRPr="00092053">
        <w:rPr>
          <w:rFonts w:eastAsia="Calibri"/>
          <w:lang w:val="es-PE" w:eastAsia="en-US"/>
        </w:rPr>
        <w:t>a fin de adaptarse a los formatos digitales que el IML implementó.</w:t>
      </w:r>
    </w:p>
    <w:p w:rsidR="002A208C" w:rsidRPr="00092053" w:rsidRDefault="00092053" w:rsidP="00574AEE">
      <w:pPr>
        <w:pStyle w:val="SingleTxtG"/>
        <w:rPr>
          <w:rFonts w:eastAsia="Calibri"/>
          <w:lang w:val="es-PE" w:eastAsia="en-US"/>
        </w:rPr>
      </w:pPr>
      <w:r w:rsidRPr="00574AEE">
        <w:rPr>
          <w:rFonts w:eastAsia="Calibri"/>
          <w:lang w:val="es-PE" w:eastAsia="en-US"/>
        </w:rPr>
        <w:t>149.</w:t>
      </w:r>
      <w:r w:rsidRPr="00574AEE">
        <w:rPr>
          <w:rFonts w:eastAsia="Calibri"/>
          <w:lang w:val="es-PE" w:eastAsia="en-US"/>
        </w:rPr>
        <w:tab/>
      </w:r>
      <w:r w:rsidR="00C8443F" w:rsidRPr="00092053">
        <w:rPr>
          <w:rFonts w:eastAsia="Calibri"/>
          <w:lang w:val="es-PE" w:eastAsia="en-US"/>
        </w:rPr>
        <w:t xml:space="preserve">A la fecha el IML no </w:t>
      </w:r>
      <w:r w:rsidR="00C8443F" w:rsidRPr="00092053">
        <w:rPr>
          <w:rFonts w:eastAsia="Calibri"/>
          <w:lang w:val="es-ES_tradnl"/>
        </w:rPr>
        <w:t>cuenta</w:t>
      </w:r>
      <w:r w:rsidR="00C8443F" w:rsidRPr="00092053">
        <w:rPr>
          <w:rFonts w:eastAsia="Calibri"/>
          <w:lang w:val="es-PE" w:eastAsia="en-US"/>
        </w:rPr>
        <w:t xml:space="preserve"> con un registro independiente de los casos de tortura. A</w:t>
      </w:r>
      <w:r w:rsidR="006C0519">
        <w:rPr>
          <w:rFonts w:eastAsia="Calibri"/>
          <w:lang w:val="es-PE" w:eastAsia="en-US"/>
        </w:rPr>
        <w:t> </w:t>
      </w:r>
      <w:r w:rsidR="00C8443F" w:rsidRPr="00092053">
        <w:rPr>
          <w:rFonts w:eastAsia="Calibri"/>
          <w:lang w:val="es-PE" w:eastAsia="en-US"/>
        </w:rPr>
        <w:t xml:space="preserve">ello se suma la necesidad de asignar más recursos presupuestales para mejorar sus condiciones de infraestructura </w:t>
      </w:r>
      <w:r w:rsidR="00E2576D" w:rsidRPr="00092053">
        <w:rPr>
          <w:rFonts w:eastAsia="Calibri"/>
          <w:lang w:val="es-PE" w:eastAsia="en-US"/>
        </w:rPr>
        <w:t>y materiales y recursos humanos</w:t>
      </w:r>
      <w:r w:rsidR="00C8443F" w:rsidRPr="00092053">
        <w:rPr>
          <w:rFonts w:eastAsia="Calibri"/>
          <w:vertAlign w:val="superscript"/>
          <w:lang w:val="es-PE" w:eastAsia="en-US"/>
        </w:rPr>
        <w:footnoteReference w:id="156"/>
      </w:r>
      <w:r w:rsidR="00E2576D"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150.</w:t>
      </w:r>
      <w:r w:rsidRPr="00574AEE">
        <w:rPr>
          <w:rFonts w:eastAsia="Calibri"/>
          <w:lang w:val="es-PE" w:eastAsia="en-US"/>
        </w:rPr>
        <w:tab/>
      </w:r>
      <w:r w:rsidR="00C8443F" w:rsidRPr="00092053">
        <w:rPr>
          <w:rFonts w:eastAsia="Calibri"/>
          <w:lang w:val="es-PE" w:eastAsia="en-US"/>
        </w:rPr>
        <w:t xml:space="preserve">En el 2016, mediante la Resolución de la Fiscalía de la Nación </w:t>
      </w:r>
      <w:r w:rsidR="00CD52E7">
        <w:rPr>
          <w:rFonts w:eastAsia="Calibri"/>
          <w:lang w:val="es-ES_tradnl"/>
        </w:rPr>
        <w:t>núm.</w:t>
      </w:r>
      <w:r w:rsidR="00C8443F" w:rsidRPr="00092053">
        <w:rPr>
          <w:rFonts w:eastAsia="Calibri"/>
          <w:lang w:val="es-PE" w:eastAsia="en-US"/>
        </w:rPr>
        <w:t xml:space="preserve"> 3963-2016-MP-FN, el IML aprobó las siguientes guías: </w:t>
      </w:r>
      <w:r w:rsidR="00C8443F" w:rsidRPr="00574AEE">
        <w:rPr>
          <w:rFonts w:eastAsia="Calibri"/>
          <w:lang w:val="es-PE" w:eastAsia="en-US"/>
        </w:rPr>
        <w:t>i)</w:t>
      </w:r>
      <w:r w:rsidR="00C8443F" w:rsidRPr="00092053">
        <w:rPr>
          <w:rFonts w:eastAsia="Calibri"/>
          <w:lang w:val="es-PE" w:eastAsia="en-US"/>
        </w:rPr>
        <w:t xml:space="preserve"> Guía de Valoración del Daño Psíquico en Personas Adultas Víctimas de Violencia Intencional; </w:t>
      </w:r>
      <w:r w:rsidR="00C8443F" w:rsidRPr="00574AEE">
        <w:rPr>
          <w:rFonts w:eastAsia="Calibri"/>
          <w:lang w:val="es-PE" w:eastAsia="en-US"/>
        </w:rPr>
        <w:t>ii)</w:t>
      </w:r>
      <w:r w:rsidR="00C8443F" w:rsidRPr="00092053">
        <w:rPr>
          <w:rFonts w:eastAsia="Calibri"/>
          <w:lang w:val="es-PE" w:eastAsia="en-US"/>
        </w:rPr>
        <w:t xml:space="preserve"> Guía del Procedimiento de Entrevista Única a Víctimas en el Marco de la Ley </w:t>
      </w:r>
      <w:r w:rsidR="00CD52E7" w:rsidRPr="00574AEE">
        <w:rPr>
          <w:rFonts w:eastAsia="Calibri"/>
          <w:lang w:val="es-PE" w:eastAsia="en-US"/>
        </w:rPr>
        <w:t>núm.</w:t>
      </w:r>
      <w:r w:rsidR="00C8443F" w:rsidRPr="00092053">
        <w:rPr>
          <w:rFonts w:eastAsia="Calibri"/>
          <w:lang w:val="es-PE" w:eastAsia="en-US"/>
        </w:rPr>
        <w:t xml:space="preserve"> 30364 para Prevenir, Sancionar y Erradicar la Violencia contra las Mujeres y los Integrantes del Grupo Familiar; y, a Niños y Adolescentes Varones Víctimas de Violencia; </w:t>
      </w:r>
      <w:r w:rsidR="00C8443F" w:rsidRPr="00574AEE">
        <w:rPr>
          <w:rFonts w:eastAsia="Calibri"/>
          <w:lang w:val="es-PE" w:eastAsia="en-US"/>
        </w:rPr>
        <w:t>iii)</w:t>
      </w:r>
      <w:r w:rsidR="00C8443F" w:rsidRPr="00092053">
        <w:rPr>
          <w:rFonts w:eastAsia="Calibri"/>
          <w:lang w:val="es-PE" w:eastAsia="en-US"/>
        </w:rPr>
        <w:t xml:space="preserve"> Guía de Evaluación Psicológica Forense en caso de Violencia contra las Mujeres y los Integrantes del Grupo Familiar y en otros casos de Violencia; y </w:t>
      </w:r>
      <w:r w:rsidR="00C8443F" w:rsidRPr="00574AEE">
        <w:rPr>
          <w:rFonts w:eastAsia="Calibri"/>
          <w:lang w:val="es-PE" w:eastAsia="en-US"/>
        </w:rPr>
        <w:t>iv)</w:t>
      </w:r>
      <w:r w:rsidR="00C8443F" w:rsidRPr="00092053">
        <w:rPr>
          <w:rFonts w:eastAsia="Calibri"/>
          <w:lang w:val="es-PE" w:eastAsia="en-US"/>
        </w:rPr>
        <w:t xml:space="preserve"> Guía Médico Legal de Valoración Integral de Lesiones Corporales.</w:t>
      </w:r>
    </w:p>
    <w:p w:rsidR="002A208C" w:rsidRPr="00092053" w:rsidRDefault="00092053" w:rsidP="00574AEE">
      <w:pPr>
        <w:pStyle w:val="SingleTxtG"/>
        <w:rPr>
          <w:rFonts w:eastAsia="Calibri"/>
          <w:lang w:val="es-PE" w:eastAsia="en-US"/>
        </w:rPr>
      </w:pPr>
      <w:r w:rsidRPr="00574AEE">
        <w:rPr>
          <w:rFonts w:eastAsia="Calibri"/>
          <w:lang w:val="es-PE" w:eastAsia="en-US"/>
        </w:rPr>
        <w:t>151.</w:t>
      </w:r>
      <w:r w:rsidRPr="00574AEE">
        <w:rPr>
          <w:rFonts w:eastAsia="Calibri"/>
          <w:lang w:val="es-PE" w:eastAsia="en-US"/>
        </w:rPr>
        <w:tab/>
      </w:r>
      <w:r w:rsidR="00C8443F" w:rsidRPr="00092053">
        <w:rPr>
          <w:rFonts w:eastAsia="Calibri"/>
          <w:lang w:val="es-PE" w:eastAsia="en-US"/>
        </w:rPr>
        <w:t xml:space="preserve">En esa línea, las </w:t>
      </w:r>
      <w:r w:rsidR="00C8443F" w:rsidRPr="00092053">
        <w:rPr>
          <w:rFonts w:eastAsia="Calibri"/>
          <w:lang w:val="es-ES_tradnl"/>
        </w:rPr>
        <w:t>actuaciones</w:t>
      </w:r>
      <w:r w:rsidR="00C8443F" w:rsidRPr="00092053">
        <w:rPr>
          <w:rFonts w:eastAsia="Calibri"/>
          <w:lang w:val="es-PE" w:eastAsia="en-US"/>
        </w:rPr>
        <w:t xml:space="preserve"> que le</w:t>
      </w:r>
      <w:r w:rsidR="00C8443F" w:rsidRPr="00092053">
        <w:rPr>
          <w:rFonts w:eastAsia="Calibri"/>
          <w:strike/>
          <w:lang w:val="es-PE" w:eastAsia="en-US"/>
        </w:rPr>
        <w:t>s</w:t>
      </w:r>
      <w:r w:rsidR="00C8443F" w:rsidRPr="00092053">
        <w:rPr>
          <w:rFonts w:eastAsia="Calibri"/>
          <w:lang w:val="es-PE" w:eastAsia="en-US"/>
        </w:rPr>
        <w:t xml:space="preserve"> corresponden tienen en consideración los estándares y procedimientos establecidos internacionalmente para reconocer y documentar </w:t>
      </w:r>
      <w:r w:rsidR="00C8443F" w:rsidRPr="00092053">
        <w:rPr>
          <w:rFonts w:eastAsia="Calibri"/>
          <w:lang w:val="es-PE" w:eastAsia="en-US"/>
        </w:rPr>
        <w:lastRenderedPageBreak/>
        <w:t>síntomas de tortura contenidos en el Manual de Investigación Efectiva sobre Tortura, Castigos y Tratamientos Crueles, Inhumanos o Degr</w:t>
      </w:r>
      <w:r w:rsidR="00E2576D" w:rsidRPr="00092053">
        <w:rPr>
          <w:rFonts w:eastAsia="Calibri"/>
          <w:lang w:val="es-PE" w:eastAsia="en-US"/>
        </w:rPr>
        <w:t>adantes (Protocolo de Estambul)</w:t>
      </w:r>
      <w:r w:rsidR="00C8443F" w:rsidRPr="00092053">
        <w:rPr>
          <w:rFonts w:eastAsia="Calibri"/>
          <w:vertAlign w:val="superscript"/>
          <w:lang w:val="es-PE" w:eastAsia="en-US"/>
        </w:rPr>
        <w:footnoteReference w:id="157"/>
      </w:r>
      <w:r w:rsidR="00E2576D" w:rsidRPr="00092053">
        <w:rPr>
          <w:rFonts w:eastAsia="Calibri"/>
          <w:lang w:val="es-PE" w:eastAsia="en-US"/>
        </w:rPr>
        <w:t>.</w:t>
      </w:r>
    </w:p>
    <w:p w:rsidR="00C8443F" w:rsidRPr="00092053" w:rsidRDefault="004F7B54" w:rsidP="004F7B54">
      <w:pPr>
        <w:pStyle w:val="H23G"/>
        <w:rPr>
          <w:rFonts w:eastAsia="Calibri"/>
          <w:lang w:val="es-PE" w:eastAsia="en-US"/>
        </w:rPr>
      </w:pPr>
      <w:bookmarkStart w:id="166" w:name="_Toc468642611"/>
      <w:bookmarkStart w:id="167" w:name="_Toc468721281"/>
      <w:bookmarkStart w:id="168" w:name="_Toc471137679"/>
      <w:bookmarkStart w:id="169" w:name="_Toc472097464"/>
      <w:bookmarkStart w:id="170" w:name="_Toc484774087"/>
      <w:bookmarkStart w:id="171" w:name="_Toc468627319"/>
      <w:r w:rsidRPr="00092053">
        <w:rPr>
          <w:rFonts w:eastAsia="Calibri"/>
          <w:lang w:val="es-PE" w:eastAsia="en-US"/>
        </w:rPr>
        <w:tab/>
      </w:r>
      <w:r w:rsidRPr="00092053">
        <w:rPr>
          <w:rFonts w:eastAsia="Calibri"/>
          <w:lang w:val="es-PE" w:eastAsia="en-US"/>
        </w:rPr>
        <w:tab/>
      </w:r>
      <w:r w:rsidR="00C8443F" w:rsidRPr="00092053">
        <w:rPr>
          <w:rFonts w:eastAsia="Calibri"/>
          <w:lang w:val="es-PE" w:eastAsia="en-US"/>
        </w:rPr>
        <w:t>Respuesta al párrafo 24</w:t>
      </w:r>
      <w:bookmarkEnd w:id="166"/>
      <w:bookmarkEnd w:id="167"/>
      <w:bookmarkEnd w:id="168"/>
      <w:bookmarkEnd w:id="169"/>
      <w:bookmarkEnd w:id="170"/>
      <w:r w:rsidR="00C8443F" w:rsidRPr="00092053">
        <w:rPr>
          <w:rFonts w:eastAsia="Calibri"/>
          <w:lang w:val="es-PE" w:eastAsia="en-US"/>
        </w:rPr>
        <w:t xml:space="preserve"> </w:t>
      </w:r>
      <w:bookmarkEnd w:id="171"/>
    </w:p>
    <w:p w:rsidR="002A208C" w:rsidRPr="00092053" w:rsidRDefault="00092053" w:rsidP="00574AEE">
      <w:pPr>
        <w:pStyle w:val="SingleTxtG"/>
        <w:rPr>
          <w:rFonts w:eastAsia="Calibri"/>
          <w:lang w:val="es-PE" w:eastAsia="en-US"/>
        </w:rPr>
      </w:pPr>
      <w:r w:rsidRPr="00574AEE">
        <w:rPr>
          <w:rFonts w:eastAsia="Calibri"/>
          <w:lang w:val="es-PE" w:eastAsia="en-US"/>
        </w:rPr>
        <w:t>152.</w:t>
      </w:r>
      <w:r w:rsidRPr="00574AEE">
        <w:rPr>
          <w:rFonts w:eastAsia="Calibri"/>
          <w:lang w:val="es-PE" w:eastAsia="en-US"/>
        </w:rPr>
        <w:tab/>
      </w:r>
      <w:r w:rsidR="00C8443F" w:rsidRPr="00092053">
        <w:rPr>
          <w:rFonts w:eastAsia="Calibri"/>
          <w:lang w:val="es-ES_tradnl"/>
        </w:rPr>
        <w:t xml:space="preserve">La PNP </w:t>
      </w:r>
      <w:r w:rsidR="00C8443F" w:rsidRPr="00092053">
        <w:rPr>
          <w:rFonts w:eastAsia="Calibri"/>
          <w:lang w:val="es-PE" w:eastAsia="es-PE"/>
        </w:rPr>
        <w:t xml:space="preserve">cuenta con el </w:t>
      </w:r>
      <w:r w:rsidR="00C8443F" w:rsidRPr="00092053">
        <w:rPr>
          <w:rFonts w:eastAsia="Calibri"/>
          <w:lang w:val="es-ES_tradnl"/>
        </w:rPr>
        <w:t>Decreto</w:t>
      </w:r>
      <w:r w:rsidR="00C8443F" w:rsidRPr="00092053">
        <w:rPr>
          <w:rFonts w:eastAsia="Calibri"/>
          <w:lang w:val="es-PE" w:eastAsia="en-US"/>
        </w:rPr>
        <w:t xml:space="preserve"> Legislativo </w:t>
      </w:r>
      <w:r w:rsidR="00CD52E7">
        <w:rPr>
          <w:rFonts w:eastAsia="Calibri"/>
          <w:lang w:val="es-ES_tradnl"/>
        </w:rPr>
        <w:t>núm.</w:t>
      </w:r>
      <w:r w:rsidR="00C8443F" w:rsidRPr="00092053">
        <w:rPr>
          <w:rFonts w:eastAsia="Calibri"/>
          <w:lang w:val="es-PE" w:eastAsia="en-US"/>
        </w:rPr>
        <w:t xml:space="preserve"> 1186</w:t>
      </w:r>
      <w:r w:rsidR="00C8443F" w:rsidRPr="00092053">
        <w:rPr>
          <w:rFonts w:eastAsia="Calibri"/>
          <w:vertAlign w:val="superscript"/>
          <w:lang w:val="es-PE" w:eastAsia="en-US"/>
        </w:rPr>
        <w:footnoteReference w:id="158"/>
      </w:r>
      <w:r w:rsidR="00C8443F" w:rsidRPr="00092053">
        <w:rPr>
          <w:rFonts w:eastAsia="Calibri"/>
          <w:lang w:val="es-PE" w:eastAsia="en-US"/>
        </w:rPr>
        <w:t xml:space="preserve">, aprobado en el 2015, que regula el uso de la fuerza por parte del personal de la PNP, y que establece una base normativa para el ejercicio de la función policial, señalando las circunstancias y condiciones en las que esta se ejerce, los procedimientos a aplicarse y las responsabilidades derivadas de su indebido empleo. </w:t>
      </w:r>
    </w:p>
    <w:p w:rsidR="002A208C" w:rsidRPr="00092053" w:rsidRDefault="00092053" w:rsidP="00574AEE">
      <w:pPr>
        <w:pStyle w:val="SingleTxtG"/>
        <w:rPr>
          <w:rFonts w:eastAsia="Calibri"/>
          <w:lang w:val="es-PE" w:eastAsia="en-US"/>
        </w:rPr>
      </w:pPr>
      <w:r w:rsidRPr="00574AEE">
        <w:rPr>
          <w:rFonts w:eastAsia="Calibri"/>
          <w:lang w:val="es-PE" w:eastAsia="en-US"/>
        </w:rPr>
        <w:t>153.</w:t>
      </w:r>
      <w:r w:rsidRPr="00574AEE">
        <w:rPr>
          <w:rFonts w:eastAsia="Calibri"/>
          <w:lang w:val="es-PE" w:eastAsia="en-US"/>
        </w:rPr>
        <w:tab/>
      </w:r>
      <w:r w:rsidR="00C8443F" w:rsidRPr="00092053">
        <w:rPr>
          <w:rFonts w:eastAsia="Calibri"/>
          <w:lang w:val="es-PE" w:eastAsia="en-US"/>
        </w:rPr>
        <w:t xml:space="preserve">Dicha norma, además, dispone que si como consecuencia del uso de la fuerza por parte de los miembros de la PNP se ocasionan lesiones o muerte, se dispondrá la investigación administrativa </w:t>
      </w:r>
      <w:r w:rsidR="00C8443F" w:rsidRPr="00092053">
        <w:rPr>
          <w:rFonts w:eastAsia="Calibri"/>
          <w:lang w:val="es-ES_tradnl"/>
        </w:rPr>
        <w:t>correspondiente</w:t>
      </w:r>
      <w:r w:rsidR="00C8443F" w:rsidRPr="00092053">
        <w:rPr>
          <w:rFonts w:eastAsia="Calibri"/>
          <w:lang w:val="es-PE" w:eastAsia="en-US"/>
        </w:rPr>
        <w:t xml:space="preserve"> y se dará inmediata cuenta de los hechos a las autoridades competent</w:t>
      </w:r>
      <w:r w:rsidR="00E2576D" w:rsidRPr="00092053">
        <w:rPr>
          <w:rFonts w:eastAsia="Calibri"/>
          <w:lang w:val="es-PE" w:eastAsia="en-US"/>
        </w:rPr>
        <w:t>es para los fines consiguientes</w:t>
      </w:r>
      <w:r w:rsidR="00C8443F" w:rsidRPr="00092053">
        <w:rPr>
          <w:rFonts w:eastAsia="Calibri"/>
          <w:vertAlign w:val="superscript"/>
          <w:lang w:val="es-PE" w:eastAsia="en-US"/>
        </w:rPr>
        <w:footnoteReference w:id="159"/>
      </w:r>
      <w:r w:rsidR="00E2576D"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154.</w:t>
      </w:r>
      <w:r w:rsidRPr="00574AEE">
        <w:rPr>
          <w:rFonts w:eastAsia="Calibri"/>
          <w:lang w:val="es-PE" w:eastAsia="en-US"/>
        </w:rPr>
        <w:tab/>
      </w:r>
      <w:r w:rsidR="00C8443F" w:rsidRPr="00092053">
        <w:rPr>
          <w:rFonts w:eastAsia="Calibri"/>
          <w:lang w:val="es-PE" w:eastAsia="en-US"/>
        </w:rPr>
        <w:t xml:space="preserve">En esa línea, mediante el Decreto Supremo </w:t>
      </w:r>
      <w:r w:rsidR="00CD52E7">
        <w:rPr>
          <w:rFonts w:eastAsia="Calibri"/>
          <w:lang w:val="es-ES_tradnl"/>
        </w:rPr>
        <w:t>núm.</w:t>
      </w:r>
      <w:r w:rsidR="00C8443F" w:rsidRPr="00092053">
        <w:rPr>
          <w:rFonts w:eastAsia="Calibri"/>
          <w:lang w:val="es-PE" w:eastAsia="en-US"/>
        </w:rPr>
        <w:t xml:space="preserve"> 012-2016-IN</w:t>
      </w:r>
      <w:r w:rsidR="00C8443F" w:rsidRPr="00092053">
        <w:rPr>
          <w:rFonts w:eastAsia="Calibri"/>
          <w:vertAlign w:val="superscript"/>
          <w:lang w:val="es-PE" w:eastAsia="en-US"/>
        </w:rPr>
        <w:footnoteReference w:id="160"/>
      </w:r>
      <w:r w:rsidR="00C8443F" w:rsidRPr="00092053">
        <w:rPr>
          <w:rFonts w:eastAsia="Calibri"/>
          <w:lang w:val="es-PE" w:eastAsia="en-US"/>
        </w:rPr>
        <w:t xml:space="preserve"> se aprobó el reglamento del Decreto Legislativo </w:t>
      </w:r>
      <w:r w:rsidR="00CD52E7">
        <w:rPr>
          <w:rFonts w:eastAsia="Calibri"/>
          <w:lang w:val="es-ES_tradnl"/>
        </w:rPr>
        <w:t>núm.</w:t>
      </w:r>
      <w:r w:rsidR="00C8443F" w:rsidRPr="00092053">
        <w:rPr>
          <w:rFonts w:eastAsia="Calibri"/>
          <w:lang w:val="es-PE" w:eastAsia="en-US"/>
        </w:rPr>
        <w:t xml:space="preserve"> 1186, que desarrolla y establece los procedimientos, reglas y normas para su aplicación. </w:t>
      </w:r>
    </w:p>
    <w:p w:rsidR="002A208C" w:rsidRPr="00092053" w:rsidRDefault="00092053" w:rsidP="00574AEE">
      <w:pPr>
        <w:pStyle w:val="SingleTxtG"/>
        <w:rPr>
          <w:rFonts w:eastAsia="Calibri"/>
          <w:lang w:val="es-PE" w:eastAsia="en-US"/>
        </w:rPr>
      </w:pPr>
      <w:r w:rsidRPr="00574AEE">
        <w:rPr>
          <w:rFonts w:eastAsia="Calibri"/>
          <w:lang w:val="es-PE" w:eastAsia="en-US"/>
        </w:rPr>
        <w:t>155.</w:t>
      </w:r>
      <w:r w:rsidRPr="00574AEE">
        <w:rPr>
          <w:rFonts w:eastAsia="Calibri"/>
          <w:lang w:val="es-PE" w:eastAsia="en-US"/>
        </w:rPr>
        <w:tab/>
      </w:r>
      <w:r w:rsidR="00C8443F" w:rsidRPr="00092053">
        <w:rPr>
          <w:rFonts w:eastAsia="Calibri"/>
          <w:lang w:val="es-PE" w:eastAsia="en-US"/>
        </w:rPr>
        <w:t xml:space="preserve">Asimismo, se </w:t>
      </w:r>
      <w:r w:rsidR="00C8443F" w:rsidRPr="00092053">
        <w:rPr>
          <w:rFonts w:eastAsia="Calibri"/>
          <w:lang w:val="es-ES_tradnl"/>
        </w:rPr>
        <w:t>establece</w:t>
      </w:r>
      <w:r w:rsidR="00C8443F" w:rsidRPr="00092053">
        <w:rPr>
          <w:rFonts w:eastAsia="Calibri"/>
          <w:lang w:val="es-PE" w:eastAsia="en-US"/>
        </w:rPr>
        <w:t xml:space="preserve"> que el personal de la PNP no puede alegar obediencia a órdenes superiores cuando dichas órdenes para el uso de la fuerza, y en particular del arma de fuego, son manifiestamente ilícitas. Asimismo, se prescribe que en caso de haberse ejecutado también serán responsables los superiores </w:t>
      </w:r>
      <w:r w:rsidR="00E2576D" w:rsidRPr="00092053">
        <w:rPr>
          <w:rFonts w:eastAsia="Calibri"/>
          <w:lang w:val="es-PE" w:eastAsia="en-US"/>
        </w:rPr>
        <w:t>que dieron las órdenes ilícitas</w:t>
      </w:r>
      <w:r w:rsidR="00C8443F" w:rsidRPr="00092053">
        <w:rPr>
          <w:rFonts w:eastAsia="Calibri"/>
          <w:vertAlign w:val="superscript"/>
          <w:lang w:val="es-PE" w:eastAsia="en-US"/>
        </w:rPr>
        <w:footnoteReference w:id="161"/>
      </w:r>
      <w:r w:rsidR="00E2576D"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156.</w:t>
      </w:r>
      <w:r w:rsidRPr="00574AEE">
        <w:rPr>
          <w:rFonts w:eastAsia="Calibri"/>
          <w:lang w:val="es-PE" w:eastAsia="en-US"/>
        </w:rPr>
        <w:tab/>
      </w:r>
      <w:r w:rsidR="00C8443F" w:rsidRPr="00092053">
        <w:rPr>
          <w:rFonts w:eastAsia="Calibri"/>
          <w:lang w:val="es-PE" w:eastAsia="en-US"/>
        </w:rPr>
        <w:t xml:space="preserve">Adicionalmente, la norma dispone que en el caso del uso de arma de fuego (nivel de fuerza letal), el personal policial sólo podrá emplear este medio cuando sea estrictamente necesario y sólo </w:t>
      </w:r>
      <w:r w:rsidR="00C8443F" w:rsidRPr="00092053">
        <w:rPr>
          <w:rFonts w:eastAsia="Calibri"/>
          <w:lang w:val="es-ES_tradnl"/>
        </w:rPr>
        <w:t>cuando</w:t>
      </w:r>
      <w:r w:rsidR="00C8443F" w:rsidRPr="00092053">
        <w:rPr>
          <w:rFonts w:eastAsia="Calibri"/>
          <w:lang w:val="es-PE" w:eastAsia="en-US"/>
        </w:rPr>
        <w:t xml:space="preserve"> medidas menos </w:t>
      </w:r>
      <w:r w:rsidR="00E2576D" w:rsidRPr="00092053">
        <w:rPr>
          <w:rFonts w:eastAsia="Calibri"/>
          <w:lang w:val="es-PE" w:eastAsia="en-US"/>
        </w:rPr>
        <w:t>extremas resulten insuficientes</w:t>
      </w:r>
      <w:r w:rsidR="00C8443F" w:rsidRPr="00092053">
        <w:rPr>
          <w:rFonts w:eastAsia="Calibri"/>
          <w:vertAlign w:val="superscript"/>
          <w:lang w:val="es-PE" w:eastAsia="en-US"/>
        </w:rPr>
        <w:footnoteReference w:id="162"/>
      </w:r>
      <w:r w:rsidR="00E2576D"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157.</w:t>
      </w:r>
      <w:r w:rsidRPr="00574AEE">
        <w:rPr>
          <w:rFonts w:eastAsia="Calibri"/>
          <w:lang w:val="es-PE" w:eastAsia="en-US"/>
        </w:rPr>
        <w:tab/>
      </w:r>
      <w:r w:rsidR="00C8443F" w:rsidRPr="00092053">
        <w:rPr>
          <w:rFonts w:eastAsia="Calibri"/>
          <w:lang w:val="es-PE" w:eastAsia="en-US"/>
        </w:rPr>
        <w:t xml:space="preserve">Si bien el Perú no ha derogado formalmente la Ley </w:t>
      </w:r>
      <w:r w:rsidR="00CD52E7">
        <w:rPr>
          <w:rFonts w:eastAsia="Calibri"/>
          <w:lang w:val="es-ES_tradnl"/>
        </w:rPr>
        <w:t>núm.</w:t>
      </w:r>
      <w:r w:rsidR="00C8443F" w:rsidRPr="00092053">
        <w:rPr>
          <w:rFonts w:eastAsia="Calibri"/>
          <w:lang w:val="es-PE" w:eastAsia="en-US"/>
        </w:rPr>
        <w:t xml:space="preserve"> 30151</w:t>
      </w:r>
      <w:r w:rsidR="00C8443F" w:rsidRPr="00092053">
        <w:rPr>
          <w:rFonts w:eastAsia="Calibri"/>
          <w:vertAlign w:val="superscript"/>
          <w:lang w:val="es-PE" w:eastAsia="en-US"/>
        </w:rPr>
        <w:footnoteReference w:id="163"/>
      </w:r>
      <w:r w:rsidR="00C8443F" w:rsidRPr="00092053">
        <w:rPr>
          <w:rFonts w:eastAsia="Calibri"/>
          <w:lang w:val="es-PE" w:eastAsia="en-US"/>
        </w:rPr>
        <w:t xml:space="preserve">, el establecimiento de un marco jurídico </w:t>
      </w:r>
      <w:r w:rsidR="00C8443F" w:rsidRPr="00092053">
        <w:rPr>
          <w:rFonts w:eastAsia="Calibri"/>
          <w:lang w:val="es-ES_tradnl"/>
        </w:rPr>
        <w:t>sobre</w:t>
      </w:r>
      <w:r w:rsidR="00C8443F" w:rsidRPr="00092053">
        <w:rPr>
          <w:rFonts w:eastAsia="Calibri"/>
          <w:lang w:val="es-PE" w:eastAsia="en-US"/>
        </w:rPr>
        <w:t xml:space="preserve"> el uso de la fuerza constituido por el Decreto Legislativo </w:t>
      </w:r>
      <w:r w:rsidR="00CD52E7">
        <w:rPr>
          <w:rFonts w:eastAsia="Calibri"/>
          <w:lang w:val="es-ES_tradnl"/>
        </w:rPr>
        <w:t>núm.</w:t>
      </w:r>
      <w:r w:rsidR="00C8443F" w:rsidRPr="00092053">
        <w:rPr>
          <w:rFonts w:eastAsia="Calibri"/>
          <w:lang w:val="es-PE" w:eastAsia="en-US"/>
        </w:rPr>
        <w:t xml:space="preserve"> 1186 y su reglamento, hacen inviable que se pueda limitar o exonerar de responsabilidad penal al policía que haga un uso arbitrario de la fuerza. </w:t>
      </w:r>
    </w:p>
    <w:p w:rsidR="002A208C" w:rsidRPr="00092053" w:rsidRDefault="00092053" w:rsidP="00574AEE">
      <w:pPr>
        <w:pStyle w:val="SingleTxtG"/>
        <w:rPr>
          <w:rFonts w:eastAsia="Calibri"/>
          <w:lang w:val="es-PE" w:eastAsia="en-US"/>
        </w:rPr>
      </w:pPr>
      <w:r w:rsidRPr="00574AEE">
        <w:rPr>
          <w:rFonts w:eastAsia="Calibri"/>
          <w:lang w:val="es-PE" w:eastAsia="en-US"/>
        </w:rPr>
        <w:t>158.</w:t>
      </w:r>
      <w:r w:rsidRPr="00574AEE">
        <w:rPr>
          <w:rFonts w:eastAsia="Calibri"/>
          <w:lang w:val="es-PE" w:eastAsia="en-US"/>
        </w:rPr>
        <w:tab/>
      </w:r>
      <w:r w:rsidR="00C8443F" w:rsidRPr="00092053">
        <w:rPr>
          <w:rFonts w:eastAsia="Calibri"/>
          <w:lang w:val="es-PE" w:eastAsia="en-US"/>
        </w:rPr>
        <w:t xml:space="preserve">A ello, debe </w:t>
      </w:r>
      <w:r w:rsidR="00C8443F" w:rsidRPr="00092053">
        <w:rPr>
          <w:rFonts w:eastAsia="Calibri"/>
          <w:lang w:val="es-ES_tradnl"/>
        </w:rPr>
        <w:t>agregarse</w:t>
      </w:r>
      <w:r w:rsidR="00C8443F" w:rsidRPr="00092053">
        <w:rPr>
          <w:rFonts w:eastAsia="Calibri"/>
          <w:lang w:val="es-PE" w:eastAsia="en-US"/>
        </w:rPr>
        <w:t xml:space="preserve"> que mediante el Decreto Legislativo </w:t>
      </w:r>
      <w:r w:rsidR="00CD52E7">
        <w:rPr>
          <w:rFonts w:eastAsia="Calibri"/>
          <w:lang w:val="es-ES_tradnl"/>
        </w:rPr>
        <w:t>núm.</w:t>
      </w:r>
      <w:r w:rsidR="00C8443F" w:rsidRPr="00092053">
        <w:rPr>
          <w:rFonts w:eastAsia="Calibri"/>
          <w:lang w:val="es-PE" w:eastAsia="en-US"/>
        </w:rPr>
        <w:t xml:space="preserve"> 1267</w:t>
      </w:r>
      <w:r w:rsidR="00C8443F" w:rsidRPr="00092053">
        <w:rPr>
          <w:rFonts w:eastAsia="Calibri"/>
          <w:vertAlign w:val="superscript"/>
          <w:lang w:val="es-PE" w:eastAsia="en-US"/>
        </w:rPr>
        <w:footnoteReference w:id="164"/>
      </w:r>
      <w:r w:rsidR="00C8443F" w:rsidRPr="00092053">
        <w:rPr>
          <w:rFonts w:eastAsia="Calibri"/>
          <w:lang w:val="es-PE" w:eastAsia="en-US"/>
        </w:rPr>
        <w:t xml:space="preserve"> se aprobó la nueva Ley de la Policía Nacional del Perú, incluyéndose como una de sus atribuciones el hacer uso de la fuerza de acuerdo con el Código de Conducta para Funcionarios Encargados de Hacer Cumplir la Ley y los Principios Básicos sobre el Empleo de la Fuerza y de Armas de Fuego por los Funcionarios Encargados de Hacer Cumplir la Ley.</w:t>
      </w:r>
    </w:p>
    <w:p w:rsidR="002A208C" w:rsidRPr="00092053" w:rsidRDefault="00092053" w:rsidP="00574AEE">
      <w:pPr>
        <w:pStyle w:val="SingleTxtG"/>
        <w:rPr>
          <w:rFonts w:eastAsia="Calibri"/>
          <w:lang w:val="es-PE" w:eastAsia="en-US"/>
        </w:rPr>
      </w:pPr>
      <w:r w:rsidRPr="00574AEE">
        <w:rPr>
          <w:rFonts w:eastAsia="Calibri"/>
          <w:lang w:val="es-PE" w:eastAsia="en-US"/>
        </w:rPr>
        <w:t>159.</w:t>
      </w:r>
      <w:r w:rsidRPr="00574AEE">
        <w:rPr>
          <w:rFonts w:eastAsia="Calibri"/>
          <w:lang w:val="es-PE" w:eastAsia="en-US"/>
        </w:rPr>
        <w:tab/>
      </w:r>
      <w:r w:rsidR="00C8443F" w:rsidRPr="00092053">
        <w:rPr>
          <w:rFonts w:eastAsia="Calibri"/>
          <w:lang w:val="es-PE" w:eastAsia="en-US"/>
        </w:rPr>
        <w:t xml:space="preserve">Además, mediante la Resolución Ministerial </w:t>
      </w:r>
      <w:r>
        <w:rPr>
          <w:rFonts w:eastAsia="Calibri"/>
          <w:lang w:val="es-PE" w:eastAsia="en-US"/>
        </w:rPr>
        <w:t>núm.</w:t>
      </w:r>
      <w:r w:rsidRPr="00092053">
        <w:rPr>
          <w:rFonts w:eastAsia="Calibri"/>
          <w:lang w:val="es-PE" w:eastAsia="en-US"/>
        </w:rPr>
        <w:t xml:space="preserve"> </w:t>
      </w:r>
      <w:r w:rsidR="00C8443F" w:rsidRPr="00092053">
        <w:rPr>
          <w:rFonts w:eastAsia="Calibri"/>
          <w:lang w:val="es-PE" w:eastAsia="en-US"/>
        </w:rPr>
        <w:t>813-2016-IN</w:t>
      </w:r>
      <w:r w:rsidR="00C8443F" w:rsidRPr="00092053">
        <w:rPr>
          <w:rFonts w:eastAsia="Calibri"/>
          <w:vertAlign w:val="superscript"/>
          <w:lang w:val="es-PE" w:eastAsia="en-US"/>
        </w:rPr>
        <w:footnoteReference w:id="165"/>
      </w:r>
      <w:r w:rsidR="00C8443F" w:rsidRPr="00092053">
        <w:rPr>
          <w:rFonts w:eastAsia="Calibri"/>
          <w:lang w:val="es-PE" w:eastAsia="en-US"/>
        </w:rPr>
        <w:t xml:space="preserve"> se dispuso que “todo el personal de la PNP, en el ejercicio de sus funciones operativas para restablecer y mantener el orden público, deberán realizarlas en estricto cumplimiento del respeto a la CPP y el Decreto Legislativo </w:t>
      </w:r>
      <w:r w:rsidR="00CD52E7">
        <w:rPr>
          <w:rFonts w:eastAsia="Calibri"/>
          <w:lang w:val="es-ES_tradnl"/>
        </w:rPr>
        <w:t>núm.</w:t>
      </w:r>
      <w:r w:rsidR="00C8443F" w:rsidRPr="00092053">
        <w:rPr>
          <w:rFonts w:eastAsia="Calibri"/>
          <w:lang w:val="es-PE" w:eastAsia="en-US"/>
        </w:rPr>
        <w:t xml:space="preserve"> 1186 con especial énfasis en proteger los DDHH”. Asimismo, se estableció que “las operaciones policiales que no cumplan con los estándares mínimos para la salvaguarda de la vida de las personas, deberán ser materia de investigación y si fuera el caso, la correspondiente sanción disciplinaria, sin perjuicio de las responsabilidades civiles o penales a que hubiera lugar”.</w:t>
      </w:r>
    </w:p>
    <w:p w:rsidR="002A208C" w:rsidRPr="00092053" w:rsidRDefault="00092053" w:rsidP="00574AEE">
      <w:pPr>
        <w:pStyle w:val="SingleTxtG"/>
        <w:rPr>
          <w:rFonts w:eastAsia="Calibri"/>
          <w:lang w:val="es-PE" w:eastAsia="en-US"/>
        </w:rPr>
      </w:pPr>
      <w:r w:rsidRPr="00574AEE">
        <w:rPr>
          <w:rFonts w:eastAsia="Calibri"/>
          <w:lang w:val="es-PE" w:eastAsia="en-US"/>
        </w:rPr>
        <w:lastRenderedPageBreak/>
        <w:t>160.</w:t>
      </w:r>
      <w:r w:rsidRPr="00574AEE">
        <w:rPr>
          <w:rFonts w:eastAsia="Calibri"/>
          <w:lang w:val="es-PE" w:eastAsia="en-US"/>
        </w:rPr>
        <w:tab/>
      </w:r>
      <w:r w:rsidR="00C8443F" w:rsidRPr="00092053">
        <w:rPr>
          <w:rFonts w:eastAsia="Calibri"/>
          <w:lang w:val="es-PE" w:eastAsia="en-US"/>
        </w:rPr>
        <w:t xml:space="preserve">En el marco del proceso institucional descrito, el MININTER, con la colaboración del Comité </w:t>
      </w:r>
      <w:r w:rsidR="00C8443F" w:rsidRPr="00092053">
        <w:rPr>
          <w:rFonts w:eastAsia="Calibri"/>
          <w:lang w:val="es-ES_tradnl"/>
        </w:rPr>
        <w:t>Internacional</w:t>
      </w:r>
      <w:r w:rsidR="00C8443F" w:rsidRPr="00092053">
        <w:rPr>
          <w:rFonts w:eastAsia="Calibri"/>
          <w:lang w:val="es-PE" w:eastAsia="en-US"/>
        </w:rPr>
        <w:t xml:space="preserve"> de la Cruz Roja y la Embajada de Francia, realiza desde el 2013 cursos de capacitación sobre mantenimiento y restablecimiento del orden público y ha iniciado el desarrollo de un proyecto para la constitución de un Centro de Capacitación de la PNP sobre </w:t>
      </w:r>
      <w:r w:rsidR="00E2576D" w:rsidRPr="00092053">
        <w:rPr>
          <w:rFonts w:eastAsia="Calibri"/>
          <w:lang w:val="es-PE" w:eastAsia="en-US"/>
        </w:rPr>
        <w:t>Mantenimiento del Orden Público</w:t>
      </w:r>
      <w:r w:rsidR="00C8443F" w:rsidRPr="00092053">
        <w:rPr>
          <w:rFonts w:eastAsia="Calibri"/>
          <w:vertAlign w:val="superscript"/>
          <w:lang w:val="es-PE" w:eastAsia="en-US"/>
        </w:rPr>
        <w:footnoteReference w:id="166"/>
      </w:r>
      <w:r w:rsidR="00E2576D" w:rsidRPr="00092053">
        <w:rPr>
          <w:rFonts w:eastAsia="Calibri"/>
          <w:lang w:val="es-PE" w:eastAsia="en-US"/>
        </w:rPr>
        <w:t>.</w:t>
      </w:r>
    </w:p>
    <w:p w:rsidR="00C8443F" w:rsidRPr="00092053" w:rsidRDefault="00756371" w:rsidP="00756371">
      <w:pPr>
        <w:pStyle w:val="H23G"/>
        <w:rPr>
          <w:rFonts w:eastAsia="Calibri"/>
          <w:bCs/>
          <w:lang w:val="es-PE" w:eastAsia="en-US"/>
        </w:rPr>
      </w:pPr>
      <w:bookmarkStart w:id="172" w:name="_Toc468642612"/>
      <w:bookmarkStart w:id="173" w:name="_Toc468721282"/>
      <w:bookmarkStart w:id="174" w:name="_Toc471137680"/>
      <w:bookmarkStart w:id="175" w:name="_Toc472097465"/>
      <w:bookmarkStart w:id="176" w:name="_Toc484774088"/>
      <w:bookmarkStart w:id="177" w:name="_Toc468627320"/>
      <w:r w:rsidRPr="00092053">
        <w:rPr>
          <w:rFonts w:eastAsia="Calibri"/>
          <w:lang w:val="es-PE" w:eastAsia="en-US"/>
        </w:rPr>
        <w:tab/>
      </w:r>
      <w:r w:rsidRPr="00092053">
        <w:rPr>
          <w:rFonts w:eastAsia="Calibri"/>
          <w:lang w:val="es-PE" w:eastAsia="en-US"/>
        </w:rPr>
        <w:tab/>
      </w:r>
      <w:r w:rsidR="00C8443F" w:rsidRPr="00092053">
        <w:rPr>
          <w:rFonts w:eastAsia="Calibri"/>
          <w:lang w:val="es-PE" w:eastAsia="en-US"/>
        </w:rPr>
        <w:t>Respuesta al párrafo 25</w:t>
      </w:r>
      <w:bookmarkEnd w:id="172"/>
      <w:bookmarkEnd w:id="173"/>
      <w:bookmarkEnd w:id="174"/>
      <w:bookmarkEnd w:id="175"/>
      <w:bookmarkEnd w:id="176"/>
      <w:r w:rsidR="00C8443F" w:rsidRPr="00092053">
        <w:rPr>
          <w:rFonts w:eastAsia="Calibri"/>
          <w:lang w:val="es-PE" w:eastAsia="en-US"/>
        </w:rPr>
        <w:t xml:space="preserve"> </w:t>
      </w:r>
      <w:bookmarkEnd w:id="177"/>
    </w:p>
    <w:p w:rsidR="002A208C" w:rsidRPr="00092053" w:rsidRDefault="00092053" w:rsidP="00574AEE">
      <w:pPr>
        <w:pStyle w:val="SingleTxtG"/>
        <w:rPr>
          <w:rFonts w:eastAsia="Calibri"/>
          <w:bCs/>
          <w:lang w:val="es-PE" w:eastAsia="en-US"/>
        </w:rPr>
      </w:pPr>
      <w:r w:rsidRPr="00574AEE">
        <w:rPr>
          <w:rFonts w:eastAsia="Calibri"/>
          <w:bCs/>
          <w:lang w:val="es-PE" w:eastAsia="en-US"/>
        </w:rPr>
        <w:t>161.</w:t>
      </w:r>
      <w:r w:rsidRPr="00574AEE">
        <w:rPr>
          <w:rFonts w:eastAsia="Calibri"/>
          <w:bCs/>
          <w:lang w:val="es-PE" w:eastAsia="en-US"/>
        </w:rPr>
        <w:tab/>
      </w:r>
      <w:r w:rsidR="00C8443F" w:rsidRPr="00092053">
        <w:rPr>
          <w:rFonts w:eastAsia="Calibri"/>
          <w:lang w:val="es-PE" w:eastAsia="en-US"/>
        </w:rPr>
        <w:t xml:space="preserve">Sobre la situación actual del proceso por la masacre ocurrida en 1986 en la cárcel “El Frontón”, el MP </w:t>
      </w:r>
      <w:r w:rsidR="00C8443F" w:rsidRPr="00092053">
        <w:rPr>
          <w:rFonts w:eastAsia="Calibri"/>
          <w:lang w:val="es-ES_tradnl"/>
        </w:rPr>
        <w:t>informó</w:t>
      </w:r>
      <w:r w:rsidR="00C8443F" w:rsidRPr="00092053">
        <w:rPr>
          <w:rFonts w:eastAsia="Calibri"/>
          <w:lang w:val="es-PE" w:eastAsia="en-US"/>
        </w:rPr>
        <w:t xml:space="preserve"> que al expediente principal signado con el </w:t>
      </w:r>
      <w:r w:rsidR="00CD52E7">
        <w:rPr>
          <w:rFonts w:eastAsia="Calibri"/>
          <w:lang w:val="es-ES_tradnl"/>
        </w:rPr>
        <w:t xml:space="preserve">núm. </w:t>
      </w:r>
      <w:r w:rsidR="00C8443F" w:rsidRPr="00092053">
        <w:rPr>
          <w:rFonts w:eastAsia="Calibri"/>
          <w:lang w:val="es-PE" w:eastAsia="en-US"/>
        </w:rPr>
        <w:t xml:space="preserve">125-2004-0-JR se acumularon los expedientes </w:t>
      </w:r>
      <w:r w:rsidR="00CD52E7">
        <w:rPr>
          <w:rFonts w:eastAsia="Calibri"/>
          <w:lang w:val="es-ES_tradnl"/>
        </w:rPr>
        <w:t>núm.</w:t>
      </w:r>
      <w:r w:rsidR="00C8443F" w:rsidRPr="00092053">
        <w:rPr>
          <w:rFonts w:eastAsia="Calibri"/>
          <w:lang w:val="es-PE" w:eastAsia="en-US"/>
        </w:rPr>
        <w:t xml:space="preserve"> 397-2012 y </w:t>
      </w:r>
      <w:r w:rsidR="00CD52E7">
        <w:rPr>
          <w:rFonts w:eastAsia="Calibri"/>
          <w:lang w:val="es-ES_tradnl"/>
        </w:rPr>
        <w:t>núm.</w:t>
      </w:r>
      <w:r w:rsidR="00C8443F" w:rsidRPr="00092053">
        <w:rPr>
          <w:rFonts w:eastAsia="Calibri"/>
          <w:lang w:val="es-PE" w:eastAsia="en-US"/>
        </w:rPr>
        <w:t xml:space="preserve"> 2013-2007. Así, el 3 de marzo de</w:t>
      </w:r>
      <w:r w:rsidR="006C0519">
        <w:rPr>
          <w:rFonts w:eastAsia="Calibri"/>
          <w:lang w:val="es-PE" w:eastAsia="en-US"/>
        </w:rPr>
        <w:t xml:space="preserve"> </w:t>
      </w:r>
      <w:r w:rsidR="00C8443F" w:rsidRPr="00092053">
        <w:rPr>
          <w:rFonts w:eastAsia="Calibri"/>
          <w:lang w:val="es-PE" w:eastAsia="en-US"/>
        </w:rPr>
        <w:t>2013 la Segunda Fiscalía Superior Penal Nacional emitió acusación fiscal y en febrero de 2016 emitió acusación única con respecto a todos los hechos de forma integral. La audiencia de control de acusación se realizó el 7 de octubre de 2016, después de l</w:t>
      </w:r>
      <w:r w:rsidR="00E2576D" w:rsidRPr="00092053">
        <w:rPr>
          <w:rFonts w:eastAsia="Calibri"/>
          <w:lang w:val="es-PE" w:eastAsia="en-US"/>
        </w:rPr>
        <w:t>o cual se inició el juicio oral</w:t>
      </w:r>
      <w:r w:rsidR="00C8443F" w:rsidRPr="00092053">
        <w:rPr>
          <w:rFonts w:eastAsia="Calibri"/>
          <w:vertAlign w:val="superscript"/>
          <w:lang w:val="es-PE" w:eastAsia="en-US"/>
        </w:rPr>
        <w:footnoteReference w:id="167"/>
      </w:r>
      <w:r w:rsidR="00E2576D" w:rsidRPr="00092053">
        <w:rPr>
          <w:rFonts w:eastAsia="Calibri"/>
          <w:lang w:val="es-PE" w:eastAsia="en-US"/>
        </w:rPr>
        <w:t>.</w:t>
      </w:r>
    </w:p>
    <w:p w:rsidR="002A208C" w:rsidRPr="00092053" w:rsidRDefault="00092053" w:rsidP="00574AEE">
      <w:pPr>
        <w:pStyle w:val="SingleTxtG"/>
        <w:rPr>
          <w:rFonts w:eastAsia="Calibri"/>
          <w:bCs/>
          <w:lang w:val="es-PE" w:eastAsia="en-US"/>
        </w:rPr>
      </w:pPr>
      <w:r w:rsidRPr="00574AEE">
        <w:rPr>
          <w:rFonts w:eastAsia="Calibri"/>
          <w:bCs/>
          <w:lang w:val="es-PE" w:eastAsia="en-US"/>
        </w:rPr>
        <w:t>162.</w:t>
      </w:r>
      <w:r w:rsidRPr="00574AEE">
        <w:rPr>
          <w:rFonts w:eastAsia="Calibri"/>
          <w:bCs/>
          <w:lang w:val="es-PE" w:eastAsia="en-US"/>
        </w:rPr>
        <w:tab/>
      </w:r>
      <w:r w:rsidR="00C8443F" w:rsidRPr="00092053">
        <w:rPr>
          <w:rFonts w:eastAsia="Calibri"/>
          <w:lang w:val="es-PE" w:eastAsia="en-US"/>
        </w:rPr>
        <w:t xml:space="preserve">Al respecto, se precisa que son 33 los procesados y 132 las víctimas. Por otro lado, de los restos </w:t>
      </w:r>
      <w:r w:rsidR="00C8443F" w:rsidRPr="00092053">
        <w:rPr>
          <w:rFonts w:eastAsia="Calibri"/>
          <w:lang w:val="es-ES_tradnl"/>
        </w:rPr>
        <w:t>recuperados</w:t>
      </w:r>
      <w:r w:rsidR="00C8443F" w:rsidRPr="00092053">
        <w:rPr>
          <w:rFonts w:eastAsia="Calibri"/>
          <w:lang w:val="es-PE" w:eastAsia="en-US"/>
        </w:rPr>
        <w:t xml:space="preserve"> se han logrado identificar, a través de procedimientos multidisciplinarios, 31 individuos (9 por examen de ADN). En total, a la fecha se han entregado 17 restos óseos a los familiares de las víctimas, existiendo un pendiente de 64 restos por identificar a través del examen de ADN por el Laboratorio de Biología Molecular y Genética del IML del MP, lo cual no se ha realizado por la falta de recursos económicos para adquirir lo</w:t>
      </w:r>
      <w:r w:rsidR="000900D3" w:rsidRPr="00092053">
        <w:rPr>
          <w:rFonts w:eastAsia="Calibri"/>
          <w:lang w:val="es-PE" w:eastAsia="en-US"/>
        </w:rPr>
        <w:t>s reactivos químicos necesarios</w:t>
      </w:r>
      <w:r w:rsidR="00C8443F" w:rsidRPr="00092053">
        <w:rPr>
          <w:rFonts w:eastAsia="Calibri"/>
          <w:vertAlign w:val="superscript"/>
          <w:lang w:val="es-PE" w:eastAsia="en-US"/>
        </w:rPr>
        <w:footnoteReference w:id="168"/>
      </w:r>
      <w:r w:rsidR="000900D3" w:rsidRPr="00092053">
        <w:rPr>
          <w:rFonts w:eastAsia="Calibri"/>
          <w:lang w:val="es-PE" w:eastAsia="en-US"/>
        </w:rPr>
        <w:t>.</w:t>
      </w:r>
    </w:p>
    <w:p w:rsidR="00C8443F" w:rsidRPr="00092053" w:rsidRDefault="00756371" w:rsidP="00756371">
      <w:pPr>
        <w:pStyle w:val="H23G"/>
        <w:rPr>
          <w:rFonts w:eastAsia="Calibri"/>
          <w:lang w:val="es-PE" w:eastAsia="en-US"/>
        </w:rPr>
      </w:pPr>
      <w:bookmarkStart w:id="178" w:name="_Toc468642613"/>
      <w:bookmarkStart w:id="179" w:name="_Toc468721283"/>
      <w:bookmarkStart w:id="180" w:name="_Toc471137681"/>
      <w:bookmarkStart w:id="181" w:name="_Toc472097466"/>
      <w:bookmarkStart w:id="182" w:name="_Toc484774089"/>
      <w:bookmarkStart w:id="183" w:name="_Toc468627321"/>
      <w:r w:rsidRPr="00092053">
        <w:rPr>
          <w:rFonts w:eastAsia="Calibri"/>
          <w:lang w:val="es-PE" w:eastAsia="en-US"/>
        </w:rPr>
        <w:tab/>
      </w:r>
      <w:r w:rsidRPr="00092053">
        <w:rPr>
          <w:rFonts w:eastAsia="Calibri"/>
          <w:lang w:val="es-PE" w:eastAsia="en-US"/>
        </w:rPr>
        <w:tab/>
      </w:r>
      <w:r w:rsidR="00C8443F" w:rsidRPr="00092053">
        <w:rPr>
          <w:rFonts w:eastAsia="Calibri"/>
          <w:lang w:val="es-PE" w:eastAsia="en-US"/>
        </w:rPr>
        <w:t>Respuesta al párrafo 26</w:t>
      </w:r>
      <w:bookmarkEnd w:id="178"/>
      <w:bookmarkEnd w:id="179"/>
      <w:bookmarkEnd w:id="180"/>
      <w:bookmarkEnd w:id="181"/>
      <w:bookmarkEnd w:id="182"/>
      <w:r w:rsidR="00C8443F" w:rsidRPr="00092053">
        <w:rPr>
          <w:rFonts w:eastAsia="Calibri"/>
          <w:lang w:val="es-PE" w:eastAsia="en-US"/>
        </w:rPr>
        <w:t xml:space="preserve"> </w:t>
      </w:r>
      <w:bookmarkEnd w:id="183"/>
    </w:p>
    <w:p w:rsidR="002A208C" w:rsidRPr="00092053" w:rsidRDefault="00092053" w:rsidP="00574AEE">
      <w:pPr>
        <w:pStyle w:val="SingleTxtG"/>
        <w:rPr>
          <w:rFonts w:eastAsia="Calibri"/>
          <w:sz w:val="22"/>
          <w:szCs w:val="22"/>
          <w:lang w:val="es-ES_tradnl"/>
        </w:rPr>
      </w:pPr>
      <w:r w:rsidRPr="00574AEE">
        <w:rPr>
          <w:rFonts w:eastAsia="Calibri"/>
          <w:lang w:val="es-ES_tradnl"/>
        </w:rPr>
        <w:t>163.</w:t>
      </w:r>
      <w:r w:rsidRPr="00574AEE">
        <w:rPr>
          <w:rFonts w:eastAsia="Calibri"/>
          <w:lang w:val="es-ES_tradnl"/>
        </w:rPr>
        <w:tab/>
      </w:r>
      <w:r w:rsidR="00C8443F" w:rsidRPr="00092053">
        <w:rPr>
          <w:rFonts w:eastAsia="Calibri"/>
          <w:lang w:val="es-PE" w:eastAsia="en-US"/>
        </w:rPr>
        <w:t>En relación con la adopción de medidas para proteger a personas del colectivo LGTBI, el Manual de DDHH aplicados a la función policial dispone que la policía deberá tratar a estas personas con el mismo respeto que cualquier otro ciudadano, debiendo evitar cualquier acto discriminatorio o vejatorio</w:t>
      </w:r>
      <w:r w:rsidR="00C8443F" w:rsidRPr="00092053">
        <w:rPr>
          <w:rFonts w:eastAsia="Calibri"/>
          <w:sz w:val="22"/>
          <w:szCs w:val="22"/>
          <w:vertAlign w:val="superscript"/>
          <w:lang w:val="es-ES_tradnl"/>
        </w:rPr>
        <w:footnoteReference w:id="169"/>
      </w:r>
      <w:r w:rsidR="000900D3" w:rsidRPr="00092053">
        <w:rPr>
          <w:rFonts w:eastAsia="Calibri"/>
          <w:lang w:val="es-PE" w:eastAsia="en-US"/>
        </w:rPr>
        <w:t>.</w:t>
      </w:r>
    </w:p>
    <w:p w:rsidR="002A208C" w:rsidRPr="00092053" w:rsidRDefault="00092053" w:rsidP="00574AEE">
      <w:pPr>
        <w:pStyle w:val="SingleTxtG"/>
        <w:rPr>
          <w:rFonts w:eastAsia="Calibri"/>
          <w:lang w:val="es-ES_tradnl"/>
        </w:rPr>
      </w:pPr>
      <w:r w:rsidRPr="00574AEE">
        <w:rPr>
          <w:rFonts w:eastAsia="Calibri"/>
          <w:lang w:val="es-ES_tradnl"/>
        </w:rPr>
        <w:t>164.</w:t>
      </w:r>
      <w:r w:rsidRPr="00574AEE">
        <w:rPr>
          <w:rFonts w:eastAsia="Calibri"/>
          <w:lang w:val="es-ES_tradnl"/>
        </w:rPr>
        <w:tab/>
      </w:r>
      <w:r w:rsidR="00C8443F" w:rsidRPr="00092053">
        <w:rPr>
          <w:rFonts w:eastAsia="Calibri"/>
          <w:lang w:val="es-ES_tradnl"/>
        </w:rPr>
        <w:t xml:space="preserve">En esa misma línea, el Decreto Legislativo </w:t>
      </w:r>
      <w:r w:rsidR="00CD52E7">
        <w:rPr>
          <w:rFonts w:eastAsia="Calibri"/>
          <w:lang w:val="es-ES_tradnl"/>
        </w:rPr>
        <w:t>núm.</w:t>
      </w:r>
      <w:r w:rsidR="00C8443F" w:rsidRPr="00092053">
        <w:rPr>
          <w:rFonts w:eastAsia="Calibri"/>
          <w:lang w:val="es-ES_tradnl"/>
        </w:rPr>
        <w:t xml:space="preserve"> 1268</w:t>
      </w:r>
      <w:r w:rsidR="00C8443F" w:rsidRPr="00092053">
        <w:rPr>
          <w:rFonts w:eastAsia="Calibri"/>
          <w:vertAlign w:val="superscript"/>
          <w:lang w:val="es-PE" w:eastAsia="en-US"/>
        </w:rPr>
        <w:footnoteReference w:id="170"/>
      </w:r>
      <w:r w:rsidR="00C8443F" w:rsidRPr="00092053">
        <w:rPr>
          <w:rFonts w:eastAsia="Calibri"/>
          <w:lang w:val="es-ES_tradnl"/>
        </w:rPr>
        <w:t xml:space="preserve"> del Régimen Disciplinario de la PNP señala como una infracción grave “actuar con motivo del ejercicio de su función, discriminando por diversas razones o de cualquier índole”.</w:t>
      </w:r>
    </w:p>
    <w:p w:rsidR="002A208C" w:rsidRPr="00092053" w:rsidRDefault="00092053" w:rsidP="00574AEE">
      <w:pPr>
        <w:pStyle w:val="SingleTxtG"/>
        <w:rPr>
          <w:rFonts w:eastAsia="Calibri"/>
          <w:lang w:val="es-PE" w:eastAsia="en-US"/>
        </w:rPr>
      </w:pPr>
      <w:r w:rsidRPr="00574AEE">
        <w:rPr>
          <w:rFonts w:eastAsia="Calibri"/>
          <w:lang w:val="es-PE" w:eastAsia="en-US"/>
        </w:rPr>
        <w:t>165.</w:t>
      </w:r>
      <w:r w:rsidRPr="00574AEE">
        <w:rPr>
          <w:rFonts w:eastAsia="Calibri"/>
          <w:lang w:val="es-PE" w:eastAsia="en-US"/>
        </w:rPr>
        <w:tab/>
      </w:r>
      <w:r w:rsidR="00C8443F" w:rsidRPr="00092053">
        <w:rPr>
          <w:rFonts w:eastAsia="Calibri"/>
          <w:lang w:val="es-PE" w:eastAsia="en-US"/>
        </w:rPr>
        <w:t xml:space="preserve">Por su parte, el </w:t>
      </w:r>
      <w:r w:rsidR="00C8443F" w:rsidRPr="00092053">
        <w:rPr>
          <w:rFonts w:eastAsia="Calibri"/>
          <w:lang w:val="es-ES_tradnl"/>
        </w:rPr>
        <w:t>MIMP</w:t>
      </w:r>
      <w:r w:rsidR="00C8443F" w:rsidRPr="00092053">
        <w:rPr>
          <w:rFonts w:eastAsia="Calibri"/>
          <w:lang w:val="es-PE" w:eastAsia="en-US"/>
        </w:rPr>
        <w:t xml:space="preserve"> viene desarrollando servicios que brindan atención y protección a las </w:t>
      </w:r>
      <w:r w:rsidR="000900D3" w:rsidRPr="00092053">
        <w:rPr>
          <w:rFonts w:eastAsia="Calibri"/>
          <w:lang w:val="es-PE" w:eastAsia="en-US"/>
        </w:rPr>
        <w:t>víctimas de violencia de género</w:t>
      </w:r>
      <w:r w:rsidR="00C8443F" w:rsidRPr="00092053">
        <w:rPr>
          <w:rFonts w:eastAsia="Calibri"/>
          <w:vertAlign w:val="superscript"/>
          <w:lang w:val="es-PE" w:eastAsia="en-US"/>
        </w:rPr>
        <w:footnoteReference w:id="171"/>
      </w:r>
      <w:r w:rsidR="000900D3"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166.</w:t>
      </w:r>
      <w:r w:rsidRPr="00574AEE">
        <w:rPr>
          <w:rFonts w:eastAsia="Calibri"/>
          <w:lang w:val="es-PE" w:eastAsia="en-US"/>
        </w:rPr>
        <w:tab/>
      </w:r>
      <w:r w:rsidR="00C8443F" w:rsidRPr="00092053">
        <w:rPr>
          <w:rFonts w:eastAsia="Calibri"/>
          <w:lang w:val="es-PE" w:eastAsia="en-US"/>
        </w:rPr>
        <w:t xml:space="preserve">En ese sentido, mediante la Resolución Directoral </w:t>
      </w:r>
      <w:r w:rsidR="00CD52E7">
        <w:rPr>
          <w:rFonts w:eastAsia="Calibri"/>
          <w:lang w:val="es-ES_tradnl"/>
        </w:rPr>
        <w:t>núm.</w:t>
      </w:r>
      <w:r w:rsidR="00C8443F" w:rsidRPr="00092053">
        <w:rPr>
          <w:rFonts w:eastAsia="Calibri"/>
          <w:lang w:val="es-PE" w:eastAsia="en-US"/>
        </w:rPr>
        <w:t xml:space="preserve"> 017-2016-MIMP/PNCVFS-DE se aprobaron los “</w:t>
      </w:r>
      <w:r w:rsidR="00C8443F" w:rsidRPr="00092053">
        <w:rPr>
          <w:rFonts w:eastAsia="Calibri"/>
          <w:lang w:val="es-ES_tradnl"/>
        </w:rPr>
        <w:t>Lineamientos</w:t>
      </w:r>
      <w:r w:rsidR="00C8443F" w:rsidRPr="00092053">
        <w:rPr>
          <w:rFonts w:eastAsia="Calibri"/>
          <w:lang w:val="es-PE" w:eastAsia="en-US"/>
        </w:rPr>
        <w:t xml:space="preserve"> para la atención de personas LGTBI en los servicios de atención del PNCVFS del MIMP” con la finalidad de estandarizar criterios y metodologías para la atención de lesbianas, gays, trans, bisexuales e intersexuales en los servicios del MIMP, especializados en violencia de género, con énfasis en la violencia en las relaciones familiares y la violencia sexual, garantizando una a</w:t>
      </w:r>
      <w:r w:rsidR="000900D3" w:rsidRPr="00092053">
        <w:rPr>
          <w:rFonts w:eastAsia="Calibri"/>
          <w:lang w:val="es-PE" w:eastAsia="en-US"/>
        </w:rPr>
        <w:t>tención libre de discriminación</w:t>
      </w:r>
      <w:r w:rsidR="00C8443F" w:rsidRPr="00092053">
        <w:rPr>
          <w:rFonts w:eastAsia="Calibri"/>
          <w:vertAlign w:val="superscript"/>
          <w:lang w:val="es-PE" w:eastAsia="en-US"/>
        </w:rPr>
        <w:footnoteReference w:id="172"/>
      </w:r>
      <w:r w:rsidR="000900D3"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167.</w:t>
      </w:r>
      <w:r w:rsidRPr="00574AEE">
        <w:rPr>
          <w:rFonts w:eastAsia="Calibri"/>
          <w:lang w:val="es-PE" w:eastAsia="en-US"/>
        </w:rPr>
        <w:tab/>
      </w:r>
      <w:r w:rsidR="00C8443F" w:rsidRPr="00092053">
        <w:rPr>
          <w:rFonts w:eastAsia="Calibri"/>
          <w:lang w:val="es-PE" w:eastAsia="en-US"/>
        </w:rPr>
        <w:t xml:space="preserve">Cabe señalar que en el reglamento de la Ley </w:t>
      </w:r>
      <w:r w:rsidR="00CD52E7">
        <w:rPr>
          <w:rFonts w:eastAsia="Calibri"/>
          <w:lang w:val="es-ES_tradnl"/>
        </w:rPr>
        <w:t>núm.</w:t>
      </w:r>
      <w:r w:rsidR="00C8443F" w:rsidRPr="00092053">
        <w:rPr>
          <w:rFonts w:eastAsia="Calibri"/>
          <w:lang w:val="es-PE" w:eastAsia="en-US"/>
        </w:rPr>
        <w:t xml:space="preserve"> 30364 se ha incluido la Ficha de Valoración de </w:t>
      </w:r>
      <w:r w:rsidR="00C8443F" w:rsidRPr="00092053">
        <w:rPr>
          <w:rFonts w:eastAsia="Calibri"/>
          <w:lang w:val="es-ES_tradnl"/>
        </w:rPr>
        <w:t>Riesgo</w:t>
      </w:r>
      <w:r w:rsidR="00C8443F" w:rsidRPr="00092053">
        <w:rPr>
          <w:rFonts w:eastAsia="Calibri"/>
          <w:lang w:val="es-PE" w:eastAsia="en-US"/>
        </w:rPr>
        <w:t xml:space="preserve"> en mujeres víctimas de violencia de pareja y su anexo de factores de vulnerabilidad que la complementa, que incorpora una sección sobre violencia por orientación sexual.</w:t>
      </w:r>
    </w:p>
    <w:p w:rsidR="002A208C" w:rsidRPr="00092053" w:rsidRDefault="00092053" w:rsidP="00574AEE">
      <w:pPr>
        <w:pStyle w:val="SingleTxtG"/>
        <w:rPr>
          <w:rFonts w:eastAsia="Calibri"/>
          <w:lang w:val="es-ES_tradnl"/>
        </w:rPr>
      </w:pPr>
      <w:r w:rsidRPr="00574AEE">
        <w:rPr>
          <w:rFonts w:eastAsia="Calibri"/>
          <w:lang w:val="es-ES_tradnl"/>
        </w:rPr>
        <w:t>168.</w:t>
      </w:r>
      <w:r w:rsidRPr="00574AEE">
        <w:rPr>
          <w:rFonts w:eastAsia="Calibri"/>
          <w:lang w:val="es-ES_tradnl"/>
        </w:rPr>
        <w:tab/>
      </w:r>
      <w:r w:rsidR="00C8443F" w:rsidRPr="00092053">
        <w:rPr>
          <w:rFonts w:eastAsia="Calibri"/>
          <w:lang w:val="es-ES_tradnl"/>
        </w:rPr>
        <w:t xml:space="preserve">Asimismo, es importante la creación de la “Mesa de Trabajo para promover los derechos de Gays, Transexuales, Bisexuales e Intersexuales (GTBI)” (Resolución Ministerial </w:t>
      </w:r>
      <w:r w:rsidR="00CD52E7">
        <w:rPr>
          <w:rFonts w:eastAsia="Calibri"/>
          <w:lang w:val="es-ES_tradnl"/>
        </w:rPr>
        <w:t>núm.</w:t>
      </w:r>
      <w:r w:rsidR="00C8443F" w:rsidRPr="00092053">
        <w:rPr>
          <w:rFonts w:eastAsia="Calibri"/>
          <w:lang w:val="es-ES_tradnl"/>
        </w:rPr>
        <w:t xml:space="preserve"> 294-2016-MIMP), cuyo fin es ser un mecanismo de coordinación entre el </w:t>
      </w:r>
      <w:r w:rsidR="00C8443F" w:rsidRPr="00092053">
        <w:rPr>
          <w:rFonts w:eastAsia="Calibri"/>
          <w:lang w:val="es-ES_tradnl"/>
        </w:rPr>
        <w:lastRenderedPageBreak/>
        <w:t>MIMP y la sociedad civil para promover propuestas de sensibilización orientadas a la sociedad en su conjunto para combatir la discriminación de la población GTBI y desarrollar acciones para la protección de sus derechos fundamentales y la promoción del ejercicio de los mismos, así como para la elaboración de propuestas de lineamientos d</w:t>
      </w:r>
      <w:r w:rsidR="000900D3" w:rsidRPr="00092053">
        <w:rPr>
          <w:rFonts w:eastAsia="Calibri"/>
          <w:lang w:val="es-ES_tradnl"/>
        </w:rPr>
        <w:t>e políticas públicas inclusivas</w:t>
      </w:r>
      <w:r w:rsidR="00C8443F" w:rsidRPr="00092053">
        <w:rPr>
          <w:rFonts w:eastAsia="Calibri"/>
          <w:vertAlign w:val="superscript"/>
          <w:lang w:val="es-ES_tradnl"/>
        </w:rPr>
        <w:footnoteReference w:id="173"/>
      </w:r>
      <w:r w:rsidR="000900D3" w:rsidRPr="00092053">
        <w:rPr>
          <w:rFonts w:eastAsia="Calibri"/>
          <w:lang w:val="es-ES_tradnl"/>
        </w:rPr>
        <w:t>.</w:t>
      </w:r>
      <w:r w:rsidR="00C8443F" w:rsidRPr="00092053">
        <w:rPr>
          <w:rFonts w:eastAsia="Calibri"/>
          <w:lang w:val="es-ES_tradnl"/>
        </w:rPr>
        <w:t xml:space="preserve"> </w:t>
      </w:r>
    </w:p>
    <w:p w:rsidR="002A208C" w:rsidRPr="00092053" w:rsidRDefault="00092053" w:rsidP="00574AEE">
      <w:pPr>
        <w:pStyle w:val="SingleTxtG"/>
        <w:rPr>
          <w:rFonts w:eastAsia="Calibri"/>
          <w:lang w:val="es-ES_tradnl"/>
        </w:rPr>
      </w:pPr>
      <w:r w:rsidRPr="00574AEE">
        <w:rPr>
          <w:rFonts w:eastAsia="Calibri"/>
          <w:lang w:val="es-ES_tradnl"/>
        </w:rPr>
        <w:t>169.</w:t>
      </w:r>
      <w:r w:rsidRPr="00574AEE">
        <w:rPr>
          <w:rFonts w:eastAsia="Calibri"/>
          <w:lang w:val="es-ES_tradnl"/>
        </w:rPr>
        <w:tab/>
      </w:r>
      <w:r w:rsidR="00C8443F" w:rsidRPr="00092053">
        <w:rPr>
          <w:rFonts w:eastAsia="Calibri"/>
          <w:lang w:val="es-ES_tradnl"/>
        </w:rPr>
        <w:t xml:space="preserve">Con anterioridad, mediante la Resolución Ministerial </w:t>
      </w:r>
      <w:r w:rsidR="00CD52E7">
        <w:rPr>
          <w:rFonts w:eastAsia="Calibri"/>
          <w:lang w:val="es-ES_tradnl"/>
        </w:rPr>
        <w:t>núm.</w:t>
      </w:r>
      <w:r w:rsidR="00C8443F" w:rsidRPr="00092053">
        <w:rPr>
          <w:rFonts w:eastAsia="Calibri"/>
          <w:lang w:val="es-ES_tradnl"/>
        </w:rPr>
        <w:t xml:space="preserve"> 099-2016-MIMP se conformó el Grupo de Trabajo</w:t>
      </w:r>
      <w:r w:rsidR="00C8443F" w:rsidRPr="00092053">
        <w:rPr>
          <w:rFonts w:eastAsia="Calibri"/>
          <w:vertAlign w:val="superscript"/>
          <w:lang w:val="es-ES_tradnl"/>
        </w:rPr>
        <w:footnoteReference w:id="174"/>
      </w:r>
      <w:r w:rsidR="00C8443F" w:rsidRPr="00092053">
        <w:rPr>
          <w:rFonts w:eastAsia="Calibri"/>
          <w:lang w:val="es-ES_tradnl"/>
        </w:rPr>
        <w:t xml:space="preserve"> denominado “Mesa de Trabajo para promover los derechos de lesbianas”, para viabilizar y eliminar la situación de exclusión y discriminación de las mujeres lesbianas y desarrollar acciones en la promoción y protección de sus derechos.</w:t>
      </w:r>
    </w:p>
    <w:p w:rsidR="002A208C" w:rsidRPr="00092053" w:rsidRDefault="00092053" w:rsidP="00574AEE">
      <w:pPr>
        <w:pStyle w:val="SingleTxtG"/>
        <w:rPr>
          <w:rFonts w:eastAsia="Calibri"/>
          <w:lang w:val="es-ES_tradnl"/>
        </w:rPr>
      </w:pPr>
      <w:r w:rsidRPr="00574AEE">
        <w:rPr>
          <w:rFonts w:eastAsia="Calibri"/>
          <w:lang w:val="es-ES_tradnl"/>
        </w:rPr>
        <w:t>170.</w:t>
      </w:r>
      <w:r w:rsidRPr="00574AEE">
        <w:rPr>
          <w:rFonts w:eastAsia="Calibri"/>
          <w:lang w:val="es-ES_tradnl"/>
        </w:rPr>
        <w:tab/>
      </w:r>
      <w:r w:rsidR="00C8443F" w:rsidRPr="00092053">
        <w:rPr>
          <w:rFonts w:eastAsia="Calibri"/>
          <w:lang w:val="es-ES_tradnl"/>
        </w:rPr>
        <w:t xml:space="preserve">Cabe señalar que mediante el Decreto Legislativo </w:t>
      </w:r>
      <w:r w:rsidR="00CD52E7">
        <w:rPr>
          <w:rFonts w:eastAsia="Calibri"/>
          <w:lang w:val="es-ES_tradnl"/>
        </w:rPr>
        <w:t>núm.</w:t>
      </w:r>
      <w:r w:rsidR="00C8443F" w:rsidRPr="00092053">
        <w:rPr>
          <w:rFonts w:eastAsia="Calibri"/>
          <w:lang w:val="es-ES_tradnl"/>
        </w:rPr>
        <w:t xml:space="preserve"> 1323 se incluyó en el tipo penal de discriminación (artículo 323° del CP), como motivo prohibido, la orientación sexual e identidad de género</w:t>
      </w:r>
      <w:r w:rsidR="00C8443F" w:rsidRPr="00092053">
        <w:rPr>
          <w:rFonts w:eastAsia="Calibri"/>
          <w:vertAlign w:val="superscript"/>
          <w:lang w:val="es-ES_tradnl"/>
        </w:rPr>
        <w:footnoteReference w:id="175"/>
      </w:r>
      <w:r w:rsidR="00C8443F" w:rsidRPr="00092053">
        <w:rPr>
          <w:rFonts w:eastAsia="Calibri"/>
          <w:lang w:val="es-ES_tradnl"/>
        </w:rPr>
        <w:t xml:space="preserve">; asimismo dichas causales fueron consideradas como agravantes de un delito (Art. 46° del CP). </w:t>
      </w:r>
    </w:p>
    <w:p w:rsidR="002A208C" w:rsidRPr="00092053" w:rsidRDefault="00092053" w:rsidP="00574AEE">
      <w:pPr>
        <w:pStyle w:val="SingleTxtG"/>
        <w:rPr>
          <w:rFonts w:eastAsia="Calibri"/>
          <w:lang w:val="es-ES_tradnl"/>
        </w:rPr>
      </w:pPr>
      <w:r w:rsidRPr="00574AEE">
        <w:rPr>
          <w:rFonts w:eastAsia="Calibri"/>
          <w:lang w:val="es-ES_tradnl"/>
        </w:rPr>
        <w:t>171.</w:t>
      </w:r>
      <w:r w:rsidRPr="00574AEE">
        <w:rPr>
          <w:rFonts w:eastAsia="Calibri"/>
          <w:lang w:val="es-ES_tradnl"/>
        </w:rPr>
        <w:tab/>
      </w:r>
      <w:r w:rsidR="00C8443F" w:rsidRPr="00092053">
        <w:rPr>
          <w:rFonts w:eastAsia="Calibri"/>
          <w:lang w:val="es-ES_tradnl"/>
        </w:rPr>
        <w:t>Otra política adoptada fue la creación de la Comisión Nacional contra la Discriminación</w:t>
      </w:r>
      <w:r w:rsidR="00C8443F" w:rsidRPr="00092053">
        <w:rPr>
          <w:rFonts w:eastAsia="Calibri"/>
          <w:vertAlign w:val="superscript"/>
          <w:lang w:val="es-ES_tradnl"/>
        </w:rPr>
        <w:footnoteReference w:id="176"/>
      </w:r>
      <w:r w:rsidR="00C8443F" w:rsidRPr="00092053">
        <w:rPr>
          <w:rFonts w:eastAsia="Calibri"/>
          <w:lang w:val="es-ES_tradnl"/>
        </w:rPr>
        <w:t xml:space="preserve"> (CONACOD) (Decreto Supremo </w:t>
      </w:r>
      <w:r w:rsidR="00CD52E7">
        <w:rPr>
          <w:rFonts w:eastAsia="Calibri"/>
          <w:lang w:val="es-ES_tradnl"/>
        </w:rPr>
        <w:t>núm.</w:t>
      </w:r>
      <w:r w:rsidR="00C8443F" w:rsidRPr="00092053">
        <w:rPr>
          <w:rFonts w:eastAsia="Calibri"/>
          <w:lang w:val="es-ES_tradnl"/>
        </w:rPr>
        <w:t xml:space="preserve"> 015-2013-JUS), cuyo fin es realizar labores de seguimiento, fiscalización, así como emitir opiniones y brindar asesoramiento técnico al Poder Ejecutivo en el desarrollo de políticas públicas, programas, proyectos, planes de acción y estrategias en materia de igualdad y no discriminación. </w:t>
      </w:r>
    </w:p>
    <w:p w:rsidR="002A208C" w:rsidRPr="00092053" w:rsidRDefault="00092053" w:rsidP="00574AEE">
      <w:pPr>
        <w:pStyle w:val="SingleTxtG"/>
        <w:rPr>
          <w:rFonts w:eastAsia="Calibri"/>
          <w:lang w:val="es-ES_tradnl"/>
        </w:rPr>
      </w:pPr>
      <w:r w:rsidRPr="00574AEE">
        <w:rPr>
          <w:rFonts w:eastAsia="Calibri"/>
          <w:lang w:val="es-ES_tradnl"/>
        </w:rPr>
        <w:t>172.</w:t>
      </w:r>
      <w:r w:rsidRPr="00574AEE">
        <w:rPr>
          <w:rFonts w:eastAsia="Calibri"/>
          <w:lang w:val="es-ES_tradnl"/>
        </w:rPr>
        <w:tab/>
      </w:r>
      <w:r w:rsidR="00C8443F" w:rsidRPr="00092053">
        <w:rPr>
          <w:rFonts w:eastAsia="Calibri"/>
          <w:lang w:val="es-ES_tradnl"/>
        </w:rPr>
        <w:t>Es importante señalar que el MINJUS ha iniciado la elaboración del nuevo PNDH 2017-2021, que incorpora, entre otros, a la población LGBTI como grupo en situación de especial protección, a fin de que se diseñen y ejecuten políticas a su favor y ejerzan plenamente sus derechos fundamentales.</w:t>
      </w:r>
    </w:p>
    <w:p w:rsidR="00C8443F" w:rsidRPr="00092053" w:rsidRDefault="00756371" w:rsidP="00756371">
      <w:pPr>
        <w:pStyle w:val="H23G"/>
        <w:rPr>
          <w:rFonts w:eastAsia="Calibri"/>
          <w:lang w:val="es-PE" w:eastAsia="en-US"/>
        </w:rPr>
      </w:pPr>
      <w:bookmarkStart w:id="184" w:name="_Toc468642614"/>
      <w:bookmarkStart w:id="185" w:name="_Toc468721284"/>
      <w:bookmarkStart w:id="186" w:name="_Toc471137682"/>
      <w:bookmarkStart w:id="187" w:name="_Toc472097467"/>
      <w:bookmarkStart w:id="188" w:name="_Toc484774090"/>
      <w:bookmarkStart w:id="189" w:name="_Toc468627322"/>
      <w:r w:rsidRPr="00092053">
        <w:rPr>
          <w:rFonts w:eastAsia="Calibri"/>
          <w:lang w:val="es-PE" w:eastAsia="en-US"/>
        </w:rPr>
        <w:tab/>
      </w:r>
      <w:r w:rsidRPr="00092053">
        <w:rPr>
          <w:rFonts w:eastAsia="Calibri"/>
          <w:lang w:val="es-PE" w:eastAsia="en-US"/>
        </w:rPr>
        <w:tab/>
      </w:r>
      <w:r w:rsidR="00C8443F" w:rsidRPr="00092053">
        <w:rPr>
          <w:rFonts w:eastAsia="Calibri"/>
          <w:lang w:val="es-PE" w:eastAsia="en-US"/>
        </w:rPr>
        <w:t>Respuesta al párrafo 27</w:t>
      </w:r>
      <w:bookmarkEnd w:id="184"/>
      <w:bookmarkEnd w:id="185"/>
      <w:bookmarkEnd w:id="186"/>
      <w:bookmarkEnd w:id="187"/>
      <w:bookmarkEnd w:id="188"/>
      <w:r w:rsidR="00C8443F" w:rsidRPr="00092053">
        <w:rPr>
          <w:rFonts w:eastAsia="Calibri"/>
          <w:lang w:val="es-PE" w:eastAsia="en-US"/>
        </w:rPr>
        <w:t xml:space="preserve"> </w:t>
      </w:r>
      <w:bookmarkEnd w:id="189"/>
    </w:p>
    <w:p w:rsidR="002A208C" w:rsidRPr="00092053" w:rsidRDefault="00092053" w:rsidP="00574AEE">
      <w:pPr>
        <w:pStyle w:val="SingleTxtG"/>
        <w:rPr>
          <w:rFonts w:eastAsia="Calibri"/>
          <w:lang w:val="es-ES_tradnl"/>
        </w:rPr>
      </w:pPr>
      <w:r w:rsidRPr="00574AEE">
        <w:rPr>
          <w:rFonts w:eastAsia="Calibri"/>
          <w:lang w:val="es-ES_tradnl"/>
        </w:rPr>
        <w:t>173.</w:t>
      </w:r>
      <w:r w:rsidRPr="00574AEE">
        <w:rPr>
          <w:rFonts w:eastAsia="Calibri"/>
          <w:lang w:val="es-ES_tradnl"/>
        </w:rPr>
        <w:tab/>
      </w:r>
      <w:r w:rsidR="00C8443F" w:rsidRPr="00092053">
        <w:rPr>
          <w:rFonts w:eastAsia="Calibri"/>
          <w:lang w:val="es-ES_tradnl"/>
        </w:rPr>
        <w:t>Durante el per</w:t>
      </w:r>
      <w:r w:rsidR="001069B7">
        <w:rPr>
          <w:rFonts w:eastAsia="Calibri"/>
          <w:lang w:val="es-ES_tradnl"/>
        </w:rPr>
        <w:t>í</w:t>
      </w:r>
      <w:r w:rsidR="00C8443F" w:rsidRPr="00092053">
        <w:rPr>
          <w:rFonts w:eastAsia="Calibri"/>
          <w:lang w:val="es-ES_tradnl"/>
        </w:rPr>
        <w:t>odo 2012</w:t>
      </w:r>
      <w:r w:rsidR="00AB3C05">
        <w:rPr>
          <w:rFonts w:eastAsia="Calibri"/>
          <w:lang w:val="es-ES_tradnl"/>
        </w:rPr>
        <w:t>-</w:t>
      </w:r>
      <w:r w:rsidR="00C8443F" w:rsidRPr="00092053">
        <w:rPr>
          <w:rFonts w:eastAsia="Calibri"/>
          <w:lang w:val="es-ES_tradnl"/>
        </w:rPr>
        <w:t>2016 fueron declarados 95 estados de emergencia</w:t>
      </w:r>
      <w:r w:rsidR="00C8443F" w:rsidRPr="00092053">
        <w:rPr>
          <w:rFonts w:eastAsia="Calibri"/>
          <w:vertAlign w:val="superscript"/>
          <w:lang w:val="es-ES_tradnl"/>
        </w:rPr>
        <w:footnoteReference w:id="177"/>
      </w:r>
      <w:r w:rsidR="00C8443F" w:rsidRPr="00092053">
        <w:rPr>
          <w:rFonts w:eastAsia="Calibri"/>
          <w:lang w:val="es-ES_tradnl"/>
        </w:rPr>
        <w:t xml:space="preserve">: 2012 (16), 2013 (18), 2014 (17), 2015 (22) y 2016 (22). De acuerdo con nuestra legislación y al artículo 137° de la CPP, en todos los casos quedaron suspendidos los derechos constitucionales relativos a la libertad y seguridad personales, la inviolabilidad de domicilio y la libertad de reunión y de tránsito en el territorio, reconocidos en los incisos 9), 11), 12) y 24), apartado f) del artículo 2° de la CPP. Ver </w:t>
      </w:r>
      <w:r w:rsidR="00C8443F" w:rsidRPr="00092053">
        <w:rPr>
          <w:rFonts w:eastAsia="Calibri"/>
          <w:b/>
          <w:lang w:val="es-ES_tradnl"/>
        </w:rPr>
        <w:t xml:space="preserve">tabla </w:t>
      </w:r>
      <w:r w:rsidR="00FA45BC" w:rsidRPr="00353E55">
        <w:rPr>
          <w:rFonts w:eastAsia="Calibri"/>
          <w:b/>
          <w:lang w:val="es-PE" w:eastAsia="en-US"/>
        </w:rPr>
        <w:t>núm.</w:t>
      </w:r>
      <w:r w:rsidR="00C8443F" w:rsidRPr="00092053">
        <w:rPr>
          <w:rFonts w:eastAsia="Calibri"/>
          <w:b/>
          <w:lang w:val="es-ES_tradnl"/>
        </w:rPr>
        <w:t xml:space="preserve"> 1° del Anexo </w:t>
      </w:r>
      <w:r w:rsidR="00FA45BC" w:rsidRPr="00353E55">
        <w:rPr>
          <w:rFonts w:eastAsia="Calibri"/>
          <w:b/>
          <w:lang w:val="es-PE" w:eastAsia="en-US"/>
        </w:rPr>
        <w:t>núm.</w:t>
      </w:r>
      <w:r w:rsidR="00C8443F" w:rsidRPr="00092053">
        <w:rPr>
          <w:rFonts w:eastAsia="Calibri"/>
          <w:b/>
          <w:lang w:val="es-ES_tradnl"/>
        </w:rPr>
        <w:t>14.</w:t>
      </w:r>
    </w:p>
    <w:p w:rsidR="00C8443F" w:rsidRPr="00092053" w:rsidRDefault="004F7B54" w:rsidP="004F7B54">
      <w:pPr>
        <w:pStyle w:val="H23G"/>
        <w:rPr>
          <w:rFonts w:eastAsia="Calibri"/>
          <w:lang w:val="es-PE" w:eastAsia="en-US"/>
        </w:rPr>
      </w:pPr>
      <w:bookmarkStart w:id="190" w:name="_Toc468642615"/>
      <w:bookmarkStart w:id="191" w:name="_Toc468721285"/>
      <w:bookmarkStart w:id="192" w:name="_Toc471137683"/>
      <w:bookmarkStart w:id="193" w:name="_Toc472097468"/>
      <w:bookmarkStart w:id="194" w:name="_Toc484774091"/>
      <w:bookmarkStart w:id="195" w:name="_Toc468627323"/>
      <w:r w:rsidRPr="00092053">
        <w:rPr>
          <w:rFonts w:eastAsia="Calibri"/>
          <w:lang w:val="es-PE" w:eastAsia="en-US"/>
        </w:rPr>
        <w:tab/>
      </w:r>
      <w:r w:rsidRPr="00092053">
        <w:rPr>
          <w:rFonts w:eastAsia="Calibri"/>
          <w:lang w:val="es-PE" w:eastAsia="en-US"/>
        </w:rPr>
        <w:tab/>
      </w:r>
      <w:r w:rsidR="00C8443F" w:rsidRPr="00092053">
        <w:rPr>
          <w:rFonts w:eastAsia="Calibri"/>
          <w:lang w:val="es-PE" w:eastAsia="en-US"/>
        </w:rPr>
        <w:t>Respuesta al párrafo 28</w:t>
      </w:r>
      <w:bookmarkEnd w:id="190"/>
      <w:bookmarkEnd w:id="191"/>
      <w:bookmarkEnd w:id="192"/>
      <w:bookmarkEnd w:id="193"/>
      <w:bookmarkEnd w:id="194"/>
      <w:r w:rsidR="00C8443F" w:rsidRPr="00092053">
        <w:rPr>
          <w:rFonts w:eastAsia="Calibri"/>
          <w:lang w:val="es-PE" w:eastAsia="en-US"/>
        </w:rPr>
        <w:t xml:space="preserve"> </w:t>
      </w:r>
      <w:bookmarkEnd w:id="195"/>
    </w:p>
    <w:p w:rsidR="002A208C" w:rsidRPr="00092053" w:rsidRDefault="00092053" w:rsidP="00574AEE">
      <w:pPr>
        <w:pStyle w:val="SingleTxtG"/>
        <w:rPr>
          <w:rFonts w:eastAsia="Calibri"/>
          <w:lang w:eastAsia="en-US"/>
        </w:rPr>
      </w:pPr>
      <w:r w:rsidRPr="00574AEE">
        <w:rPr>
          <w:rFonts w:eastAsia="Calibri"/>
          <w:lang w:eastAsia="en-US"/>
        </w:rPr>
        <w:t>174.</w:t>
      </w:r>
      <w:r w:rsidRPr="00574AEE">
        <w:rPr>
          <w:rFonts w:eastAsia="Calibri"/>
          <w:lang w:eastAsia="en-US"/>
        </w:rPr>
        <w:tab/>
      </w:r>
      <w:r w:rsidR="00C8443F" w:rsidRPr="00092053">
        <w:rPr>
          <w:rFonts w:eastAsia="Calibri"/>
          <w:lang w:val="es-PE" w:eastAsia="en-US"/>
        </w:rPr>
        <w:t xml:space="preserve">En relación con las </w:t>
      </w:r>
      <w:r w:rsidR="00C8443F" w:rsidRPr="00092053">
        <w:rPr>
          <w:rFonts w:eastAsia="Calibri"/>
          <w:lang w:val="es-ES_tradnl"/>
        </w:rPr>
        <w:t>investigaciones</w:t>
      </w:r>
      <w:r w:rsidR="00C8443F" w:rsidRPr="00092053">
        <w:rPr>
          <w:rFonts w:eastAsia="Calibri"/>
          <w:lang w:val="es-PE" w:eastAsia="en-US"/>
        </w:rPr>
        <w:t xml:space="preserve"> y enjuiciamientos por graves violaciones de DDHH cometidas durante el per</w:t>
      </w:r>
      <w:r w:rsidR="001069B7">
        <w:rPr>
          <w:rFonts w:eastAsia="Calibri"/>
          <w:lang w:val="es-PE" w:eastAsia="en-US"/>
        </w:rPr>
        <w:t>í</w:t>
      </w:r>
      <w:r w:rsidR="00C8443F" w:rsidRPr="00092053">
        <w:rPr>
          <w:rFonts w:eastAsia="Calibri"/>
          <w:lang w:val="es-PE" w:eastAsia="en-US"/>
        </w:rPr>
        <w:t>odo de violencia entre 1980 y 2000, en el 2015 las Fiscalías Penales Supraprovinciales de Lima han registrado un total de 44 investigaciones preliminares y 25 procesos judiciales, ambos por delitos contra la humanidad</w:t>
      </w:r>
      <w:r w:rsidR="00C8443F" w:rsidRPr="00092053">
        <w:rPr>
          <w:rFonts w:eastAsia="Calibri"/>
          <w:vertAlign w:val="superscript"/>
          <w:lang w:val="es-PE" w:eastAsia="en-US"/>
        </w:rPr>
        <w:footnoteReference w:id="178"/>
      </w:r>
      <w:r w:rsidR="00C8443F" w:rsidRPr="00092053">
        <w:rPr>
          <w:rFonts w:eastAsia="Calibri"/>
          <w:lang w:val="es-PE" w:eastAsia="en-US"/>
        </w:rPr>
        <w:t xml:space="preserve">. </w:t>
      </w:r>
      <w:r w:rsidR="00C8443F" w:rsidRPr="00092053">
        <w:rPr>
          <w:rFonts w:eastAsia="Calibri"/>
          <w:lang w:val="es-ES_tradnl"/>
        </w:rPr>
        <w:t>Ver</w:t>
      </w:r>
      <w:r w:rsidR="00C8443F" w:rsidRPr="00092053">
        <w:rPr>
          <w:rFonts w:eastAsia="Calibri"/>
          <w:b/>
          <w:lang w:val="es-ES_tradnl"/>
        </w:rPr>
        <w:t xml:space="preserve"> </w:t>
      </w:r>
      <w:r w:rsidR="00C8443F" w:rsidRPr="00092053">
        <w:rPr>
          <w:rFonts w:eastAsia="Calibri"/>
          <w:b/>
          <w:lang w:val="es-PE" w:eastAsia="en-US"/>
        </w:rPr>
        <w:t xml:space="preserve">tablas </w:t>
      </w:r>
      <w:r w:rsidR="00FA45BC" w:rsidRPr="00353E55">
        <w:rPr>
          <w:rFonts w:eastAsia="Calibri"/>
          <w:b/>
          <w:lang w:val="es-PE" w:eastAsia="en-US"/>
        </w:rPr>
        <w:t>núm</w:t>
      </w:r>
      <w:r w:rsidR="00CD52E7">
        <w:rPr>
          <w:rFonts w:eastAsia="Calibri"/>
          <w:b/>
          <w:lang w:val="es-PE" w:eastAsia="en-US"/>
        </w:rPr>
        <w:t>s</w:t>
      </w:r>
      <w:r w:rsidR="00FA45BC" w:rsidRPr="00353E55">
        <w:rPr>
          <w:rFonts w:eastAsia="Calibri"/>
          <w:b/>
          <w:lang w:val="es-PE" w:eastAsia="en-US"/>
        </w:rPr>
        <w:t>.</w:t>
      </w:r>
      <w:r w:rsidR="00C8443F" w:rsidRPr="00092053">
        <w:rPr>
          <w:rFonts w:eastAsia="Calibri"/>
          <w:b/>
          <w:lang w:val="es-PE" w:eastAsia="en-US"/>
        </w:rPr>
        <w:t xml:space="preserve"> 1 y 2 del Anexo </w:t>
      </w:r>
      <w:r w:rsidR="00CD52E7" w:rsidRPr="00353E55">
        <w:rPr>
          <w:rFonts w:eastAsia="Calibri"/>
          <w:b/>
          <w:lang w:val="es-PE" w:eastAsia="en-US"/>
        </w:rPr>
        <w:t>núm.</w:t>
      </w:r>
      <w:r w:rsidR="00C8443F" w:rsidRPr="00092053">
        <w:rPr>
          <w:rFonts w:eastAsia="Calibri"/>
          <w:b/>
          <w:lang w:val="es-PE" w:eastAsia="en-US"/>
        </w:rPr>
        <w:t xml:space="preserve"> 15.</w:t>
      </w:r>
    </w:p>
    <w:p w:rsidR="002A208C" w:rsidRPr="00092053" w:rsidRDefault="00092053" w:rsidP="00574AEE">
      <w:pPr>
        <w:pStyle w:val="SingleTxtG"/>
        <w:rPr>
          <w:rFonts w:eastAsia="Calibri"/>
          <w:lang w:eastAsia="en-US"/>
        </w:rPr>
      </w:pPr>
      <w:r w:rsidRPr="00574AEE">
        <w:rPr>
          <w:rFonts w:eastAsia="Calibri"/>
          <w:lang w:eastAsia="en-US"/>
        </w:rPr>
        <w:lastRenderedPageBreak/>
        <w:t>175.</w:t>
      </w:r>
      <w:r w:rsidRPr="00574AEE">
        <w:rPr>
          <w:rFonts w:eastAsia="Calibri"/>
          <w:lang w:eastAsia="en-US"/>
        </w:rPr>
        <w:tab/>
      </w:r>
      <w:r w:rsidR="00C8443F" w:rsidRPr="00092053">
        <w:rPr>
          <w:rFonts w:eastAsia="Calibri"/>
          <w:lang w:val="es-PE" w:eastAsia="en-US"/>
        </w:rPr>
        <w:t xml:space="preserve">Por su parte, durante el </w:t>
      </w:r>
      <w:r w:rsidR="00C8443F" w:rsidRPr="00092053">
        <w:rPr>
          <w:rFonts w:eastAsia="Calibri"/>
          <w:lang w:val="es-ES_tradnl"/>
        </w:rPr>
        <w:t>2015</w:t>
      </w:r>
      <w:r w:rsidR="00C8443F" w:rsidRPr="00092053">
        <w:rPr>
          <w:rFonts w:eastAsia="Calibri"/>
          <w:lang w:val="es-PE" w:eastAsia="en-US"/>
        </w:rPr>
        <w:t xml:space="preserve"> las fiscalías especializadas de Ayacucho (2), Ayacucho</w:t>
      </w:r>
      <w:r w:rsidR="00AB3C05">
        <w:rPr>
          <w:rFonts w:eastAsia="Calibri"/>
          <w:lang w:val="es-PE" w:eastAsia="en-US"/>
        </w:rPr>
        <w:t>-</w:t>
      </w:r>
      <w:r w:rsidR="00C8443F" w:rsidRPr="00092053">
        <w:rPr>
          <w:rFonts w:eastAsia="Calibri"/>
          <w:lang w:val="es-PE" w:eastAsia="en-US"/>
        </w:rPr>
        <w:t>Huancavelica (1), Huancayo (1) y Huánuco (1) cuentan con un íntegro de 378 investigaciones preliminares por delito</w:t>
      </w:r>
      <w:r w:rsidR="00C8443F" w:rsidRPr="00092053">
        <w:rPr>
          <w:rFonts w:eastAsia="Calibri"/>
          <w:strike/>
          <w:lang w:val="es-PE" w:eastAsia="en-US"/>
        </w:rPr>
        <w:t>s</w:t>
      </w:r>
      <w:r w:rsidR="00C8443F" w:rsidRPr="00092053">
        <w:rPr>
          <w:rFonts w:eastAsia="Calibri"/>
          <w:lang w:val="es-PE" w:eastAsia="en-US"/>
        </w:rPr>
        <w:t xml:space="preserve"> contra la humanidad</w:t>
      </w:r>
      <w:r w:rsidR="00C8443F" w:rsidRPr="00092053">
        <w:rPr>
          <w:rFonts w:eastAsia="Calibri"/>
          <w:vertAlign w:val="superscript"/>
          <w:lang w:val="es-PE" w:eastAsia="en-US"/>
        </w:rPr>
        <w:footnoteReference w:id="179"/>
      </w:r>
      <w:r w:rsidR="00C8443F" w:rsidRPr="00092053">
        <w:rPr>
          <w:rFonts w:eastAsia="Calibri"/>
          <w:lang w:val="es-PE" w:eastAsia="en-US"/>
        </w:rPr>
        <w:t xml:space="preserve">. Ver </w:t>
      </w:r>
      <w:r w:rsidR="00C8443F" w:rsidRPr="00092053">
        <w:rPr>
          <w:rFonts w:eastAsia="Calibri"/>
          <w:b/>
          <w:lang w:val="es-PE" w:eastAsia="en-US"/>
        </w:rPr>
        <w:t xml:space="preserve">tabla </w:t>
      </w:r>
      <w:r w:rsidR="00CD52E7" w:rsidRPr="00353E55">
        <w:rPr>
          <w:rFonts w:eastAsia="Calibri"/>
          <w:b/>
          <w:lang w:val="es-PE" w:eastAsia="en-US"/>
        </w:rPr>
        <w:t>núm.</w:t>
      </w:r>
      <w:r w:rsidR="00C8443F" w:rsidRPr="00092053">
        <w:rPr>
          <w:rFonts w:eastAsia="Calibri"/>
          <w:b/>
          <w:lang w:val="es-PE" w:eastAsia="en-US"/>
        </w:rPr>
        <w:t xml:space="preserve"> 3 del Anexo </w:t>
      </w:r>
      <w:r w:rsidR="00CD52E7" w:rsidRPr="00353E55">
        <w:rPr>
          <w:rFonts w:eastAsia="Calibri"/>
          <w:b/>
          <w:lang w:val="es-PE" w:eastAsia="en-US"/>
        </w:rPr>
        <w:t>núm.</w:t>
      </w:r>
      <w:r w:rsidR="00C8443F" w:rsidRPr="00092053">
        <w:rPr>
          <w:rFonts w:eastAsia="Calibri"/>
          <w:b/>
          <w:lang w:val="es-PE" w:eastAsia="en-US"/>
        </w:rPr>
        <w:t xml:space="preserve"> 15.</w:t>
      </w:r>
    </w:p>
    <w:p w:rsidR="002A208C" w:rsidRPr="00092053" w:rsidRDefault="00092053" w:rsidP="00574AEE">
      <w:pPr>
        <w:pStyle w:val="SingleTxtG"/>
        <w:rPr>
          <w:rFonts w:eastAsia="Calibri"/>
          <w:b/>
          <w:lang w:eastAsia="en-US"/>
        </w:rPr>
      </w:pPr>
      <w:r w:rsidRPr="00574AEE">
        <w:rPr>
          <w:rFonts w:eastAsia="Calibri"/>
          <w:lang w:eastAsia="en-US"/>
        </w:rPr>
        <w:t>176.</w:t>
      </w:r>
      <w:r w:rsidRPr="00574AEE">
        <w:rPr>
          <w:rFonts w:eastAsia="Calibri"/>
          <w:lang w:eastAsia="en-US"/>
        </w:rPr>
        <w:tab/>
      </w:r>
      <w:r w:rsidR="00C8443F" w:rsidRPr="00092053">
        <w:rPr>
          <w:rFonts w:eastAsia="Calibri"/>
          <w:lang w:val="es-PE" w:eastAsia="en-US"/>
        </w:rPr>
        <w:t xml:space="preserve">De las fiscalías </w:t>
      </w:r>
      <w:r w:rsidR="00C8443F" w:rsidRPr="00092053">
        <w:rPr>
          <w:rFonts w:eastAsia="Calibri"/>
          <w:lang w:val="es-ES_tradnl"/>
        </w:rPr>
        <w:t>nombradas</w:t>
      </w:r>
      <w:r w:rsidR="00C8443F" w:rsidRPr="00092053">
        <w:rPr>
          <w:rFonts w:eastAsia="Calibri"/>
          <w:lang w:val="es-PE" w:eastAsia="en-US"/>
        </w:rPr>
        <w:t>, solo la 1° y 2° Fiscalías Supraprovinciales de Ayacucho se encargan, también, de instruir procesos judiciales, mientras que las restantes solo se avocan al conocimiento de investigaciones preliminares. En total son 19 los procesos judiciales por delitos contra la humanidad</w:t>
      </w:r>
      <w:r w:rsidR="00C8443F" w:rsidRPr="00092053">
        <w:rPr>
          <w:rFonts w:eastAsia="Calibri"/>
          <w:vertAlign w:val="superscript"/>
          <w:lang w:val="es-PE" w:eastAsia="en-US"/>
        </w:rPr>
        <w:footnoteReference w:id="180"/>
      </w:r>
      <w:r w:rsidR="00C8443F" w:rsidRPr="00092053">
        <w:rPr>
          <w:rFonts w:eastAsia="Calibri"/>
          <w:lang w:val="es-PE" w:eastAsia="en-US"/>
        </w:rPr>
        <w:t>.</w:t>
      </w:r>
      <w:r w:rsidR="00C8443F" w:rsidRPr="00092053">
        <w:rPr>
          <w:rFonts w:eastAsia="Calibri"/>
          <w:lang w:val="es-ES_tradnl"/>
        </w:rPr>
        <w:t xml:space="preserve"> Ver</w:t>
      </w:r>
      <w:r w:rsidR="00C8443F" w:rsidRPr="00092053">
        <w:rPr>
          <w:rFonts w:eastAsia="Calibri"/>
          <w:b/>
          <w:lang w:val="es-PE" w:eastAsia="en-US"/>
        </w:rPr>
        <w:t xml:space="preserve"> tabla </w:t>
      </w:r>
      <w:r w:rsidR="00CD52E7" w:rsidRPr="00353E55">
        <w:rPr>
          <w:rFonts w:eastAsia="Calibri"/>
          <w:b/>
          <w:lang w:val="es-PE" w:eastAsia="en-US"/>
        </w:rPr>
        <w:t>núm.</w:t>
      </w:r>
      <w:r w:rsidR="00C8443F" w:rsidRPr="00092053">
        <w:rPr>
          <w:rFonts w:eastAsia="Calibri"/>
          <w:b/>
          <w:lang w:val="es-PE" w:eastAsia="en-US"/>
        </w:rPr>
        <w:t xml:space="preserve"> 4 del Anexo </w:t>
      </w:r>
      <w:r w:rsidR="00CD52E7" w:rsidRPr="00353E55">
        <w:rPr>
          <w:rFonts w:eastAsia="Calibri"/>
          <w:b/>
          <w:lang w:val="es-PE" w:eastAsia="en-US"/>
        </w:rPr>
        <w:t>núm.</w:t>
      </w:r>
      <w:r w:rsidR="00C8443F" w:rsidRPr="00092053">
        <w:rPr>
          <w:rFonts w:eastAsia="Calibri"/>
          <w:b/>
          <w:lang w:val="es-PE" w:eastAsia="en-US"/>
        </w:rPr>
        <w:t xml:space="preserve"> 15.</w:t>
      </w:r>
    </w:p>
    <w:p w:rsidR="002A208C" w:rsidRPr="00092053" w:rsidRDefault="00092053" w:rsidP="00574AEE">
      <w:pPr>
        <w:pStyle w:val="SingleTxtG"/>
        <w:rPr>
          <w:rFonts w:eastAsia="Calibri"/>
          <w:lang w:eastAsia="en-US"/>
        </w:rPr>
      </w:pPr>
      <w:r w:rsidRPr="00574AEE">
        <w:rPr>
          <w:rFonts w:eastAsia="Calibri"/>
          <w:lang w:eastAsia="en-US"/>
        </w:rPr>
        <w:t>177.</w:t>
      </w:r>
      <w:r w:rsidRPr="00574AEE">
        <w:rPr>
          <w:rFonts w:eastAsia="Calibri"/>
          <w:lang w:eastAsia="en-US"/>
        </w:rPr>
        <w:tab/>
      </w:r>
      <w:r w:rsidR="00C8443F" w:rsidRPr="00092053">
        <w:rPr>
          <w:rFonts w:eastAsia="Calibri"/>
          <w:lang w:eastAsia="en-US"/>
        </w:rPr>
        <w:t>Por otro lado, el PJ ha dado a conocer la siguiente información estadística actualizada sobre la investigación y el enjuiciamiento de las violaciones de DDHH</w:t>
      </w:r>
      <w:r w:rsidR="00C8443F" w:rsidRPr="00092053">
        <w:rPr>
          <w:rFonts w:eastAsia="Calibri"/>
          <w:vertAlign w:val="superscript"/>
          <w:lang w:eastAsia="en-US"/>
        </w:rPr>
        <w:footnoteReference w:id="181"/>
      </w:r>
      <w:r w:rsidR="00C8443F" w:rsidRPr="00092053">
        <w:rPr>
          <w:rFonts w:eastAsia="Calibri"/>
          <w:lang w:eastAsia="en-US"/>
        </w:rPr>
        <w:t xml:space="preserve">. Ver </w:t>
      </w:r>
      <w:r w:rsidR="00C8443F" w:rsidRPr="00092053">
        <w:rPr>
          <w:rFonts w:eastAsia="Calibri"/>
          <w:b/>
          <w:lang w:val="es-PE" w:eastAsia="en-US"/>
        </w:rPr>
        <w:t xml:space="preserve">tabla </w:t>
      </w:r>
      <w:r w:rsidR="00CD52E7" w:rsidRPr="00353E55">
        <w:rPr>
          <w:rFonts w:eastAsia="Calibri"/>
          <w:b/>
          <w:lang w:val="es-PE" w:eastAsia="en-US"/>
        </w:rPr>
        <w:t>núm.</w:t>
      </w:r>
      <w:r w:rsidR="00C8443F" w:rsidRPr="00092053">
        <w:rPr>
          <w:rFonts w:eastAsia="Calibri"/>
          <w:b/>
          <w:lang w:val="es-PE" w:eastAsia="en-US"/>
        </w:rPr>
        <w:t xml:space="preserve"> 5 del Anexo </w:t>
      </w:r>
      <w:r w:rsidR="00CD52E7" w:rsidRPr="00353E55">
        <w:rPr>
          <w:rFonts w:eastAsia="Calibri"/>
          <w:b/>
          <w:lang w:val="es-PE" w:eastAsia="en-US"/>
        </w:rPr>
        <w:t>núm.</w:t>
      </w:r>
      <w:r w:rsidR="00C8443F" w:rsidRPr="00092053">
        <w:rPr>
          <w:rFonts w:eastAsia="Calibri"/>
          <w:b/>
          <w:lang w:val="es-PE" w:eastAsia="en-US"/>
        </w:rPr>
        <w:t xml:space="preserve"> 15</w:t>
      </w:r>
      <w:r w:rsidR="00C8443F" w:rsidRPr="00092053">
        <w:rPr>
          <w:rFonts w:eastAsia="Calibri"/>
          <w:lang w:eastAsia="en-US"/>
        </w:rPr>
        <w:t>:</w:t>
      </w:r>
    </w:p>
    <w:p w:rsidR="002A208C" w:rsidRPr="00092053" w:rsidRDefault="00CB07F5" w:rsidP="00CB07F5">
      <w:pPr>
        <w:pStyle w:val="SingleTxtG"/>
        <w:rPr>
          <w:rFonts w:eastAsia="Calibri"/>
          <w:lang w:eastAsia="en-US"/>
        </w:rPr>
      </w:pPr>
      <w:r w:rsidRPr="00092053">
        <w:rPr>
          <w:rFonts w:eastAsia="Calibri"/>
          <w:lang w:val="es-PE" w:eastAsia="en-US"/>
        </w:rPr>
        <w:tab/>
        <w:t>1)</w:t>
      </w:r>
      <w:r w:rsidRPr="00092053">
        <w:rPr>
          <w:rFonts w:eastAsia="Calibri"/>
          <w:lang w:val="es-PE" w:eastAsia="en-US"/>
        </w:rPr>
        <w:tab/>
      </w:r>
      <w:r w:rsidR="00C8443F" w:rsidRPr="00092053">
        <w:rPr>
          <w:rFonts w:eastAsia="Calibri"/>
          <w:lang w:val="es-MX" w:eastAsia="en-US"/>
        </w:rPr>
        <w:t>Respecto</w:t>
      </w:r>
      <w:r w:rsidR="00C8443F" w:rsidRPr="00092053">
        <w:rPr>
          <w:rFonts w:eastAsia="Calibri"/>
          <w:lang w:eastAsia="en-US"/>
        </w:rPr>
        <w:t xml:space="preserve"> a la comisión de delitos contra la humanidad, en el per</w:t>
      </w:r>
      <w:r w:rsidR="001069B7">
        <w:rPr>
          <w:rFonts w:eastAsia="Calibri"/>
          <w:lang w:eastAsia="en-US"/>
        </w:rPr>
        <w:t>í</w:t>
      </w:r>
      <w:r w:rsidR="00C8443F" w:rsidRPr="00092053">
        <w:rPr>
          <w:rFonts w:eastAsia="Calibri"/>
          <w:lang w:eastAsia="en-US"/>
        </w:rPr>
        <w:t>odo 2012 a agosto de 2016, hay 72 sentenciados, 64 condenados, 157 absueltos, 26 reservados.</w:t>
      </w:r>
    </w:p>
    <w:p w:rsidR="002A208C" w:rsidRPr="00092053" w:rsidRDefault="00CB07F5" w:rsidP="00CB07F5">
      <w:pPr>
        <w:pStyle w:val="SingleTxtG"/>
        <w:rPr>
          <w:rFonts w:eastAsia="Calibri"/>
          <w:lang w:eastAsia="en-US"/>
        </w:rPr>
      </w:pPr>
      <w:r w:rsidRPr="00092053">
        <w:rPr>
          <w:rFonts w:eastAsia="Calibri"/>
          <w:lang w:val="es-PE" w:eastAsia="en-US"/>
        </w:rPr>
        <w:tab/>
        <w:t>2)</w:t>
      </w:r>
      <w:r w:rsidRPr="00092053">
        <w:rPr>
          <w:rFonts w:eastAsia="Calibri"/>
          <w:lang w:val="es-PE" w:eastAsia="en-US"/>
        </w:rPr>
        <w:tab/>
      </w:r>
      <w:r w:rsidR="00C8443F" w:rsidRPr="00092053">
        <w:rPr>
          <w:rFonts w:eastAsia="Calibri"/>
          <w:lang w:eastAsia="en-US"/>
        </w:rPr>
        <w:t>Con relación al delito de tortura, en el per</w:t>
      </w:r>
      <w:r w:rsidR="001069B7">
        <w:rPr>
          <w:rFonts w:eastAsia="Calibri"/>
          <w:lang w:eastAsia="en-US"/>
        </w:rPr>
        <w:t>í</w:t>
      </w:r>
      <w:r w:rsidR="00C8443F" w:rsidRPr="00092053">
        <w:rPr>
          <w:rFonts w:eastAsia="Calibri"/>
          <w:lang w:eastAsia="en-US"/>
        </w:rPr>
        <w:t>odo 2012 a agosto de 2016, se informó de 22 procesos, 64 procesados, 13 condenados, 49 absueltos, 1 sobreseimiento y 1 retiro de acusación.</w:t>
      </w:r>
    </w:p>
    <w:p w:rsidR="002A208C" w:rsidRPr="00092053" w:rsidRDefault="00CB07F5" w:rsidP="00CB07F5">
      <w:pPr>
        <w:pStyle w:val="SingleTxtG"/>
        <w:rPr>
          <w:rFonts w:eastAsia="Calibri"/>
          <w:lang w:eastAsia="en-US"/>
        </w:rPr>
      </w:pPr>
      <w:r w:rsidRPr="00092053">
        <w:rPr>
          <w:rFonts w:eastAsia="Calibri"/>
          <w:lang w:val="es-PE" w:eastAsia="en-US"/>
        </w:rPr>
        <w:tab/>
        <w:t>3)</w:t>
      </w:r>
      <w:r w:rsidRPr="00092053">
        <w:rPr>
          <w:rFonts w:eastAsia="Calibri"/>
          <w:lang w:val="es-PE" w:eastAsia="en-US"/>
        </w:rPr>
        <w:tab/>
      </w:r>
      <w:r w:rsidR="00C8443F" w:rsidRPr="00092053">
        <w:rPr>
          <w:rFonts w:eastAsia="Calibri"/>
          <w:lang w:eastAsia="en-US"/>
        </w:rPr>
        <w:t>Respecto de los casos de desapariciones forzadas, en el per</w:t>
      </w:r>
      <w:r w:rsidR="001069B7">
        <w:rPr>
          <w:rFonts w:eastAsia="Calibri"/>
          <w:lang w:eastAsia="en-US"/>
        </w:rPr>
        <w:t>í</w:t>
      </w:r>
      <w:r w:rsidR="00C8443F" w:rsidRPr="00092053">
        <w:rPr>
          <w:rFonts w:eastAsia="Calibri"/>
          <w:lang w:eastAsia="en-US"/>
        </w:rPr>
        <w:t xml:space="preserve">odo 2012-2015 hubo 17 procesos, 38 procesados, 13 condenados, 23 absueltos y 2 reservados. </w:t>
      </w:r>
    </w:p>
    <w:p w:rsidR="002A208C" w:rsidRPr="00092053" w:rsidRDefault="00092053" w:rsidP="00574AEE">
      <w:pPr>
        <w:pStyle w:val="SingleTxtG"/>
        <w:rPr>
          <w:rFonts w:eastAsia="Calibri"/>
          <w:b/>
          <w:lang w:val="es-PE" w:eastAsia="en-US"/>
        </w:rPr>
      </w:pPr>
      <w:r w:rsidRPr="00574AEE">
        <w:rPr>
          <w:rFonts w:eastAsia="Calibri"/>
          <w:lang w:val="es-PE" w:eastAsia="en-US"/>
        </w:rPr>
        <w:t>178.</w:t>
      </w:r>
      <w:r w:rsidRPr="00574AEE">
        <w:rPr>
          <w:rFonts w:eastAsia="Calibri"/>
          <w:lang w:val="es-PE" w:eastAsia="en-US"/>
        </w:rPr>
        <w:tab/>
      </w:r>
      <w:r w:rsidR="00C8443F" w:rsidRPr="00092053">
        <w:rPr>
          <w:rFonts w:eastAsia="Calibri"/>
          <w:lang w:eastAsia="en-US"/>
        </w:rPr>
        <w:t xml:space="preserve">Con relación al proceso de exhumación, identificación y devolución de los restos a los familiares de las víctimas de desaparición forzada, </w:t>
      </w:r>
      <w:r w:rsidR="00C8443F" w:rsidRPr="00092053">
        <w:rPr>
          <w:rFonts w:eastAsia="Calibri"/>
          <w:lang w:val="es-PE" w:eastAsia="en-US"/>
        </w:rPr>
        <w:t xml:space="preserve">el Estado peruano, a través del MP, monitorea y coordina, conjuntamente, con otros sectores y entidades concernidas, este proceso. </w:t>
      </w:r>
    </w:p>
    <w:p w:rsidR="002A208C" w:rsidRPr="00092053" w:rsidRDefault="00092053" w:rsidP="00574AEE">
      <w:pPr>
        <w:pStyle w:val="SingleTxtG"/>
        <w:rPr>
          <w:lang w:eastAsia="en-US"/>
        </w:rPr>
      </w:pPr>
      <w:r w:rsidRPr="00574AEE">
        <w:rPr>
          <w:lang w:eastAsia="en-US"/>
        </w:rPr>
        <w:t>179.</w:t>
      </w:r>
      <w:r w:rsidRPr="00574AEE">
        <w:rPr>
          <w:lang w:eastAsia="en-US"/>
        </w:rPr>
        <w:tab/>
      </w:r>
      <w:r w:rsidR="00C8443F" w:rsidRPr="00092053">
        <w:rPr>
          <w:lang w:eastAsia="en-US"/>
        </w:rPr>
        <w:t xml:space="preserve">Al respecto, </w:t>
      </w:r>
      <w:r w:rsidR="00C8443F" w:rsidRPr="00092053">
        <w:rPr>
          <w:rFonts w:eastAsia="Calibri"/>
          <w:lang w:eastAsia="en-US"/>
        </w:rPr>
        <w:t>con</w:t>
      </w:r>
      <w:r w:rsidR="00C8443F" w:rsidRPr="00092053">
        <w:rPr>
          <w:lang w:eastAsia="en-US"/>
        </w:rPr>
        <w:t xml:space="preserve"> la participación </w:t>
      </w:r>
      <w:r w:rsidR="00C8443F" w:rsidRPr="00092053">
        <w:rPr>
          <w:rFonts w:eastAsia="Calibri"/>
          <w:lang w:val="es-PE" w:eastAsia="en-US"/>
        </w:rPr>
        <w:t>del Equipo Forense Especializado del IML se llegó a individualizar e identificar a las diversas víctimas. Dicha tarea ha sido realizada a nivel nacional por las Fiscalías Especializadas ubicadas en Ayacucho, Huánuco, Abancay y Junín. Son 166 los restos óseo</w:t>
      </w:r>
      <w:r w:rsidR="000900D3" w:rsidRPr="00092053">
        <w:rPr>
          <w:rFonts w:eastAsia="Calibri"/>
          <w:lang w:val="es-PE" w:eastAsia="en-US"/>
        </w:rPr>
        <w:t>s humanos entregados en el 2015</w:t>
      </w:r>
      <w:r w:rsidR="00C8443F" w:rsidRPr="00092053">
        <w:rPr>
          <w:rFonts w:eastAsia="Calibri"/>
          <w:vertAlign w:val="superscript"/>
          <w:lang w:val="es-PE" w:eastAsia="en-US"/>
        </w:rPr>
        <w:footnoteReference w:id="182"/>
      </w:r>
      <w:r w:rsidR="000900D3" w:rsidRPr="00092053">
        <w:rPr>
          <w:rFonts w:eastAsia="Calibri"/>
          <w:lang w:val="es-PE" w:eastAsia="en-US"/>
        </w:rPr>
        <w:t>.</w:t>
      </w:r>
      <w:r w:rsidR="00C8443F" w:rsidRPr="00092053">
        <w:rPr>
          <w:rFonts w:eastAsia="Calibri"/>
          <w:lang w:val="es-PE" w:eastAsia="en-US"/>
        </w:rPr>
        <w:t xml:space="preserve"> Ver</w:t>
      </w:r>
      <w:r w:rsidR="00C8443F" w:rsidRPr="00092053">
        <w:rPr>
          <w:rFonts w:eastAsia="Calibri"/>
          <w:b/>
          <w:lang w:val="es-PE" w:eastAsia="en-US"/>
        </w:rPr>
        <w:t xml:space="preserve"> tabla </w:t>
      </w:r>
      <w:r w:rsidR="00CD52E7" w:rsidRPr="00353E55">
        <w:rPr>
          <w:rFonts w:eastAsia="Calibri"/>
          <w:b/>
          <w:lang w:val="es-PE" w:eastAsia="en-US"/>
        </w:rPr>
        <w:t>núm.</w:t>
      </w:r>
      <w:r w:rsidR="00C8443F" w:rsidRPr="00092053">
        <w:rPr>
          <w:rFonts w:eastAsia="Calibri"/>
          <w:b/>
          <w:lang w:val="es-PE" w:eastAsia="en-US"/>
        </w:rPr>
        <w:t xml:space="preserve"> 6 del Anexo </w:t>
      </w:r>
      <w:r w:rsidR="00CD52E7" w:rsidRPr="00353E55">
        <w:rPr>
          <w:rFonts w:eastAsia="Calibri"/>
          <w:b/>
          <w:lang w:val="es-PE" w:eastAsia="en-US"/>
        </w:rPr>
        <w:t>núm.</w:t>
      </w:r>
      <w:r w:rsidR="00C8443F" w:rsidRPr="00092053">
        <w:rPr>
          <w:rFonts w:eastAsia="Calibri"/>
          <w:b/>
          <w:lang w:val="es-PE" w:eastAsia="en-US"/>
        </w:rPr>
        <w:t xml:space="preserve"> 15.</w:t>
      </w:r>
      <w:r w:rsidR="000900D3" w:rsidRPr="00092053">
        <w:rPr>
          <w:rFonts w:eastAsia="Calibri"/>
          <w:b/>
          <w:strike/>
          <w:lang w:val="es-PE" w:eastAsia="en-US"/>
        </w:rPr>
        <w:t xml:space="preserve"> </w:t>
      </w:r>
    </w:p>
    <w:p w:rsidR="002A208C" w:rsidRPr="00092053" w:rsidRDefault="00092053" w:rsidP="00574AEE">
      <w:pPr>
        <w:pStyle w:val="SingleTxtG"/>
        <w:rPr>
          <w:lang w:eastAsia="en-US"/>
        </w:rPr>
      </w:pPr>
      <w:r w:rsidRPr="00574AEE">
        <w:rPr>
          <w:lang w:eastAsia="en-US"/>
        </w:rPr>
        <w:t>180.</w:t>
      </w:r>
      <w:r w:rsidRPr="00574AEE">
        <w:rPr>
          <w:lang w:eastAsia="en-US"/>
        </w:rPr>
        <w:tab/>
      </w:r>
      <w:r w:rsidR="00C8443F" w:rsidRPr="00092053">
        <w:rPr>
          <w:lang w:eastAsia="en-US"/>
        </w:rPr>
        <w:t xml:space="preserve">Cabe resaltar que </w:t>
      </w:r>
      <w:r w:rsidR="00C8443F" w:rsidRPr="00092053">
        <w:rPr>
          <w:rFonts w:eastAsia="Calibri"/>
          <w:lang w:eastAsia="en-US"/>
        </w:rPr>
        <w:t>recientemente</w:t>
      </w:r>
      <w:r w:rsidR="00C8443F" w:rsidRPr="00092053">
        <w:rPr>
          <w:lang w:eastAsia="en-US"/>
        </w:rPr>
        <w:t xml:space="preserve"> se aprobó la “Guía Práctica para la recuperación y análisis de restos humanos en contextos de violaciones a los Derechos Humanos e infracciones contra el Derecho Internacional Humanitario”, mediante la Resolución de la Fiscalía </w:t>
      </w:r>
      <w:r w:rsidR="000900D3" w:rsidRPr="00092053">
        <w:rPr>
          <w:lang w:eastAsia="en-US"/>
        </w:rPr>
        <w:t xml:space="preserve">de la Nación </w:t>
      </w:r>
      <w:r w:rsidR="00CD52E7">
        <w:rPr>
          <w:rFonts w:eastAsia="Calibri"/>
          <w:lang w:val="es-ES_tradnl"/>
        </w:rPr>
        <w:t>núm.</w:t>
      </w:r>
      <w:r w:rsidR="000900D3" w:rsidRPr="00092053">
        <w:rPr>
          <w:lang w:eastAsia="en-US"/>
        </w:rPr>
        <w:t xml:space="preserve"> 5244-2016-MP-FN</w:t>
      </w:r>
      <w:r w:rsidR="00C8443F" w:rsidRPr="00092053">
        <w:rPr>
          <w:vertAlign w:val="superscript"/>
          <w:lang w:eastAsia="en-US"/>
        </w:rPr>
        <w:footnoteReference w:id="183"/>
      </w:r>
      <w:r w:rsidR="000900D3" w:rsidRPr="00092053">
        <w:rPr>
          <w:lang w:eastAsia="en-US"/>
        </w:rPr>
        <w:t>.</w:t>
      </w:r>
    </w:p>
    <w:p w:rsidR="002A208C" w:rsidRPr="00092053" w:rsidRDefault="00092053" w:rsidP="00574AEE">
      <w:pPr>
        <w:pStyle w:val="SingleTxtG"/>
        <w:rPr>
          <w:rFonts w:eastAsia="Calibri"/>
          <w:b/>
          <w:lang w:eastAsia="en-US"/>
        </w:rPr>
      </w:pPr>
      <w:r w:rsidRPr="00574AEE">
        <w:rPr>
          <w:rFonts w:eastAsia="Calibri"/>
          <w:lang w:eastAsia="en-US"/>
        </w:rPr>
        <w:t>181.</w:t>
      </w:r>
      <w:r w:rsidRPr="00574AEE">
        <w:rPr>
          <w:rFonts w:eastAsia="Calibri"/>
          <w:lang w:eastAsia="en-US"/>
        </w:rPr>
        <w:tab/>
      </w:r>
      <w:r w:rsidR="00C8443F" w:rsidRPr="00092053">
        <w:rPr>
          <w:lang w:eastAsia="en-US"/>
        </w:rPr>
        <w:t xml:space="preserve">Por su parte, la </w:t>
      </w:r>
      <w:r w:rsidR="00C8443F" w:rsidRPr="00092053">
        <w:rPr>
          <w:rFonts w:eastAsia="Calibri"/>
          <w:lang w:eastAsia="en-US"/>
        </w:rPr>
        <w:t>Comisión</w:t>
      </w:r>
      <w:r w:rsidR="00C8443F" w:rsidRPr="00092053">
        <w:rPr>
          <w:lang w:eastAsia="en-US"/>
        </w:rPr>
        <w:t xml:space="preserve"> Multisectorial de Alto Nivel (CMAN) depende del Despacho Viceministerial de Derechos Humanos y Acceso a la Justicia del MINJUS, teniendo como función el seguimiento de las acciones y políticas del Estado en los ámbitos de la paz, la reparación colecti</w:t>
      </w:r>
      <w:r w:rsidR="000900D3" w:rsidRPr="00092053">
        <w:rPr>
          <w:lang w:eastAsia="en-US"/>
        </w:rPr>
        <w:t>va y la reconciliación nacional</w:t>
      </w:r>
      <w:r w:rsidR="00C8443F" w:rsidRPr="00092053">
        <w:rPr>
          <w:rFonts w:eastAsia="Calibri"/>
          <w:vertAlign w:val="superscript"/>
          <w:lang w:val="es-PE" w:eastAsia="en-US"/>
        </w:rPr>
        <w:footnoteReference w:id="184"/>
      </w:r>
      <w:r w:rsidR="000900D3" w:rsidRPr="00092053">
        <w:rPr>
          <w:lang w:eastAsia="en-US"/>
        </w:rPr>
        <w:t>.</w:t>
      </w:r>
      <w:r w:rsidR="00C8443F" w:rsidRPr="00092053">
        <w:rPr>
          <w:lang w:eastAsia="en-US"/>
        </w:rPr>
        <w:t xml:space="preserve"> </w:t>
      </w:r>
    </w:p>
    <w:p w:rsidR="002A208C" w:rsidRPr="00092053" w:rsidRDefault="00092053" w:rsidP="00574AEE">
      <w:pPr>
        <w:pStyle w:val="SingleTxtG"/>
        <w:rPr>
          <w:lang w:eastAsia="en-US"/>
        </w:rPr>
      </w:pPr>
      <w:r w:rsidRPr="00574AEE">
        <w:rPr>
          <w:lang w:eastAsia="en-US"/>
        </w:rPr>
        <w:t>182.</w:t>
      </w:r>
      <w:r w:rsidRPr="00574AEE">
        <w:rPr>
          <w:lang w:eastAsia="en-US"/>
        </w:rPr>
        <w:tab/>
      </w:r>
      <w:r w:rsidR="00C8443F" w:rsidRPr="00092053">
        <w:rPr>
          <w:rFonts w:eastAsia="Calibri"/>
          <w:lang w:eastAsia="en-US"/>
        </w:rPr>
        <w:t xml:space="preserve">En ese sentido, desde el 2011 al 2016 se han realizado 902 restituciones de restos de víctimas de desaparición forzada y asesinato en Ayacucho (771), Apurímac (48), Huancavelica (47), Áncash (9), Huánuco (11) y Junín (16), promoviendo a través de la coordinación multisectorial la atención de las necesidades logísticas y psicosociales de los familiares (ataúdes, misas, velorios </w:t>
      </w:r>
      <w:r w:rsidR="00C8443F" w:rsidRPr="00092053">
        <w:rPr>
          <w:lang w:eastAsia="en-US"/>
        </w:rPr>
        <w:t xml:space="preserve">u otros tipos de conmemoración religiosa, traslados </w:t>
      </w:r>
      <w:r w:rsidR="00C8443F" w:rsidRPr="00092053">
        <w:rPr>
          <w:lang w:eastAsia="en-US"/>
        </w:rPr>
        <w:lastRenderedPageBreak/>
        <w:t xml:space="preserve">hasta los lugares de entierros, gestiones de nichos y tumbas, pasajes, </w:t>
      </w:r>
      <w:r w:rsidR="00C8443F" w:rsidRPr="00092053">
        <w:rPr>
          <w:rFonts w:eastAsia="Calibri"/>
          <w:lang w:val="es-PE" w:eastAsia="en-US"/>
        </w:rPr>
        <w:t>entre otros</w:t>
      </w:r>
      <w:r w:rsidR="000900D3" w:rsidRPr="00092053">
        <w:rPr>
          <w:rFonts w:eastAsia="Calibri"/>
          <w:lang w:eastAsia="en-US"/>
        </w:rPr>
        <w:t>)</w:t>
      </w:r>
      <w:r w:rsidR="00C8443F" w:rsidRPr="00092053">
        <w:rPr>
          <w:rFonts w:eastAsia="Calibri"/>
          <w:vertAlign w:val="superscript"/>
          <w:lang w:val="es-PE" w:eastAsia="en-US"/>
        </w:rPr>
        <w:footnoteReference w:id="185"/>
      </w:r>
      <w:r w:rsidR="000900D3" w:rsidRPr="00092053">
        <w:rPr>
          <w:rFonts w:eastAsia="Calibri"/>
          <w:lang w:eastAsia="en-US"/>
        </w:rPr>
        <w:t>.</w:t>
      </w:r>
      <w:r w:rsidR="00C8443F" w:rsidRPr="00092053">
        <w:rPr>
          <w:rFonts w:eastAsia="Calibri"/>
          <w:lang w:val="es-PE" w:eastAsia="en-US"/>
        </w:rPr>
        <w:t xml:space="preserve"> Ver</w:t>
      </w:r>
      <w:r w:rsidR="00C8443F" w:rsidRPr="00092053">
        <w:rPr>
          <w:rFonts w:eastAsia="Calibri"/>
          <w:b/>
          <w:lang w:val="es-PE" w:eastAsia="en-US"/>
        </w:rPr>
        <w:t xml:space="preserve"> tabla </w:t>
      </w:r>
      <w:r w:rsidR="00CD52E7" w:rsidRPr="00353E55">
        <w:rPr>
          <w:rFonts w:eastAsia="Calibri"/>
          <w:b/>
          <w:lang w:val="es-PE" w:eastAsia="en-US"/>
        </w:rPr>
        <w:t>núm.</w:t>
      </w:r>
      <w:r w:rsidR="00C8443F" w:rsidRPr="00092053">
        <w:rPr>
          <w:rFonts w:eastAsia="Calibri"/>
          <w:b/>
          <w:lang w:val="es-PE" w:eastAsia="en-US"/>
        </w:rPr>
        <w:t xml:space="preserve"> 7 del Anexo </w:t>
      </w:r>
      <w:r w:rsidR="00CD52E7" w:rsidRPr="00353E55">
        <w:rPr>
          <w:rFonts w:eastAsia="Calibri"/>
          <w:b/>
          <w:lang w:val="es-PE" w:eastAsia="en-US"/>
        </w:rPr>
        <w:t>núm.</w:t>
      </w:r>
      <w:r w:rsidR="00C8443F" w:rsidRPr="00092053">
        <w:rPr>
          <w:rFonts w:eastAsia="Calibri"/>
          <w:b/>
          <w:lang w:val="es-PE" w:eastAsia="en-US"/>
        </w:rPr>
        <w:t xml:space="preserve"> 15.</w:t>
      </w:r>
      <w:r w:rsidR="0042499A" w:rsidRPr="00092053">
        <w:rPr>
          <w:rFonts w:eastAsia="Calibri"/>
          <w:b/>
          <w:strike/>
          <w:lang w:val="es-PE" w:eastAsia="en-US"/>
        </w:rPr>
        <w:t xml:space="preserve"> </w:t>
      </w:r>
    </w:p>
    <w:p w:rsidR="002A208C" w:rsidRPr="00092053" w:rsidRDefault="00092053" w:rsidP="00574AEE">
      <w:pPr>
        <w:pStyle w:val="SingleTxtG"/>
        <w:rPr>
          <w:rFonts w:eastAsia="Calibri"/>
          <w:lang w:val="es-PE" w:eastAsia="en-US"/>
        </w:rPr>
      </w:pPr>
      <w:r w:rsidRPr="00574AEE">
        <w:rPr>
          <w:rFonts w:eastAsia="Calibri"/>
          <w:lang w:val="es-PE" w:eastAsia="en-US"/>
        </w:rPr>
        <w:t>183.</w:t>
      </w:r>
      <w:r w:rsidRPr="00574AEE">
        <w:rPr>
          <w:rFonts w:eastAsia="Calibri"/>
          <w:lang w:val="es-PE" w:eastAsia="en-US"/>
        </w:rPr>
        <w:tab/>
      </w:r>
      <w:r w:rsidR="00C8443F" w:rsidRPr="00092053">
        <w:rPr>
          <w:rFonts w:eastAsia="Calibri"/>
          <w:lang w:val="es-PE" w:eastAsia="en-US"/>
        </w:rPr>
        <w:t xml:space="preserve">Asimismo, se </w:t>
      </w:r>
      <w:r w:rsidR="00C8443F" w:rsidRPr="00092053">
        <w:rPr>
          <w:rFonts w:eastAsia="Calibri"/>
          <w:bCs/>
          <w:lang w:val="es-PE" w:eastAsia="en-US"/>
        </w:rPr>
        <w:t xml:space="preserve">destaca la aprobación de la </w:t>
      </w:r>
      <w:r w:rsidR="00C8443F" w:rsidRPr="00092053">
        <w:rPr>
          <w:rFonts w:eastAsia="Calibri"/>
          <w:lang w:eastAsia="en-US"/>
        </w:rPr>
        <w:t xml:space="preserve">Ley </w:t>
      </w:r>
      <w:r w:rsidR="00CD52E7">
        <w:rPr>
          <w:rFonts w:eastAsia="Calibri"/>
          <w:lang w:val="es-ES_tradnl"/>
        </w:rPr>
        <w:t>núm.</w:t>
      </w:r>
      <w:r w:rsidR="00C8443F" w:rsidRPr="00092053">
        <w:rPr>
          <w:rFonts w:eastAsia="Calibri"/>
          <w:lang w:eastAsia="en-US"/>
        </w:rPr>
        <w:t xml:space="preserve"> 30470</w:t>
      </w:r>
      <w:r w:rsidR="00C8443F" w:rsidRPr="00092053">
        <w:rPr>
          <w:rFonts w:eastAsia="Calibri"/>
          <w:vertAlign w:val="superscript"/>
          <w:lang w:eastAsia="en-US"/>
        </w:rPr>
        <w:footnoteReference w:id="186"/>
      </w:r>
      <w:r w:rsidR="00C8443F" w:rsidRPr="00092053">
        <w:rPr>
          <w:rFonts w:eastAsia="Calibri"/>
          <w:lang w:eastAsia="en-US"/>
        </w:rPr>
        <w:t>, Ley de Búsqueda de Personas Desaparecidas durante el período de violencia de 1980</w:t>
      </w:r>
      <w:r w:rsidR="00AB3C05">
        <w:rPr>
          <w:rFonts w:eastAsia="Calibri"/>
          <w:lang w:eastAsia="en-US"/>
        </w:rPr>
        <w:t>-</w:t>
      </w:r>
      <w:r w:rsidR="00C8443F" w:rsidRPr="00092053">
        <w:rPr>
          <w:rFonts w:eastAsia="Calibri"/>
          <w:lang w:eastAsia="en-US"/>
        </w:rPr>
        <w:t>2000 que establece la priorización, por un lado, del enfoque humanitario durante la búsqueda de las personas desaparecidas en el período de violencia 1980</w:t>
      </w:r>
      <w:r w:rsidR="00AB3C05">
        <w:rPr>
          <w:rFonts w:eastAsia="Calibri"/>
          <w:lang w:eastAsia="en-US"/>
        </w:rPr>
        <w:t>-</w:t>
      </w:r>
      <w:r w:rsidR="00C8443F" w:rsidRPr="00092053">
        <w:rPr>
          <w:rFonts w:eastAsia="Calibri"/>
          <w:lang w:eastAsia="en-US"/>
        </w:rPr>
        <w:t xml:space="preserve">2000 y, por otro, la articulación de las medidas relativas a la búsqueda, recuperación, análisis, identificación y restitución de los restos humanos. </w:t>
      </w:r>
    </w:p>
    <w:p w:rsidR="002A208C" w:rsidRPr="00092053" w:rsidRDefault="00092053" w:rsidP="00574AEE">
      <w:pPr>
        <w:pStyle w:val="SingleTxtG"/>
        <w:rPr>
          <w:rFonts w:eastAsia="Calibri"/>
          <w:lang w:val="es-PE" w:eastAsia="en-US"/>
        </w:rPr>
      </w:pPr>
      <w:r w:rsidRPr="00574AEE">
        <w:rPr>
          <w:rFonts w:eastAsia="Calibri"/>
          <w:lang w:val="es-PE" w:eastAsia="en-US"/>
        </w:rPr>
        <w:t>184.</w:t>
      </w:r>
      <w:r w:rsidRPr="00574AEE">
        <w:rPr>
          <w:rFonts w:eastAsia="Calibri"/>
          <w:lang w:val="es-PE" w:eastAsia="en-US"/>
        </w:rPr>
        <w:tab/>
      </w:r>
      <w:r w:rsidR="00C8443F" w:rsidRPr="00092053">
        <w:rPr>
          <w:rFonts w:eastAsia="Calibri"/>
          <w:lang w:val="es-PE" w:eastAsia="en-US"/>
        </w:rPr>
        <w:t xml:space="preserve">Al respecto, se </w:t>
      </w:r>
      <w:r w:rsidR="00C8443F" w:rsidRPr="00092053">
        <w:rPr>
          <w:rFonts w:eastAsia="Calibri"/>
          <w:lang w:eastAsia="en-US"/>
        </w:rPr>
        <w:t>constituyó</w:t>
      </w:r>
      <w:r w:rsidR="00C8443F" w:rsidRPr="00092053">
        <w:rPr>
          <w:rFonts w:eastAsia="Calibri"/>
          <w:lang w:val="es-PE" w:eastAsia="en-US"/>
        </w:rPr>
        <w:t xml:space="preserve"> un </w:t>
      </w:r>
      <w:r w:rsidR="00C8443F" w:rsidRPr="00092053">
        <w:rPr>
          <w:rFonts w:eastAsia="Calibri"/>
          <w:lang w:eastAsia="en-US"/>
        </w:rPr>
        <w:t>Grupo de Trabajo</w:t>
      </w:r>
      <w:r w:rsidR="00C8443F" w:rsidRPr="00092053">
        <w:rPr>
          <w:rFonts w:eastAsia="Calibri"/>
          <w:vertAlign w:val="superscript"/>
          <w:lang w:val="es-PE" w:eastAsia="en-US"/>
        </w:rPr>
        <w:footnoteReference w:id="187"/>
      </w:r>
      <w:r w:rsidR="00C8443F" w:rsidRPr="00092053">
        <w:rPr>
          <w:rFonts w:eastAsia="Calibri"/>
          <w:lang w:eastAsia="en-US"/>
        </w:rPr>
        <w:t xml:space="preserve"> encargado de brindar asesoría durante el proceso de implementación de la Ley </w:t>
      </w:r>
      <w:r w:rsidR="00CD52E7">
        <w:rPr>
          <w:rFonts w:eastAsia="Calibri"/>
          <w:lang w:val="es-ES_tradnl"/>
        </w:rPr>
        <w:t>núm.</w:t>
      </w:r>
      <w:r w:rsidR="00C8443F" w:rsidRPr="00092053">
        <w:rPr>
          <w:rFonts w:eastAsia="Calibri"/>
          <w:lang w:eastAsia="en-US"/>
        </w:rPr>
        <w:t xml:space="preserve"> 30470, siendo conformado por representantes de entidades </w:t>
      </w:r>
      <w:r w:rsidR="000900D3" w:rsidRPr="00092053">
        <w:rPr>
          <w:rFonts w:eastAsia="Calibri"/>
          <w:lang w:eastAsia="en-US"/>
        </w:rPr>
        <w:t>públicas y de la sociedad civil</w:t>
      </w:r>
      <w:r w:rsidR="00C8443F" w:rsidRPr="00092053">
        <w:rPr>
          <w:rFonts w:eastAsia="Calibri"/>
          <w:vertAlign w:val="superscript"/>
          <w:lang w:eastAsia="en-US"/>
        </w:rPr>
        <w:footnoteReference w:id="188"/>
      </w:r>
      <w:r w:rsidR="000900D3" w:rsidRPr="00092053">
        <w:rPr>
          <w:rFonts w:eastAsia="Calibri"/>
          <w:lang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185.</w:t>
      </w:r>
      <w:r w:rsidRPr="00574AEE">
        <w:rPr>
          <w:rFonts w:eastAsia="Calibri"/>
          <w:lang w:val="es-PE" w:eastAsia="en-US"/>
        </w:rPr>
        <w:tab/>
      </w:r>
      <w:r w:rsidR="00C8443F" w:rsidRPr="00092053">
        <w:rPr>
          <w:rFonts w:eastAsia="Calibri"/>
          <w:lang w:eastAsia="en-US"/>
        </w:rPr>
        <w:t xml:space="preserve">Tomando en cuenta los aportes del señalado grupo, el MINJUS aprobó (Resolución Ministerial </w:t>
      </w:r>
      <w:r w:rsidR="00CD52E7">
        <w:rPr>
          <w:rFonts w:eastAsia="Calibri"/>
          <w:lang w:val="es-ES_tradnl"/>
        </w:rPr>
        <w:t>núm.</w:t>
      </w:r>
      <w:r w:rsidR="00C8443F" w:rsidRPr="00092053">
        <w:rPr>
          <w:rFonts w:eastAsia="Calibri"/>
          <w:lang w:eastAsia="en-US"/>
        </w:rPr>
        <w:t xml:space="preserve"> 0363-2016-JUS)</w:t>
      </w:r>
      <w:r w:rsidR="00C8443F" w:rsidRPr="00092053">
        <w:rPr>
          <w:rFonts w:eastAsia="Calibri"/>
          <w:vertAlign w:val="superscript"/>
          <w:lang w:eastAsia="en-US"/>
        </w:rPr>
        <w:footnoteReference w:id="189"/>
      </w:r>
      <w:r w:rsidR="00C8443F" w:rsidRPr="00092053">
        <w:rPr>
          <w:rFonts w:eastAsia="Calibri"/>
          <w:lang w:eastAsia="en-US"/>
        </w:rPr>
        <w:t xml:space="preserve"> el Plan Nacional de Búsqueda de Personas Desaparecidas (1980</w:t>
      </w:r>
      <w:r w:rsidR="00AB3C05">
        <w:rPr>
          <w:rFonts w:eastAsia="Calibri"/>
          <w:lang w:eastAsia="en-US"/>
        </w:rPr>
        <w:t>-</w:t>
      </w:r>
      <w:r w:rsidR="00C8443F" w:rsidRPr="00092053">
        <w:rPr>
          <w:rFonts w:eastAsia="Calibri"/>
          <w:lang w:eastAsia="en-US"/>
        </w:rPr>
        <w:t>2000) que orienta las acciones que el Estado debe desarrollar para dar respuesta integral a los familiares</w:t>
      </w:r>
      <w:r w:rsidR="00C8443F" w:rsidRPr="00092053">
        <w:rPr>
          <w:rFonts w:eastAsia="Calibri"/>
          <w:lang w:val="es-PE" w:eastAsia="en-US"/>
        </w:rPr>
        <w:t xml:space="preserve"> </w:t>
      </w:r>
      <w:r w:rsidR="00C8443F" w:rsidRPr="00092053">
        <w:rPr>
          <w:rFonts w:eastAsia="Calibri"/>
          <w:lang w:eastAsia="en-US"/>
        </w:rPr>
        <w:t xml:space="preserve">de personas desaparecidas </w:t>
      </w:r>
      <w:r w:rsidR="000900D3" w:rsidRPr="00092053">
        <w:rPr>
          <w:rFonts w:eastAsia="Calibri"/>
          <w:lang w:eastAsia="en-US"/>
        </w:rPr>
        <w:t>durante el proceso de violencia</w:t>
      </w:r>
      <w:r w:rsidR="00C8443F" w:rsidRPr="00092053">
        <w:rPr>
          <w:rFonts w:eastAsia="Calibri"/>
          <w:vertAlign w:val="superscript"/>
          <w:lang w:eastAsia="en-US"/>
        </w:rPr>
        <w:footnoteReference w:id="190"/>
      </w:r>
      <w:r w:rsidR="000900D3" w:rsidRPr="00092053">
        <w:rPr>
          <w:rFonts w:eastAsia="Calibri"/>
          <w:lang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186.</w:t>
      </w:r>
      <w:r w:rsidRPr="00574AEE">
        <w:rPr>
          <w:rFonts w:eastAsia="Calibri"/>
          <w:lang w:val="es-PE" w:eastAsia="en-US"/>
        </w:rPr>
        <w:tab/>
      </w:r>
      <w:r w:rsidR="00C8443F" w:rsidRPr="00092053">
        <w:rPr>
          <w:rFonts w:eastAsia="Calibri"/>
          <w:lang w:eastAsia="en-US"/>
        </w:rPr>
        <w:t>De otro lado, l</w:t>
      </w:r>
      <w:r w:rsidR="00C8443F" w:rsidRPr="00092053">
        <w:rPr>
          <w:rFonts w:eastAsia="Calibri"/>
          <w:lang w:val="es-PE" w:eastAsia="en-US"/>
        </w:rPr>
        <w:t>a Unidad Central de Asistencia a Víctimas y Testigos, responsable en la aplicación del Programa de Protección de Asistencia a Víctimas y Testigos del MP, se encarga de asegurar la participación procesal efectiva de los usuarios incorporados en él, preservando el testimonio válido, sin interferencia de ninguna clase de las víctimas, testigos y colaboradores en base a la asistencia integral que brindan los equipos multidisciplinarios a nivel nacional</w:t>
      </w:r>
      <w:r w:rsidR="00C8443F" w:rsidRPr="00092053">
        <w:rPr>
          <w:rFonts w:eastAsia="Calibri"/>
          <w:vertAlign w:val="superscript"/>
          <w:lang w:val="es-PE" w:eastAsia="en-US"/>
        </w:rPr>
        <w:footnoteReference w:id="191"/>
      </w:r>
      <w:r w:rsidR="00C8443F" w:rsidRPr="00092053">
        <w:rPr>
          <w:rFonts w:eastAsia="Calibri"/>
          <w:lang w:val="es-PE" w:eastAsia="en-US"/>
        </w:rPr>
        <w:t>”. Esta Unidad cuenta, a nivel nacional, con 146 unidades en total, 35 Unidades Distritales de Protección y Asistencia a Víctimas y Testigos y 111 Unidades de Asistencia Inmediata a Víctimas y Testigos</w:t>
      </w:r>
      <w:r w:rsidR="00C8443F" w:rsidRPr="00092053">
        <w:rPr>
          <w:rFonts w:eastAsia="Calibri"/>
          <w:vertAlign w:val="superscript"/>
          <w:lang w:val="es-PE" w:eastAsia="en-US"/>
        </w:rPr>
        <w:footnoteReference w:id="192"/>
      </w:r>
      <w:r w:rsidR="00AF2E0E">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187.</w:t>
      </w:r>
      <w:r w:rsidRPr="00574AEE">
        <w:rPr>
          <w:rFonts w:eastAsia="Calibri"/>
          <w:lang w:val="es-PE" w:eastAsia="en-US"/>
        </w:rPr>
        <w:tab/>
      </w:r>
      <w:r w:rsidR="00C8443F" w:rsidRPr="00092053">
        <w:rPr>
          <w:rFonts w:eastAsia="Calibri"/>
          <w:lang w:val="es-PE" w:eastAsia="en-US"/>
        </w:rPr>
        <w:t>Así, en el 2012, atendió a 31</w:t>
      </w:r>
      <w:r w:rsidR="006C0519">
        <w:rPr>
          <w:rFonts w:eastAsia="Calibri"/>
          <w:lang w:val="es-PE" w:eastAsia="en-US"/>
        </w:rPr>
        <w:t>.</w:t>
      </w:r>
      <w:r w:rsidR="00C8443F" w:rsidRPr="00092053">
        <w:rPr>
          <w:rFonts w:eastAsia="Calibri"/>
          <w:lang w:val="es-PE" w:eastAsia="en-US"/>
        </w:rPr>
        <w:t>689 usuarios; en el 2013 a 36</w:t>
      </w:r>
      <w:r w:rsidR="006C0519">
        <w:rPr>
          <w:rFonts w:eastAsia="Calibri"/>
          <w:lang w:val="es-PE" w:eastAsia="en-US"/>
        </w:rPr>
        <w:t>.</w:t>
      </w:r>
      <w:r w:rsidR="00C8443F" w:rsidRPr="00092053">
        <w:rPr>
          <w:rFonts w:eastAsia="Calibri"/>
          <w:lang w:val="es-PE" w:eastAsia="en-US"/>
        </w:rPr>
        <w:t>271; en el 2014 a 33</w:t>
      </w:r>
      <w:r w:rsidR="006C0519">
        <w:rPr>
          <w:rFonts w:eastAsia="Calibri"/>
          <w:lang w:val="es-PE" w:eastAsia="en-US"/>
        </w:rPr>
        <w:t>.</w:t>
      </w:r>
      <w:r w:rsidR="00C8443F" w:rsidRPr="00092053">
        <w:rPr>
          <w:rFonts w:eastAsia="Calibri"/>
          <w:lang w:val="es-PE" w:eastAsia="en-US"/>
        </w:rPr>
        <w:t>656; en el 2015 a 34</w:t>
      </w:r>
      <w:r w:rsidR="006C0519">
        <w:rPr>
          <w:rFonts w:eastAsia="Calibri"/>
          <w:lang w:val="es-PE" w:eastAsia="en-US"/>
        </w:rPr>
        <w:t>.</w:t>
      </w:r>
      <w:r w:rsidR="00C8443F" w:rsidRPr="00092053">
        <w:rPr>
          <w:rFonts w:eastAsia="Calibri"/>
          <w:lang w:val="es-PE" w:eastAsia="en-US"/>
        </w:rPr>
        <w:t>057 y en lo que va del 2016 a 16</w:t>
      </w:r>
      <w:r w:rsidR="006C0519">
        <w:rPr>
          <w:rFonts w:eastAsia="Calibri"/>
          <w:lang w:val="es-PE" w:eastAsia="en-US"/>
        </w:rPr>
        <w:t>.</w:t>
      </w:r>
      <w:r w:rsidR="00C8443F" w:rsidRPr="00092053">
        <w:rPr>
          <w:rFonts w:eastAsia="Calibri"/>
          <w:lang w:val="es-PE" w:eastAsia="en-US"/>
        </w:rPr>
        <w:t>431</w:t>
      </w:r>
      <w:r w:rsidR="00C8443F" w:rsidRPr="00092053">
        <w:rPr>
          <w:rFonts w:eastAsia="Calibri"/>
          <w:vertAlign w:val="superscript"/>
          <w:lang w:val="es-PE" w:eastAsia="en-US"/>
        </w:rPr>
        <w:footnoteReference w:id="193"/>
      </w:r>
      <w:r w:rsidR="00C8443F" w:rsidRPr="00092053">
        <w:rPr>
          <w:rFonts w:eastAsia="Calibri"/>
          <w:lang w:val="es-PE" w:eastAsia="en-US"/>
        </w:rPr>
        <w:t xml:space="preserve">. Con relación a los testigos atendidos en el </w:t>
      </w:r>
      <w:r w:rsidR="00C8443F" w:rsidRPr="00092053">
        <w:rPr>
          <w:rFonts w:eastAsia="Calibri"/>
          <w:lang w:eastAsia="en-US"/>
        </w:rPr>
        <w:t>primer</w:t>
      </w:r>
      <w:r w:rsidR="00C8443F" w:rsidRPr="00092053">
        <w:rPr>
          <w:rFonts w:eastAsia="Calibri"/>
          <w:lang w:val="es-PE" w:eastAsia="en-US"/>
        </w:rPr>
        <w:t xml:space="preserve"> semestre de 2016 atendió a un usuario relacionado a casos de tortura y a 461 r</w:t>
      </w:r>
      <w:r w:rsidR="000900D3" w:rsidRPr="00092053">
        <w:rPr>
          <w:rFonts w:eastAsia="Calibri"/>
          <w:lang w:val="es-PE" w:eastAsia="en-US"/>
        </w:rPr>
        <w:t>elacionados a trata de personas</w:t>
      </w:r>
      <w:r w:rsidR="00C8443F" w:rsidRPr="00092053">
        <w:rPr>
          <w:rFonts w:eastAsia="Calibri"/>
          <w:vertAlign w:val="superscript"/>
          <w:lang w:val="es-PE" w:eastAsia="en-US"/>
        </w:rPr>
        <w:footnoteReference w:id="194"/>
      </w:r>
      <w:r w:rsidR="000900D3" w:rsidRPr="00092053">
        <w:rPr>
          <w:rFonts w:eastAsia="Calibri"/>
          <w:lang w:val="es-PE" w:eastAsia="en-US"/>
        </w:rPr>
        <w:t>.</w:t>
      </w:r>
      <w:r w:rsidR="00C8443F" w:rsidRPr="00092053">
        <w:rPr>
          <w:rFonts w:eastAsia="Calibri"/>
          <w:lang w:val="es-PE" w:eastAsia="en-US"/>
        </w:rPr>
        <w:t xml:space="preserve"> </w:t>
      </w:r>
    </w:p>
    <w:p w:rsidR="00C8443F" w:rsidRPr="00092053" w:rsidRDefault="00756371" w:rsidP="00756371">
      <w:pPr>
        <w:pStyle w:val="H23G"/>
        <w:rPr>
          <w:rFonts w:eastAsia="Calibri"/>
          <w:bCs/>
          <w:lang w:val="es-PE" w:eastAsia="en-US"/>
        </w:rPr>
      </w:pPr>
      <w:bookmarkStart w:id="196" w:name="_Toc468721286"/>
      <w:bookmarkStart w:id="197" w:name="_Toc471137684"/>
      <w:bookmarkStart w:id="198" w:name="_Toc472097469"/>
      <w:bookmarkStart w:id="199" w:name="_Toc468627324"/>
      <w:bookmarkStart w:id="200" w:name="_Toc468642616"/>
      <w:bookmarkStart w:id="201" w:name="_Toc484774092"/>
      <w:r w:rsidRPr="00092053">
        <w:rPr>
          <w:rFonts w:eastAsia="Calibri"/>
          <w:lang w:val="es-PE" w:eastAsia="en-US"/>
        </w:rPr>
        <w:tab/>
      </w:r>
      <w:r w:rsidRPr="00092053">
        <w:rPr>
          <w:rFonts w:eastAsia="Calibri"/>
          <w:lang w:val="es-PE" w:eastAsia="en-US"/>
        </w:rPr>
        <w:tab/>
      </w:r>
      <w:r w:rsidR="00C8443F" w:rsidRPr="00092053">
        <w:rPr>
          <w:rFonts w:eastAsia="Calibri"/>
          <w:lang w:val="es-PE" w:eastAsia="en-US"/>
        </w:rPr>
        <w:t>Respuesta al párrafo 29</w:t>
      </w:r>
      <w:bookmarkEnd w:id="196"/>
      <w:bookmarkEnd w:id="197"/>
      <w:bookmarkEnd w:id="198"/>
      <w:bookmarkEnd w:id="199"/>
      <w:bookmarkEnd w:id="200"/>
      <w:bookmarkEnd w:id="201"/>
    </w:p>
    <w:p w:rsidR="002A208C" w:rsidRPr="00092053" w:rsidRDefault="00092053" w:rsidP="00574AEE">
      <w:pPr>
        <w:pStyle w:val="SingleTxtG"/>
        <w:rPr>
          <w:rFonts w:eastAsia="Calibri"/>
          <w:lang w:val="es-PE" w:eastAsia="en-US"/>
        </w:rPr>
      </w:pPr>
      <w:r w:rsidRPr="00574AEE">
        <w:rPr>
          <w:rFonts w:eastAsia="Calibri"/>
          <w:lang w:val="es-PE" w:eastAsia="en-US"/>
        </w:rPr>
        <w:t>188.</w:t>
      </w:r>
      <w:r w:rsidRPr="00574AEE">
        <w:rPr>
          <w:rFonts w:eastAsia="Calibri"/>
          <w:lang w:val="es-PE" w:eastAsia="en-US"/>
        </w:rPr>
        <w:tab/>
      </w:r>
      <w:r w:rsidR="00C8443F" w:rsidRPr="00092053">
        <w:rPr>
          <w:rFonts w:eastAsia="Calibri"/>
          <w:lang w:val="es-PE" w:eastAsia="en-US"/>
        </w:rPr>
        <w:t xml:space="preserve">Con </w:t>
      </w:r>
      <w:r w:rsidR="00C8443F" w:rsidRPr="00092053">
        <w:rPr>
          <w:rFonts w:eastAsia="Calibri"/>
          <w:lang w:eastAsia="en-US"/>
        </w:rPr>
        <w:t>relación</w:t>
      </w:r>
      <w:r w:rsidR="00C8443F" w:rsidRPr="00092053">
        <w:rPr>
          <w:rFonts w:eastAsia="Calibri"/>
          <w:lang w:val="es-PE" w:eastAsia="en-US"/>
        </w:rPr>
        <w:t xml:space="preserve"> a las medidas adoptadas para la reapertura de las investigaciones sobre la presunta esterilización forzada de más de 2</w:t>
      </w:r>
      <w:r w:rsidR="006C0519">
        <w:rPr>
          <w:rFonts w:eastAsia="Calibri"/>
          <w:lang w:val="es-PE" w:eastAsia="en-US"/>
        </w:rPr>
        <w:t>.</w:t>
      </w:r>
      <w:r w:rsidR="00C8443F" w:rsidRPr="00092053">
        <w:rPr>
          <w:rFonts w:eastAsia="Calibri"/>
          <w:lang w:val="es-PE" w:eastAsia="en-US"/>
        </w:rPr>
        <w:t xml:space="preserve">000 mujeres entre 1996 y 2000, el MP informó que mediante la Resolución Fiscal </w:t>
      </w:r>
      <w:r w:rsidR="00CD52E7">
        <w:rPr>
          <w:rFonts w:eastAsia="Calibri"/>
          <w:lang w:val="es-ES_tradnl"/>
        </w:rPr>
        <w:t>núm.</w:t>
      </w:r>
      <w:r w:rsidR="00C8443F" w:rsidRPr="00092053">
        <w:rPr>
          <w:rFonts w:eastAsia="Calibri"/>
          <w:lang w:val="es-PE" w:eastAsia="en-US"/>
        </w:rPr>
        <w:t xml:space="preserve"> 16, del 27 de julio de 2016, la Fiscal Provincial de la Segunda Fiscalía Penal Supraprovincial determinó que los hechos no constituyen delitos de lesa humanidad y que no se configuraba la autoría mediata por </w:t>
      </w:r>
      <w:r w:rsidR="00C8443F" w:rsidRPr="00092053">
        <w:rPr>
          <w:rFonts w:eastAsia="Calibri"/>
          <w:lang w:val="es-PE" w:eastAsia="en-US"/>
        </w:rPr>
        <w:lastRenderedPageBreak/>
        <w:t xml:space="preserve">dominio de organización. En ese sentido, declaró: </w:t>
      </w:r>
      <w:r w:rsidR="00C8443F" w:rsidRPr="00574AEE">
        <w:rPr>
          <w:rFonts w:eastAsia="Calibri"/>
          <w:lang w:val="es-PE" w:eastAsia="en-US"/>
        </w:rPr>
        <w:t>i)</w:t>
      </w:r>
      <w:r w:rsidR="00C8443F" w:rsidRPr="00092053">
        <w:rPr>
          <w:rFonts w:eastAsia="Calibri"/>
          <w:lang w:val="es-PE" w:eastAsia="en-US"/>
        </w:rPr>
        <w:t xml:space="preserve"> no ha lugar la formalización de la denuncia penal contra presuntos responsables de lesiones graves seguida de muerte, en agravio de María Mamérita Mestanza Chávez y otros, disponiendo el archivo definitivo del caso en esos extremos</w:t>
      </w:r>
      <w:r w:rsidR="006C0519">
        <w:rPr>
          <w:rFonts w:eastAsia="Calibri"/>
          <w:lang w:val="es-PE" w:eastAsia="en-US"/>
        </w:rPr>
        <w:t>;</w:t>
      </w:r>
      <w:r w:rsidR="00C8443F" w:rsidRPr="00092053">
        <w:rPr>
          <w:rFonts w:eastAsia="Calibri"/>
          <w:lang w:val="es-PE" w:eastAsia="en-US"/>
        </w:rPr>
        <w:t xml:space="preserve"> y </w:t>
      </w:r>
      <w:r w:rsidR="00C8443F" w:rsidRPr="00574AEE">
        <w:rPr>
          <w:rFonts w:eastAsia="Calibri"/>
          <w:lang w:val="es-PE" w:eastAsia="en-US"/>
        </w:rPr>
        <w:t>ii)</w:t>
      </w:r>
      <w:r w:rsidR="00C8443F" w:rsidRPr="00092053">
        <w:rPr>
          <w:rFonts w:eastAsia="Calibri"/>
          <w:lang w:val="es-PE" w:eastAsia="en-US"/>
        </w:rPr>
        <w:t xml:space="preserve"> formalizar denuncia penal contra diversos profesionales de la salud como presuntos responsables por lesiones graves en agravio de algunas víctimas individualizadas, hechos que const</w:t>
      </w:r>
      <w:r w:rsidR="000900D3" w:rsidRPr="00092053">
        <w:rPr>
          <w:rFonts w:eastAsia="Calibri"/>
          <w:lang w:val="es-PE" w:eastAsia="en-US"/>
        </w:rPr>
        <w:t>ituirían violaciones a los DDHH</w:t>
      </w:r>
      <w:r w:rsidR="00C8443F" w:rsidRPr="00092053">
        <w:rPr>
          <w:rFonts w:eastAsia="Calibri"/>
          <w:vertAlign w:val="superscript"/>
          <w:lang w:val="es-PE" w:eastAsia="en-US"/>
        </w:rPr>
        <w:footnoteReference w:id="195"/>
      </w:r>
      <w:r w:rsidR="000900D3" w:rsidRPr="00092053">
        <w:rPr>
          <w:rFonts w:eastAsia="Calibri"/>
          <w:lang w:val="es-PE" w:eastAsia="en-US"/>
        </w:rPr>
        <w:t>.</w:t>
      </w:r>
      <w:r w:rsidR="00C8443F" w:rsidRPr="00092053">
        <w:rPr>
          <w:rFonts w:eastAsia="Calibri"/>
          <w:lang w:val="es-PE" w:eastAsia="en-US"/>
        </w:rPr>
        <w:t xml:space="preserve"> </w:t>
      </w:r>
    </w:p>
    <w:p w:rsidR="002A208C" w:rsidRPr="00092053" w:rsidRDefault="00092053" w:rsidP="00574AEE">
      <w:pPr>
        <w:pStyle w:val="SingleTxtG"/>
        <w:rPr>
          <w:rFonts w:eastAsia="Calibri"/>
          <w:lang w:val="es-PE" w:eastAsia="en-US"/>
        </w:rPr>
      </w:pPr>
      <w:r w:rsidRPr="00574AEE">
        <w:rPr>
          <w:rFonts w:eastAsia="Calibri"/>
          <w:lang w:val="es-PE" w:eastAsia="en-US"/>
        </w:rPr>
        <w:t>189.</w:t>
      </w:r>
      <w:r w:rsidRPr="00574AEE">
        <w:rPr>
          <w:rFonts w:eastAsia="Calibri"/>
          <w:lang w:val="es-PE" w:eastAsia="en-US"/>
        </w:rPr>
        <w:tab/>
      </w:r>
      <w:r w:rsidR="00C8443F" w:rsidRPr="00092053">
        <w:rPr>
          <w:rFonts w:eastAsia="Calibri"/>
          <w:lang w:val="es-PE" w:eastAsia="en-US"/>
        </w:rPr>
        <w:t xml:space="preserve">Así, </w:t>
      </w:r>
      <w:r w:rsidR="00C8443F" w:rsidRPr="00092053">
        <w:rPr>
          <w:rFonts w:eastAsia="Calibri"/>
          <w:lang w:eastAsia="en-US"/>
        </w:rPr>
        <w:t>también</w:t>
      </w:r>
      <w:r w:rsidR="00C8443F" w:rsidRPr="00092053">
        <w:rPr>
          <w:rFonts w:eastAsia="Calibri"/>
          <w:lang w:val="es-PE" w:eastAsia="en-US"/>
        </w:rPr>
        <w:t xml:space="preserve"> determinó desacumular los actuados relacionados con 72 casos que fueron materia de investigación. </w:t>
      </w:r>
    </w:p>
    <w:p w:rsidR="002A208C" w:rsidRPr="00092053" w:rsidRDefault="00092053" w:rsidP="00574AEE">
      <w:pPr>
        <w:pStyle w:val="SingleTxtG"/>
        <w:rPr>
          <w:rFonts w:eastAsia="Calibri"/>
          <w:lang w:val="es-PE" w:eastAsia="en-US"/>
        </w:rPr>
      </w:pPr>
      <w:r w:rsidRPr="00574AEE">
        <w:rPr>
          <w:rFonts w:eastAsia="Calibri"/>
          <w:lang w:val="es-PE" w:eastAsia="en-US"/>
        </w:rPr>
        <w:t>190.</w:t>
      </w:r>
      <w:r w:rsidRPr="00574AEE">
        <w:rPr>
          <w:rFonts w:eastAsia="Calibri"/>
          <w:lang w:val="es-PE" w:eastAsia="en-US"/>
        </w:rPr>
        <w:tab/>
      </w:r>
      <w:r w:rsidR="00C8443F" w:rsidRPr="00092053">
        <w:rPr>
          <w:rFonts w:eastAsia="Calibri"/>
          <w:lang w:val="es-PE" w:eastAsia="en-US"/>
        </w:rPr>
        <w:t xml:space="preserve">Al </w:t>
      </w:r>
      <w:r w:rsidR="00C8443F" w:rsidRPr="00092053">
        <w:rPr>
          <w:rFonts w:eastAsia="Calibri"/>
          <w:lang w:eastAsia="en-US"/>
        </w:rPr>
        <w:t>respecto</w:t>
      </w:r>
      <w:r w:rsidR="00C8443F" w:rsidRPr="00092053">
        <w:rPr>
          <w:rFonts w:eastAsia="Calibri"/>
          <w:lang w:val="es-PE" w:eastAsia="en-US"/>
        </w:rPr>
        <w:t xml:space="preserve">, dado que la 3° Fiscalía Superior Penal Nacional ordenó el pronunciamiento en relación con 77 personas víctimas de esterilizaciones forzadas, mediante la Resolución </w:t>
      </w:r>
      <w:r w:rsidR="00CD52E7">
        <w:rPr>
          <w:rFonts w:eastAsia="Calibri"/>
          <w:lang w:val="es-ES_tradnl"/>
        </w:rPr>
        <w:t>núm.</w:t>
      </w:r>
      <w:r w:rsidR="00C8443F" w:rsidRPr="00092053">
        <w:rPr>
          <w:rFonts w:eastAsia="Calibri"/>
          <w:lang w:val="es-PE" w:eastAsia="en-US"/>
        </w:rPr>
        <w:t xml:space="preserve"> 21, del 6 de diciembre de 2016, la Fiscal Provincial de la Segunda Fiscalía Penal Supraprovincial señaló que no existen elementos de convicción; por lo que archivó los actuados sobre los referidos casos. </w:t>
      </w:r>
    </w:p>
    <w:p w:rsidR="002A208C" w:rsidRPr="00092053" w:rsidRDefault="00092053" w:rsidP="00574AEE">
      <w:pPr>
        <w:pStyle w:val="SingleTxtG"/>
        <w:rPr>
          <w:rFonts w:eastAsia="Calibri"/>
          <w:lang w:val="es-PE" w:eastAsia="en-US"/>
        </w:rPr>
      </w:pPr>
      <w:r w:rsidRPr="00574AEE">
        <w:rPr>
          <w:rFonts w:eastAsia="Calibri"/>
          <w:lang w:val="es-PE" w:eastAsia="en-US"/>
        </w:rPr>
        <w:t>191.</w:t>
      </w:r>
      <w:r w:rsidRPr="00574AEE">
        <w:rPr>
          <w:rFonts w:eastAsia="Calibri"/>
          <w:lang w:val="es-PE" w:eastAsia="en-US"/>
        </w:rPr>
        <w:tab/>
      </w:r>
      <w:r w:rsidR="00C8443F" w:rsidRPr="00092053">
        <w:rPr>
          <w:rFonts w:eastAsia="Calibri"/>
          <w:lang w:val="es-PE" w:eastAsia="en-US"/>
        </w:rPr>
        <w:t>En vista de que se interpuso el recurso de queja de derecho contra la última resolución, se elevaron los actuados a la 3° Fiscalía Superior Penal Nacional para su pronunciamiento. A la fecha está pendiente de resolver.</w:t>
      </w:r>
    </w:p>
    <w:p w:rsidR="002A208C" w:rsidRPr="00092053" w:rsidRDefault="00092053" w:rsidP="00574AEE">
      <w:pPr>
        <w:pStyle w:val="SingleTxtG"/>
        <w:rPr>
          <w:rFonts w:eastAsia="Calibri"/>
          <w:bCs/>
          <w:lang w:val="es-PE" w:eastAsia="en-US"/>
        </w:rPr>
      </w:pPr>
      <w:r w:rsidRPr="00574AEE">
        <w:rPr>
          <w:rFonts w:eastAsia="Calibri"/>
          <w:bCs/>
          <w:lang w:val="es-PE" w:eastAsia="en-US"/>
        </w:rPr>
        <w:t>192.</w:t>
      </w:r>
      <w:r w:rsidRPr="00574AEE">
        <w:rPr>
          <w:rFonts w:eastAsia="Calibri"/>
          <w:bCs/>
          <w:lang w:val="es-PE" w:eastAsia="en-US"/>
        </w:rPr>
        <w:tab/>
      </w:r>
      <w:r w:rsidR="00C8443F" w:rsidRPr="00092053">
        <w:rPr>
          <w:rFonts w:eastAsia="Calibri"/>
          <w:bCs/>
          <w:lang w:val="es-PE" w:eastAsia="en-US"/>
        </w:rPr>
        <w:t xml:space="preserve">Por otro lado, </w:t>
      </w:r>
      <w:r w:rsidR="00C8443F" w:rsidRPr="00092053">
        <w:rPr>
          <w:lang w:eastAsia="en-US"/>
        </w:rPr>
        <w:t xml:space="preserve">mediante el Decreto Supremo </w:t>
      </w:r>
      <w:r w:rsidR="00CD52E7">
        <w:rPr>
          <w:rFonts w:eastAsia="Calibri"/>
          <w:lang w:val="es-ES_tradnl"/>
        </w:rPr>
        <w:t>núm.</w:t>
      </w:r>
      <w:r w:rsidR="00C8443F" w:rsidRPr="00092053">
        <w:rPr>
          <w:lang w:eastAsia="en-US"/>
        </w:rPr>
        <w:t xml:space="preserve"> 006-2015-JUS</w:t>
      </w:r>
      <w:r w:rsidR="00C8443F" w:rsidRPr="00092053">
        <w:rPr>
          <w:vertAlign w:val="superscript"/>
          <w:lang w:eastAsia="en-US"/>
        </w:rPr>
        <w:footnoteReference w:id="196"/>
      </w:r>
      <w:r w:rsidR="00C8443F" w:rsidRPr="00092053">
        <w:rPr>
          <w:lang w:eastAsia="en-US"/>
        </w:rPr>
        <w:t xml:space="preserve"> se declaró de interés nacional </w:t>
      </w:r>
      <w:r w:rsidR="00C8443F" w:rsidRPr="00092053">
        <w:rPr>
          <w:rFonts w:eastAsia="Calibri"/>
          <w:lang w:eastAsia="en-US"/>
        </w:rPr>
        <w:t>la</w:t>
      </w:r>
      <w:r w:rsidR="00C8443F" w:rsidRPr="00092053">
        <w:rPr>
          <w:lang w:eastAsia="en-US"/>
        </w:rPr>
        <w:t xml:space="preserve"> atención prioritaria de víctimas de esterilizaciones forzadas producidas entre 1995-2001 y se creó el Registro de Víctimas de Esterilizaciones Forzadas producidas durante dicho per</w:t>
      </w:r>
      <w:r w:rsidR="001069B7">
        <w:rPr>
          <w:lang w:eastAsia="en-US"/>
        </w:rPr>
        <w:t>í</w:t>
      </w:r>
      <w:r w:rsidR="00C8443F" w:rsidRPr="00092053">
        <w:rPr>
          <w:lang w:eastAsia="en-US"/>
        </w:rPr>
        <w:t>odo (REVIESFO). El registro está a cargo del MINJUS, en el ámbito de las competencias de los servicios de Defensa Pública de Víctimas; su fin es promover el acceso a la justicia a través de los servicios de asistencia legal gratuita, acompañamiento psicológico y atención.</w:t>
      </w:r>
    </w:p>
    <w:p w:rsidR="002A208C" w:rsidRPr="00092053" w:rsidRDefault="00092053" w:rsidP="00574AEE">
      <w:pPr>
        <w:pStyle w:val="SingleTxtG"/>
        <w:rPr>
          <w:rFonts w:eastAsia="Calibri"/>
          <w:bCs/>
          <w:lang w:val="es-PE" w:eastAsia="en-US"/>
        </w:rPr>
      </w:pPr>
      <w:r w:rsidRPr="00574AEE">
        <w:rPr>
          <w:rFonts w:eastAsia="Calibri"/>
          <w:bCs/>
          <w:lang w:val="es-PE" w:eastAsia="en-US"/>
        </w:rPr>
        <w:t>193.</w:t>
      </w:r>
      <w:r w:rsidRPr="00574AEE">
        <w:rPr>
          <w:rFonts w:eastAsia="Calibri"/>
          <w:bCs/>
          <w:lang w:val="es-PE" w:eastAsia="en-US"/>
        </w:rPr>
        <w:tab/>
      </w:r>
      <w:r w:rsidR="00C8443F" w:rsidRPr="00092053">
        <w:rPr>
          <w:lang w:eastAsia="en-US"/>
        </w:rPr>
        <w:t xml:space="preserve">Para tal fin </w:t>
      </w:r>
      <w:r w:rsidR="00C8443F" w:rsidRPr="00092053">
        <w:rPr>
          <w:rFonts w:eastAsia="Calibri"/>
          <w:lang w:eastAsia="en-US"/>
        </w:rPr>
        <w:t>se</w:t>
      </w:r>
      <w:r w:rsidR="00C8443F" w:rsidRPr="00092053">
        <w:rPr>
          <w:lang w:eastAsia="en-US"/>
        </w:rPr>
        <w:t xml:space="preserve"> aprobó el procedimiento para la inscripción en el REVIESFO</w:t>
      </w:r>
      <w:r w:rsidR="00C8443F" w:rsidRPr="00092053">
        <w:rPr>
          <w:vertAlign w:val="superscript"/>
          <w:lang w:eastAsia="en-US"/>
        </w:rPr>
        <w:footnoteReference w:id="197"/>
      </w:r>
      <w:r w:rsidR="00C8443F" w:rsidRPr="00092053">
        <w:rPr>
          <w:lang w:eastAsia="en-US"/>
        </w:rPr>
        <w:t xml:space="preserve"> y su anexo “Ficha única de Recojo de Información REVIESFO 1995</w:t>
      </w:r>
      <w:r w:rsidR="00AB3C05">
        <w:rPr>
          <w:lang w:eastAsia="en-US"/>
        </w:rPr>
        <w:t>-</w:t>
      </w:r>
      <w:r w:rsidR="00C8443F" w:rsidRPr="00092053">
        <w:rPr>
          <w:lang w:eastAsia="en-US"/>
        </w:rPr>
        <w:t>2001”.</w:t>
      </w:r>
      <w:r w:rsidR="0042499A" w:rsidRPr="00092053">
        <w:rPr>
          <w:lang w:eastAsia="en-US"/>
        </w:rPr>
        <w:t xml:space="preserve"> </w:t>
      </w:r>
      <w:r w:rsidR="00C8443F" w:rsidRPr="00092053">
        <w:rPr>
          <w:lang w:eastAsia="en-US"/>
        </w:rPr>
        <w:t>También se aprobó el “Cronograma de Implementación progresiva del REVIESFO 1995</w:t>
      </w:r>
      <w:r w:rsidR="00AB3C05">
        <w:rPr>
          <w:lang w:eastAsia="en-US"/>
        </w:rPr>
        <w:t>-</w:t>
      </w:r>
      <w:r w:rsidR="00C8443F" w:rsidRPr="00092053">
        <w:rPr>
          <w:lang w:eastAsia="en-US"/>
        </w:rPr>
        <w:t>2001”, que en su primera etapa comprendió a los departamentos de Cusco, Cajamarca, Piura, Huancavelica y Lima</w:t>
      </w:r>
      <w:r w:rsidR="00C8443F" w:rsidRPr="00092053">
        <w:rPr>
          <w:vertAlign w:val="superscript"/>
          <w:lang w:eastAsia="en-US"/>
        </w:rPr>
        <w:footnoteReference w:id="198"/>
      </w:r>
      <w:r w:rsidR="00C8443F" w:rsidRPr="00092053">
        <w:rPr>
          <w:lang w:eastAsia="en-US"/>
        </w:rPr>
        <w:t xml:space="preserve">. Igualmente, </w:t>
      </w:r>
      <w:r w:rsidR="00C8443F" w:rsidRPr="00092053">
        <w:rPr>
          <w:rFonts w:eastAsia="Calibri"/>
          <w:bCs/>
          <w:lang w:val="es-PE" w:eastAsia="en-US"/>
        </w:rPr>
        <w:t xml:space="preserve">mediante la Resolución Ministerial </w:t>
      </w:r>
      <w:r w:rsidR="00CD52E7">
        <w:rPr>
          <w:rFonts w:eastAsia="Calibri"/>
          <w:lang w:val="es-ES_tradnl"/>
        </w:rPr>
        <w:t>núm.</w:t>
      </w:r>
      <w:r w:rsidR="00C8443F" w:rsidRPr="00092053">
        <w:rPr>
          <w:rFonts w:eastAsia="Calibri"/>
          <w:bCs/>
          <w:lang w:val="es-PE" w:eastAsia="en-US"/>
        </w:rPr>
        <w:t xml:space="preserve"> </w:t>
      </w:r>
      <w:r w:rsidR="00C8443F" w:rsidRPr="00092053">
        <w:rPr>
          <w:rFonts w:eastAsia="Calibri"/>
          <w:lang w:val="es-PE" w:eastAsia="en-US"/>
        </w:rPr>
        <w:t>161-2016-JUS se dio inicio a la segunda etapa del REVIESFO. Ver</w:t>
      </w:r>
      <w:r w:rsidR="00C8443F" w:rsidRPr="00092053">
        <w:rPr>
          <w:rFonts w:eastAsia="Calibri"/>
          <w:b/>
          <w:lang w:val="es-PE" w:eastAsia="en-US"/>
        </w:rPr>
        <w:t xml:space="preserve"> tabla </w:t>
      </w:r>
      <w:r w:rsidR="00CD52E7" w:rsidRPr="00353E55">
        <w:rPr>
          <w:rFonts w:eastAsia="Calibri"/>
          <w:b/>
          <w:lang w:val="es-PE" w:eastAsia="en-US"/>
        </w:rPr>
        <w:t>núm.</w:t>
      </w:r>
      <w:r w:rsidR="00C8443F" w:rsidRPr="00092053">
        <w:rPr>
          <w:rFonts w:eastAsia="Calibri"/>
          <w:b/>
          <w:lang w:val="es-PE" w:eastAsia="en-US"/>
        </w:rPr>
        <w:t xml:space="preserve"> 1 del Anexo </w:t>
      </w:r>
      <w:r w:rsidR="00CD52E7" w:rsidRPr="00353E55">
        <w:rPr>
          <w:rFonts w:eastAsia="Calibri"/>
          <w:b/>
          <w:lang w:val="es-PE" w:eastAsia="en-US"/>
        </w:rPr>
        <w:t>núm.</w:t>
      </w:r>
      <w:r w:rsidR="00C8443F" w:rsidRPr="00092053">
        <w:rPr>
          <w:rFonts w:eastAsia="Calibri"/>
          <w:b/>
          <w:lang w:val="es-PE" w:eastAsia="en-US"/>
        </w:rPr>
        <w:t xml:space="preserve"> 16. </w:t>
      </w:r>
    </w:p>
    <w:p w:rsidR="002A208C" w:rsidRPr="00092053" w:rsidRDefault="00092053" w:rsidP="00574AEE">
      <w:pPr>
        <w:pStyle w:val="SingleTxtG"/>
        <w:rPr>
          <w:rFonts w:eastAsia="Calibri"/>
          <w:bCs/>
          <w:lang w:val="es-PE" w:eastAsia="en-US"/>
        </w:rPr>
      </w:pPr>
      <w:r w:rsidRPr="00574AEE">
        <w:rPr>
          <w:rFonts w:eastAsia="Calibri"/>
          <w:bCs/>
          <w:lang w:val="es-PE" w:eastAsia="en-US"/>
        </w:rPr>
        <w:t>194.</w:t>
      </w:r>
      <w:r w:rsidRPr="00574AEE">
        <w:rPr>
          <w:rFonts w:eastAsia="Calibri"/>
          <w:bCs/>
          <w:lang w:val="es-PE" w:eastAsia="en-US"/>
        </w:rPr>
        <w:tab/>
      </w:r>
      <w:r w:rsidR="00C8443F" w:rsidRPr="00092053">
        <w:rPr>
          <w:lang w:eastAsia="en-US"/>
        </w:rPr>
        <w:t>Al</w:t>
      </w:r>
      <w:r w:rsidR="00C8443F" w:rsidRPr="00092053">
        <w:rPr>
          <w:rFonts w:eastAsia="Calibri"/>
          <w:lang w:val="es-PE" w:eastAsia="en-US"/>
        </w:rPr>
        <w:t xml:space="preserve"> respecto, durante las 14 jornadas de inscripción itinerante en las diferentes provincias del país se </w:t>
      </w:r>
      <w:r w:rsidR="00C8443F" w:rsidRPr="00092053">
        <w:rPr>
          <w:rFonts w:eastAsia="Calibri"/>
          <w:lang w:eastAsia="en-US"/>
        </w:rPr>
        <w:t>registró</w:t>
      </w:r>
      <w:r w:rsidR="00C8443F" w:rsidRPr="00092053">
        <w:rPr>
          <w:rFonts w:eastAsia="Calibri"/>
          <w:lang w:val="es-PE" w:eastAsia="en-US"/>
        </w:rPr>
        <w:t xml:space="preserve"> 3</w:t>
      </w:r>
      <w:r w:rsidR="006C0519">
        <w:rPr>
          <w:rFonts w:eastAsia="Calibri"/>
          <w:lang w:val="es-PE" w:eastAsia="en-US"/>
        </w:rPr>
        <w:t>.</w:t>
      </w:r>
      <w:r w:rsidR="00C8443F" w:rsidRPr="00092053">
        <w:rPr>
          <w:rFonts w:eastAsia="Calibri"/>
          <w:lang w:val="es-PE" w:eastAsia="en-US"/>
        </w:rPr>
        <w:t>713 presuntas víctim</w:t>
      </w:r>
      <w:r w:rsidR="000900D3" w:rsidRPr="00092053">
        <w:rPr>
          <w:rFonts w:eastAsia="Calibri"/>
          <w:lang w:val="es-PE" w:eastAsia="en-US"/>
        </w:rPr>
        <w:t>as de esterilizaciones forzadas</w:t>
      </w:r>
      <w:r w:rsidR="00C8443F" w:rsidRPr="00092053">
        <w:rPr>
          <w:rFonts w:eastAsia="Calibri"/>
          <w:vertAlign w:val="superscript"/>
          <w:lang w:val="es-PE" w:eastAsia="en-US"/>
        </w:rPr>
        <w:footnoteReference w:id="199"/>
      </w:r>
      <w:r w:rsidR="000900D3" w:rsidRPr="00092053">
        <w:rPr>
          <w:rFonts w:eastAsia="Calibri"/>
          <w:lang w:val="es-PE" w:eastAsia="en-US"/>
        </w:rPr>
        <w:t>.</w:t>
      </w:r>
      <w:r w:rsidR="00C8443F" w:rsidRPr="00092053">
        <w:rPr>
          <w:rFonts w:eastAsia="Calibri"/>
          <w:b/>
          <w:lang w:val="es-PE" w:eastAsia="en-US"/>
        </w:rPr>
        <w:t xml:space="preserve"> </w:t>
      </w:r>
      <w:r w:rsidR="00C8443F" w:rsidRPr="00092053">
        <w:rPr>
          <w:rFonts w:eastAsia="Calibri"/>
          <w:lang w:val="es-PE" w:eastAsia="en-US"/>
        </w:rPr>
        <w:t>Ver</w:t>
      </w:r>
      <w:r w:rsidR="00C8443F" w:rsidRPr="00092053">
        <w:rPr>
          <w:rFonts w:eastAsia="Calibri"/>
          <w:b/>
          <w:lang w:val="es-PE" w:eastAsia="en-US"/>
        </w:rPr>
        <w:t xml:space="preserve"> tabla </w:t>
      </w:r>
      <w:r w:rsidR="00CD52E7" w:rsidRPr="00353E55">
        <w:rPr>
          <w:rFonts w:eastAsia="Calibri"/>
          <w:b/>
          <w:lang w:val="es-PE" w:eastAsia="en-US"/>
        </w:rPr>
        <w:t>núm.</w:t>
      </w:r>
      <w:r w:rsidR="00C8443F" w:rsidRPr="00092053">
        <w:rPr>
          <w:rFonts w:eastAsia="Calibri"/>
          <w:b/>
          <w:lang w:val="es-PE" w:eastAsia="en-US"/>
        </w:rPr>
        <w:t xml:space="preserve"> 2 del Anexo </w:t>
      </w:r>
      <w:r w:rsidR="00CD52E7" w:rsidRPr="00353E55">
        <w:rPr>
          <w:rFonts w:eastAsia="Calibri"/>
          <w:b/>
          <w:lang w:val="es-PE" w:eastAsia="en-US"/>
        </w:rPr>
        <w:t>núm.</w:t>
      </w:r>
      <w:r w:rsidR="00C8443F" w:rsidRPr="00092053">
        <w:rPr>
          <w:rFonts w:eastAsia="Calibri"/>
          <w:b/>
          <w:lang w:val="es-PE" w:eastAsia="en-US"/>
        </w:rPr>
        <w:t xml:space="preserve"> 16</w:t>
      </w:r>
      <w:r w:rsidR="00AF2E0E">
        <w:rPr>
          <w:rFonts w:eastAsia="Calibri"/>
          <w:b/>
          <w:lang w:val="es-PE" w:eastAsia="en-US"/>
        </w:rPr>
        <w:t>.</w:t>
      </w:r>
    </w:p>
    <w:p w:rsidR="002A208C" w:rsidRPr="00092053" w:rsidRDefault="00092053" w:rsidP="00574AEE">
      <w:pPr>
        <w:pStyle w:val="SingleTxtG"/>
        <w:rPr>
          <w:rFonts w:eastAsia="Calibri"/>
          <w:bCs/>
          <w:lang w:val="es-PE" w:eastAsia="en-US"/>
        </w:rPr>
      </w:pPr>
      <w:r w:rsidRPr="00574AEE">
        <w:rPr>
          <w:rFonts w:eastAsia="Calibri"/>
          <w:bCs/>
          <w:lang w:val="es-PE" w:eastAsia="en-US"/>
        </w:rPr>
        <w:t>195.</w:t>
      </w:r>
      <w:r w:rsidRPr="00574AEE">
        <w:rPr>
          <w:rFonts w:eastAsia="Calibri"/>
          <w:bCs/>
          <w:lang w:val="es-PE" w:eastAsia="en-US"/>
        </w:rPr>
        <w:tab/>
      </w:r>
      <w:r w:rsidR="00C8443F" w:rsidRPr="00092053">
        <w:rPr>
          <w:lang w:eastAsia="en-US"/>
        </w:rPr>
        <w:t xml:space="preserve">Por su parte, el MIMP, aprobó la Directiva Específica “Lineamientos para la atención de víctimas de </w:t>
      </w:r>
      <w:r w:rsidR="00C8443F" w:rsidRPr="00092053">
        <w:rPr>
          <w:rFonts w:eastAsia="Calibri"/>
          <w:lang w:eastAsia="en-US"/>
        </w:rPr>
        <w:t>esterilizaciones</w:t>
      </w:r>
      <w:r w:rsidR="00C8443F" w:rsidRPr="00092053">
        <w:rPr>
          <w:lang w:eastAsia="en-US"/>
        </w:rPr>
        <w:t xml:space="preserve"> forzadas en los CEM”, con la finalidad de establecer los criterios para la atención de las víctimas de esterilizaciones forzadas en los CEM del PNCVFS del MIMP inscritas en el REVIESFO</w:t>
      </w:r>
      <w:r w:rsidR="00C8443F" w:rsidRPr="00092053">
        <w:rPr>
          <w:vertAlign w:val="superscript"/>
          <w:lang w:eastAsia="en-US"/>
        </w:rPr>
        <w:footnoteReference w:id="200"/>
      </w:r>
      <w:r w:rsidR="00C8443F" w:rsidRPr="00092053">
        <w:rPr>
          <w:lang w:eastAsia="en-US"/>
        </w:rPr>
        <w:t xml:space="preserve">. </w:t>
      </w:r>
    </w:p>
    <w:p w:rsidR="002A208C" w:rsidRPr="00092053" w:rsidRDefault="00092053" w:rsidP="00574AEE">
      <w:pPr>
        <w:pStyle w:val="SingleTxtG"/>
        <w:rPr>
          <w:rFonts w:eastAsia="Calibri"/>
          <w:bCs/>
          <w:lang w:val="es-PE" w:eastAsia="en-US"/>
        </w:rPr>
      </w:pPr>
      <w:r w:rsidRPr="00574AEE">
        <w:rPr>
          <w:rFonts w:eastAsia="Calibri"/>
          <w:bCs/>
          <w:lang w:val="es-PE" w:eastAsia="en-US"/>
        </w:rPr>
        <w:t>196.</w:t>
      </w:r>
      <w:r w:rsidRPr="00574AEE">
        <w:rPr>
          <w:rFonts w:eastAsia="Calibri"/>
          <w:bCs/>
          <w:lang w:val="es-PE" w:eastAsia="en-US"/>
        </w:rPr>
        <w:tab/>
      </w:r>
      <w:r w:rsidR="00C8443F" w:rsidRPr="00092053">
        <w:rPr>
          <w:lang w:eastAsia="en-US"/>
        </w:rPr>
        <w:t>En ese sentido, el MINSA, a través de la Dirección de Salud Mental, desarrolló un Plan de Intervención Comunitaria en 11 provincias, 18 distritos y 16 comunidades, con un total de 870 personas beneficiarias, permitiendo el acceso a la salud mental y el restablecimiento de los vínculos de confianza entre la población y el Estado. Para ello se aplicaron 1</w:t>
      </w:r>
      <w:r w:rsidR="006C0519">
        <w:rPr>
          <w:lang w:eastAsia="en-US"/>
        </w:rPr>
        <w:t>.</w:t>
      </w:r>
      <w:r w:rsidR="00C8443F" w:rsidRPr="00092053">
        <w:rPr>
          <w:lang w:eastAsia="en-US"/>
        </w:rPr>
        <w:t>251 tamizajes, de los cuales 417 fueron positivos (33</w:t>
      </w:r>
      <w:r w:rsidR="00F44089">
        <w:rPr>
          <w:lang w:eastAsia="en-US"/>
        </w:rPr>
        <w:t>,</w:t>
      </w:r>
      <w:r w:rsidR="00C8443F" w:rsidRPr="00092053">
        <w:rPr>
          <w:lang w:eastAsia="en-US"/>
        </w:rPr>
        <w:t xml:space="preserve">3%), es decir, son </w:t>
      </w:r>
      <w:r w:rsidR="00C8443F" w:rsidRPr="00092053">
        <w:rPr>
          <w:lang w:eastAsia="en-US"/>
        </w:rPr>
        <w:lastRenderedPageBreak/>
        <w:t>personas que posiblemente padecen de un pro</w:t>
      </w:r>
      <w:r w:rsidR="000900D3" w:rsidRPr="00092053">
        <w:rPr>
          <w:lang w:eastAsia="en-US"/>
        </w:rPr>
        <w:t>blema de salud mental</w:t>
      </w:r>
      <w:r w:rsidR="00C8443F" w:rsidRPr="00092053">
        <w:rPr>
          <w:vertAlign w:val="superscript"/>
          <w:lang w:eastAsia="en-US"/>
        </w:rPr>
        <w:footnoteReference w:id="201"/>
      </w:r>
      <w:r w:rsidR="000900D3" w:rsidRPr="00092053">
        <w:rPr>
          <w:lang w:eastAsia="en-US"/>
        </w:rPr>
        <w:t>.</w:t>
      </w:r>
      <w:r w:rsidR="00C8443F" w:rsidRPr="00092053">
        <w:rPr>
          <w:lang w:eastAsia="en-US"/>
        </w:rPr>
        <w:t xml:space="preserve"> Ver </w:t>
      </w:r>
      <w:r w:rsidR="00C8443F" w:rsidRPr="00092053">
        <w:rPr>
          <w:b/>
          <w:lang w:eastAsia="en-US"/>
        </w:rPr>
        <w:t xml:space="preserve">Tabla </w:t>
      </w:r>
      <w:r w:rsidR="00CD52E7" w:rsidRPr="00353E55">
        <w:rPr>
          <w:rFonts w:eastAsia="Calibri"/>
          <w:b/>
          <w:lang w:val="es-PE" w:eastAsia="en-US"/>
        </w:rPr>
        <w:t>núm.</w:t>
      </w:r>
      <w:r w:rsidR="00C8443F" w:rsidRPr="00092053">
        <w:rPr>
          <w:b/>
          <w:lang w:eastAsia="en-US"/>
        </w:rPr>
        <w:t xml:space="preserve"> 3 del Anexo </w:t>
      </w:r>
      <w:r w:rsidR="00CD52E7" w:rsidRPr="00353E55">
        <w:rPr>
          <w:rFonts w:eastAsia="Calibri"/>
          <w:b/>
          <w:lang w:val="es-PE" w:eastAsia="en-US"/>
        </w:rPr>
        <w:t>núm.</w:t>
      </w:r>
      <w:r w:rsidR="00C8443F" w:rsidRPr="00092053">
        <w:rPr>
          <w:b/>
          <w:lang w:eastAsia="en-US"/>
        </w:rPr>
        <w:t xml:space="preserve"> 16</w:t>
      </w:r>
      <w:r w:rsidR="00C8443F" w:rsidRPr="00092053">
        <w:rPr>
          <w:lang w:eastAsia="en-US"/>
        </w:rPr>
        <w:t>.</w:t>
      </w:r>
    </w:p>
    <w:p w:rsidR="00C8443F" w:rsidRPr="00092053" w:rsidRDefault="004F7B54" w:rsidP="004F7B54">
      <w:pPr>
        <w:pStyle w:val="H23G"/>
        <w:rPr>
          <w:rFonts w:eastAsia="Calibri"/>
          <w:lang w:val="es-PE" w:eastAsia="en-US"/>
        </w:rPr>
      </w:pPr>
      <w:bookmarkStart w:id="202" w:name="_Toc468721287"/>
      <w:bookmarkStart w:id="203" w:name="_Toc471137685"/>
      <w:bookmarkStart w:id="204" w:name="_Toc472097470"/>
      <w:bookmarkStart w:id="205" w:name="_Toc484774093"/>
      <w:bookmarkStart w:id="206" w:name="_Toc468627325"/>
      <w:bookmarkStart w:id="207" w:name="_Toc468642617"/>
      <w:r w:rsidRPr="00092053">
        <w:rPr>
          <w:rFonts w:eastAsia="Calibri"/>
          <w:lang w:val="es-PE" w:eastAsia="en-US"/>
        </w:rPr>
        <w:tab/>
      </w:r>
      <w:r w:rsidRPr="00092053">
        <w:rPr>
          <w:rFonts w:eastAsia="Calibri"/>
          <w:lang w:val="es-PE" w:eastAsia="en-US"/>
        </w:rPr>
        <w:tab/>
      </w:r>
      <w:r w:rsidR="00C8443F" w:rsidRPr="00092053">
        <w:rPr>
          <w:rFonts w:eastAsia="Calibri"/>
          <w:lang w:val="es-PE" w:eastAsia="en-US"/>
        </w:rPr>
        <w:t>Respuesta al párrafo 31</w:t>
      </w:r>
      <w:bookmarkEnd w:id="202"/>
      <w:bookmarkEnd w:id="203"/>
      <w:bookmarkEnd w:id="204"/>
      <w:bookmarkEnd w:id="205"/>
      <w:r w:rsidR="00C8443F" w:rsidRPr="00092053">
        <w:rPr>
          <w:rFonts w:eastAsia="Calibri"/>
          <w:lang w:val="es-PE" w:eastAsia="en-US"/>
        </w:rPr>
        <w:t xml:space="preserve"> </w:t>
      </w:r>
      <w:bookmarkEnd w:id="206"/>
      <w:bookmarkEnd w:id="207"/>
    </w:p>
    <w:p w:rsidR="002A208C" w:rsidRPr="00092053" w:rsidRDefault="00092053" w:rsidP="00574AEE">
      <w:pPr>
        <w:pStyle w:val="SingleTxtG"/>
        <w:rPr>
          <w:rFonts w:eastAsia="Calibri"/>
          <w:lang w:val="es-PE" w:eastAsia="en-US"/>
        </w:rPr>
      </w:pPr>
      <w:r w:rsidRPr="00574AEE">
        <w:rPr>
          <w:rFonts w:eastAsia="Calibri"/>
          <w:lang w:val="es-PE" w:eastAsia="en-US"/>
        </w:rPr>
        <w:t>197.</w:t>
      </w:r>
      <w:r w:rsidRPr="00574AEE">
        <w:rPr>
          <w:rFonts w:eastAsia="Calibri"/>
          <w:lang w:val="es-PE" w:eastAsia="en-US"/>
        </w:rPr>
        <w:tab/>
      </w:r>
      <w:r w:rsidR="00C8443F" w:rsidRPr="00092053">
        <w:rPr>
          <w:rFonts w:eastAsia="Calibri"/>
          <w:lang w:val="es-PE" w:eastAsia="en-US"/>
        </w:rPr>
        <w:t xml:space="preserve">Con relación a los </w:t>
      </w:r>
      <w:r w:rsidR="00C8443F" w:rsidRPr="00092053">
        <w:rPr>
          <w:rFonts w:eastAsia="Calibri"/>
          <w:lang w:eastAsia="en-US"/>
        </w:rPr>
        <w:t>alcances</w:t>
      </w:r>
      <w:r w:rsidR="00C8443F" w:rsidRPr="00092053">
        <w:rPr>
          <w:rFonts w:eastAsia="Calibri"/>
          <w:lang w:val="es-PE" w:eastAsia="en-US"/>
        </w:rPr>
        <w:t xml:space="preserve"> de la competencia del FMP para conocer los casos relativos al uso excesivo de la fuerza y a violaciones de DDHH durante los estados de excepción, en la sentencia recaída en el expediente </w:t>
      </w:r>
      <w:r w:rsidR="00CD52E7">
        <w:rPr>
          <w:rFonts w:eastAsia="Calibri"/>
          <w:lang w:val="es-ES_tradnl"/>
        </w:rPr>
        <w:t>núm.</w:t>
      </w:r>
      <w:r w:rsidR="00C8443F" w:rsidRPr="00092053">
        <w:rPr>
          <w:rFonts w:eastAsia="Calibri"/>
          <w:lang w:val="es-PE" w:eastAsia="en-US"/>
        </w:rPr>
        <w:t xml:space="preserve"> 00022-2011-PI/TC, del 8 de julio de 2015, el Tribunal Constitucional precisó que el artículo 27° del Decreto Legislativo </w:t>
      </w:r>
      <w:r w:rsidR="00CD52E7">
        <w:rPr>
          <w:rFonts w:eastAsia="Calibri"/>
          <w:lang w:val="es-ES_tradnl"/>
        </w:rPr>
        <w:t>núm.</w:t>
      </w:r>
      <w:r w:rsidR="00C8443F" w:rsidRPr="00092053">
        <w:rPr>
          <w:rFonts w:eastAsia="Calibri"/>
          <w:lang w:val="es-PE" w:eastAsia="en-US"/>
        </w:rPr>
        <w:t xml:space="preserve"> 1095 deberá interpretarse de conformidad con el artículo 173° de la CPP y los elementos del delito de función desarrollados en </w:t>
      </w:r>
      <w:r w:rsidR="000900D3" w:rsidRPr="00092053">
        <w:rPr>
          <w:rFonts w:eastAsia="Calibri"/>
          <w:lang w:val="es-PE" w:eastAsia="en-US"/>
        </w:rPr>
        <w:t>los fundamentos de la sentencia</w:t>
      </w:r>
      <w:r w:rsidR="00C8443F" w:rsidRPr="00092053">
        <w:rPr>
          <w:rFonts w:eastAsia="Calibri"/>
          <w:vertAlign w:val="superscript"/>
          <w:lang w:val="es-PE" w:eastAsia="en-US"/>
        </w:rPr>
        <w:footnoteReference w:id="202"/>
      </w:r>
      <w:r w:rsidR="000900D3" w:rsidRPr="00092053">
        <w:rPr>
          <w:rFonts w:eastAsia="Calibri"/>
          <w:lang w:val="es-PE" w:eastAsia="en-US"/>
        </w:rPr>
        <w:t>.</w:t>
      </w:r>
      <w:r w:rsidR="00C8443F" w:rsidRPr="00092053">
        <w:rPr>
          <w:rFonts w:eastAsia="Calibri"/>
          <w:lang w:val="es-PE" w:eastAsia="en-US"/>
        </w:rPr>
        <w:t xml:space="preserve"> </w:t>
      </w:r>
    </w:p>
    <w:p w:rsidR="002A208C" w:rsidRPr="00092053" w:rsidRDefault="00092053" w:rsidP="00574AEE">
      <w:pPr>
        <w:pStyle w:val="SingleTxtG"/>
        <w:rPr>
          <w:rFonts w:eastAsia="Calibri"/>
          <w:lang w:val="es-PE" w:eastAsia="en-US"/>
        </w:rPr>
      </w:pPr>
      <w:r w:rsidRPr="00574AEE">
        <w:rPr>
          <w:rFonts w:eastAsia="Calibri"/>
          <w:lang w:val="es-PE" w:eastAsia="en-US"/>
        </w:rPr>
        <w:t>198.</w:t>
      </w:r>
      <w:r w:rsidRPr="00574AEE">
        <w:rPr>
          <w:rFonts w:eastAsia="Calibri"/>
          <w:lang w:val="es-PE" w:eastAsia="en-US"/>
        </w:rPr>
        <w:tab/>
      </w:r>
      <w:r w:rsidR="00C8443F" w:rsidRPr="00092053">
        <w:rPr>
          <w:rFonts w:eastAsia="Calibri"/>
          <w:lang w:val="es-PE" w:eastAsia="en-US"/>
        </w:rPr>
        <w:t xml:space="preserve">Con anterioridad, el mismo tribunal, en la sentencia recaída en el expediente </w:t>
      </w:r>
      <w:r w:rsidR="00CD52E7">
        <w:rPr>
          <w:rFonts w:eastAsia="Calibri"/>
          <w:lang w:val="es-ES_tradnl"/>
        </w:rPr>
        <w:t>núm.</w:t>
      </w:r>
      <w:r w:rsidR="00CD52E7">
        <w:rPr>
          <w:rFonts w:eastAsia="Calibri"/>
          <w:lang w:val="es-PE" w:eastAsia="en-US"/>
        </w:rPr>
        <w:t> </w:t>
      </w:r>
      <w:r w:rsidR="00C8443F" w:rsidRPr="00092053">
        <w:rPr>
          <w:rFonts w:eastAsia="Calibri"/>
          <w:lang w:val="es-PE" w:eastAsia="en-US"/>
        </w:rPr>
        <w:t xml:space="preserve">05197-2011-PHC/TC, </w:t>
      </w:r>
      <w:r w:rsidR="00C8443F" w:rsidRPr="00092053">
        <w:rPr>
          <w:rFonts w:eastAsia="Calibri"/>
          <w:lang w:eastAsia="en-US"/>
        </w:rPr>
        <w:t>ha</w:t>
      </w:r>
      <w:r w:rsidR="00C8443F" w:rsidRPr="00092053">
        <w:rPr>
          <w:rFonts w:eastAsia="Calibri"/>
          <w:lang w:val="es-PE" w:eastAsia="en-US"/>
        </w:rPr>
        <w:t xml:space="preserve"> señalado que “[…] el delito de tortura no puede constituir un delito de función y, en consecuencia, no puede ser competente el fue</w:t>
      </w:r>
      <w:r w:rsidR="000900D3" w:rsidRPr="00092053">
        <w:rPr>
          <w:rFonts w:eastAsia="Calibri"/>
          <w:lang w:val="es-PE" w:eastAsia="en-US"/>
        </w:rPr>
        <w:t>ro militar para su juzgamiento”</w:t>
      </w:r>
      <w:r w:rsidR="00C8443F" w:rsidRPr="00092053">
        <w:rPr>
          <w:rFonts w:eastAsia="Calibri"/>
          <w:vertAlign w:val="superscript"/>
          <w:lang w:val="es-PE" w:eastAsia="en-US"/>
        </w:rPr>
        <w:footnoteReference w:id="203"/>
      </w:r>
      <w:r w:rsidR="000900D3" w:rsidRPr="00092053">
        <w:rPr>
          <w:rFonts w:eastAsia="Calibri"/>
          <w:lang w:val="es-PE" w:eastAsia="en-US"/>
        </w:rPr>
        <w:t>.</w:t>
      </w:r>
    </w:p>
    <w:p w:rsidR="002A208C" w:rsidRPr="002C565A" w:rsidRDefault="004F7B54" w:rsidP="00574AEE">
      <w:pPr>
        <w:pStyle w:val="H1G"/>
        <w:rPr>
          <w:rFonts w:eastAsia="Calibri"/>
          <w:lang w:val="es-PE" w:eastAsia="en-US"/>
        </w:rPr>
      </w:pPr>
      <w:bookmarkStart w:id="208" w:name="_Toc468627326"/>
      <w:bookmarkStart w:id="209" w:name="_Toc468642618"/>
      <w:bookmarkStart w:id="210" w:name="_Toc468721288"/>
      <w:bookmarkStart w:id="211" w:name="_Toc471137686"/>
      <w:bookmarkStart w:id="212" w:name="_Toc472097471"/>
      <w:bookmarkStart w:id="213" w:name="_Toc484774094"/>
      <w:r w:rsidRPr="00FA45BC">
        <w:rPr>
          <w:rFonts w:eastAsia="Calibri"/>
          <w:lang w:val="es-PE" w:eastAsia="en-US"/>
        </w:rPr>
        <w:tab/>
      </w:r>
      <w:r w:rsidRPr="00FA45BC">
        <w:rPr>
          <w:rFonts w:eastAsia="Calibri"/>
          <w:lang w:val="es-PE" w:eastAsia="en-US"/>
        </w:rPr>
        <w:tab/>
      </w:r>
      <w:r w:rsidR="00C8443F" w:rsidRPr="00FA45BC">
        <w:rPr>
          <w:rFonts w:eastAsia="Calibri"/>
          <w:lang w:val="es-PE" w:eastAsia="en-US"/>
        </w:rPr>
        <w:t>Artículo 14°</w:t>
      </w:r>
      <w:bookmarkEnd w:id="208"/>
      <w:bookmarkEnd w:id="209"/>
      <w:bookmarkEnd w:id="210"/>
      <w:bookmarkEnd w:id="211"/>
      <w:bookmarkEnd w:id="212"/>
      <w:bookmarkEnd w:id="213"/>
      <w:r w:rsidR="00C8443F" w:rsidRPr="00FA45BC">
        <w:rPr>
          <w:rFonts w:eastAsia="Calibri"/>
          <w:lang w:val="es-PE" w:eastAsia="en-US"/>
        </w:rPr>
        <w:t xml:space="preserve"> </w:t>
      </w:r>
    </w:p>
    <w:p w:rsidR="00C8443F" w:rsidRPr="00092053" w:rsidRDefault="004F7B54" w:rsidP="004F7B54">
      <w:pPr>
        <w:pStyle w:val="H23G"/>
        <w:rPr>
          <w:rFonts w:eastAsia="Calibri"/>
          <w:lang w:val="es-PE" w:eastAsia="en-US"/>
        </w:rPr>
      </w:pPr>
      <w:bookmarkStart w:id="214" w:name="_Toc472097472"/>
      <w:bookmarkStart w:id="215" w:name="_Toc484774095"/>
      <w:r w:rsidRPr="00092053">
        <w:rPr>
          <w:rFonts w:eastAsia="Calibri"/>
          <w:lang w:val="es-PE" w:eastAsia="en-US"/>
        </w:rPr>
        <w:tab/>
      </w:r>
      <w:r w:rsidRPr="00092053">
        <w:rPr>
          <w:rFonts w:eastAsia="Calibri"/>
          <w:lang w:val="es-PE" w:eastAsia="en-US"/>
        </w:rPr>
        <w:tab/>
      </w:r>
      <w:r w:rsidR="00C8443F" w:rsidRPr="00092053">
        <w:rPr>
          <w:rFonts w:eastAsia="Calibri"/>
          <w:lang w:val="es-PE" w:eastAsia="en-US"/>
        </w:rPr>
        <w:t>Respuesta al párrafo 32 al 33</w:t>
      </w:r>
      <w:bookmarkEnd w:id="214"/>
      <w:bookmarkEnd w:id="215"/>
    </w:p>
    <w:p w:rsidR="002A208C" w:rsidRPr="00092053" w:rsidRDefault="00092053" w:rsidP="00574AEE">
      <w:pPr>
        <w:pStyle w:val="SingleTxtG"/>
        <w:rPr>
          <w:rFonts w:eastAsia="Calibri"/>
          <w:lang w:val="es-PE" w:eastAsia="en-US"/>
        </w:rPr>
      </w:pPr>
      <w:r w:rsidRPr="00574AEE">
        <w:rPr>
          <w:rFonts w:eastAsia="Calibri"/>
          <w:lang w:val="es-PE" w:eastAsia="en-US"/>
        </w:rPr>
        <w:t>199.</w:t>
      </w:r>
      <w:r w:rsidRPr="00574AEE">
        <w:rPr>
          <w:rFonts w:eastAsia="Calibri"/>
          <w:lang w:val="es-PE" w:eastAsia="en-US"/>
        </w:rPr>
        <w:tab/>
      </w:r>
      <w:r w:rsidR="00C8443F" w:rsidRPr="00092053">
        <w:rPr>
          <w:rFonts w:eastAsia="Calibri"/>
          <w:bCs/>
          <w:lang w:val="es-PE" w:eastAsia="en-US"/>
        </w:rPr>
        <w:t>De</w:t>
      </w:r>
      <w:r w:rsidR="00C8443F" w:rsidRPr="00092053">
        <w:rPr>
          <w:rFonts w:eastAsia="Calibri"/>
          <w:lang w:val="es-PE" w:eastAsia="en-US"/>
        </w:rPr>
        <w:t xml:space="preserve"> acuerdo con lo </w:t>
      </w:r>
      <w:r w:rsidR="00C8443F" w:rsidRPr="00092053">
        <w:rPr>
          <w:rFonts w:eastAsia="Calibri"/>
          <w:lang w:eastAsia="en-US"/>
        </w:rPr>
        <w:t>informado</w:t>
      </w:r>
      <w:r w:rsidR="00C8443F" w:rsidRPr="00092053">
        <w:rPr>
          <w:rFonts w:eastAsia="Calibri"/>
          <w:lang w:val="es-PE" w:eastAsia="en-US"/>
        </w:rPr>
        <w:t xml:space="preserve"> por el PJ, no se dispone de información sobre las medidas de reparación e indemnización a las víctimas de tortu</w:t>
      </w:r>
      <w:r w:rsidR="000900D3" w:rsidRPr="00092053">
        <w:rPr>
          <w:rFonts w:eastAsia="Calibri"/>
          <w:lang w:val="es-PE" w:eastAsia="en-US"/>
        </w:rPr>
        <w:t>ra ordenados por los tribunales</w:t>
      </w:r>
      <w:r w:rsidR="00C8443F" w:rsidRPr="00092053">
        <w:rPr>
          <w:rFonts w:eastAsia="Calibri"/>
          <w:vertAlign w:val="superscript"/>
          <w:lang w:val="es-PE" w:eastAsia="en-US"/>
        </w:rPr>
        <w:footnoteReference w:id="204"/>
      </w:r>
      <w:r w:rsidR="000900D3" w:rsidRPr="00092053">
        <w:rPr>
          <w:rFonts w:eastAsia="Calibri"/>
          <w:lang w:val="es-PE" w:eastAsia="en-US"/>
        </w:rPr>
        <w:t>.</w:t>
      </w:r>
    </w:p>
    <w:p w:rsidR="00C8443F" w:rsidRPr="00092053" w:rsidRDefault="004F7B54" w:rsidP="004F7B54">
      <w:pPr>
        <w:pStyle w:val="H23G"/>
        <w:rPr>
          <w:rFonts w:eastAsia="Calibri"/>
          <w:lang w:val="es-PE" w:eastAsia="en-US"/>
        </w:rPr>
      </w:pPr>
      <w:bookmarkStart w:id="216" w:name="_Toc468721289"/>
      <w:bookmarkStart w:id="217" w:name="_Toc471137687"/>
      <w:bookmarkStart w:id="218" w:name="_Toc472097473"/>
      <w:bookmarkStart w:id="219" w:name="_Toc484774096"/>
      <w:bookmarkStart w:id="220" w:name="_Toc468627327"/>
      <w:bookmarkStart w:id="221" w:name="_Toc468642619"/>
      <w:r w:rsidRPr="00092053">
        <w:rPr>
          <w:rFonts w:eastAsia="Calibri"/>
          <w:lang w:val="es-PE" w:eastAsia="en-US"/>
        </w:rPr>
        <w:tab/>
      </w:r>
      <w:r w:rsidRPr="00092053">
        <w:rPr>
          <w:rFonts w:eastAsia="Calibri"/>
          <w:lang w:val="es-PE" w:eastAsia="en-US"/>
        </w:rPr>
        <w:tab/>
      </w:r>
      <w:r w:rsidR="00C8443F" w:rsidRPr="00092053">
        <w:rPr>
          <w:rFonts w:eastAsia="Calibri"/>
          <w:lang w:val="es-PE" w:eastAsia="en-US"/>
        </w:rPr>
        <w:t>Respuesta al párrafo 34</w:t>
      </w:r>
      <w:bookmarkEnd w:id="216"/>
      <w:bookmarkEnd w:id="217"/>
      <w:bookmarkEnd w:id="218"/>
      <w:bookmarkEnd w:id="219"/>
      <w:r w:rsidR="00C8443F" w:rsidRPr="00092053">
        <w:rPr>
          <w:rFonts w:eastAsia="Calibri"/>
          <w:lang w:val="es-PE" w:eastAsia="en-US"/>
        </w:rPr>
        <w:t xml:space="preserve"> </w:t>
      </w:r>
      <w:bookmarkEnd w:id="220"/>
      <w:bookmarkEnd w:id="221"/>
    </w:p>
    <w:p w:rsidR="002A208C" w:rsidRPr="00092053" w:rsidRDefault="00092053" w:rsidP="00574AEE">
      <w:pPr>
        <w:pStyle w:val="SingleTxtG"/>
        <w:rPr>
          <w:rFonts w:eastAsia="Calibri"/>
          <w:strike/>
          <w:lang w:val="es-PE" w:eastAsia="en-US"/>
        </w:rPr>
      </w:pPr>
      <w:r w:rsidRPr="00574AEE">
        <w:rPr>
          <w:rFonts w:eastAsia="Calibri"/>
          <w:lang w:val="es-PE" w:eastAsia="en-US"/>
        </w:rPr>
        <w:t>200.</w:t>
      </w:r>
      <w:r w:rsidRPr="00574AEE">
        <w:rPr>
          <w:rFonts w:eastAsia="Calibri"/>
          <w:lang w:val="es-PE" w:eastAsia="en-US"/>
        </w:rPr>
        <w:tab/>
      </w:r>
      <w:r w:rsidR="00C8443F" w:rsidRPr="00092053">
        <w:rPr>
          <w:rFonts w:eastAsia="Calibri"/>
          <w:lang w:val="es-PE" w:eastAsia="en-US"/>
        </w:rPr>
        <w:t xml:space="preserve">El Consejo de </w:t>
      </w:r>
      <w:r w:rsidR="00C8443F" w:rsidRPr="00092053">
        <w:rPr>
          <w:rFonts w:eastAsia="Calibri"/>
          <w:lang w:eastAsia="en-US"/>
        </w:rPr>
        <w:t>Reparaciones</w:t>
      </w:r>
      <w:r w:rsidR="00C8443F" w:rsidRPr="00092053">
        <w:rPr>
          <w:rFonts w:eastAsia="Calibri"/>
          <w:lang w:val="es-PE" w:eastAsia="en-US"/>
        </w:rPr>
        <w:t xml:space="preserve"> (CR) informó que, a diciembre de 2016, están inscritas en el Registro Único de Víctimas (RUV) 219</w:t>
      </w:r>
      <w:r w:rsidR="003461EA">
        <w:rPr>
          <w:rFonts w:eastAsia="Calibri"/>
          <w:lang w:val="es-PE" w:eastAsia="en-US"/>
        </w:rPr>
        <w:t>.</w:t>
      </w:r>
      <w:r w:rsidR="00C8443F" w:rsidRPr="00092053">
        <w:rPr>
          <w:rFonts w:eastAsia="Calibri"/>
          <w:lang w:val="es-PE" w:eastAsia="en-US"/>
        </w:rPr>
        <w:t>746 personas. En 43</w:t>
      </w:r>
      <w:r w:rsidR="003461EA">
        <w:rPr>
          <w:rFonts w:eastAsia="Calibri"/>
          <w:lang w:val="es-PE" w:eastAsia="en-US"/>
        </w:rPr>
        <w:t>.</w:t>
      </w:r>
      <w:r w:rsidR="00C8443F" w:rsidRPr="00092053">
        <w:rPr>
          <w:rFonts w:eastAsia="Calibri"/>
          <w:lang w:val="es-PE" w:eastAsia="en-US"/>
        </w:rPr>
        <w:t>987 casos las víctimas reportaron la afectación de “tortura” (13</w:t>
      </w:r>
      <w:r w:rsidR="003461EA">
        <w:rPr>
          <w:rFonts w:eastAsia="Calibri"/>
          <w:lang w:val="es-PE" w:eastAsia="en-US"/>
        </w:rPr>
        <w:t>.</w:t>
      </w:r>
      <w:r w:rsidR="00C8443F" w:rsidRPr="00092053">
        <w:rPr>
          <w:rFonts w:eastAsia="Calibri"/>
          <w:lang w:val="es-PE" w:eastAsia="en-US"/>
        </w:rPr>
        <w:t>547</w:t>
      </w:r>
      <w:r w:rsidR="000900D3" w:rsidRPr="00092053">
        <w:rPr>
          <w:rFonts w:eastAsia="Calibri"/>
          <w:lang w:val="es-PE" w:eastAsia="en-US"/>
        </w:rPr>
        <w:t xml:space="preserve"> son mujeres y 30</w:t>
      </w:r>
      <w:r w:rsidR="003461EA">
        <w:rPr>
          <w:rFonts w:eastAsia="Calibri"/>
          <w:lang w:val="es-PE" w:eastAsia="en-US"/>
        </w:rPr>
        <w:t>.</w:t>
      </w:r>
      <w:r w:rsidR="000900D3" w:rsidRPr="00092053">
        <w:rPr>
          <w:rFonts w:eastAsia="Calibri"/>
          <w:lang w:val="es-PE" w:eastAsia="en-US"/>
        </w:rPr>
        <w:t>440, hombres)</w:t>
      </w:r>
      <w:r w:rsidR="00C8443F" w:rsidRPr="00092053">
        <w:rPr>
          <w:rFonts w:eastAsia="Calibri"/>
          <w:vertAlign w:val="superscript"/>
          <w:lang w:val="es-PE" w:eastAsia="en-US"/>
        </w:rPr>
        <w:footnoteReference w:id="205"/>
      </w:r>
      <w:r w:rsidR="000900D3" w:rsidRPr="00092053">
        <w:rPr>
          <w:rFonts w:eastAsia="Calibri"/>
          <w:lang w:val="es-PE" w:eastAsia="en-US"/>
        </w:rPr>
        <w:t>.</w:t>
      </w:r>
    </w:p>
    <w:p w:rsidR="002A208C" w:rsidRPr="00092053" w:rsidRDefault="00092053" w:rsidP="00574AEE">
      <w:pPr>
        <w:pStyle w:val="SingleTxtG"/>
        <w:rPr>
          <w:rFonts w:eastAsia="Calibri"/>
          <w:strike/>
          <w:lang w:val="es-PE" w:eastAsia="en-US"/>
        </w:rPr>
      </w:pPr>
      <w:r w:rsidRPr="00574AEE">
        <w:rPr>
          <w:rFonts w:eastAsia="Calibri"/>
          <w:lang w:val="es-PE" w:eastAsia="en-US"/>
        </w:rPr>
        <w:t>201.</w:t>
      </w:r>
      <w:r w:rsidRPr="00574AEE">
        <w:rPr>
          <w:rFonts w:eastAsia="Calibri"/>
          <w:lang w:val="es-PE" w:eastAsia="en-US"/>
        </w:rPr>
        <w:tab/>
      </w:r>
      <w:r w:rsidR="00C8443F" w:rsidRPr="00092053">
        <w:rPr>
          <w:rFonts w:eastAsia="Calibri"/>
          <w:lang w:eastAsia="en-US"/>
        </w:rPr>
        <w:t>Asimismo</w:t>
      </w:r>
      <w:r w:rsidR="00C8443F" w:rsidRPr="00092053">
        <w:rPr>
          <w:rFonts w:eastAsia="Calibri"/>
          <w:lang w:val="es-PE" w:eastAsia="en-US"/>
        </w:rPr>
        <w:t>, con relación al programa de reparaciones económicas, la CMAN</w:t>
      </w:r>
      <w:r w:rsidR="00C8443F" w:rsidRPr="00092053">
        <w:rPr>
          <w:rFonts w:eastAsia="Calibri"/>
          <w:vertAlign w:val="superscript"/>
          <w:lang w:val="es-PE" w:eastAsia="en-US"/>
        </w:rPr>
        <w:footnoteReference w:id="206"/>
      </w:r>
      <w:r w:rsidR="00C8443F" w:rsidRPr="00092053">
        <w:rPr>
          <w:rFonts w:eastAsia="Calibri"/>
          <w:lang w:val="es-PE" w:eastAsia="en-US"/>
        </w:rPr>
        <w:t xml:space="preserve"> informó que, a partir de 21 resoluciones ministeriales, desde el 2011 se atendió a 82</w:t>
      </w:r>
      <w:r w:rsidR="003461EA">
        <w:rPr>
          <w:rFonts w:eastAsia="Calibri"/>
          <w:lang w:val="es-PE" w:eastAsia="en-US"/>
        </w:rPr>
        <w:t>.</w:t>
      </w:r>
      <w:r w:rsidR="00C8443F" w:rsidRPr="00092053">
        <w:rPr>
          <w:rFonts w:eastAsia="Calibri"/>
          <w:lang w:val="es-PE" w:eastAsia="en-US"/>
        </w:rPr>
        <w:t>721 beneficiarios, con el monto de S/. 287</w:t>
      </w:r>
      <w:r w:rsidR="003461EA">
        <w:rPr>
          <w:rFonts w:eastAsia="Calibri"/>
          <w:lang w:val="es-PE" w:eastAsia="en-US"/>
        </w:rPr>
        <w:t>.</w:t>
      </w:r>
      <w:r w:rsidR="00C8443F" w:rsidRPr="00092053">
        <w:rPr>
          <w:rFonts w:eastAsia="Calibri"/>
          <w:lang w:val="es-PE" w:eastAsia="en-US"/>
        </w:rPr>
        <w:t>260</w:t>
      </w:r>
      <w:r w:rsidR="003461EA">
        <w:rPr>
          <w:rFonts w:eastAsia="Calibri"/>
          <w:lang w:val="es-PE" w:eastAsia="en-US"/>
        </w:rPr>
        <w:t>.</w:t>
      </w:r>
      <w:r w:rsidR="00C8443F" w:rsidRPr="00092053">
        <w:rPr>
          <w:rFonts w:eastAsia="Calibri"/>
          <w:lang w:val="es-PE" w:eastAsia="en-US"/>
        </w:rPr>
        <w:t>779</w:t>
      </w:r>
      <w:r w:rsidR="006476B0">
        <w:rPr>
          <w:rFonts w:eastAsia="Calibri"/>
          <w:lang w:val="es-PE" w:eastAsia="en-US"/>
        </w:rPr>
        <w:t>,</w:t>
      </w:r>
      <w:r w:rsidR="00C8443F" w:rsidRPr="00092053">
        <w:rPr>
          <w:rFonts w:eastAsia="Calibri"/>
          <w:lang w:val="es-PE" w:eastAsia="en-US"/>
        </w:rPr>
        <w:t>17, que representa un avance del 95</w:t>
      </w:r>
      <w:r w:rsidR="00F44089">
        <w:rPr>
          <w:rFonts w:eastAsia="Calibri"/>
          <w:lang w:val="es-PE" w:eastAsia="en-US"/>
        </w:rPr>
        <w:t>,</w:t>
      </w:r>
      <w:r w:rsidR="00C8443F" w:rsidRPr="00092053">
        <w:rPr>
          <w:rFonts w:eastAsia="Calibri"/>
          <w:lang w:val="es-PE" w:eastAsia="en-US"/>
        </w:rPr>
        <w:t>2% del total de potenciales beneficiarios de este programa inscritos en el RUV.</w:t>
      </w:r>
    </w:p>
    <w:p w:rsidR="002A208C" w:rsidRPr="00092053" w:rsidRDefault="00092053" w:rsidP="00574AEE">
      <w:pPr>
        <w:pStyle w:val="SingleTxtG"/>
        <w:rPr>
          <w:rFonts w:eastAsia="Calibri"/>
          <w:lang w:val="es-PE" w:eastAsia="en-US"/>
        </w:rPr>
      </w:pPr>
      <w:r w:rsidRPr="00574AEE">
        <w:rPr>
          <w:rFonts w:eastAsia="Calibri"/>
          <w:lang w:val="es-PE" w:eastAsia="en-US"/>
        </w:rPr>
        <w:t>202.</w:t>
      </w:r>
      <w:r w:rsidRPr="00574AEE">
        <w:rPr>
          <w:rFonts w:eastAsia="Calibri"/>
          <w:lang w:val="es-PE" w:eastAsia="en-US"/>
        </w:rPr>
        <w:tab/>
      </w:r>
      <w:r w:rsidR="00C8443F" w:rsidRPr="00092053">
        <w:rPr>
          <w:rFonts w:eastAsia="Calibri"/>
          <w:lang w:val="es-PE" w:eastAsia="en-US"/>
        </w:rPr>
        <w:t xml:space="preserve">En cuanto al programa de reparaciones en materia de educación, en el 2012 el MINJUS y el Ministerio de </w:t>
      </w:r>
      <w:r w:rsidR="00C8443F" w:rsidRPr="00092053">
        <w:rPr>
          <w:rFonts w:eastAsia="Calibri"/>
          <w:lang w:eastAsia="en-US"/>
        </w:rPr>
        <w:t>Educación</w:t>
      </w:r>
      <w:r w:rsidR="00C8443F" w:rsidRPr="00092053">
        <w:rPr>
          <w:rFonts w:eastAsia="Calibri"/>
          <w:lang w:val="es-PE" w:eastAsia="en-US"/>
        </w:rPr>
        <w:t xml:space="preserve"> (MINEDU) suscribieron un convenio de cooperación</w:t>
      </w:r>
      <w:r w:rsidR="00C8443F" w:rsidRPr="00092053">
        <w:rPr>
          <w:rFonts w:eastAsia="Calibri"/>
          <w:vertAlign w:val="superscript"/>
          <w:lang w:val="es-PE" w:eastAsia="en-US"/>
        </w:rPr>
        <w:footnoteReference w:id="207"/>
      </w:r>
      <w:r w:rsidR="00C8443F" w:rsidRPr="00092053">
        <w:rPr>
          <w:rFonts w:eastAsia="Calibri"/>
          <w:lang w:val="es-PE" w:eastAsia="en-US"/>
        </w:rPr>
        <w:t xml:space="preserve"> para la implementación de becas en favor de los beneficiarios del Plan Integral de Reparaciones (PIR), otorgadas por el Programa Nacional de Becas y </w:t>
      </w:r>
      <w:r w:rsidR="009D76DD" w:rsidRPr="00092053">
        <w:rPr>
          <w:rFonts w:eastAsia="Calibri"/>
          <w:lang w:val="es-PE" w:eastAsia="en-US"/>
        </w:rPr>
        <w:t>Crédito Educativo (PRONABEC).</w:t>
      </w:r>
    </w:p>
    <w:p w:rsidR="002A208C" w:rsidRPr="00092053" w:rsidRDefault="00092053" w:rsidP="00574AEE">
      <w:pPr>
        <w:pStyle w:val="SingleTxtG"/>
        <w:rPr>
          <w:rFonts w:eastAsia="Calibri"/>
          <w:lang w:val="es-PE" w:eastAsia="en-US"/>
        </w:rPr>
      </w:pPr>
      <w:r w:rsidRPr="00574AEE">
        <w:rPr>
          <w:rFonts w:eastAsia="Calibri"/>
          <w:lang w:val="es-PE" w:eastAsia="en-US"/>
        </w:rPr>
        <w:lastRenderedPageBreak/>
        <w:t>203.</w:t>
      </w:r>
      <w:r w:rsidRPr="00574AEE">
        <w:rPr>
          <w:rFonts w:eastAsia="Calibri"/>
          <w:lang w:val="es-PE" w:eastAsia="en-US"/>
        </w:rPr>
        <w:tab/>
      </w:r>
      <w:r w:rsidR="00C8443F" w:rsidRPr="00092053">
        <w:rPr>
          <w:rFonts w:eastAsia="Calibri"/>
          <w:lang w:val="es-PE" w:eastAsia="en-US"/>
        </w:rPr>
        <w:t>A partir de ello se implementaron, de manera exclusiva para las víctimas de violencia, la Beca 18-REPARED y la Beca Técnico Productiva</w:t>
      </w:r>
      <w:r w:rsidR="00AB3C05">
        <w:rPr>
          <w:rFonts w:eastAsia="Calibri"/>
          <w:lang w:val="es-PE" w:eastAsia="en-US"/>
        </w:rPr>
        <w:t>-</w:t>
      </w:r>
      <w:r w:rsidR="00C8443F" w:rsidRPr="00092053">
        <w:rPr>
          <w:rFonts w:eastAsia="Calibri"/>
          <w:lang w:val="es-PE" w:eastAsia="en-US"/>
        </w:rPr>
        <w:t xml:space="preserve">REPARED, becas integrales que cubren la totalidad de los costos académicos de los estudios de educación universitaria y técnica, en instituciones públicas o privadas y, a través de una subvención mensual, cubren los costos de </w:t>
      </w:r>
      <w:r w:rsidR="00C8443F" w:rsidRPr="00092053">
        <w:rPr>
          <w:rFonts w:eastAsia="Calibri"/>
          <w:lang w:eastAsia="en-US"/>
        </w:rPr>
        <w:t>alojamiento</w:t>
      </w:r>
      <w:r w:rsidR="00C8443F" w:rsidRPr="00092053">
        <w:rPr>
          <w:rFonts w:eastAsia="Calibri"/>
          <w:lang w:val="es-PE" w:eastAsia="en-US"/>
        </w:rPr>
        <w:t>, aliment</w:t>
      </w:r>
      <w:r w:rsidR="000900D3" w:rsidRPr="00092053">
        <w:rPr>
          <w:rFonts w:eastAsia="Calibri"/>
          <w:lang w:val="es-PE" w:eastAsia="en-US"/>
        </w:rPr>
        <w:t>ación y pasajes de los becarios</w:t>
      </w:r>
      <w:r w:rsidR="00C8443F" w:rsidRPr="00092053">
        <w:rPr>
          <w:rFonts w:eastAsia="Calibri"/>
          <w:vertAlign w:val="superscript"/>
          <w:lang w:val="es-PE" w:eastAsia="en-US"/>
        </w:rPr>
        <w:footnoteReference w:id="208"/>
      </w:r>
      <w:r w:rsidR="000900D3" w:rsidRPr="00092053">
        <w:rPr>
          <w:rFonts w:eastAsia="Calibri"/>
          <w:lang w:val="es-PE" w:eastAsia="en-US"/>
        </w:rPr>
        <w:t>.</w:t>
      </w:r>
      <w:r w:rsidR="00C8443F" w:rsidRPr="00092053">
        <w:rPr>
          <w:rFonts w:eastAsia="Calibri"/>
          <w:lang w:val="es-PE" w:eastAsia="en-US"/>
        </w:rPr>
        <w:t xml:space="preserve"> Siendo </w:t>
      </w:r>
      <w:r w:rsidR="00C8443F" w:rsidRPr="00092053">
        <w:rPr>
          <w:lang w:eastAsia="en-US"/>
        </w:rPr>
        <w:t xml:space="preserve">1066 becas adjudicadas a las víctimas de violencia (883 Becas 18 REPARED y </w:t>
      </w:r>
      <w:r w:rsidR="000900D3" w:rsidRPr="00092053">
        <w:rPr>
          <w:lang w:eastAsia="en-US"/>
        </w:rPr>
        <w:t>183 Técnico Productiva REPARED)</w:t>
      </w:r>
      <w:r w:rsidR="00C8443F" w:rsidRPr="00092053">
        <w:rPr>
          <w:rFonts w:eastAsia="Calibri"/>
          <w:vertAlign w:val="superscript"/>
          <w:lang w:val="es-PE" w:eastAsia="en-US"/>
        </w:rPr>
        <w:footnoteReference w:id="209"/>
      </w:r>
      <w:r w:rsidR="000900D3" w:rsidRPr="00092053">
        <w:rPr>
          <w:lang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204.</w:t>
      </w:r>
      <w:r w:rsidRPr="00574AEE">
        <w:rPr>
          <w:rFonts w:eastAsia="Calibri"/>
          <w:lang w:val="es-PE" w:eastAsia="en-US"/>
        </w:rPr>
        <w:tab/>
      </w:r>
      <w:r w:rsidR="00C8443F" w:rsidRPr="00092053">
        <w:rPr>
          <w:rFonts w:eastAsia="Calibri"/>
          <w:lang w:eastAsia="en-US"/>
        </w:rPr>
        <w:t>Posteriormente</w:t>
      </w:r>
      <w:r w:rsidR="00C8443F" w:rsidRPr="00092053">
        <w:rPr>
          <w:rFonts w:eastAsia="Calibri"/>
          <w:lang w:val="es-PE" w:eastAsia="en-US"/>
        </w:rPr>
        <w:t>, en el 2013 e</w:t>
      </w:r>
      <w:r w:rsidR="00C8443F" w:rsidRPr="00092053">
        <w:rPr>
          <w:rFonts w:eastAsia="Calibri"/>
          <w:shd w:val="clear" w:color="auto" w:fill="FFFFFF"/>
          <w:lang w:val="es-PE" w:eastAsia="en-US"/>
        </w:rPr>
        <w:t>l MINJUS suscribió un Convenio de Cooperación y Transferencia Fi</w:t>
      </w:r>
      <w:r w:rsidR="00C8443F" w:rsidRPr="00092053">
        <w:rPr>
          <w:rFonts w:eastAsia="Calibri"/>
          <w:lang w:eastAsia="en-US"/>
        </w:rPr>
        <w:t>n</w:t>
      </w:r>
      <w:r w:rsidR="00C8443F" w:rsidRPr="00092053">
        <w:rPr>
          <w:rFonts w:eastAsia="Calibri"/>
          <w:shd w:val="clear" w:color="auto" w:fill="FFFFFF"/>
          <w:lang w:val="es-PE" w:eastAsia="en-US"/>
        </w:rPr>
        <w:t xml:space="preserve">anciera con el Servicio Nacional </w:t>
      </w:r>
      <w:r w:rsidR="00C8443F" w:rsidRPr="00092053">
        <w:rPr>
          <w:rFonts w:eastAsia="Calibri"/>
          <w:lang w:val="es-PE" w:eastAsia="en-US"/>
        </w:rPr>
        <w:t>de Capacitación para la Industria de la Construcción (SENCICO), con el objetivo de</w:t>
      </w:r>
      <w:r w:rsidR="00C8443F" w:rsidRPr="00092053">
        <w:rPr>
          <w:rFonts w:eastAsia="Calibri"/>
          <w:shd w:val="clear" w:color="auto" w:fill="FFFFFF"/>
          <w:lang w:val="es-PE" w:eastAsia="en-US"/>
        </w:rPr>
        <w:t xml:space="preserve"> capacitar mediante cursos técnicos de nivel operativo de corta duración a beneficiarios del </w:t>
      </w:r>
      <w:r w:rsidR="00C8443F" w:rsidRPr="00092053">
        <w:rPr>
          <w:lang w:eastAsia="en-US"/>
        </w:rPr>
        <w:t>Programa de Reparaciones Educativas (PRED)</w:t>
      </w:r>
      <w:r w:rsidR="00C8443F" w:rsidRPr="00092053">
        <w:rPr>
          <w:rFonts w:eastAsia="Calibri"/>
          <w:shd w:val="clear" w:color="auto" w:fill="FFFFFF"/>
          <w:lang w:val="es-PE" w:eastAsia="en-US"/>
        </w:rPr>
        <w:t xml:space="preserve"> de las regiones de Lima, Callao, Ayacucho, Junín, Apurímac y Huánuco. De este modo </w:t>
      </w:r>
      <w:r w:rsidR="000900D3" w:rsidRPr="00092053">
        <w:rPr>
          <w:rFonts w:eastAsia="Calibri"/>
          <w:shd w:val="clear" w:color="auto" w:fill="FFFFFF"/>
          <w:lang w:val="es-PE" w:eastAsia="en-US"/>
        </w:rPr>
        <w:t>fueron beneficiadas 58 personas</w:t>
      </w:r>
      <w:r w:rsidR="00C8443F" w:rsidRPr="00092053">
        <w:rPr>
          <w:rFonts w:eastAsia="Calibri"/>
          <w:shd w:val="clear" w:color="auto" w:fill="FFFFFF"/>
          <w:vertAlign w:val="superscript"/>
          <w:lang w:val="es-PE" w:eastAsia="en-US"/>
        </w:rPr>
        <w:footnoteReference w:id="210"/>
      </w:r>
      <w:r w:rsidR="000900D3" w:rsidRPr="00092053">
        <w:rPr>
          <w:rFonts w:eastAsia="Calibri"/>
          <w:shd w:val="clear" w:color="auto" w:fill="FFFFFF"/>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205.</w:t>
      </w:r>
      <w:r w:rsidRPr="00574AEE">
        <w:rPr>
          <w:rFonts w:eastAsia="Calibri"/>
          <w:lang w:val="es-PE" w:eastAsia="en-US"/>
        </w:rPr>
        <w:tab/>
      </w:r>
      <w:r w:rsidR="00C8443F" w:rsidRPr="00092053">
        <w:rPr>
          <w:rFonts w:eastAsia="Calibri"/>
          <w:lang w:val="es-PE" w:eastAsia="en-US"/>
        </w:rPr>
        <w:t xml:space="preserve">Además, </w:t>
      </w:r>
      <w:r w:rsidR="00C8443F" w:rsidRPr="00092053">
        <w:rPr>
          <w:rFonts w:eastAsia="Arial"/>
          <w:lang w:val="es-PE" w:eastAsia="en-US"/>
        </w:rPr>
        <w:t xml:space="preserve">entre los años </w:t>
      </w:r>
      <w:r w:rsidR="00C8443F" w:rsidRPr="00092053">
        <w:rPr>
          <w:rFonts w:eastAsia="Calibri"/>
          <w:lang w:eastAsia="en-US"/>
        </w:rPr>
        <w:t>2015</w:t>
      </w:r>
      <w:r w:rsidR="00C8443F" w:rsidRPr="00092053">
        <w:rPr>
          <w:rFonts w:eastAsia="Arial"/>
          <w:lang w:val="es-PE" w:eastAsia="en-US"/>
        </w:rPr>
        <w:t xml:space="preserve"> y 2016 se acompañó a los becarios y se capacitó a los tutores en las regiones de Junín y Ayacucho, t</w:t>
      </w:r>
      <w:r w:rsidR="00C8443F" w:rsidRPr="00092053">
        <w:rPr>
          <w:rFonts w:eastAsia="Calibri"/>
          <w:lang w:val="es-PE" w:eastAsia="en-US"/>
        </w:rPr>
        <w:t>omando en cuenta los co</w:t>
      </w:r>
      <w:r w:rsidR="00C8443F" w:rsidRPr="00092053">
        <w:rPr>
          <w:rFonts w:eastAsia="Arial"/>
          <w:lang w:val="es-PE" w:eastAsia="en-US"/>
        </w:rPr>
        <w:t>mpromisos firmados con el Centro de Atenció</w:t>
      </w:r>
      <w:r w:rsidR="000900D3" w:rsidRPr="00092053">
        <w:rPr>
          <w:rFonts w:eastAsia="Arial"/>
          <w:lang w:val="es-PE" w:eastAsia="en-US"/>
        </w:rPr>
        <w:t>n Psicosocial (CAPS) y PRONABEC</w:t>
      </w:r>
      <w:r w:rsidR="00C8443F" w:rsidRPr="00092053">
        <w:rPr>
          <w:rFonts w:eastAsia="Arial"/>
          <w:vertAlign w:val="superscript"/>
          <w:lang w:val="es-PE" w:eastAsia="en-US"/>
        </w:rPr>
        <w:footnoteReference w:id="211"/>
      </w:r>
      <w:r w:rsidR="000900D3" w:rsidRPr="00092053">
        <w:rPr>
          <w:rFonts w:eastAsia="Arial"/>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206.</w:t>
      </w:r>
      <w:r w:rsidRPr="00574AEE">
        <w:rPr>
          <w:rFonts w:eastAsia="Calibri"/>
          <w:lang w:val="es-PE" w:eastAsia="en-US"/>
        </w:rPr>
        <w:tab/>
      </w:r>
      <w:r w:rsidR="00C8443F" w:rsidRPr="00092053">
        <w:rPr>
          <w:rFonts w:eastAsia="Arial"/>
          <w:lang w:val="es-PE" w:eastAsia="en-US"/>
        </w:rPr>
        <w:t xml:space="preserve">En el 2016, mediante el Decreto Supremo </w:t>
      </w:r>
      <w:r w:rsidR="00CD52E7">
        <w:rPr>
          <w:rFonts w:eastAsia="Calibri"/>
          <w:lang w:val="es-ES_tradnl"/>
        </w:rPr>
        <w:t>núm.</w:t>
      </w:r>
      <w:r w:rsidR="00C8443F" w:rsidRPr="00092053">
        <w:rPr>
          <w:rFonts w:eastAsia="Arial"/>
          <w:lang w:val="es-PE" w:eastAsia="en-US"/>
        </w:rPr>
        <w:t xml:space="preserve"> 001-2016-JUS</w:t>
      </w:r>
      <w:r w:rsidR="00C8443F" w:rsidRPr="00092053">
        <w:rPr>
          <w:rFonts w:eastAsia="Arial"/>
          <w:vertAlign w:val="superscript"/>
          <w:lang w:val="es-PE" w:eastAsia="en-US"/>
        </w:rPr>
        <w:footnoteReference w:id="212"/>
      </w:r>
      <w:r w:rsidR="00C8443F" w:rsidRPr="00092053">
        <w:rPr>
          <w:rFonts w:eastAsia="Arial"/>
          <w:lang w:val="es-PE" w:eastAsia="en-US"/>
        </w:rPr>
        <w:t xml:space="preserve">, se aprobó la transferencia del derecho del beneficiario titular de reparaciones en educación a un familiar en línea recta descendiente hasta el </w:t>
      </w:r>
      <w:r w:rsidR="00C8443F" w:rsidRPr="00092053">
        <w:rPr>
          <w:rFonts w:eastAsia="Calibri"/>
          <w:lang w:eastAsia="en-US"/>
        </w:rPr>
        <w:t>segundo</w:t>
      </w:r>
      <w:r w:rsidR="00C8443F" w:rsidRPr="00092053">
        <w:rPr>
          <w:rFonts w:eastAsia="Arial"/>
          <w:lang w:val="es-PE" w:eastAsia="en-US"/>
        </w:rPr>
        <w:t xml:space="preserve"> grado de consanguinidad y se creó el Registro Especial de Beneficiarios de Reparaciones en Educación (REBRED). Hasta diciembre de 2016 se recibieron 5</w:t>
      </w:r>
      <w:r w:rsidR="006476B0">
        <w:rPr>
          <w:rFonts w:eastAsia="Arial"/>
          <w:lang w:val="es-PE" w:eastAsia="en-US"/>
        </w:rPr>
        <w:t>.</w:t>
      </w:r>
      <w:r w:rsidR="00C8443F" w:rsidRPr="00092053">
        <w:rPr>
          <w:rFonts w:eastAsia="Arial"/>
          <w:lang w:val="es-PE" w:eastAsia="en-US"/>
        </w:rPr>
        <w:t>114 solicitudes de inscripción</w:t>
      </w:r>
      <w:r w:rsidR="000900D3" w:rsidRPr="00092053">
        <w:rPr>
          <w:rFonts w:eastAsia="Arial"/>
          <w:lang w:val="es-PE" w:eastAsia="en-US"/>
        </w:rPr>
        <w:t xml:space="preserve"> y se acreditó a 3</w:t>
      </w:r>
      <w:r w:rsidR="006476B0">
        <w:rPr>
          <w:rFonts w:eastAsia="Arial"/>
          <w:lang w:val="es-PE" w:eastAsia="en-US"/>
        </w:rPr>
        <w:t>.</w:t>
      </w:r>
      <w:r w:rsidR="000900D3" w:rsidRPr="00092053">
        <w:rPr>
          <w:rFonts w:eastAsia="Arial"/>
          <w:lang w:val="es-PE" w:eastAsia="en-US"/>
        </w:rPr>
        <w:t>463 personas</w:t>
      </w:r>
      <w:r w:rsidR="00C8443F" w:rsidRPr="00092053">
        <w:rPr>
          <w:rFonts w:eastAsia="Arial"/>
          <w:vertAlign w:val="superscript"/>
          <w:lang w:val="es-PE" w:eastAsia="en-US"/>
        </w:rPr>
        <w:footnoteReference w:id="213"/>
      </w:r>
      <w:r w:rsidR="000900D3" w:rsidRPr="00092053">
        <w:rPr>
          <w:rFonts w:eastAsia="Arial"/>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207.</w:t>
      </w:r>
      <w:r w:rsidRPr="00574AEE">
        <w:rPr>
          <w:rFonts w:eastAsia="Calibri"/>
          <w:lang w:val="es-PE" w:eastAsia="en-US"/>
        </w:rPr>
        <w:tab/>
      </w:r>
      <w:r w:rsidR="00C8443F" w:rsidRPr="00092053">
        <w:rPr>
          <w:rFonts w:eastAsia="Calibri"/>
          <w:lang w:val="es-PE" w:eastAsia="en-US"/>
        </w:rPr>
        <w:t xml:space="preserve">Cabe señalar que la citada norma estableció el 31 de </w:t>
      </w:r>
      <w:r w:rsidR="00C8443F" w:rsidRPr="00092053">
        <w:rPr>
          <w:rFonts w:eastAsia="Calibri"/>
          <w:shd w:val="clear" w:color="auto" w:fill="FFFFFF"/>
          <w:lang w:val="es-PE" w:eastAsia="en-US"/>
        </w:rPr>
        <w:t>diciembre de 2016</w:t>
      </w:r>
      <w:r w:rsidR="00C8443F" w:rsidRPr="00092053">
        <w:rPr>
          <w:rFonts w:eastAsia="Calibri"/>
          <w:lang w:val="es-PE" w:eastAsia="en-US"/>
        </w:rPr>
        <w:t xml:space="preserve"> como plazo para solicitar la inscripción de la </w:t>
      </w:r>
      <w:r w:rsidR="00C8443F" w:rsidRPr="00092053">
        <w:rPr>
          <w:rFonts w:eastAsia="Calibri"/>
          <w:lang w:eastAsia="en-US"/>
        </w:rPr>
        <w:t>transferencia</w:t>
      </w:r>
      <w:r w:rsidR="00C8443F" w:rsidRPr="00092053">
        <w:rPr>
          <w:rFonts w:eastAsia="Calibri"/>
          <w:lang w:val="es-PE" w:eastAsia="en-US"/>
        </w:rPr>
        <w:t xml:space="preserve">, plazo que fue modificado mediante el Decreto Supremo </w:t>
      </w:r>
      <w:r w:rsidR="00CD52E7">
        <w:rPr>
          <w:rFonts w:eastAsia="Calibri"/>
          <w:lang w:val="es-ES_tradnl"/>
        </w:rPr>
        <w:t>núm.</w:t>
      </w:r>
      <w:r w:rsidR="00C8443F" w:rsidRPr="00092053">
        <w:rPr>
          <w:rFonts w:eastAsia="Calibri"/>
          <w:lang w:val="es-PE" w:eastAsia="en-US"/>
        </w:rPr>
        <w:t xml:space="preserve"> 008-2017-JUS</w:t>
      </w:r>
      <w:r w:rsidR="00C8443F" w:rsidRPr="00092053">
        <w:rPr>
          <w:rFonts w:eastAsia="Calibri"/>
          <w:vertAlign w:val="superscript"/>
          <w:lang w:val="es-PE" w:eastAsia="en-US"/>
        </w:rPr>
        <w:footnoteReference w:id="214"/>
      </w:r>
      <w:r w:rsidR="00C8443F" w:rsidRPr="00092053">
        <w:rPr>
          <w:rFonts w:eastAsia="Calibri"/>
          <w:lang w:val="es-PE" w:eastAsia="en-US"/>
        </w:rPr>
        <w:t>, que dispuso que la inscripción podrá ser realizada mientras se encuentra vigente su inscripción en el RUV.</w:t>
      </w:r>
      <w:r w:rsidR="0042499A" w:rsidRPr="00092053">
        <w:rPr>
          <w:rFonts w:eastAsia="Calibri"/>
          <w:lang w:val="es-PE" w:eastAsia="en-US"/>
        </w:rPr>
        <w:t xml:space="preserve"> </w:t>
      </w:r>
      <w:r w:rsidR="00C8443F" w:rsidRPr="00092053">
        <w:rPr>
          <w:rFonts w:eastAsia="Calibri"/>
          <w:lang w:val="es-PE" w:eastAsia="en-US"/>
        </w:rPr>
        <w:t xml:space="preserve"> </w:t>
      </w:r>
    </w:p>
    <w:p w:rsidR="002A208C" w:rsidRPr="00092053" w:rsidRDefault="00092053" w:rsidP="00574AEE">
      <w:pPr>
        <w:pStyle w:val="SingleTxtG"/>
        <w:rPr>
          <w:rFonts w:eastAsia="Calibri"/>
          <w:lang w:val="es-PE" w:eastAsia="en-US"/>
        </w:rPr>
      </w:pPr>
      <w:r w:rsidRPr="00574AEE">
        <w:rPr>
          <w:rFonts w:eastAsia="Calibri"/>
          <w:lang w:val="es-PE" w:eastAsia="en-US"/>
        </w:rPr>
        <w:t>208.</w:t>
      </w:r>
      <w:r w:rsidRPr="00574AEE">
        <w:rPr>
          <w:rFonts w:eastAsia="Calibri"/>
          <w:lang w:val="es-PE" w:eastAsia="en-US"/>
        </w:rPr>
        <w:tab/>
      </w:r>
      <w:r w:rsidR="00C8443F" w:rsidRPr="00092053">
        <w:rPr>
          <w:rFonts w:eastAsia="Calibri"/>
          <w:lang w:eastAsia="en-US"/>
        </w:rPr>
        <w:t xml:space="preserve">A su vez, se aprobó </w:t>
      </w:r>
      <w:r w:rsidR="00C8443F" w:rsidRPr="00092053">
        <w:rPr>
          <w:lang w:eastAsia="en-US"/>
        </w:rPr>
        <w:t xml:space="preserve">el Plan </w:t>
      </w:r>
      <w:r w:rsidR="00C8443F" w:rsidRPr="00092053">
        <w:rPr>
          <w:rFonts w:eastAsia="Calibri"/>
          <w:lang w:eastAsia="en-US"/>
        </w:rPr>
        <w:t>Multianual</w:t>
      </w:r>
      <w:r w:rsidR="00C8443F" w:rsidRPr="00092053">
        <w:rPr>
          <w:lang w:eastAsia="en-US"/>
        </w:rPr>
        <w:t xml:space="preserve"> de Reparaciones en Educación para las Víctimas de la Violencia en el Perú 2016</w:t>
      </w:r>
      <w:r w:rsidR="00AB3C05">
        <w:rPr>
          <w:lang w:eastAsia="en-US"/>
        </w:rPr>
        <w:t>-</w:t>
      </w:r>
      <w:r w:rsidR="00C8443F" w:rsidRPr="00092053">
        <w:rPr>
          <w:lang w:eastAsia="en-US"/>
        </w:rPr>
        <w:t>2021</w:t>
      </w:r>
      <w:r w:rsidR="00C8443F" w:rsidRPr="00092053">
        <w:rPr>
          <w:rFonts w:eastAsia="Calibri"/>
          <w:vertAlign w:val="superscript"/>
          <w:lang w:val="es-PE" w:eastAsia="en-US"/>
        </w:rPr>
        <w:footnoteReference w:id="215"/>
      </w:r>
      <w:r w:rsidR="00C8443F" w:rsidRPr="00092053">
        <w:rPr>
          <w:lang w:eastAsia="en-US"/>
        </w:rPr>
        <w:t xml:space="preserve">, cuyo objetivo es dar cumplimiento al PRED en favor de las víctimas. </w:t>
      </w:r>
    </w:p>
    <w:p w:rsidR="002A208C" w:rsidRPr="00092053" w:rsidRDefault="00092053" w:rsidP="00574AEE">
      <w:pPr>
        <w:pStyle w:val="SingleTxtG"/>
        <w:rPr>
          <w:rFonts w:eastAsia="Calibri"/>
          <w:lang w:val="es-PE" w:eastAsia="en-US"/>
        </w:rPr>
      </w:pPr>
      <w:r w:rsidRPr="00574AEE">
        <w:rPr>
          <w:rFonts w:eastAsia="Calibri"/>
          <w:lang w:val="es-PE" w:eastAsia="en-US"/>
        </w:rPr>
        <w:t>209.</w:t>
      </w:r>
      <w:r w:rsidRPr="00574AEE">
        <w:rPr>
          <w:rFonts w:eastAsia="Calibri"/>
          <w:lang w:val="es-PE" w:eastAsia="en-US"/>
        </w:rPr>
        <w:tab/>
      </w:r>
      <w:r w:rsidR="00C8443F" w:rsidRPr="00092053">
        <w:rPr>
          <w:rFonts w:eastAsia="Calibri"/>
          <w:lang w:val="es-PE" w:eastAsia="en-US"/>
        </w:rPr>
        <w:t xml:space="preserve">Con relación al programa de reparaciones simbólicas, </w:t>
      </w:r>
      <w:r w:rsidR="00C8443F" w:rsidRPr="00092053">
        <w:rPr>
          <w:rFonts w:eastAsia="Arial"/>
          <w:lang w:val="es-PE" w:eastAsia="en-US"/>
        </w:rPr>
        <w:t xml:space="preserve">se han realizado </w:t>
      </w:r>
      <w:r w:rsidR="00C8443F" w:rsidRPr="00092053">
        <w:rPr>
          <w:rFonts w:eastAsia="Calibri"/>
          <w:lang w:val="es-PE" w:eastAsia="en-US"/>
        </w:rPr>
        <w:t xml:space="preserve">actos públicos de reconocimiento para dignificar a las víctimas o comunidades afectadas por el proceso de violencia en espacios que </w:t>
      </w:r>
      <w:r w:rsidR="00C8443F" w:rsidRPr="00092053">
        <w:rPr>
          <w:rFonts w:eastAsia="Calibri"/>
          <w:lang w:eastAsia="en-US"/>
        </w:rPr>
        <w:t>reúnen</w:t>
      </w:r>
      <w:r w:rsidR="00C8443F" w:rsidRPr="00092053">
        <w:rPr>
          <w:rFonts w:eastAsia="Calibri"/>
          <w:lang w:val="es-PE" w:eastAsia="en-US"/>
        </w:rPr>
        <w:t xml:space="preserve"> a víctimas, familiares, autoridades locales y comunidad en general. En total han sido 31 actos realizados en las regiones de Ayacucho, Apurímac, Ancash, Huánuco, Hu</w:t>
      </w:r>
      <w:r w:rsidR="000900D3" w:rsidRPr="00092053">
        <w:rPr>
          <w:rFonts w:eastAsia="Calibri"/>
          <w:lang w:val="es-PE" w:eastAsia="en-US"/>
        </w:rPr>
        <w:t>ancavelica, Junín, Cusco y Lima</w:t>
      </w:r>
      <w:r w:rsidR="00C8443F" w:rsidRPr="00092053">
        <w:rPr>
          <w:rFonts w:eastAsia="Calibri"/>
          <w:vertAlign w:val="superscript"/>
          <w:lang w:val="es-PE" w:eastAsia="en-US"/>
        </w:rPr>
        <w:footnoteReference w:id="216"/>
      </w:r>
      <w:r w:rsidR="000900D3"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210.</w:t>
      </w:r>
      <w:r w:rsidRPr="00574AEE">
        <w:rPr>
          <w:rFonts w:eastAsia="Calibri"/>
          <w:lang w:val="es-PE" w:eastAsia="en-US"/>
        </w:rPr>
        <w:tab/>
      </w:r>
      <w:r w:rsidR="00C8443F" w:rsidRPr="00092053">
        <w:rPr>
          <w:rFonts w:eastAsia="Arial"/>
          <w:lang w:val="es-PE" w:eastAsia="en-US"/>
        </w:rPr>
        <w:t xml:space="preserve">De otro lado, se ha gestionado la implementación, mantenimiento, acceso y difusión de sitios de memoria local; en este sentido se han generado dos </w:t>
      </w:r>
      <w:r w:rsidR="00C8443F" w:rsidRPr="00092053">
        <w:rPr>
          <w:rFonts w:eastAsia="Calibri"/>
          <w:lang w:val="es-PE" w:eastAsia="en-US"/>
        </w:rPr>
        <w:t xml:space="preserve">instrumentos de gestión: el “Manual de Procedimientos administrativos para la formulación de proyectos destinados a la creación, construcción e implementación de Espacios de Memoria” y el “Manual para la </w:t>
      </w:r>
      <w:r w:rsidR="00C8443F" w:rsidRPr="00092053">
        <w:rPr>
          <w:rFonts w:eastAsia="Calibri"/>
          <w:lang w:val="es-PE" w:eastAsia="en-US"/>
        </w:rPr>
        <w:lastRenderedPageBreak/>
        <w:t xml:space="preserve">implementación de espacios de memoria: lugares de memoria, santuarios de memoria y mausoleos; dirigidos a </w:t>
      </w:r>
      <w:r w:rsidR="000900D3" w:rsidRPr="00092053">
        <w:rPr>
          <w:rFonts w:eastAsia="Calibri"/>
          <w:lang w:val="es-PE" w:eastAsia="en-US"/>
        </w:rPr>
        <w:t>gobiernos regionales y locales”</w:t>
      </w:r>
      <w:r w:rsidR="00C8443F" w:rsidRPr="00092053">
        <w:rPr>
          <w:rFonts w:eastAsia="Calibri"/>
          <w:vertAlign w:val="superscript"/>
          <w:lang w:val="es-PE" w:eastAsia="en-US"/>
        </w:rPr>
        <w:footnoteReference w:id="217"/>
      </w:r>
      <w:r w:rsidR="000900D3" w:rsidRPr="00092053">
        <w:rPr>
          <w:rFonts w:eastAsia="Calibri"/>
          <w:lang w:val="es-PE" w:eastAsia="en-US"/>
        </w:rPr>
        <w:t>.</w:t>
      </w:r>
      <w:r w:rsidR="00C8443F" w:rsidRPr="00092053">
        <w:rPr>
          <w:rFonts w:eastAsia="Calibri"/>
          <w:b/>
          <w:lang w:val="es-PE" w:eastAsia="en-US"/>
        </w:rPr>
        <w:t xml:space="preserve"> </w:t>
      </w:r>
    </w:p>
    <w:p w:rsidR="002A208C" w:rsidRPr="00092053" w:rsidRDefault="00092053" w:rsidP="00574AEE">
      <w:pPr>
        <w:pStyle w:val="SingleTxtG"/>
        <w:rPr>
          <w:rFonts w:eastAsia="Calibri"/>
          <w:lang w:val="es-PE" w:eastAsia="en-US"/>
        </w:rPr>
      </w:pPr>
      <w:r w:rsidRPr="00574AEE">
        <w:rPr>
          <w:rFonts w:eastAsia="Calibri"/>
          <w:lang w:val="es-PE" w:eastAsia="en-US"/>
        </w:rPr>
        <w:t>211.</w:t>
      </w:r>
      <w:r w:rsidRPr="00574AEE">
        <w:rPr>
          <w:rFonts w:eastAsia="Calibri"/>
          <w:lang w:val="es-PE" w:eastAsia="en-US"/>
        </w:rPr>
        <w:tab/>
      </w:r>
      <w:r w:rsidR="00C8443F" w:rsidRPr="00092053">
        <w:rPr>
          <w:rFonts w:eastAsia="Calibri"/>
          <w:lang w:val="es-PE" w:eastAsia="en-US"/>
        </w:rPr>
        <w:t xml:space="preserve">También se han implementado mecanismos de trabajo con autoridades universitarias para la incorporación de </w:t>
      </w:r>
      <w:r w:rsidR="00C8443F" w:rsidRPr="00092053">
        <w:rPr>
          <w:rFonts w:eastAsia="Calibri"/>
          <w:lang w:eastAsia="en-US"/>
        </w:rPr>
        <w:t>temas</w:t>
      </w:r>
      <w:r w:rsidR="00C8443F" w:rsidRPr="00092053">
        <w:rPr>
          <w:rFonts w:eastAsia="Calibri"/>
          <w:lang w:val="es-PE" w:eastAsia="en-US"/>
        </w:rPr>
        <w:t xml:space="preserve"> de DDHH en universidades públicas y privadas. Se llevaron a cabo 33 talleres informativos sobre DDHH y el proceso de violencia política ocurrido entre mayo de 1980 y noviembre del 2000, dirigidas a la comunidad universitaria (docentes y estudiantes) en Huancavelica, Apurímac, Huancayo, Nuevo </w:t>
      </w:r>
      <w:r w:rsidR="000900D3" w:rsidRPr="00092053">
        <w:rPr>
          <w:rFonts w:eastAsia="Calibri"/>
          <w:lang w:val="es-PE" w:eastAsia="en-US"/>
        </w:rPr>
        <w:t>Chimbote, Puno, Cusco, Ayacucho</w:t>
      </w:r>
      <w:r w:rsidR="00C8443F" w:rsidRPr="00092053">
        <w:rPr>
          <w:rFonts w:eastAsia="Calibri"/>
          <w:vertAlign w:val="superscript"/>
          <w:lang w:val="es-PE" w:eastAsia="en-US"/>
        </w:rPr>
        <w:footnoteReference w:id="218"/>
      </w:r>
      <w:r w:rsidR="000900D3"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212.</w:t>
      </w:r>
      <w:r w:rsidRPr="00574AEE">
        <w:rPr>
          <w:rFonts w:eastAsia="Calibri"/>
          <w:lang w:val="es-PE" w:eastAsia="en-US"/>
        </w:rPr>
        <w:tab/>
      </w:r>
      <w:r w:rsidR="00C8443F" w:rsidRPr="00092053">
        <w:rPr>
          <w:rFonts w:eastAsia="Calibri"/>
          <w:lang w:val="es-PE" w:eastAsia="en-US"/>
        </w:rPr>
        <w:t>Por su parte, con relación al programa de reparaciones en salud, en el 2012 el MINSA aprobó el documento técnico “Lineamientos de Acompañamiento Psicosocial a Familiares de Personas Desaparecidas”, con el objetivo de brindar herramientas metodológicas al personal de salud del primer y segundo nivel de atención, para el acompañamiento a los familiares de personas desaparecidas en procesos de viole</w:t>
      </w:r>
      <w:r w:rsidR="000900D3" w:rsidRPr="00092053">
        <w:rPr>
          <w:rFonts w:eastAsia="Calibri"/>
          <w:lang w:val="es-PE" w:eastAsia="en-US"/>
        </w:rPr>
        <w:t>ncia durante los años 1980-2000</w:t>
      </w:r>
      <w:r w:rsidR="00C8443F" w:rsidRPr="00092053">
        <w:rPr>
          <w:rFonts w:eastAsia="Calibri"/>
          <w:vertAlign w:val="superscript"/>
          <w:lang w:val="es-PE" w:eastAsia="en-US"/>
        </w:rPr>
        <w:footnoteReference w:id="219"/>
      </w:r>
      <w:r w:rsidR="000900D3"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213.</w:t>
      </w:r>
      <w:r w:rsidRPr="00574AEE">
        <w:rPr>
          <w:rFonts w:eastAsia="Calibri"/>
          <w:lang w:val="es-PE" w:eastAsia="en-US"/>
        </w:rPr>
        <w:tab/>
      </w:r>
      <w:r w:rsidR="00C8443F" w:rsidRPr="00092053">
        <w:rPr>
          <w:rFonts w:eastAsia="Calibri"/>
          <w:lang w:val="es-PE" w:eastAsia="en-US"/>
        </w:rPr>
        <w:t xml:space="preserve">Asimismo, el SIS emitió la Resolución </w:t>
      </w:r>
      <w:r w:rsidR="00CD52E7">
        <w:rPr>
          <w:rFonts w:eastAsia="Calibri"/>
          <w:lang w:val="es-ES_tradnl"/>
        </w:rPr>
        <w:t>núm.</w:t>
      </w:r>
      <w:r w:rsidR="00C8443F" w:rsidRPr="00092053">
        <w:rPr>
          <w:rFonts w:eastAsia="Calibri"/>
          <w:lang w:val="es-PE" w:eastAsia="en-US"/>
        </w:rPr>
        <w:t xml:space="preserve"> 190-2012/SIS, de noviembre de 2012, que aprobó la </w:t>
      </w:r>
      <w:r w:rsidR="00C8443F" w:rsidRPr="00092053">
        <w:rPr>
          <w:rFonts w:eastAsia="Calibri"/>
          <w:lang w:eastAsia="en-US"/>
        </w:rPr>
        <w:t>exoneración</w:t>
      </w:r>
      <w:r w:rsidR="00C8443F" w:rsidRPr="00092053">
        <w:rPr>
          <w:rFonts w:eastAsia="Calibri"/>
          <w:lang w:val="es-PE" w:eastAsia="en-US"/>
        </w:rPr>
        <w:t xml:space="preserve"> del Sistema de Focalización de Hogares (SISFOH) para la afiliación masiva al SIS, estableciendo que los beneficiarios PIR serán afiliados al SIS sin estar condicionados a la calificación </w:t>
      </w:r>
      <w:r w:rsidR="000900D3" w:rsidRPr="00092053">
        <w:rPr>
          <w:rFonts w:eastAsia="Calibri"/>
          <w:lang w:val="es-PE" w:eastAsia="en-US"/>
        </w:rPr>
        <w:t>económica exigida por el SISFOH</w:t>
      </w:r>
      <w:r w:rsidR="00C8443F" w:rsidRPr="00092053">
        <w:rPr>
          <w:rFonts w:eastAsia="Calibri"/>
          <w:vertAlign w:val="superscript"/>
          <w:lang w:val="es-PE" w:eastAsia="en-US"/>
        </w:rPr>
        <w:footnoteReference w:id="220"/>
      </w:r>
      <w:r w:rsidR="000900D3"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214.</w:t>
      </w:r>
      <w:r w:rsidRPr="00574AEE">
        <w:rPr>
          <w:rFonts w:eastAsia="Calibri"/>
          <w:lang w:val="es-PE" w:eastAsia="en-US"/>
        </w:rPr>
        <w:tab/>
      </w:r>
      <w:r w:rsidR="00C8443F" w:rsidRPr="00092053">
        <w:rPr>
          <w:rFonts w:eastAsia="Calibri"/>
          <w:snapToGrid w:val="0"/>
          <w:lang w:val="es-PE" w:eastAsia="en-US"/>
        </w:rPr>
        <w:t xml:space="preserve">Según el MINSA, </w:t>
      </w:r>
      <w:r w:rsidR="00C8443F" w:rsidRPr="00092053">
        <w:rPr>
          <w:rFonts w:eastAsia="Calibri"/>
          <w:lang w:val="es-PE" w:eastAsia="en-US"/>
        </w:rPr>
        <w:t>entre el 2012 y el 2015, se brindó 86</w:t>
      </w:r>
      <w:r w:rsidR="003461EA">
        <w:rPr>
          <w:rFonts w:eastAsia="Calibri"/>
          <w:lang w:val="es-PE" w:eastAsia="en-US"/>
        </w:rPr>
        <w:t>.</w:t>
      </w:r>
      <w:r w:rsidR="00C8443F" w:rsidRPr="00092053">
        <w:rPr>
          <w:rFonts w:eastAsia="Calibri"/>
          <w:lang w:val="es-PE" w:eastAsia="en-US"/>
        </w:rPr>
        <w:t xml:space="preserve">877 atenciones en salud mental a la población con </w:t>
      </w:r>
      <w:r w:rsidR="00C8443F" w:rsidRPr="00092053">
        <w:rPr>
          <w:rFonts w:eastAsia="Calibri"/>
          <w:lang w:eastAsia="en-US"/>
        </w:rPr>
        <w:t>secuelas</w:t>
      </w:r>
      <w:r w:rsidR="00C8443F" w:rsidRPr="00092053">
        <w:rPr>
          <w:rFonts w:eastAsia="Calibri"/>
          <w:lang w:val="es-PE" w:eastAsia="en-US"/>
        </w:rPr>
        <w:t xml:space="preserve"> de la violencia en regiones priorizadas de acuerdo con el marco del PIR. Al primer semestre de 2016 se han realizado 3</w:t>
      </w:r>
      <w:r w:rsidR="003461EA">
        <w:rPr>
          <w:rFonts w:eastAsia="Calibri"/>
          <w:lang w:val="es-PE" w:eastAsia="en-US"/>
        </w:rPr>
        <w:t>.</w:t>
      </w:r>
      <w:r w:rsidR="00C8443F" w:rsidRPr="00092053">
        <w:rPr>
          <w:rFonts w:eastAsia="Calibri"/>
          <w:lang w:val="es-PE" w:eastAsia="en-US"/>
        </w:rPr>
        <w:t xml:space="preserve">968 atenciones en las once </w:t>
      </w:r>
      <w:r w:rsidR="000900D3" w:rsidRPr="00092053">
        <w:rPr>
          <w:rFonts w:eastAsia="Calibri"/>
          <w:lang w:val="es-PE" w:eastAsia="en-US"/>
        </w:rPr>
        <w:t>regiones priorizadas por el PIR</w:t>
      </w:r>
      <w:r w:rsidR="00C8443F" w:rsidRPr="00092053">
        <w:rPr>
          <w:rFonts w:eastAsia="Calibri"/>
          <w:vertAlign w:val="superscript"/>
          <w:lang w:val="es-PE" w:eastAsia="en-US"/>
        </w:rPr>
        <w:footnoteReference w:id="221"/>
      </w:r>
      <w:r w:rsidR="000900D3" w:rsidRPr="00092053">
        <w:rPr>
          <w:rFonts w:eastAsia="Calibri"/>
          <w:lang w:val="es-PE" w:eastAsia="en-US"/>
        </w:rPr>
        <w:t>.</w:t>
      </w:r>
      <w:r w:rsidR="00C8443F" w:rsidRPr="00092053">
        <w:rPr>
          <w:rFonts w:eastAsia="Calibri"/>
          <w:lang w:val="es-PE" w:eastAsia="en-US"/>
        </w:rPr>
        <w:t xml:space="preserve"> Ver</w:t>
      </w:r>
      <w:r w:rsidR="00C8443F" w:rsidRPr="00092053">
        <w:rPr>
          <w:rFonts w:eastAsia="Calibri"/>
          <w:b/>
          <w:lang w:val="es-PE" w:eastAsia="en-US"/>
        </w:rPr>
        <w:t xml:space="preserve"> Tabla </w:t>
      </w:r>
      <w:r w:rsidR="00CD52E7" w:rsidRPr="00353E55">
        <w:rPr>
          <w:rFonts w:eastAsia="Calibri"/>
          <w:b/>
          <w:lang w:val="es-PE" w:eastAsia="en-US"/>
        </w:rPr>
        <w:t>núm.</w:t>
      </w:r>
      <w:r w:rsidR="00C8443F" w:rsidRPr="00092053">
        <w:rPr>
          <w:rFonts w:eastAsia="Calibri"/>
          <w:b/>
          <w:lang w:val="es-PE" w:eastAsia="en-US"/>
        </w:rPr>
        <w:t xml:space="preserve"> 1 del Anexo </w:t>
      </w:r>
      <w:r w:rsidR="00CD52E7" w:rsidRPr="00353E55">
        <w:rPr>
          <w:rFonts w:eastAsia="Calibri"/>
          <w:b/>
          <w:lang w:val="es-PE" w:eastAsia="en-US"/>
        </w:rPr>
        <w:t>núm.</w:t>
      </w:r>
      <w:r w:rsidR="00C8443F" w:rsidRPr="00092053">
        <w:rPr>
          <w:rFonts w:eastAsia="Calibri"/>
          <w:b/>
          <w:lang w:val="es-PE" w:eastAsia="en-US"/>
        </w:rPr>
        <w:t xml:space="preserve"> 17</w:t>
      </w:r>
      <w:r w:rsidR="00C8443F"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215.</w:t>
      </w:r>
      <w:r w:rsidRPr="00574AEE">
        <w:rPr>
          <w:rFonts w:eastAsia="Calibri"/>
          <w:lang w:val="es-PE" w:eastAsia="en-US"/>
        </w:rPr>
        <w:tab/>
      </w:r>
      <w:r w:rsidR="00C8443F" w:rsidRPr="00092053">
        <w:rPr>
          <w:rFonts w:eastAsia="Calibri"/>
          <w:lang w:val="es-PE" w:eastAsia="en-US"/>
        </w:rPr>
        <w:t xml:space="preserve">Cabe señalar que desde el 2012 hasta el 2016 se han formado equipos regionales de salud mental integrados </w:t>
      </w:r>
      <w:r w:rsidR="00C8443F" w:rsidRPr="00092053">
        <w:rPr>
          <w:rFonts w:eastAsia="Calibri"/>
          <w:lang w:eastAsia="en-US"/>
        </w:rPr>
        <w:t>en</w:t>
      </w:r>
      <w:r w:rsidR="00C8443F" w:rsidRPr="00092053">
        <w:rPr>
          <w:rFonts w:eastAsia="Calibri"/>
          <w:lang w:val="es-PE" w:eastAsia="en-US"/>
        </w:rPr>
        <w:t xml:space="preserve"> total por 340 profesionales de las especialidades de psiquiatría, me</w:t>
      </w:r>
      <w:r w:rsidR="000900D3" w:rsidRPr="00092053">
        <w:rPr>
          <w:rFonts w:eastAsia="Calibri"/>
          <w:lang w:val="es-PE" w:eastAsia="en-US"/>
        </w:rPr>
        <w:t>dicina, psicología y enfermería</w:t>
      </w:r>
      <w:r w:rsidR="00C8443F" w:rsidRPr="00092053">
        <w:rPr>
          <w:rFonts w:eastAsia="Calibri"/>
          <w:vertAlign w:val="superscript"/>
          <w:lang w:val="es-PE" w:eastAsia="en-US"/>
        </w:rPr>
        <w:footnoteReference w:id="222"/>
      </w:r>
      <w:r w:rsidR="000900D3" w:rsidRPr="00092053">
        <w:rPr>
          <w:rFonts w:eastAsia="Calibri"/>
          <w:lang w:val="es-PE" w:eastAsia="en-US"/>
        </w:rPr>
        <w:t>.</w:t>
      </w:r>
      <w:r w:rsidR="00C8443F" w:rsidRPr="00092053">
        <w:rPr>
          <w:rFonts w:eastAsia="Calibri"/>
          <w:lang w:val="es-PE" w:eastAsia="en-US"/>
        </w:rPr>
        <w:t xml:space="preserve"> Ver </w:t>
      </w:r>
      <w:r w:rsidR="00C8443F" w:rsidRPr="00092053">
        <w:rPr>
          <w:rFonts w:eastAsia="Calibri"/>
          <w:b/>
          <w:lang w:val="es-PE" w:eastAsia="en-US"/>
        </w:rPr>
        <w:t xml:space="preserve">Tabla </w:t>
      </w:r>
      <w:r w:rsidR="00CD52E7" w:rsidRPr="00353E55">
        <w:rPr>
          <w:rFonts w:eastAsia="Calibri"/>
          <w:b/>
          <w:lang w:val="es-PE" w:eastAsia="en-US"/>
        </w:rPr>
        <w:t>núm.</w:t>
      </w:r>
      <w:r w:rsidR="00C8443F" w:rsidRPr="00092053">
        <w:rPr>
          <w:rFonts w:eastAsia="Calibri"/>
          <w:b/>
          <w:lang w:val="es-PE" w:eastAsia="en-US"/>
        </w:rPr>
        <w:t xml:space="preserve"> 2 del Anexo </w:t>
      </w:r>
      <w:r w:rsidR="00CD52E7" w:rsidRPr="00353E55">
        <w:rPr>
          <w:rFonts w:eastAsia="Calibri"/>
          <w:b/>
          <w:lang w:val="es-PE" w:eastAsia="en-US"/>
        </w:rPr>
        <w:t>núm.</w:t>
      </w:r>
      <w:r w:rsidR="00C8443F" w:rsidRPr="00092053">
        <w:rPr>
          <w:rFonts w:eastAsia="Calibri"/>
          <w:b/>
          <w:lang w:val="es-PE" w:eastAsia="en-US"/>
        </w:rPr>
        <w:t xml:space="preserve"> 17.</w:t>
      </w:r>
    </w:p>
    <w:p w:rsidR="002A208C" w:rsidRPr="00092053" w:rsidRDefault="00092053" w:rsidP="00574AEE">
      <w:pPr>
        <w:pStyle w:val="SingleTxtG"/>
        <w:rPr>
          <w:rFonts w:eastAsia="Calibri"/>
          <w:lang w:val="es-PE" w:eastAsia="en-US"/>
        </w:rPr>
      </w:pPr>
      <w:r w:rsidRPr="00574AEE">
        <w:rPr>
          <w:rFonts w:eastAsia="Calibri"/>
          <w:lang w:val="es-PE" w:eastAsia="en-US"/>
        </w:rPr>
        <w:t>216.</w:t>
      </w:r>
      <w:r w:rsidRPr="00574AEE">
        <w:rPr>
          <w:rFonts w:eastAsia="Calibri"/>
          <w:lang w:val="es-PE" w:eastAsia="en-US"/>
        </w:rPr>
        <w:tab/>
      </w:r>
      <w:r w:rsidR="00C8443F" w:rsidRPr="00092053">
        <w:rPr>
          <w:rFonts w:eastAsia="Calibri"/>
          <w:lang w:val="es-PE" w:eastAsia="en-US"/>
        </w:rPr>
        <w:t xml:space="preserve">Desde el 2012 al </w:t>
      </w:r>
      <w:r w:rsidR="00C8443F" w:rsidRPr="00092053">
        <w:rPr>
          <w:rFonts w:eastAsia="Calibri"/>
          <w:lang w:eastAsia="en-US"/>
        </w:rPr>
        <w:t>2015</w:t>
      </w:r>
      <w:r w:rsidR="00C8443F" w:rsidRPr="00092053">
        <w:rPr>
          <w:rFonts w:eastAsia="Calibri"/>
          <w:lang w:val="es-PE" w:eastAsia="en-US"/>
        </w:rPr>
        <w:t>, y tomando en consideración el registro de comunidades priorizadas por el CR, se han realizado cerca de 1</w:t>
      </w:r>
      <w:r w:rsidR="003461EA">
        <w:rPr>
          <w:rFonts w:eastAsia="Calibri"/>
          <w:lang w:val="es-PE" w:eastAsia="en-US"/>
        </w:rPr>
        <w:t>.</w:t>
      </w:r>
      <w:r w:rsidR="00C8443F" w:rsidRPr="00092053">
        <w:rPr>
          <w:rFonts w:eastAsia="Calibri"/>
          <w:lang w:val="es-PE" w:eastAsia="en-US"/>
        </w:rPr>
        <w:t>409 intervenciones en los departamentos de Apurímac, Ayacucho, Cusco, Huancavelica, Huánuco, Ica, Junín, Pasco, Puno, San Martín y Ucayali, específicamente, se promovieron intervenciones con las organizaciones comunales desarrollando el enfoque de salud participativa, reconstrucción de la memoria histórica, talleres de sensibilización a líderes comunitarios y el impulso a la articulación entre los gob</w:t>
      </w:r>
      <w:r w:rsidR="000900D3" w:rsidRPr="00092053">
        <w:rPr>
          <w:rFonts w:eastAsia="Calibri"/>
          <w:lang w:val="es-PE" w:eastAsia="en-US"/>
        </w:rPr>
        <w:t>iernos locales y sociedad civil</w:t>
      </w:r>
      <w:r w:rsidR="00C8443F" w:rsidRPr="00092053">
        <w:rPr>
          <w:rFonts w:eastAsia="Calibri"/>
          <w:vertAlign w:val="superscript"/>
          <w:lang w:val="es-PE" w:eastAsia="en-US"/>
        </w:rPr>
        <w:footnoteReference w:id="223"/>
      </w:r>
      <w:r w:rsidR="000900D3" w:rsidRPr="00092053">
        <w:rPr>
          <w:rFonts w:eastAsia="Calibri"/>
          <w:lang w:val="es-PE" w:eastAsia="en-US"/>
        </w:rPr>
        <w:t>.</w:t>
      </w:r>
      <w:r w:rsidR="00C8443F" w:rsidRPr="00092053">
        <w:rPr>
          <w:rFonts w:eastAsia="Calibri"/>
          <w:lang w:val="es-PE" w:eastAsia="en-US"/>
        </w:rPr>
        <w:t xml:space="preserve"> Ver </w:t>
      </w:r>
      <w:r w:rsidR="00C8443F" w:rsidRPr="00092053">
        <w:rPr>
          <w:rFonts w:eastAsia="Calibri"/>
          <w:b/>
          <w:lang w:val="es-PE" w:eastAsia="en-US"/>
        </w:rPr>
        <w:t xml:space="preserve">Tabla </w:t>
      </w:r>
      <w:r w:rsidR="00CD52E7" w:rsidRPr="00353E55">
        <w:rPr>
          <w:rFonts w:eastAsia="Calibri"/>
          <w:b/>
          <w:lang w:val="es-PE" w:eastAsia="en-US"/>
        </w:rPr>
        <w:t>núm.</w:t>
      </w:r>
      <w:r w:rsidR="00C8443F" w:rsidRPr="00092053">
        <w:rPr>
          <w:rFonts w:eastAsia="Calibri"/>
          <w:b/>
          <w:lang w:val="es-PE" w:eastAsia="en-US"/>
        </w:rPr>
        <w:t xml:space="preserve"> 3 del Anexo </w:t>
      </w:r>
      <w:r w:rsidR="00CD52E7" w:rsidRPr="00353E55">
        <w:rPr>
          <w:rFonts w:eastAsia="Calibri"/>
          <w:b/>
          <w:lang w:val="es-PE" w:eastAsia="en-US"/>
        </w:rPr>
        <w:t>núm.</w:t>
      </w:r>
      <w:r w:rsidR="00C8443F" w:rsidRPr="00092053">
        <w:rPr>
          <w:rFonts w:eastAsia="Calibri"/>
          <w:b/>
          <w:lang w:val="es-PE" w:eastAsia="en-US"/>
        </w:rPr>
        <w:t xml:space="preserve"> 17.</w:t>
      </w:r>
    </w:p>
    <w:p w:rsidR="002A208C" w:rsidRPr="00092053" w:rsidRDefault="00092053" w:rsidP="00574AEE">
      <w:pPr>
        <w:pStyle w:val="SingleTxtG"/>
        <w:rPr>
          <w:rFonts w:eastAsia="Calibri"/>
          <w:lang w:val="es-PE" w:eastAsia="en-US"/>
        </w:rPr>
      </w:pPr>
      <w:r w:rsidRPr="00574AEE">
        <w:rPr>
          <w:rFonts w:eastAsia="Calibri"/>
          <w:lang w:val="es-PE" w:eastAsia="en-US"/>
        </w:rPr>
        <w:t>217.</w:t>
      </w:r>
      <w:r w:rsidRPr="00574AEE">
        <w:rPr>
          <w:rFonts w:eastAsia="Calibri"/>
          <w:lang w:val="es-PE" w:eastAsia="en-US"/>
        </w:rPr>
        <w:tab/>
      </w:r>
      <w:r w:rsidR="00C8443F" w:rsidRPr="00092053">
        <w:rPr>
          <w:rFonts w:eastAsia="Calibri"/>
          <w:lang w:val="es-PE" w:eastAsia="en-US"/>
        </w:rPr>
        <w:t>En el 2016 dicho Sector aprobó el documento técnico “Lineamientos para la atención en salud mental a personas afectadas por la violencia durante el per</w:t>
      </w:r>
      <w:r w:rsidR="001069B7">
        <w:rPr>
          <w:rFonts w:eastAsia="Calibri"/>
          <w:lang w:val="es-PE" w:eastAsia="en-US"/>
        </w:rPr>
        <w:t>í</w:t>
      </w:r>
      <w:r w:rsidR="00C8443F" w:rsidRPr="00092053">
        <w:rPr>
          <w:rFonts w:eastAsia="Calibri"/>
          <w:lang w:val="es-PE" w:eastAsia="en-US"/>
        </w:rPr>
        <w:t>odo 1980</w:t>
      </w:r>
      <w:r w:rsidR="00B2241F">
        <w:rPr>
          <w:rFonts w:eastAsia="Calibri"/>
          <w:lang w:val="es-PE" w:eastAsia="en-US"/>
        </w:rPr>
        <w:noBreakHyphen/>
      </w:r>
      <w:r w:rsidR="00C8443F" w:rsidRPr="00092053">
        <w:rPr>
          <w:rFonts w:eastAsia="Calibri"/>
          <w:lang w:val="es-PE" w:eastAsia="en-US"/>
        </w:rPr>
        <w:t xml:space="preserve">2000”, con el objetivo de </w:t>
      </w:r>
      <w:r w:rsidR="00C8443F" w:rsidRPr="00092053">
        <w:rPr>
          <w:rFonts w:eastAsia="Calibri"/>
          <w:lang w:eastAsia="en-US"/>
        </w:rPr>
        <w:t>implementar</w:t>
      </w:r>
      <w:r w:rsidR="00C8443F" w:rsidRPr="00092053">
        <w:rPr>
          <w:rFonts w:eastAsia="Calibri"/>
          <w:lang w:val="es-PE" w:eastAsia="en-US"/>
        </w:rPr>
        <w:t xml:space="preserve"> en todos los niveles de atención del Sector Salud la atención adecuada y eficiente en salud mental a personas afectadas por la violenci</w:t>
      </w:r>
      <w:r w:rsidR="000900D3" w:rsidRPr="00092053">
        <w:rPr>
          <w:rFonts w:eastAsia="Calibri"/>
          <w:lang w:val="es-PE" w:eastAsia="en-US"/>
        </w:rPr>
        <w:t>a durante el per</w:t>
      </w:r>
      <w:r w:rsidR="001069B7">
        <w:rPr>
          <w:rFonts w:eastAsia="Calibri"/>
          <w:lang w:val="es-PE" w:eastAsia="en-US"/>
        </w:rPr>
        <w:t>í</w:t>
      </w:r>
      <w:r w:rsidR="000900D3" w:rsidRPr="00092053">
        <w:rPr>
          <w:rFonts w:eastAsia="Calibri"/>
          <w:lang w:val="es-PE" w:eastAsia="en-US"/>
        </w:rPr>
        <w:t>odo 1980-2000</w:t>
      </w:r>
      <w:r w:rsidR="00C8443F" w:rsidRPr="00092053">
        <w:rPr>
          <w:rFonts w:eastAsia="Calibri"/>
          <w:vertAlign w:val="superscript"/>
          <w:lang w:val="es-PE" w:eastAsia="en-US"/>
        </w:rPr>
        <w:footnoteReference w:id="224"/>
      </w:r>
      <w:r w:rsidR="000900D3"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218.</w:t>
      </w:r>
      <w:r w:rsidRPr="00574AEE">
        <w:rPr>
          <w:rFonts w:eastAsia="Calibri"/>
          <w:lang w:val="es-PE" w:eastAsia="en-US"/>
        </w:rPr>
        <w:tab/>
      </w:r>
      <w:r w:rsidR="00C8443F" w:rsidRPr="00092053">
        <w:rPr>
          <w:rFonts w:eastAsia="Calibri"/>
          <w:lang w:val="es-PE" w:eastAsia="en-US"/>
        </w:rPr>
        <w:t xml:space="preserve">De igual manera, en los años 2015 y 2016 se llevaron a cabo capacitaciones en las regiones priorizadas por el PIR y se han </w:t>
      </w:r>
      <w:r w:rsidR="00C8443F" w:rsidRPr="00092053">
        <w:rPr>
          <w:rFonts w:eastAsia="Calibri"/>
          <w:lang w:eastAsia="en-US"/>
        </w:rPr>
        <w:t>implementado</w:t>
      </w:r>
      <w:r w:rsidR="00C8443F" w:rsidRPr="00092053">
        <w:rPr>
          <w:rFonts w:eastAsia="Calibri"/>
          <w:lang w:val="es-PE" w:eastAsia="en-US"/>
        </w:rPr>
        <w:t xml:space="preserve"> los Documentos Técnicos aprobados por el MINSA. Ver</w:t>
      </w:r>
      <w:r w:rsidR="00C8443F" w:rsidRPr="00092053">
        <w:rPr>
          <w:rFonts w:eastAsia="Calibri"/>
          <w:b/>
          <w:lang w:val="es-PE" w:eastAsia="en-US"/>
        </w:rPr>
        <w:t xml:space="preserve"> Tabla </w:t>
      </w:r>
      <w:r w:rsidR="00CD52E7" w:rsidRPr="00353E55">
        <w:rPr>
          <w:rFonts w:eastAsia="Calibri"/>
          <w:b/>
          <w:lang w:val="es-PE" w:eastAsia="en-US"/>
        </w:rPr>
        <w:t>núm.</w:t>
      </w:r>
      <w:r w:rsidR="00C8443F" w:rsidRPr="00092053">
        <w:rPr>
          <w:rFonts w:eastAsia="Calibri"/>
          <w:b/>
          <w:lang w:val="es-PE" w:eastAsia="en-US"/>
        </w:rPr>
        <w:t xml:space="preserve"> 4 del Anexo </w:t>
      </w:r>
      <w:r w:rsidR="00CD52E7" w:rsidRPr="00353E55">
        <w:rPr>
          <w:rFonts w:eastAsia="Calibri"/>
          <w:b/>
          <w:lang w:val="es-PE" w:eastAsia="en-US"/>
        </w:rPr>
        <w:t>núm.</w:t>
      </w:r>
      <w:r w:rsidR="00C8443F" w:rsidRPr="00092053">
        <w:rPr>
          <w:rFonts w:eastAsia="Calibri"/>
          <w:b/>
          <w:lang w:val="es-PE" w:eastAsia="en-US"/>
        </w:rPr>
        <w:t xml:space="preserve"> 17.</w:t>
      </w:r>
    </w:p>
    <w:p w:rsidR="002A208C" w:rsidRPr="00092053" w:rsidRDefault="00092053" w:rsidP="00574AEE">
      <w:pPr>
        <w:pStyle w:val="SingleTxtG"/>
        <w:rPr>
          <w:rFonts w:eastAsia="Calibri"/>
          <w:strike/>
          <w:lang w:val="es-PE" w:eastAsia="en-US"/>
        </w:rPr>
      </w:pPr>
      <w:r w:rsidRPr="00574AEE">
        <w:rPr>
          <w:rFonts w:eastAsia="Calibri"/>
          <w:lang w:val="es-PE" w:eastAsia="en-US"/>
        </w:rPr>
        <w:t>219.</w:t>
      </w:r>
      <w:r w:rsidRPr="00574AEE">
        <w:rPr>
          <w:rFonts w:eastAsia="Calibri"/>
          <w:lang w:val="es-PE" w:eastAsia="en-US"/>
        </w:rPr>
        <w:tab/>
      </w:r>
      <w:r w:rsidR="00C8443F" w:rsidRPr="00092053">
        <w:rPr>
          <w:rFonts w:eastAsia="Calibri"/>
          <w:lang w:val="es-PE" w:eastAsia="en-US"/>
        </w:rPr>
        <w:t>En</w:t>
      </w:r>
      <w:r w:rsidR="00C8443F" w:rsidRPr="00092053">
        <w:rPr>
          <w:rFonts w:eastAsia="Arial"/>
          <w:lang w:val="es-PE" w:eastAsia="en-US"/>
        </w:rPr>
        <w:t xml:space="preserve"> cuanto al programa de reparaciones en promoción y acceso habitacional (PRAH), el</w:t>
      </w:r>
      <w:r w:rsidR="00C8443F" w:rsidRPr="00092053">
        <w:rPr>
          <w:rFonts w:eastAsia="Calibri"/>
          <w:lang w:val="es-PE" w:eastAsia="en-US"/>
        </w:rPr>
        <w:t xml:space="preserve"> Ministerio de Vivienda, mediante la </w:t>
      </w:r>
      <w:r w:rsidR="00C8443F" w:rsidRPr="00092053">
        <w:rPr>
          <w:rFonts w:eastAsia="Calibri"/>
          <w:lang w:eastAsia="en-US"/>
        </w:rPr>
        <w:t>Resolución</w:t>
      </w:r>
      <w:r w:rsidR="00C8443F" w:rsidRPr="00092053">
        <w:rPr>
          <w:rFonts w:eastAsia="Calibri"/>
          <w:lang w:val="es-PE" w:eastAsia="en-US"/>
        </w:rPr>
        <w:t xml:space="preserve"> Ministerial </w:t>
      </w:r>
      <w:r w:rsidR="00CD52E7">
        <w:rPr>
          <w:rFonts w:eastAsia="Calibri"/>
          <w:lang w:val="es-ES_tradnl"/>
        </w:rPr>
        <w:t>núm.</w:t>
      </w:r>
      <w:r w:rsidR="00C8443F" w:rsidRPr="00092053">
        <w:rPr>
          <w:rFonts w:eastAsia="Calibri"/>
          <w:lang w:val="es-PE" w:eastAsia="en-US"/>
        </w:rPr>
        <w:t xml:space="preserve"> 195-2015-VIVIENDA, </w:t>
      </w:r>
      <w:r w:rsidR="00C8443F" w:rsidRPr="00092053">
        <w:rPr>
          <w:rFonts w:eastAsia="Calibri"/>
          <w:lang w:val="es-PE" w:eastAsia="en-US"/>
        </w:rPr>
        <w:lastRenderedPageBreak/>
        <w:t>incrementó para las víctimas registradas en el PIR el monto de ingreso familiar mensual máximo a S/ 4</w:t>
      </w:r>
      <w:r w:rsidR="001A6567">
        <w:rPr>
          <w:rFonts w:eastAsia="Calibri"/>
          <w:lang w:val="es-PE" w:eastAsia="en-US"/>
        </w:rPr>
        <w:t>.</w:t>
      </w:r>
      <w:r w:rsidR="00C8443F" w:rsidRPr="00092053">
        <w:rPr>
          <w:rFonts w:eastAsia="Calibri"/>
          <w:lang w:val="es-PE" w:eastAsia="en-US"/>
        </w:rPr>
        <w:t>195</w:t>
      </w:r>
      <w:r w:rsidR="001A6567">
        <w:rPr>
          <w:rFonts w:eastAsia="Calibri"/>
          <w:lang w:val="es-PE" w:eastAsia="en-US"/>
        </w:rPr>
        <w:t>,</w:t>
      </w:r>
      <w:r w:rsidR="00C8443F" w:rsidRPr="00092053">
        <w:rPr>
          <w:rFonts w:eastAsia="Calibri"/>
          <w:lang w:val="es-PE" w:eastAsia="en-US"/>
        </w:rPr>
        <w:t>80 a fin de flexibilizar la calificación de elegibilidad que reconoce el SISFOH. Asimismo, se aumentó el valor del Bono Familiar Habitacional a 51% y se dispuso el otorgamiento de 10 puntos en la postulación al Programa Techo Propio a</w:t>
      </w:r>
      <w:r w:rsidR="00C8443F" w:rsidRPr="00092053">
        <w:rPr>
          <w:rFonts w:eastAsia="Calibri"/>
          <w:shd w:val="clear" w:color="auto" w:fill="FDFDFD"/>
          <w:lang w:val="es-PE" w:eastAsia="en-US"/>
        </w:rPr>
        <w:t xml:space="preserve"> </w:t>
      </w:r>
      <w:r w:rsidR="000900D3" w:rsidRPr="00092053">
        <w:rPr>
          <w:rFonts w:eastAsia="Calibri"/>
          <w:lang w:val="es-PE" w:eastAsia="en-US"/>
        </w:rPr>
        <w:t>este grupo poblacional</w:t>
      </w:r>
      <w:r w:rsidR="00C8443F" w:rsidRPr="00092053">
        <w:rPr>
          <w:rFonts w:eastAsia="Calibri"/>
          <w:vertAlign w:val="superscript"/>
          <w:lang w:val="es-PE" w:eastAsia="en-US"/>
        </w:rPr>
        <w:footnoteReference w:id="225"/>
      </w:r>
      <w:r w:rsidR="000900D3"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220.</w:t>
      </w:r>
      <w:r w:rsidRPr="00574AEE">
        <w:rPr>
          <w:rFonts w:eastAsia="Calibri"/>
          <w:lang w:val="es-PE" w:eastAsia="en-US"/>
        </w:rPr>
        <w:tab/>
      </w:r>
      <w:r w:rsidR="00C8443F" w:rsidRPr="00092053">
        <w:rPr>
          <w:rFonts w:eastAsia="Calibri"/>
          <w:snapToGrid w:val="0"/>
          <w:lang w:val="es-PE" w:eastAsia="en-US"/>
        </w:rPr>
        <w:t>Cabe señalar que en el per</w:t>
      </w:r>
      <w:r w:rsidR="001069B7">
        <w:rPr>
          <w:rFonts w:eastAsia="Calibri"/>
          <w:snapToGrid w:val="0"/>
          <w:lang w:val="es-PE" w:eastAsia="en-US"/>
        </w:rPr>
        <w:t>í</w:t>
      </w:r>
      <w:r w:rsidR="00C8443F" w:rsidRPr="00092053">
        <w:rPr>
          <w:rFonts w:eastAsia="Calibri"/>
          <w:snapToGrid w:val="0"/>
          <w:lang w:val="es-PE" w:eastAsia="en-US"/>
        </w:rPr>
        <w:t xml:space="preserve">odo 2015-2016, la Secretaría Técnica de la CMAN y el Fondo MIVIVIENDA, realizaron </w:t>
      </w:r>
      <w:r w:rsidR="00C8443F" w:rsidRPr="00092053">
        <w:rPr>
          <w:rFonts w:eastAsia="Calibri"/>
          <w:lang w:eastAsia="en-US"/>
        </w:rPr>
        <w:t>presentaciones</w:t>
      </w:r>
      <w:r w:rsidR="00C8443F" w:rsidRPr="00092053">
        <w:rPr>
          <w:rFonts w:eastAsia="Calibri"/>
          <w:snapToGrid w:val="0"/>
          <w:lang w:val="es-PE" w:eastAsia="en-US"/>
        </w:rPr>
        <w:t xml:space="preserve"> públicas poniendo en consulta la propuesta de lineamientos del PRAH en 7 regiones: Ayacucho (Huamanga), Huancavelica, Lima, Puno (Juliaca), Apurímac (Abancay), Huánuco y la zona de VRAEM (Kimbiri). Posteriormente, se </w:t>
      </w:r>
      <w:r w:rsidR="00C8443F" w:rsidRPr="00092053">
        <w:rPr>
          <w:rFonts w:eastAsia="Calibri"/>
          <w:shd w:val="clear" w:color="auto" w:fill="FFFFFF"/>
          <w:lang w:val="es-PE"/>
        </w:rPr>
        <w:t xml:space="preserve">realizaron </w:t>
      </w:r>
      <w:r w:rsidR="00C8443F" w:rsidRPr="00092053">
        <w:rPr>
          <w:rFonts w:eastAsia="Calibri"/>
          <w:snapToGrid w:val="0"/>
          <w:lang w:val="es-PE" w:eastAsia="en-US"/>
        </w:rPr>
        <w:t xml:space="preserve">12 reuniones </w:t>
      </w:r>
      <w:r w:rsidR="00C8443F" w:rsidRPr="00092053">
        <w:rPr>
          <w:rFonts w:eastAsia="+mn-ea"/>
          <w:lang w:val="es-PE" w:eastAsia="en-US"/>
        </w:rPr>
        <w:t>de difusión sobre la implementación del PRAH bajo el Programa Techo Propio, en las regiones de Apurímac, Puno, Cusco, Huánuco, Junín, San Martín, Ucayali, Ica y Ayacucho. Estas charlas permitieron brindar información a 1</w:t>
      </w:r>
      <w:r w:rsidR="001A6567">
        <w:rPr>
          <w:rFonts w:eastAsia="+mn-ea"/>
          <w:lang w:val="es-PE" w:eastAsia="en-US"/>
        </w:rPr>
        <w:t>.</w:t>
      </w:r>
      <w:r w:rsidR="00C8443F" w:rsidRPr="00092053">
        <w:rPr>
          <w:rFonts w:eastAsia="+mn-ea"/>
          <w:lang w:val="es-PE" w:eastAsia="en-US"/>
        </w:rPr>
        <w:t>012 personas</w:t>
      </w:r>
      <w:r w:rsidR="000900D3" w:rsidRPr="00092053">
        <w:rPr>
          <w:rFonts w:eastAsia="+mn-ea"/>
          <w:lang w:val="es-PE" w:eastAsia="en-US"/>
        </w:rPr>
        <w:t>, entre víctimas y funcionarios</w:t>
      </w:r>
      <w:r w:rsidR="00C8443F" w:rsidRPr="00092053">
        <w:rPr>
          <w:rFonts w:eastAsia="+mn-ea"/>
          <w:vertAlign w:val="superscript"/>
          <w:lang w:val="es-PE" w:eastAsia="en-US"/>
        </w:rPr>
        <w:footnoteReference w:id="226"/>
      </w:r>
      <w:r w:rsidR="000900D3" w:rsidRPr="00092053">
        <w:rPr>
          <w:rFonts w:eastAsia="+mn-ea"/>
          <w:lang w:val="es-PE" w:eastAsia="en-US"/>
        </w:rPr>
        <w:t>.</w:t>
      </w:r>
      <w:r w:rsidR="00C8443F" w:rsidRPr="00092053">
        <w:rPr>
          <w:rFonts w:eastAsia="+mn-ea"/>
          <w:lang w:val="es-PE" w:eastAsia="en-US"/>
        </w:rPr>
        <w:t xml:space="preserve"> </w:t>
      </w:r>
    </w:p>
    <w:p w:rsidR="002A208C" w:rsidRPr="00092053" w:rsidRDefault="00092053" w:rsidP="00574AEE">
      <w:pPr>
        <w:pStyle w:val="SingleTxtG"/>
        <w:rPr>
          <w:rFonts w:eastAsia="Calibri"/>
          <w:lang w:val="es-PE" w:eastAsia="en-US"/>
        </w:rPr>
      </w:pPr>
      <w:r w:rsidRPr="00574AEE">
        <w:rPr>
          <w:rFonts w:eastAsia="Calibri"/>
          <w:lang w:val="es-PE" w:eastAsia="en-US"/>
        </w:rPr>
        <w:t>221.</w:t>
      </w:r>
      <w:r w:rsidRPr="00574AEE">
        <w:rPr>
          <w:rFonts w:eastAsia="Calibri"/>
          <w:lang w:val="es-PE" w:eastAsia="en-US"/>
        </w:rPr>
        <w:tab/>
      </w:r>
      <w:r w:rsidR="00C8443F" w:rsidRPr="00092053">
        <w:rPr>
          <w:rFonts w:eastAsia="Calibri"/>
          <w:snapToGrid w:val="0"/>
          <w:lang w:val="es-PE" w:eastAsia="en-US"/>
        </w:rPr>
        <w:t>Hasta el primer semestre del 2016, 650 beneficiarios del PRAH fueron atendidos por el Programa Techo Propio con el incremento del Bono Familiar Habitacional al 51% en sus distintas modalidades y en cuanto al saneamiento legal de la propiedad de la vivienda, 21</w:t>
      </w:r>
      <w:r w:rsidR="001A6567">
        <w:rPr>
          <w:rFonts w:eastAsia="Calibri"/>
          <w:snapToGrid w:val="0"/>
          <w:lang w:val="es-PE" w:eastAsia="en-US"/>
        </w:rPr>
        <w:t>.</w:t>
      </w:r>
      <w:r w:rsidR="00C8443F" w:rsidRPr="00092053">
        <w:rPr>
          <w:rFonts w:eastAsia="Calibri"/>
          <w:snapToGrid w:val="0"/>
          <w:lang w:val="es-PE" w:eastAsia="en-US"/>
        </w:rPr>
        <w:t>814</w:t>
      </w:r>
      <w:r w:rsidR="00C8443F" w:rsidRPr="00092053">
        <w:rPr>
          <w:rFonts w:eastAsia="Calibri"/>
          <w:lang w:val="es-PE" w:eastAsia="en-US"/>
        </w:rPr>
        <w:t xml:space="preserve"> </w:t>
      </w:r>
      <w:r w:rsidR="00C8443F" w:rsidRPr="00092053">
        <w:rPr>
          <w:rFonts w:eastAsia="Calibri"/>
          <w:kern w:val="24"/>
          <w:lang w:val="es-PE" w:eastAsia="en-US"/>
        </w:rPr>
        <w:t xml:space="preserve">beneficiarios del PRAH obtuvieron </w:t>
      </w:r>
      <w:r w:rsidR="000900D3" w:rsidRPr="00092053">
        <w:rPr>
          <w:rFonts w:eastAsia="Calibri"/>
          <w:kern w:val="24"/>
          <w:lang w:val="es-PE" w:eastAsia="en-US"/>
        </w:rPr>
        <w:t>su título de propiedad</w:t>
      </w:r>
      <w:r w:rsidR="00C8443F" w:rsidRPr="00092053">
        <w:rPr>
          <w:rFonts w:eastAsia="Calibri"/>
          <w:kern w:val="24"/>
          <w:vertAlign w:val="superscript"/>
          <w:lang w:val="es-PE" w:eastAsia="en-US"/>
        </w:rPr>
        <w:footnoteReference w:id="227"/>
      </w:r>
      <w:r w:rsidR="000900D3" w:rsidRPr="00092053">
        <w:rPr>
          <w:rFonts w:eastAsia="Calibri"/>
          <w:kern w:val="24"/>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222.</w:t>
      </w:r>
      <w:r w:rsidRPr="00574AEE">
        <w:rPr>
          <w:rFonts w:eastAsia="Calibri"/>
          <w:lang w:val="es-PE" w:eastAsia="en-US"/>
        </w:rPr>
        <w:tab/>
      </w:r>
      <w:r w:rsidR="00C8443F" w:rsidRPr="00092053">
        <w:rPr>
          <w:rFonts w:eastAsia="Calibri"/>
          <w:lang w:val="es-PE" w:eastAsia="en-US"/>
        </w:rPr>
        <w:t xml:space="preserve">Por otro lado, en el 2014 la Secretaría Técnica de CMAN se adhirió al Plan Nacional Perú contra la indocumentación 2011-2015, liderada por el RENIEC, que a su vez creó la Sub Comisión de documentación de víctimas del proceso de violencia, integrada por representantes del PJ, </w:t>
      </w:r>
      <w:r w:rsidR="00C8443F" w:rsidRPr="00092053">
        <w:rPr>
          <w:rFonts w:eastAsia="Calibri"/>
          <w:lang w:eastAsia="en-US"/>
        </w:rPr>
        <w:t>Municipalidad</w:t>
      </w:r>
      <w:r w:rsidR="00C8443F" w:rsidRPr="00092053">
        <w:rPr>
          <w:rFonts w:eastAsia="Calibri"/>
          <w:lang w:val="es-PE" w:eastAsia="en-US"/>
        </w:rPr>
        <w:t xml:space="preserve"> de Lima, DDPAJ, CR, DP y sociedad civil, con la finalidad de resolver los casos complejos de indocumentación de las víctimas del proceso de violencia. La mesa aten</w:t>
      </w:r>
      <w:r w:rsidR="000900D3" w:rsidRPr="00092053">
        <w:rPr>
          <w:rFonts w:eastAsia="Calibri"/>
          <w:lang w:val="es-PE" w:eastAsia="en-US"/>
        </w:rPr>
        <w:t>dió 46 casos de indocumentación</w:t>
      </w:r>
      <w:r w:rsidR="00C8443F" w:rsidRPr="00092053">
        <w:rPr>
          <w:rFonts w:eastAsia="Calibri"/>
          <w:vertAlign w:val="superscript"/>
          <w:lang w:val="es-PE" w:eastAsia="en-US"/>
        </w:rPr>
        <w:footnoteReference w:id="228"/>
      </w:r>
      <w:r w:rsidR="000900D3" w:rsidRPr="00092053">
        <w:rPr>
          <w:rFonts w:eastAsia="Calibri"/>
          <w:lang w:val="es-PE" w:eastAsia="en-US"/>
        </w:rPr>
        <w:t>.</w:t>
      </w:r>
      <w:r w:rsidR="00C8443F" w:rsidRPr="00092053">
        <w:rPr>
          <w:rFonts w:eastAsia="Calibri"/>
          <w:lang w:val="es-PE" w:eastAsia="en-US"/>
        </w:rPr>
        <w:t xml:space="preserve"> </w:t>
      </w:r>
    </w:p>
    <w:p w:rsidR="002A208C" w:rsidRPr="00092053" w:rsidRDefault="00092053" w:rsidP="00574AEE">
      <w:pPr>
        <w:pStyle w:val="SingleTxtG"/>
        <w:rPr>
          <w:rFonts w:eastAsia="Calibri"/>
          <w:lang w:val="es-PE" w:eastAsia="en-US"/>
        </w:rPr>
      </w:pPr>
      <w:r w:rsidRPr="00574AEE">
        <w:rPr>
          <w:rFonts w:eastAsia="Calibri"/>
          <w:lang w:val="es-PE" w:eastAsia="en-US"/>
        </w:rPr>
        <w:t>223.</w:t>
      </w:r>
      <w:r w:rsidRPr="00574AEE">
        <w:rPr>
          <w:rFonts w:eastAsia="Calibri"/>
          <w:lang w:val="es-PE" w:eastAsia="en-US"/>
        </w:rPr>
        <w:tab/>
      </w:r>
      <w:r w:rsidR="00C8443F" w:rsidRPr="00092053">
        <w:rPr>
          <w:rFonts w:eastAsia="Calibri"/>
          <w:lang w:val="es-PE" w:eastAsia="en-US"/>
        </w:rPr>
        <w:t>En cuanto a la exoneración de las tasas judiciales, administrativas, registrales y municipales, algunas ordenanzas municipales aprobaron Planes Distritales de Reparación, favoreciendo la condonación de arbitrios municipales, la exoneración de pago de tasas por trámites de licencia de construcción, licencias de entierro en el Cementerio Municipal, así como por autorización e instalación del ser</w:t>
      </w:r>
      <w:r w:rsidR="000900D3" w:rsidRPr="00092053">
        <w:rPr>
          <w:rFonts w:eastAsia="Calibri"/>
          <w:lang w:val="es-PE" w:eastAsia="en-US"/>
        </w:rPr>
        <w:t>vicio de agua potable y desagüe</w:t>
      </w:r>
      <w:r w:rsidR="00C8443F" w:rsidRPr="00092053">
        <w:rPr>
          <w:rFonts w:eastAsia="Calibri"/>
          <w:vertAlign w:val="superscript"/>
          <w:lang w:val="es-PE" w:eastAsia="en-US"/>
        </w:rPr>
        <w:footnoteReference w:id="229"/>
      </w:r>
      <w:r w:rsidR="000900D3" w:rsidRPr="00092053">
        <w:rPr>
          <w:rFonts w:eastAsia="Calibri"/>
          <w:lang w:val="es-PE" w:eastAsia="en-US"/>
        </w:rPr>
        <w:t>.</w:t>
      </w:r>
      <w:r w:rsidR="00C8443F" w:rsidRPr="00092053">
        <w:rPr>
          <w:rFonts w:eastAsia="Calibri"/>
          <w:lang w:val="es-PE" w:eastAsia="en-US"/>
        </w:rPr>
        <w:t xml:space="preserve"> </w:t>
      </w:r>
    </w:p>
    <w:p w:rsidR="002A208C" w:rsidRPr="00092053" w:rsidRDefault="00092053" w:rsidP="00574AEE">
      <w:pPr>
        <w:pStyle w:val="SingleTxtG"/>
        <w:rPr>
          <w:rFonts w:eastAsia="Calibri"/>
          <w:lang w:val="es-PE" w:eastAsia="en-US"/>
        </w:rPr>
      </w:pPr>
      <w:r w:rsidRPr="00574AEE">
        <w:rPr>
          <w:rFonts w:eastAsia="Calibri"/>
          <w:lang w:val="es-PE" w:eastAsia="en-US"/>
        </w:rPr>
        <w:t>224.</w:t>
      </w:r>
      <w:r w:rsidRPr="00574AEE">
        <w:rPr>
          <w:rFonts w:eastAsia="Calibri"/>
          <w:lang w:val="es-PE" w:eastAsia="en-US"/>
        </w:rPr>
        <w:tab/>
      </w:r>
      <w:r w:rsidR="00C8443F" w:rsidRPr="00092053">
        <w:rPr>
          <w:rFonts w:eastAsia="Calibri"/>
          <w:lang w:val="es-PE" w:eastAsia="en-US"/>
        </w:rPr>
        <w:t>Entre los gobiernos locales que adoptaron estas medidas destacan las municipalidades distritales de Lurigancho</w:t>
      </w:r>
      <w:r w:rsidR="00AB3C05">
        <w:rPr>
          <w:rFonts w:eastAsia="Calibri"/>
          <w:lang w:val="es-PE" w:eastAsia="en-US"/>
        </w:rPr>
        <w:t>-</w:t>
      </w:r>
      <w:r w:rsidR="00C8443F" w:rsidRPr="00092053">
        <w:rPr>
          <w:rFonts w:eastAsia="Calibri"/>
          <w:lang w:val="es-PE" w:eastAsia="en-US"/>
        </w:rPr>
        <w:t>Chosica (</w:t>
      </w:r>
      <w:r w:rsidR="00C8443F" w:rsidRPr="00092053">
        <w:rPr>
          <w:rFonts w:eastAsia="Calibri"/>
          <w:lang w:eastAsia="en-US"/>
        </w:rPr>
        <w:t>Ordenanza</w:t>
      </w:r>
      <w:r w:rsidR="00C8443F" w:rsidRPr="00092053">
        <w:rPr>
          <w:rFonts w:eastAsia="Calibri"/>
          <w:lang w:val="es-PE" w:eastAsia="en-US"/>
        </w:rPr>
        <w:t xml:space="preserve"> Municipal </w:t>
      </w:r>
      <w:r w:rsidR="00CD52E7">
        <w:rPr>
          <w:rFonts w:eastAsia="Calibri"/>
          <w:lang w:val="es-ES_tradnl"/>
        </w:rPr>
        <w:t>núm.</w:t>
      </w:r>
      <w:r w:rsidR="00C8443F" w:rsidRPr="00092053">
        <w:rPr>
          <w:rFonts w:eastAsia="Calibri"/>
          <w:lang w:val="es-PE" w:eastAsia="en-US"/>
        </w:rPr>
        <w:t xml:space="preserve"> 176-MDL de 31 de mayo 2012), Chaclacayo (Ordenanza Municipal </w:t>
      </w:r>
      <w:r w:rsidR="00CD52E7">
        <w:rPr>
          <w:rFonts w:eastAsia="Calibri"/>
          <w:lang w:val="es-ES_tradnl"/>
        </w:rPr>
        <w:t>núm.</w:t>
      </w:r>
      <w:r w:rsidR="00C8443F" w:rsidRPr="00092053">
        <w:rPr>
          <w:rFonts w:eastAsia="Calibri"/>
          <w:lang w:val="es-PE" w:eastAsia="en-US"/>
        </w:rPr>
        <w:t xml:space="preserve"> 287-MDCH, del 19.4.2013), San Juan de Miraflores (Ordenanza Municipal </w:t>
      </w:r>
      <w:r w:rsidR="00CD52E7">
        <w:rPr>
          <w:rFonts w:eastAsia="Calibri"/>
          <w:lang w:val="es-ES_tradnl"/>
        </w:rPr>
        <w:t>núm.</w:t>
      </w:r>
      <w:r w:rsidR="00C8443F" w:rsidRPr="00092053">
        <w:rPr>
          <w:rFonts w:eastAsia="Calibri"/>
          <w:lang w:val="es-PE" w:eastAsia="en-US"/>
        </w:rPr>
        <w:t xml:space="preserve"> 276-A-MDSJM, del 22.08.2014), La Molina (Ordenanza Municipal </w:t>
      </w:r>
      <w:r w:rsidR="00CD52E7">
        <w:rPr>
          <w:rFonts w:eastAsia="Calibri"/>
          <w:lang w:val="es-ES_tradnl"/>
        </w:rPr>
        <w:t>núm.</w:t>
      </w:r>
      <w:r w:rsidR="00C8443F" w:rsidRPr="00092053">
        <w:rPr>
          <w:rFonts w:eastAsia="Calibri"/>
          <w:lang w:val="es-PE" w:eastAsia="en-US"/>
        </w:rPr>
        <w:t xml:space="preserve"> 281-MDLM, del 12.11.2014) y la Municipalidad Metropolitana de Lima, con la aprobación del Plan Metropolitano de Reparaciones para las víctimas de la violencia (Resolución de Alcal</w:t>
      </w:r>
      <w:r w:rsidR="000900D3" w:rsidRPr="00092053">
        <w:rPr>
          <w:rFonts w:eastAsia="Calibri"/>
          <w:lang w:val="es-PE" w:eastAsia="en-US"/>
        </w:rPr>
        <w:t xml:space="preserve">día </w:t>
      </w:r>
      <w:r w:rsidR="00CD52E7">
        <w:rPr>
          <w:rFonts w:eastAsia="Calibri"/>
          <w:lang w:val="es-ES_tradnl"/>
        </w:rPr>
        <w:t>núm.</w:t>
      </w:r>
      <w:r w:rsidR="000900D3" w:rsidRPr="00092053">
        <w:rPr>
          <w:rFonts w:eastAsia="Calibri"/>
          <w:lang w:val="es-PE" w:eastAsia="en-US"/>
        </w:rPr>
        <w:t xml:space="preserve"> 085 de fecha 02.04.2014)</w:t>
      </w:r>
      <w:r w:rsidR="00C8443F" w:rsidRPr="00092053">
        <w:rPr>
          <w:rFonts w:eastAsia="Calibri"/>
          <w:vertAlign w:val="superscript"/>
          <w:lang w:val="es-PE" w:eastAsia="en-US"/>
        </w:rPr>
        <w:footnoteReference w:id="230"/>
      </w:r>
      <w:r w:rsidR="000900D3"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225.</w:t>
      </w:r>
      <w:r w:rsidRPr="00574AEE">
        <w:rPr>
          <w:rFonts w:eastAsia="Calibri"/>
          <w:lang w:val="es-PE" w:eastAsia="en-US"/>
        </w:rPr>
        <w:tab/>
      </w:r>
      <w:r w:rsidR="00C8443F" w:rsidRPr="00092053">
        <w:rPr>
          <w:rFonts w:eastAsia="Calibri"/>
          <w:lang w:val="es-PE" w:eastAsia="en-US"/>
        </w:rPr>
        <w:t>En base al programa de reparaciones colectivas, entre el 2010 y el 2016 se han financiado 2</w:t>
      </w:r>
      <w:r w:rsidR="003461EA">
        <w:rPr>
          <w:rFonts w:eastAsia="Calibri"/>
          <w:lang w:val="es-PE" w:eastAsia="en-US"/>
        </w:rPr>
        <w:t>.</w:t>
      </w:r>
      <w:r w:rsidR="00C8443F" w:rsidRPr="00092053">
        <w:rPr>
          <w:rFonts w:eastAsia="Calibri"/>
          <w:lang w:val="es-PE" w:eastAsia="en-US"/>
        </w:rPr>
        <w:t xml:space="preserve">274 proyectos de reparación </w:t>
      </w:r>
      <w:r w:rsidR="00C8443F" w:rsidRPr="00092053">
        <w:rPr>
          <w:rFonts w:eastAsia="Calibri"/>
          <w:lang w:eastAsia="en-US"/>
        </w:rPr>
        <w:t>colectiva</w:t>
      </w:r>
      <w:r w:rsidR="00C8443F" w:rsidRPr="00092053">
        <w:rPr>
          <w:rFonts w:eastAsia="Calibri"/>
          <w:lang w:val="es-PE" w:eastAsia="en-US"/>
        </w:rPr>
        <w:t xml:space="preserve"> en comunidades afectadas por violencia, de un total de 5</w:t>
      </w:r>
      <w:r w:rsidR="003461EA">
        <w:rPr>
          <w:rFonts w:eastAsia="Calibri"/>
          <w:lang w:val="es-PE" w:eastAsia="en-US"/>
        </w:rPr>
        <w:t>.</w:t>
      </w:r>
      <w:r w:rsidR="00C8443F" w:rsidRPr="00092053">
        <w:rPr>
          <w:rFonts w:eastAsia="Calibri"/>
          <w:lang w:val="es-PE" w:eastAsia="en-US"/>
        </w:rPr>
        <w:t>712 comunidades inscritas en el RUV (39</w:t>
      </w:r>
      <w:r w:rsidR="00F44089">
        <w:rPr>
          <w:rFonts w:eastAsia="Calibri"/>
          <w:lang w:val="es-PE" w:eastAsia="en-US"/>
        </w:rPr>
        <w:t>,</w:t>
      </w:r>
      <w:r w:rsidR="00C8443F" w:rsidRPr="00092053">
        <w:rPr>
          <w:rFonts w:eastAsia="Calibri"/>
          <w:lang w:val="es-PE" w:eastAsia="en-US"/>
        </w:rPr>
        <w:t>8% de avance)</w:t>
      </w:r>
      <w:r w:rsidR="00C8443F" w:rsidRPr="00092053">
        <w:rPr>
          <w:rFonts w:eastAsia="Calibri"/>
          <w:shd w:val="clear" w:color="auto" w:fill="FFFFFF"/>
          <w:vertAlign w:val="superscript"/>
          <w:lang w:val="es-PE" w:eastAsia="en-US"/>
        </w:rPr>
        <w:footnoteReference w:id="231"/>
      </w:r>
      <w:r w:rsidR="000900D3" w:rsidRPr="00092053">
        <w:rPr>
          <w:rFonts w:eastAsia="Calibri"/>
          <w:lang w:val="es-PE" w:eastAsia="en-US"/>
        </w:rPr>
        <w:t>.</w:t>
      </w:r>
      <w:r w:rsidR="00C8443F" w:rsidRPr="00092053">
        <w:rPr>
          <w:rFonts w:eastAsia="Calibri"/>
          <w:shd w:val="clear" w:color="auto" w:fill="FFFFFF"/>
          <w:lang w:val="es-PE" w:eastAsia="en-US"/>
        </w:rPr>
        <w:t xml:space="preserve"> </w:t>
      </w:r>
    </w:p>
    <w:p w:rsidR="002A208C" w:rsidRPr="00092053" w:rsidRDefault="00092053" w:rsidP="00574AEE">
      <w:pPr>
        <w:pStyle w:val="SingleTxtG"/>
        <w:rPr>
          <w:rFonts w:eastAsia="Calibri"/>
          <w:lang w:val="es-PE" w:eastAsia="en-US"/>
        </w:rPr>
      </w:pPr>
      <w:r w:rsidRPr="00574AEE">
        <w:rPr>
          <w:rFonts w:eastAsia="Calibri"/>
          <w:lang w:val="es-PE" w:eastAsia="en-US"/>
        </w:rPr>
        <w:t>226.</w:t>
      </w:r>
      <w:r w:rsidRPr="00574AEE">
        <w:rPr>
          <w:rFonts w:eastAsia="Calibri"/>
          <w:lang w:val="es-PE" w:eastAsia="en-US"/>
        </w:rPr>
        <w:tab/>
      </w:r>
      <w:r w:rsidR="00C8443F" w:rsidRPr="00092053">
        <w:rPr>
          <w:rFonts w:eastAsia="Calibri"/>
          <w:lang w:val="es-PE" w:eastAsia="en-US"/>
        </w:rPr>
        <w:t xml:space="preserve">El personal del programa de reparaciones colectivas asiste a las asambleas comunitarias con el fin de garantizar que la </w:t>
      </w:r>
      <w:r w:rsidR="00C8443F" w:rsidRPr="00092053">
        <w:rPr>
          <w:rFonts w:eastAsia="Calibri"/>
          <w:lang w:eastAsia="en-US"/>
        </w:rPr>
        <w:t>decisión</w:t>
      </w:r>
      <w:r w:rsidR="00C8443F" w:rsidRPr="00092053">
        <w:rPr>
          <w:rFonts w:eastAsia="Calibri"/>
          <w:lang w:val="es-PE" w:eastAsia="en-US"/>
        </w:rPr>
        <w:t xml:space="preserve"> sobre el proyecto elegido por consenso de la comunidad sea respetada por el municipio local, que es el organismo ejecutor responsable de elaborar el expediente técnico y ejecutar el proyecto en aplicación de los line</w:t>
      </w:r>
      <w:r w:rsidR="000900D3" w:rsidRPr="00092053">
        <w:rPr>
          <w:rFonts w:eastAsia="Calibri"/>
          <w:lang w:val="es-PE" w:eastAsia="en-US"/>
        </w:rPr>
        <w:t>amientos generales del programa</w:t>
      </w:r>
      <w:r w:rsidR="00C8443F" w:rsidRPr="00092053">
        <w:rPr>
          <w:rFonts w:eastAsia="Calibri"/>
          <w:vertAlign w:val="superscript"/>
          <w:lang w:val="es-PE" w:eastAsia="en-US"/>
        </w:rPr>
        <w:footnoteReference w:id="232"/>
      </w:r>
      <w:r w:rsidR="000900D3" w:rsidRPr="00092053">
        <w:rPr>
          <w:rFonts w:eastAsia="Calibri"/>
          <w:lang w:val="es-PE" w:eastAsia="en-US"/>
        </w:rPr>
        <w:t>.</w:t>
      </w:r>
      <w:r w:rsidR="00C8443F" w:rsidRPr="00092053">
        <w:rPr>
          <w:rFonts w:eastAsia="Calibri"/>
          <w:lang w:val="es-PE" w:eastAsia="en-US"/>
        </w:rPr>
        <w:t xml:space="preserve"> </w:t>
      </w:r>
    </w:p>
    <w:p w:rsidR="002A208C" w:rsidRPr="00092053" w:rsidRDefault="00092053" w:rsidP="00574AEE">
      <w:pPr>
        <w:pStyle w:val="SingleTxtG"/>
        <w:rPr>
          <w:rFonts w:eastAsia="Calibri"/>
          <w:lang w:val="es-PE" w:eastAsia="en-US"/>
        </w:rPr>
      </w:pPr>
      <w:r w:rsidRPr="00574AEE">
        <w:rPr>
          <w:rFonts w:eastAsia="Calibri"/>
          <w:lang w:val="es-PE" w:eastAsia="en-US"/>
        </w:rPr>
        <w:t>227.</w:t>
      </w:r>
      <w:r w:rsidRPr="00574AEE">
        <w:rPr>
          <w:rFonts w:eastAsia="Calibri"/>
          <w:lang w:val="es-PE" w:eastAsia="en-US"/>
        </w:rPr>
        <w:tab/>
      </w:r>
      <w:r w:rsidR="00C8443F" w:rsidRPr="00092053">
        <w:rPr>
          <w:rFonts w:eastAsia="Calibri"/>
          <w:lang w:val="es-PE" w:eastAsia="en-US"/>
        </w:rPr>
        <w:t xml:space="preserve">En estas asambleas se realiza el acto de reparación simbólica a la población de la comunidad mediante </w:t>
      </w:r>
      <w:r w:rsidR="00C8443F" w:rsidRPr="00092053">
        <w:rPr>
          <w:rFonts w:eastAsia="Calibri"/>
          <w:lang w:eastAsia="en-US"/>
        </w:rPr>
        <w:t>expresiones</w:t>
      </w:r>
      <w:r w:rsidR="00C8443F" w:rsidRPr="00092053">
        <w:rPr>
          <w:rFonts w:eastAsia="Calibri"/>
          <w:lang w:val="es-PE" w:eastAsia="en-US"/>
        </w:rPr>
        <w:t xml:space="preserve"> de disculpas públicas hecha por el funcionario o servidor </w:t>
      </w:r>
      <w:r w:rsidR="00C8443F" w:rsidRPr="00092053">
        <w:rPr>
          <w:rFonts w:eastAsia="Calibri"/>
          <w:lang w:val="es-PE" w:eastAsia="en-US"/>
        </w:rPr>
        <w:lastRenderedPageBreak/>
        <w:t>de la Secretaría Técnica de la CMAN presente en la asamblea. Durante el proceso de elaboración de expedientes técnicos se brinda asesoría técnica a los formuladores y evaluadores, pa</w:t>
      </w:r>
      <w:r w:rsidR="000900D3" w:rsidRPr="00092053">
        <w:rPr>
          <w:rFonts w:eastAsia="Calibri"/>
          <w:lang w:val="es-PE" w:eastAsia="en-US"/>
        </w:rPr>
        <w:t>ra garantizar su sostenibilidad</w:t>
      </w:r>
      <w:r w:rsidR="00C8443F" w:rsidRPr="00092053">
        <w:rPr>
          <w:rFonts w:eastAsia="Calibri"/>
          <w:vertAlign w:val="superscript"/>
          <w:lang w:val="es-PE" w:eastAsia="en-US"/>
        </w:rPr>
        <w:footnoteReference w:id="233"/>
      </w:r>
      <w:r w:rsidR="000900D3" w:rsidRPr="00092053">
        <w:rPr>
          <w:rFonts w:eastAsia="Calibri"/>
          <w:lang w:val="es-PE" w:eastAsia="en-US"/>
        </w:rPr>
        <w:t>.</w:t>
      </w:r>
      <w:r w:rsidR="00C8443F" w:rsidRPr="00092053">
        <w:rPr>
          <w:rFonts w:eastAsia="Calibri"/>
          <w:b/>
          <w:lang w:val="es-PE" w:eastAsia="en-US"/>
        </w:rPr>
        <w:t xml:space="preserve"> </w:t>
      </w:r>
    </w:p>
    <w:p w:rsidR="002A208C" w:rsidRPr="00092053" w:rsidRDefault="00092053" w:rsidP="00574AEE">
      <w:pPr>
        <w:pStyle w:val="SingleTxtG"/>
        <w:rPr>
          <w:rFonts w:eastAsia="Calibri"/>
          <w:lang w:val="es-PE" w:eastAsia="en-US"/>
        </w:rPr>
      </w:pPr>
      <w:r w:rsidRPr="00574AEE">
        <w:rPr>
          <w:rFonts w:eastAsia="Calibri"/>
          <w:lang w:val="es-PE" w:eastAsia="en-US"/>
        </w:rPr>
        <w:t>228.</w:t>
      </w:r>
      <w:r w:rsidRPr="00574AEE">
        <w:rPr>
          <w:rFonts w:eastAsia="Calibri"/>
          <w:lang w:val="es-PE" w:eastAsia="en-US"/>
        </w:rPr>
        <w:tab/>
      </w:r>
      <w:r w:rsidR="00C8443F" w:rsidRPr="00092053">
        <w:rPr>
          <w:rFonts w:eastAsia="Calibri"/>
          <w:lang w:val="es-PE" w:eastAsia="en-US"/>
        </w:rPr>
        <w:t xml:space="preserve">Asimismo, según la última actualización del RUV hay 56 asociaciones de desplazados. Así, en el 2015 se realizó la transferencia financiera para atender diversos proyectos de cinco asociaciones (4 de </w:t>
      </w:r>
      <w:r w:rsidR="00C8443F" w:rsidRPr="00092053">
        <w:rPr>
          <w:rFonts w:eastAsia="Calibri"/>
          <w:lang w:eastAsia="en-US"/>
        </w:rPr>
        <w:t>Ayacucho</w:t>
      </w:r>
      <w:r w:rsidR="00C8443F" w:rsidRPr="00092053">
        <w:rPr>
          <w:rFonts w:eastAsia="Calibri"/>
          <w:lang w:val="es-PE" w:eastAsia="en-US"/>
        </w:rPr>
        <w:t xml:space="preserve"> y 1 de Lima), y en el 2016 se firmaron convenios para atender los proyectos de seis asociaciones (5 de Ayacucho y 1 de Ica). La transferencia financiera de dichos proyecto</w:t>
      </w:r>
      <w:r w:rsidR="000900D3" w:rsidRPr="00092053">
        <w:rPr>
          <w:rFonts w:eastAsia="Calibri"/>
          <w:lang w:val="es-PE" w:eastAsia="en-US"/>
        </w:rPr>
        <w:t>s se realizará en enero de 2017</w:t>
      </w:r>
      <w:r w:rsidR="00C8443F" w:rsidRPr="00092053">
        <w:rPr>
          <w:rFonts w:eastAsia="Calibri"/>
          <w:vertAlign w:val="superscript"/>
          <w:lang w:val="es-PE" w:eastAsia="en-US"/>
        </w:rPr>
        <w:footnoteReference w:id="234"/>
      </w:r>
      <w:r w:rsidR="000900D3" w:rsidRPr="00092053">
        <w:rPr>
          <w:rFonts w:eastAsia="Calibri"/>
          <w:lang w:val="es-PE" w:eastAsia="en-US"/>
        </w:rPr>
        <w:t>.</w:t>
      </w:r>
      <w:r w:rsidR="00C8443F" w:rsidRPr="00092053">
        <w:rPr>
          <w:rFonts w:eastAsia="Calibri"/>
          <w:lang w:val="es-PE" w:eastAsia="en-US"/>
        </w:rPr>
        <w:t xml:space="preserve"> Ver</w:t>
      </w:r>
      <w:r w:rsidR="00C8443F" w:rsidRPr="00092053">
        <w:rPr>
          <w:rFonts w:eastAsia="Calibri"/>
          <w:b/>
          <w:lang w:val="es-PE" w:eastAsia="en-US"/>
        </w:rPr>
        <w:t xml:space="preserve"> Tablas </w:t>
      </w:r>
      <w:r w:rsidR="00CD52E7" w:rsidRPr="00353E55">
        <w:rPr>
          <w:rFonts w:eastAsia="Calibri"/>
          <w:b/>
          <w:lang w:val="es-PE" w:eastAsia="en-US"/>
        </w:rPr>
        <w:t>núm</w:t>
      </w:r>
      <w:r w:rsidR="00CD52E7">
        <w:rPr>
          <w:rFonts w:eastAsia="Calibri"/>
          <w:b/>
          <w:lang w:val="es-PE" w:eastAsia="en-US"/>
        </w:rPr>
        <w:t>s</w:t>
      </w:r>
      <w:r w:rsidR="00CD52E7" w:rsidRPr="00353E55">
        <w:rPr>
          <w:rFonts w:eastAsia="Calibri"/>
          <w:b/>
          <w:lang w:val="es-PE" w:eastAsia="en-US"/>
        </w:rPr>
        <w:t>.</w:t>
      </w:r>
      <w:r w:rsidR="00C8443F" w:rsidRPr="00092053">
        <w:rPr>
          <w:rFonts w:eastAsia="Calibri"/>
          <w:b/>
          <w:lang w:val="es-PE" w:eastAsia="en-US"/>
        </w:rPr>
        <w:t xml:space="preserve"> 5 y 6 del Anexo </w:t>
      </w:r>
      <w:r w:rsidR="00CD52E7" w:rsidRPr="00353E55">
        <w:rPr>
          <w:rFonts w:eastAsia="Calibri"/>
          <w:b/>
          <w:lang w:val="es-PE" w:eastAsia="en-US"/>
        </w:rPr>
        <w:t>núm.</w:t>
      </w:r>
      <w:r w:rsidR="00C8443F" w:rsidRPr="00092053">
        <w:rPr>
          <w:rFonts w:eastAsia="Calibri"/>
          <w:b/>
          <w:lang w:val="es-PE" w:eastAsia="en-US"/>
        </w:rPr>
        <w:t xml:space="preserve"> 17.</w:t>
      </w:r>
    </w:p>
    <w:p w:rsidR="002A208C" w:rsidRPr="00092053" w:rsidRDefault="00092053" w:rsidP="00574AEE">
      <w:pPr>
        <w:pStyle w:val="SingleTxtG"/>
        <w:rPr>
          <w:rFonts w:eastAsia="Calibri"/>
          <w:lang w:val="es-PE" w:eastAsia="en-US"/>
        </w:rPr>
      </w:pPr>
      <w:r w:rsidRPr="00574AEE">
        <w:rPr>
          <w:rFonts w:eastAsia="Calibri"/>
          <w:lang w:val="es-PE" w:eastAsia="en-US"/>
        </w:rPr>
        <w:t>229.</w:t>
      </w:r>
      <w:r w:rsidRPr="00574AEE">
        <w:rPr>
          <w:rFonts w:eastAsia="Calibri"/>
          <w:lang w:val="es-PE" w:eastAsia="en-US"/>
        </w:rPr>
        <w:tab/>
      </w:r>
      <w:r w:rsidR="00C8443F" w:rsidRPr="00092053">
        <w:rPr>
          <w:rFonts w:eastAsia="Calibri"/>
          <w:lang w:val="es-PE" w:eastAsia="en-US"/>
        </w:rPr>
        <w:t xml:space="preserve">En esa línea, es importante mencionar los recursos destinados a la ejecución del PIR para las víctimas de la violencia </w:t>
      </w:r>
      <w:r w:rsidR="00C8443F" w:rsidRPr="00092053">
        <w:rPr>
          <w:rFonts w:eastAsia="Calibri"/>
          <w:lang w:eastAsia="en-US"/>
        </w:rPr>
        <w:t>ocurrida</w:t>
      </w:r>
      <w:r w:rsidR="00C8443F" w:rsidRPr="00092053">
        <w:rPr>
          <w:rFonts w:eastAsia="Calibri"/>
          <w:lang w:val="es-PE" w:eastAsia="en-US"/>
        </w:rPr>
        <w:t xml:space="preserve"> entre 1980 y 2000. Al respecto, el presupuesto institucional modificado (PIM), fue S/.124</w:t>
      </w:r>
      <w:r w:rsidR="00A07931">
        <w:rPr>
          <w:rFonts w:eastAsia="Calibri"/>
          <w:lang w:val="es-PE" w:eastAsia="en-US"/>
        </w:rPr>
        <w:t>.</w:t>
      </w:r>
      <w:r w:rsidR="00C8443F" w:rsidRPr="00092053">
        <w:rPr>
          <w:rFonts w:eastAsia="Calibri"/>
          <w:lang w:val="es-PE" w:eastAsia="en-US"/>
        </w:rPr>
        <w:t>175</w:t>
      </w:r>
      <w:r w:rsidR="00A07931">
        <w:rPr>
          <w:rFonts w:eastAsia="Calibri"/>
          <w:lang w:val="es-PE" w:eastAsia="en-US"/>
        </w:rPr>
        <w:t>.</w:t>
      </w:r>
      <w:r w:rsidR="00C8443F" w:rsidRPr="00092053">
        <w:rPr>
          <w:rFonts w:eastAsia="Calibri"/>
          <w:lang w:val="es-PE" w:eastAsia="en-US"/>
        </w:rPr>
        <w:t>866 en el 2012; de S/. 75</w:t>
      </w:r>
      <w:r w:rsidR="00A07931">
        <w:rPr>
          <w:rFonts w:eastAsia="Calibri"/>
          <w:lang w:val="es-PE" w:eastAsia="en-US"/>
        </w:rPr>
        <w:t>.</w:t>
      </w:r>
      <w:r w:rsidR="00C8443F" w:rsidRPr="00092053">
        <w:rPr>
          <w:rFonts w:eastAsia="Calibri"/>
          <w:lang w:val="es-PE" w:eastAsia="en-US"/>
        </w:rPr>
        <w:t>456</w:t>
      </w:r>
      <w:r w:rsidR="00A07931">
        <w:rPr>
          <w:rFonts w:eastAsia="Calibri"/>
          <w:lang w:val="es-PE" w:eastAsia="en-US"/>
        </w:rPr>
        <w:t>.</w:t>
      </w:r>
      <w:r w:rsidR="00C8443F" w:rsidRPr="00092053">
        <w:rPr>
          <w:rFonts w:eastAsia="Calibri"/>
          <w:lang w:val="es-PE" w:eastAsia="en-US"/>
        </w:rPr>
        <w:t>530 en el 2013; de S</w:t>
      </w:r>
      <w:r w:rsidR="00C8443F" w:rsidRPr="00092053">
        <w:rPr>
          <w:rFonts w:eastAsia="Calibri"/>
          <w:bCs/>
          <w:lang w:val="es-PE" w:eastAsia="en-US"/>
        </w:rPr>
        <w:t>/. 103</w:t>
      </w:r>
      <w:r w:rsidR="00A07931">
        <w:rPr>
          <w:rFonts w:eastAsia="Calibri"/>
          <w:bCs/>
          <w:lang w:val="es-PE" w:eastAsia="en-US"/>
        </w:rPr>
        <w:t>.</w:t>
      </w:r>
      <w:r w:rsidR="00C8443F" w:rsidRPr="00092053">
        <w:rPr>
          <w:rFonts w:eastAsia="Calibri"/>
          <w:bCs/>
          <w:lang w:val="es-PE" w:eastAsia="en-US"/>
        </w:rPr>
        <w:t>605</w:t>
      </w:r>
      <w:r w:rsidR="00A07931">
        <w:rPr>
          <w:rFonts w:eastAsia="Calibri"/>
          <w:bCs/>
          <w:lang w:val="es-PE" w:eastAsia="en-US"/>
        </w:rPr>
        <w:t>.</w:t>
      </w:r>
      <w:r w:rsidR="00C8443F" w:rsidRPr="00092053">
        <w:rPr>
          <w:rFonts w:eastAsia="Calibri"/>
          <w:bCs/>
          <w:lang w:val="es-PE" w:eastAsia="en-US"/>
        </w:rPr>
        <w:t>384, en el 2014; de S/. 20</w:t>
      </w:r>
      <w:r w:rsidR="00A07931">
        <w:rPr>
          <w:rFonts w:eastAsia="Calibri"/>
          <w:bCs/>
          <w:lang w:val="es-PE" w:eastAsia="en-US"/>
        </w:rPr>
        <w:t>.</w:t>
      </w:r>
      <w:r w:rsidR="00C8443F" w:rsidRPr="00092053">
        <w:rPr>
          <w:rFonts w:eastAsia="Calibri"/>
          <w:bCs/>
          <w:lang w:val="es-PE" w:eastAsia="en-US"/>
        </w:rPr>
        <w:t>332</w:t>
      </w:r>
      <w:r w:rsidR="00A07931">
        <w:rPr>
          <w:rFonts w:eastAsia="Calibri"/>
          <w:bCs/>
          <w:lang w:val="es-PE" w:eastAsia="en-US"/>
        </w:rPr>
        <w:t>.</w:t>
      </w:r>
      <w:r w:rsidR="00C8443F" w:rsidRPr="00092053">
        <w:rPr>
          <w:rFonts w:eastAsia="Calibri"/>
          <w:bCs/>
          <w:lang w:val="es-PE" w:eastAsia="en-US"/>
        </w:rPr>
        <w:t>240</w:t>
      </w:r>
      <w:r w:rsidR="00C8443F" w:rsidRPr="00092053">
        <w:rPr>
          <w:rFonts w:eastAsia="Calibri"/>
          <w:vertAlign w:val="superscript"/>
          <w:lang w:val="es-PE" w:eastAsia="en-US"/>
        </w:rPr>
        <w:footnoteReference w:id="235"/>
      </w:r>
      <w:r w:rsidR="00C8443F" w:rsidRPr="00092053">
        <w:rPr>
          <w:rFonts w:eastAsia="Calibri"/>
          <w:bCs/>
          <w:lang w:val="es-PE" w:eastAsia="en-US"/>
        </w:rPr>
        <w:t xml:space="preserve"> en el 2015 y de </w:t>
      </w:r>
      <w:r w:rsidR="00C8443F" w:rsidRPr="00092053">
        <w:rPr>
          <w:rFonts w:eastAsia="Calibri"/>
          <w:lang w:val="es-PE" w:eastAsia="en-US"/>
        </w:rPr>
        <w:t>S/.44</w:t>
      </w:r>
      <w:r w:rsidR="00A07931">
        <w:rPr>
          <w:rFonts w:eastAsia="Calibri"/>
          <w:lang w:val="es-PE" w:eastAsia="en-US"/>
        </w:rPr>
        <w:t>.</w:t>
      </w:r>
      <w:r w:rsidR="00C8443F" w:rsidRPr="00092053">
        <w:rPr>
          <w:rFonts w:eastAsia="Calibri"/>
          <w:lang w:val="es-PE" w:eastAsia="en-US"/>
        </w:rPr>
        <w:t>997</w:t>
      </w:r>
      <w:r w:rsidR="00A07931">
        <w:rPr>
          <w:rFonts w:eastAsia="Calibri"/>
          <w:lang w:val="es-PE" w:eastAsia="en-US"/>
        </w:rPr>
        <w:t>.</w:t>
      </w:r>
      <w:r w:rsidR="00C8443F" w:rsidRPr="00092053">
        <w:rPr>
          <w:rFonts w:eastAsia="Calibri"/>
          <w:lang w:val="es-PE" w:eastAsia="en-US"/>
        </w:rPr>
        <w:t xml:space="preserve">378, en el 2016. Ver </w:t>
      </w:r>
      <w:r w:rsidR="00C8443F" w:rsidRPr="00092053">
        <w:rPr>
          <w:rFonts w:eastAsia="Calibri"/>
          <w:b/>
          <w:lang w:val="es-PE" w:eastAsia="en-US"/>
        </w:rPr>
        <w:t xml:space="preserve">tablas </w:t>
      </w:r>
      <w:r w:rsidR="00CD52E7" w:rsidRPr="00353E55">
        <w:rPr>
          <w:rFonts w:eastAsia="Calibri"/>
          <w:b/>
          <w:lang w:val="es-PE" w:eastAsia="en-US"/>
        </w:rPr>
        <w:t>núm.</w:t>
      </w:r>
      <w:r w:rsidR="00C8443F" w:rsidRPr="00092053">
        <w:rPr>
          <w:rFonts w:eastAsia="Calibri"/>
          <w:b/>
          <w:lang w:val="es-PE" w:eastAsia="en-US"/>
        </w:rPr>
        <w:t xml:space="preserve"> 1 al </w:t>
      </w:r>
      <w:r w:rsidR="00CD52E7" w:rsidRPr="00353E55">
        <w:rPr>
          <w:rFonts w:eastAsia="Calibri"/>
          <w:b/>
          <w:lang w:val="es-PE" w:eastAsia="en-US"/>
        </w:rPr>
        <w:t>núm.</w:t>
      </w:r>
      <w:r w:rsidR="00C8443F" w:rsidRPr="00092053">
        <w:rPr>
          <w:rFonts w:eastAsia="Calibri"/>
          <w:b/>
          <w:lang w:val="es-PE" w:eastAsia="en-US"/>
        </w:rPr>
        <w:t xml:space="preserve"> 9 </w:t>
      </w:r>
      <w:r w:rsidR="00C8443F" w:rsidRPr="00092053">
        <w:rPr>
          <w:rFonts w:eastAsia="Calibri"/>
          <w:b/>
          <w:bCs/>
          <w:lang w:val="es-PE" w:eastAsia="en-US"/>
        </w:rPr>
        <w:t xml:space="preserve">del Anexo </w:t>
      </w:r>
      <w:r w:rsidR="00CD52E7" w:rsidRPr="00353E55">
        <w:rPr>
          <w:rFonts w:eastAsia="Calibri"/>
          <w:b/>
          <w:lang w:val="es-PE" w:eastAsia="en-US"/>
        </w:rPr>
        <w:t>núm.</w:t>
      </w:r>
      <w:r w:rsidR="00C8443F" w:rsidRPr="00092053">
        <w:rPr>
          <w:rFonts w:eastAsia="Calibri"/>
          <w:b/>
          <w:bCs/>
          <w:lang w:val="es-PE" w:eastAsia="en-US"/>
        </w:rPr>
        <w:t xml:space="preserve"> 18.</w:t>
      </w:r>
    </w:p>
    <w:p w:rsidR="002A208C" w:rsidRPr="00092053" w:rsidRDefault="00092053" w:rsidP="00574AEE">
      <w:pPr>
        <w:pStyle w:val="SingleTxtG"/>
        <w:rPr>
          <w:rFonts w:eastAsia="Calibri"/>
          <w:lang w:val="es-PE" w:eastAsia="en-US"/>
        </w:rPr>
      </w:pPr>
      <w:r w:rsidRPr="00574AEE">
        <w:rPr>
          <w:rFonts w:eastAsia="Calibri"/>
          <w:lang w:val="es-PE" w:eastAsia="en-US"/>
        </w:rPr>
        <w:t>230.</w:t>
      </w:r>
      <w:r w:rsidRPr="00574AEE">
        <w:rPr>
          <w:rFonts w:eastAsia="Calibri"/>
          <w:lang w:val="es-PE" w:eastAsia="en-US"/>
        </w:rPr>
        <w:tab/>
      </w:r>
      <w:r w:rsidR="00C8443F" w:rsidRPr="00092053">
        <w:rPr>
          <w:rFonts w:eastAsia="Calibri"/>
          <w:lang w:val="es-PE" w:eastAsia="en-US"/>
        </w:rPr>
        <w:t xml:space="preserve">Finalmente, con relación al cierre del RUV para beneficiarios de reparaciones económicas, se publicó el Decreto Supremo </w:t>
      </w:r>
      <w:r w:rsidR="00CD52E7">
        <w:rPr>
          <w:rFonts w:eastAsia="Calibri"/>
          <w:lang w:val="es-ES_tradnl"/>
        </w:rPr>
        <w:t>núm.</w:t>
      </w:r>
      <w:r w:rsidR="00C8443F" w:rsidRPr="00092053">
        <w:rPr>
          <w:rFonts w:eastAsia="Calibri"/>
          <w:lang w:val="es-PE" w:eastAsia="en-US"/>
        </w:rPr>
        <w:t xml:space="preserve"> 012-2016-JUS</w:t>
      </w:r>
      <w:r w:rsidR="00C8443F" w:rsidRPr="00092053">
        <w:rPr>
          <w:rFonts w:eastAsia="Calibri"/>
          <w:vertAlign w:val="superscript"/>
          <w:lang w:val="es-PE" w:eastAsia="en-US"/>
        </w:rPr>
        <w:footnoteReference w:id="236"/>
      </w:r>
      <w:r w:rsidR="00C8443F" w:rsidRPr="00092053">
        <w:rPr>
          <w:rFonts w:eastAsia="Calibri"/>
          <w:lang w:val="es-PE" w:eastAsia="en-US"/>
        </w:rPr>
        <w:t xml:space="preserve"> que restablece el proceso de determinación e identificación de </w:t>
      </w:r>
      <w:r w:rsidR="00C8443F" w:rsidRPr="00092053">
        <w:rPr>
          <w:rFonts w:eastAsia="Calibri"/>
          <w:lang w:eastAsia="en-US"/>
        </w:rPr>
        <w:t>beneficiarios</w:t>
      </w:r>
      <w:r w:rsidR="00C8443F" w:rsidRPr="00092053">
        <w:rPr>
          <w:rFonts w:eastAsia="Calibri"/>
          <w:lang w:val="es-PE" w:eastAsia="en-US"/>
        </w:rPr>
        <w:t xml:space="preserve"> civiles, militares y policías del Programa de Reparaciones Económicas, cuyas solicitudes hayan sido presentadas a partir del 1 de enero de 2012.</w:t>
      </w:r>
    </w:p>
    <w:p w:rsidR="002A208C" w:rsidRPr="00092053" w:rsidRDefault="00092053" w:rsidP="00574AEE">
      <w:pPr>
        <w:pStyle w:val="SingleTxtG"/>
        <w:rPr>
          <w:rFonts w:eastAsia="Calibri"/>
          <w:lang w:val="es-PE" w:eastAsia="en-US"/>
        </w:rPr>
      </w:pPr>
      <w:r w:rsidRPr="00574AEE">
        <w:rPr>
          <w:rFonts w:eastAsia="Calibri"/>
          <w:lang w:val="es-PE" w:eastAsia="en-US"/>
        </w:rPr>
        <w:t>231.</w:t>
      </w:r>
      <w:r w:rsidRPr="00574AEE">
        <w:rPr>
          <w:rFonts w:eastAsia="Calibri"/>
          <w:lang w:val="es-PE" w:eastAsia="en-US"/>
        </w:rPr>
        <w:tab/>
      </w:r>
      <w:r w:rsidR="00C8443F" w:rsidRPr="00092053">
        <w:rPr>
          <w:rFonts w:eastAsia="Calibri"/>
          <w:lang w:val="es-PE" w:eastAsia="en-US"/>
        </w:rPr>
        <w:t xml:space="preserve">En esa línea, cabe resaltar la </w:t>
      </w:r>
      <w:r w:rsidR="00C8443F" w:rsidRPr="00092053">
        <w:rPr>
          <w:rFonts w:eastAsia="Calibri"/>
          <w:lang w:eastAsia="en-US"/>
        </w:rPr>
        <w:t>reciente</w:t>
      </w:r>
      <w:r w:rsidR="00C8443F" w:rsidRPr="00092053">
        <w:rPr>
          <w:rFonts w:eastAsia="Calibri"/>
          <w:lang w:val="es-PE" w:eastAsia="en-US"/>
        </w:rPr>
        <w:t xml:space="preserve"> aprobación del Vigésimo Segundo Listado de Beneficiarios civiles, militares y policiales del Programa de Reparaciones Económicas, donde se autoriza el desembolso presupuestal a favor de 725 beneficiarios, mediante Resoluci</w:t>
      </w:r>
      <w:r w:rsidR="000900D3" w:rsidRPr="00092053">
        <w:rPr>
          <w:rFonts w:eastAsia="Calibri"/>
          <w:lang w:val="es-PE" w:eastAsia="en-US"/>
        </w:rPr>
        <w:t xml:space="preserve">ón Ministerial </w:t>
      </w:r>
      <w:r w:rsidR="00CD52E7">
        <w:rPr>
          <w:rFonts w:eastAsia="Calibri"/>
          <w:lang w:val="es-ES_tradnl"/>
        </w:rPr>
        <w:t>núm.</w:t>
      </w:r>
      <w:r w:rsidR="000900D3" w:rsidRPr="00092053">
        <w:rPr>
          <w:rFonts w:eastAsia="Calibri"/>
          <w:lang w:val="es-PE" w:eastAsia="en-US"/>
        </w:rPr>
        <w:t xml:space="preserve"> 0063-2017-JUS</w:t>
      </w:r>
      <w:r w:rsidR="00C8443F" w:rsidRPr="00092053">
        <w:rPr>
          <w:rFonts w:eastAsia="Calibri"/>
          <w:vertAlign w:val="superscript"/>
          <w:lang w:val="es-PE" w:eastAsia="en-US"/>
        </w:rPr>
        <w:footnoteReference w:id="237"/>
      </w:r>
      <w:r w:rsidR="000900D3"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232.</w:t>
      </w:r>
      <w:r w:rsidRPr="00574AEE">
        <w:rPr>
          <w:rFonts w:eastAsia="Calibri"/>
          <w:lang w:val="es-PE" w:eastAsia="en-US"/>
        </w:rPr>
        <w:tab/>
      </w:r>
      <w:r w:rsidR="00C8443F" w:rsidRPr="00092053">
        <w:rPr>
          <w:rFonts w:eastAsia="Calibri"/>
          <w:lang w:val="es-PE" w:eastAsia="en-US"/>
        </w:rPr>
        <w:t xml:space="preserve">Por otro lado, se cuenta con la </w:t>
      </w:r>
      <w:r w:rsidR="00C8443F" w:rsidRPr="00092053">
        <w:rPr>
          <w:rFonts w:eastAsia="Calibri"/>
          <w:lang w:eastAsia="en-US"/>
        </w:rPr>
        <w:t>reciente</w:t>
      </w:r>
      <w:r w:rsidR="00C8443F" w:rsidRPr="00092053">
        <w:rPr>
          <w:rFonts w:eastAsia="Calibri"/>
          <w:lang w:val="es-PE" w:eastAsia="en-US"/>
        </w:rPr>
        <w:t xml:space="preserve"> incorporación a la CMAN del Ministerio de Desarrollo e Inclusión Social, el Ministerio de Vivienda, Construcción y Saneamiento, el Ministerio de Agricultura y Riego y el Ministerio de Cultura (Decreto Supremo </w:t>
      </w:r>
      <w:r w:rsidR="00CD52E7">
        <w:rPr>
          <w:rFonts w:eastAsia="Calibri"/>
          <w:lang w:val="es-ES_tradnl"/>
        </w:rPr>
        <w:t>núm.</w:t>
      </w:r>
      <w:r w:rsidR="00CD52E7">
        <w:rPr>
          <w:rFonts w:eastAsia="Calibri"/>
          <w:lang w:val="es-PE" w:eastAsia="en-US"/>
        </w:rPr>
        <w:t> </w:t>
      </w:r>
      <w:r w:rsidR="00C8443F" w:rsidRPr="00092053">
        <w:rPr>
          <w:rFonts w:eastAsia="Calibri"/>
          <w:lang w:val="es-PE" w:eastAsia="en-US"/>
        </w:rPr>
        <w:t>005</w:t>
      </w:r>
      <w:r w:rsidR="00CD52E7">
        <w:rPr>
          <w:rFonts w:eastAsia="Calibri"/>
          <w:lang w:val="es-PE" w:eastAsia="en-US"/>
        </w:rPr>
        <w:noBreakHyphen/>
      </w:r>
      <w:r w:rsidR="00C8443F" w:rsidRPr="00092053">
        <w:rPr>
          <w:rFonts w:eastAsia="Calibri"/>
          <w:lang w:val="es-PE" w:eastAsia="en-US"/>
        </w:rPr>
        <w:t>2017-JUS.)</w:t>
      </w:r>
      <w:r w:rsidR="00C8443F" w:rsidRPr="00092053">
        <w:rPr>
          <w:rFonts w:eastAsia="Calibri"/>
          <w:vertAlign w:val="superscript"/>
          <w:lang w:val="es-PE" w:eastAsia="en-US"/>
        </w:rPr>
        <w:footnoteReference w:id="238"/>
      </w:r>
      <w:r w:rsidR="000900D3" w:rsidRPr="00092053">
        <w:rPr>
          <w:rFonts w:eastAsia="Calibri"/>
          <w:lang w:val="es-PE" w:eastAsia="en-US"/>
        </w:rPr>
        <w:t>.</w:t>
      </w:r>
    </w:p>
    <w:p w:rsidR="002A208C" w:rsidRPr="002C565A" w:rsidRDefault="004F7B54" w:rsidP="00574AEE">
      <w:pPr>
        <w:pStyle w:val="H1G"/>
        <w:rPr>
          <w:rFonts w:eastAsia="Calibri"/>
          <w:lang w:val="es-PE" w:eastAsia="en-US"/>
        </w:rPr>
      </w:pPr>
      <w:bookmarkStart w:id="222" w:name="_Toc468627328"/>
      <w:bookmarkStart w:id="223" w:name="_Toc468642620"/>
      <w:bookmarkStart w:id="224" w:name="_Toc468721290"/>
      <w:bookmarkStart w:id="225" w:name="_Toc471137688"/>
      <w:bookmarkStart w:id="226" w:name="_Toc472097474"/>
      <w:bookmarkStart w:id="227" w:name="_Toc484774097"/>
      <w:r w:rsidRPr="00FA45BC">
        <w:rPr>
          <w:rFonts w:eastAsia="Calibri"/>
          <w:lang w:val="es-PE" w:eastAsia="en-US"/>
        </w:rPr>
        <w:tab/>
      </w:r>
      <w:r w:rsidRPr="00FA45BC">
        <w:rPr>
          <w:rFonts w:eastAsia="Calibri"/>
          <w:lang w:val="es-PE" w:eastAsia="en-US"/>
        </w:rPr>
        <w:tab/>
      </w:r>
      <w:r w:rsidR="00C8443F" w:rsidRPr="00FA45BC">
        <w:rPr>
          <w:rFonts w:eastAsia="Calibri"/>
          <w:lang w:val="es-PE" w:eastAsia="en-US"/>
        </w:rPr>
        <w:t>Artículo 15°</w:t>
      </w:r>
      <w:bookmarkEnd w:id="222"/>
      <w:bookmarkEnd w:id="223"/>
      <w:bookmarkEnd w:id="224"/>
      <w:bookmarkEnd w:id="225"/>
      <w:bookmarkEnd w:id="226"/>
      <w:bookmarkEnd w:id="227"/>
      <w:r w:rsidR="00C8443F" w:rsidRPr="00FA45BC">
        <w:rPr>
          <w:rFonts w:eastAsia="Calibri"/>
          <w:lang w:val="es-PE" w:eastAsia="en-US"/>
        </w:rPr>
        <w:t xml:space="preserve"> </w:t>
      </w:r>
    </w:p>
    <w:p w:rsidR="00C8443F" w:rsidRPr="00092053" w:rsidRDefault="004F7B54" w:rsidP="004F7B54">
      <w:pPr>
        <w:pStyle w:val="H23G"/>
        <w:rPr>
          <w:rFonts w:eastAsia="Calibri"/>
          <w:lang w:val="es-PE" w:eastAsia="en-US"/>
        </w:rPr>
      </w:pPr>
      <w:bookmarkStart w:id="228" w:name="_Toc468721291"/>
      <w:bookmarkStart w:id="229" w:name="_Toc471137689"/>
      <w:bookmarkStart w:id="230" w:name="_Toc472097475"/>
      <w:bookmarkStart w:id="231" w:name="_Toc484774098"/>
      <w:r w:rsidRPr="00092053">
        <w:rPr>
          <w:rFonts w:eastAsia="Calibri"/>
          <w:lang w:val="es-PE" w:eastAsia="en-US"/>
        </w:rPr>
        <w:tab/>
      </w:r>
      <w:r w:rsidRPr="00092053">
        <w:rPr>
          <w:rFonts w:eastAsia="Calibri"/>
          <w:lang w:val="es-PE" w:eastAsia="en-US"/>
        </w:rPr>
        <w:tab/>
      </w:r>
      <w:r w:rsidR="00C8443F" w:rsidRPr="00092053">
        <w:rPr>
          <w:rFonts w:eastAsia="Calibri"/>
          <w:lang w:val="es-PE" w:eastAsia="en-US"/>
        </w:rPr>
        <w:t>Respuesta al párrafo 35</w:t>
      </w:r>
      <w:bookmarkEnd w:id="228"/>
      <w:bookmarkEnd w:id="229"/>
      <w:bookmarkEnd w:id="230"/>
      <w:bookmarkEnd w:id="231"/>
    </w:p>
    <w:p w:rsidR="002A208C" w:rsidRPr="00092053" w:rsidRDefault="00092053" w:rsidP="00574AEE">
      <w:pPr>
        <w:pStyle w:val="SingleTxtG"/>
        <w:rPr>
          <w:rFonts w:eastAsia="Calibri"/>
          <w:lang w:val="es-PE" w:eastAsia="en-US"/>
        </w:rPr>
      </w:pPr>
      <w:r w:rsidRPr="00574AEE">
        <w:rPr>
          <w:rFonts w:eastAsia="Calibri"/>
          <w:lang w:val="es-PE" w:eastAsia="en-US"/>
        </w:rPr>
        <w:t>233.</w:t>
      </w:r>
      <w:r w:rsidRPr="00574AEE">
        <w:rPr>
          <w:rFonts w:eastAsia="Calibri"/>
          <w:lang w:val="es-PE" w:eastAsia="en-US"/>
        </w:rPr>
        <w:tab/>
      </w:r>
      <w:r w:rsidR="00C8443F" w:rsidRPr="00092053">
        <w:rPr>
          <w:rFonts w:eastAsia="Calibri"/>
          <w:lang w:val="es-PE" w:eastAsia="en-US"/>
        </w:rPr>
        <w:t xml:space="preserve">Asimismo, ni el PJ ni el MP cuentan con ejemplos de causas que hayan sido desestimadas por los tribunales debido a </w:t>
      </w:r>
      <w:r w:rsidR="00C8443F" w:rsidRPr="00092053">
        <w:rPr>
          <w:rFonts w:eastAsia="Calibri"/>
          <w:lang w:eastAsia="en-US"/>
        </w:rPr>
        <w:t>la</w:t>
      </w:r>
      <w:r w:rsidR="00C8443F" w:rsidRPr="00092053">
        <w:rPr>
          <w:rFonts w:eastAsia="Calibri"/>
          <w:lang w:val="es-PE" w:eastAsia="en-US"/>
        </w:rPr>
        <w:t xml:space="preserve"> presentación de pruebas o testimonios obtenidos mediante tortura o malos tratos. Tal como se había señalado en el informe anterior, el NCPP establece en el artículo VIII de su Título Preliminar que “todo medio de prueba será valorado sólo si ha sido obtenido e incorporado al proceso por un procedimiento constitucionalmente legítimo”</w:t>
      </w:r>
      <w:r w:rsidR="00AB3C05">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234.</w:t>
      </w:r>
      <w:r w:rsidRPr="00574AEE">
        <w:rPr>
          <w:rFonts w:eastAsia="Calibri"/>
          <w:lang w:val="es-PE" w:eastAsia="en-US"/>
        </w:rPr>
        <w:tab/>
      </w:r>
      <w:r w:rsidR="00C8443F" w:rsidRPr="00092053">
        <w:rPr>
          <w:rFonts w:eastAsia="Calibri"/>
          <w:lang w:val="es-PE" w:eastAsia="en-US"/>
        </w:rPr>
        <w:t xml:space="preserve">Adicionalmente, la citada norma dispone que “carecen de efecto legal las pruebas obtenidas, directa o indirectamente, </w:t>
      </w:r>
      <w:r w:rsidR="00C8443F" w:rsidRPr="00092053">
        <w:rPr>
          <w:rFonts w:eastAsia="Calibri"/>
          <w:lang w:eastAsia="en-US"/>
        </w:rPr>
        <w:t>con</w:t>
      </w:r>
      <w:r w:rsidR="00C8443F" w:rsidRPr="00092053">
        <w:rPr>
          <w:rFonts w:eastAsia="Calibri"/>
          <w:lang w:val="es-PE" w:eastAsia="en-US"/>
        </w:rPr>
        <w:t xml:space="preserve"> violación del contenido esencial de los derechos fundamentales de la persona, así como la inobservancia de cualquier regla de garantía constitucional establecida a favor del procesado no podrá hacerse valer en su perjuicio”</w:t>
      </w:r>
      <w:r w:rsidR="00AB3C05">
        <w:rPr>
          <w:rFonts w:eastAsia="Calibri"/>
          <w:lang w:val="es-PE" w:eastAsia="en-US"/>
        </w:rPr>
        <w:t>.</w:t>
      </w:r>
    </w:p>
    <w:p w:rsidR="002A208C" w:rsidRPr="002C565A" w:rsidRDefault="004F7B54" w:rsidP="00574AEE">
      <w:pPr>
        <w:pStyle w:val="H1G"/>
        <w:rPr>
          <w:rFonts w:eastAsia="Calibri"/>
          <w:lang w:val="es-PE" w:eastAsia="en-US"/>
        </w:rPr>
      </w:pPr>
      <w:bookmarkStart w:id="232" w:name="_Toc468627329"/>
      <w:bookmarkStart w:id="233" w:name="_Toc468642621"/>
      <w:bookmarkStart w:id="234" w:name="_Toc468721292"/>
      <w:bookmarkStart w:id="235" w:name="_Toc471137690"/>
      <w:bookmarkStart w:id="236" w:name="_Toc472097476"/>
      <w:bookmarkStart w:id="237" w:name="_Toc484774099"/>
      <w:r w:rsidRPr="00FA45BC">
        <w:rPr>
          <w:rFonts w:eastAsia="Calibri"/>
          <w:lang w:val="es-PE" w:eastAsia="en-US"/>
        </w:rPr>
        <w:lastRenderedPageBreak/>
        <w:tab/>
      </w:r>
      <w:r w:rsidRPr="00FA45BC">
        <w:rPr>
          <w:rFonts w:eastAsia="Calibri"/>
          <w:lang w:val="es-PE" w:eastAsia="en-US"/>
        </w:rPr>
        <w:tab/>
      </w:r>
      <w:r w:rsidR="00C8443F" w:rsidRPr="00FA45BC">
        <w:rPr>
          <w:rFonts w:eastAsia="Calibri"/>
          <w:lang w:val="es-PE" w:eastAsia="en-US"/>
        </w:rPr>
        <w:t>Artículo 16°</w:t>
      </w:r>
      <w:bookmarkEnd w:id="232"/>
      <w:bookmarkEnd w:id="233"/>
      <w:bookmarkEnd w:id="234"/>
      <w:bookmarkEnd w:id="235"/>
      <w:bookmarkEnd w:id="236"/>
      <w:bookmarkEnd w:id="237"/>
    </w:p>
    <w:p w:rsidR="00C8443F" w:rsidRPr="00092053" w:rsidRDefault="004F7B54" w:rsidP="004F7B54">
      <w:pPr>
        <w:pStyle w:val="H23G"/>
        <w:rPr>
          <w:rFonts w:eastAsia="Calibri"/>
          <w:lang w:val="es-PE" w:eastAsia="en-US"/>
        </w:rPr>
      </w:pPr>
      <w:bookmarkStart w:id="238" w:name="_Toc472097477"/>
      <w:bookmarkStart w:id="239" w:name="_Toc484774100"/>
      <w:bookmarkStart w:id="240" w:name="_Toc468721293"/>
      <w:bookmarkStart w:id="241" w:name="_Toc471137691"/>
      <w:bookmarkStart w:id="242" w:name="_Toc468627330"/>
      <w:bookmarkStart w:id="243" w:name="_Toc468642622"/>
      <w:r w:rsidRPr="00092053">
        <w:rPr>
          <w:rFonts w:eastAsia="Calibri"/>
          <w:lang w:val="es-PE" w:eastAsia="en-US"/>
        </w:rPr>
        <w:tab/>
      </w:r>
      <w:r w:rsidRPr="00092053">
        <w:rPr>
          <w:rFonts w:eastAsia="Calibri"/>
          <w:lang w:val="es-PE" w:eastAsia="en-US"/>
        </w:rPr>
        <w:tab/>
      </w:r>
      <w:r w:rsidR="00C8443F" w:rsidRPr="00092053">
        <w:rPr>
          <w:rFonts w:eastAsia="Calibri"/>
          <w:lang w:val="es-PE" w:eastAsia="en-US"/>
        </w:rPr>
        <w:t>Respuesta al párrafo 36</w:t>
      </w:r>
      <w:bookmarkEnd w:id="238"/>
      <w:bookmarkEnd w:id="239"/>
    </w:p>
    <w:p w:rsidR="002A208C" w:rsidRPr="00092053" w:rsidRDefault="00092053" w:rsidP="00574AEE">
      <w:pPr>
        <w:pStyle w:val="SingleTxtG"/>
        <w:rPr>
          <w:rFonts w:eastAsia="Calibri"/>
          <w:lang w:val="es-ES_tradnl"/>
        </w:rPr>
      </w:pPr>
      <w:r w:rsidRPr="00574AEE">
        <w:rPr>
          <w:rFonts w:eastAsia="Calibri"/>
          <w:lang w:val="es-ES_tradnl"/>
        </w:rPr>
        <w:t>235.</w:t>
      </w:r>
      <w:r w:rsidRPr="00574AEE">
        <w:rPr>
          <w:rFonts w:eastAsia="Calibri"/>
          <w:lang w:val="es-ES_tradnl"/>
        </w:rPr>
        <w:tab/>
      </w:r>
      <w:r w:rsidR="00C8443F" w:rsidRPr="00092053">
        <w:rPr>
          <w:rFonts w:eastAsia="Calibri"/>
          <w:lang w:val="es-ES_tradnl"/>
        </w:rPr>
        <w:t xml:space="preserve">Respecto de la incorporación en el CP del tipo penal “tratos o penas crueles, inhumanos o degradantes”, este continúa </w:t>
      </w:r>
      <w:r w:rsidR="00C8443F" w:rsidRPr="00092053">
        <w:rPr>
          <w:rFonts w:eastAsia="Calibri"/>
          <w:lang w:eastAsia="en-US"/>
        </w:rPr>
        <w:t>pendiente</w:t>
      </w:r>
      <w:r w:rsidR="00C8443F" w:rsidRPr="00092053">
        <w:rPr>
          <w:rFonts w:eastAsia="Calibri"/>
          <w:lang w:val="es-ES_tradnl"/>
        </w:rPr>
        <w:t xml:space="preserve">, </w:t>
      </w:r>
      <w:r w:rsidR="000900D3" w:rsidRPr="00092053">
        <w:rPr>
          <w:rFonts w:eastAsia="Calibri"/>
          <w:lang w:val="es-ES_tradnl"/>
        </w:rPr>
        <w:t>pese a los esfuerzos realizados</w:t>
      </w:r>
      <w:r w:rsidR="00C8443F" w:rsidRPr="00092053">
        <w:rPr>
          <w:rFonts w:eastAsia="Calibri"/>
          <w:vertAlign w:val="superscript"/>
          <w:lang w:val="es-ES_tradnl"/>
        </w:rPr>
        <w:footnoteReference w:id="239"/>
      </w:r>
      <w:r w:rsidR="000900D3" w:rsidRPr="00092053">
        <w:rPr>
          <w:rFonts w:eastAsia="Calibri"/>
          <w:lang w:val="es-ES_tradnl"/>
        </w:rPr>
        <w:t>.</w:t>
      </w:r>
    </w:p>
    <w:p w:rsidR="00C8443F" w:rsidRPr="00092053" w:rsidRDefault="004F7B54" w:rsidP="004F7B54">
      <w:pPr>
        <w:pStyle w:val="H23G"/>
        <w:rPr>
          <w:rFonts w:eastAsia="Calibri"/>
          <w:lang w:val="es-PE" w:eastAsia="en-US"/>
        </w:rPr>
      </w:pPr>
      <w:bookmarkStart w:id="244" w:name="_Toc472097478"/>
      <w:bookmarkStart w:id="245" w:name="_Toc484774101"/>
      <w:r w:rsidRPr="00092053">
        <w:rPr>
          <w:rFonts w:eastAsia="Calibri"/>
          <w:lang w:val="es-PE" w:eastAsia="en-US"/>
        </w:rPr>
        <w:tab/>
      </w:r>
      <w:r w:rsidRPr="00092053">
        <w:rPr>
          <w:rFonts w:eastAsia="Calibri"/>
          <w:lang w:val="es-PE" w:eastAsia="en-US"/>
        </w:rPr>
        <w:tab/>
      </w:r>
      <w:r w:rsidR="00C8443F" w:rsidRPr="00092053">
        <w:rPr>
          <w:rFonts w:eastAsia="Calibri"/>
          <w:lang w:val="es-PE" w:eastAsia="en-US"/>
        </w:rPr>
        <w:t>Respuesta al párrafo 37</w:t>
      </w:r>
      <w:bookmarkEnd w:id="240"/>
      <w:bookmarkEnd w:id="241"/>
      <w:bookmarkEnd w:id="244"/>
      <w:bookmarkEnd w:id="245"/>
      <w:r w:rsidR="00C8443F" w:rsidRPr="00092053">
        <w:rPr>
          <w:rFonts w:eastAsia="Calibri"/>
          <w:lang w:val="es-PE" w:eastAsia="en-US"/>
        </w:rPr>
        <w:t xml:space="preserve"> </w:t>
      </w:r>
      <w:bookmarkEnd w:id="242"/>
      <w:bookmarkEnd w:id="243"/>
    </w:p>
    <w:p w:rsidR="002A208C" w:rsidRPr="00092053" w:rsidRDefault="00092053" w:rsidP="00574AEE">
      <w:pPr>
        <w:pStyle w:val="SingleTxtG"/>
        <w:rPr>
          <w:rFonts w:eastAsia="Calibri"/>
          <w:lang w:val="es-PE" w:eastAsia="en-US"/>
        </w:rPr>
      </w:pPr>
      <w:r w:rsidRPr="00574AEE">
        <w:rPr>
          <w:rFonts w:eastAsia="Calibri"/>
          <w:lang w:val="es-PE" w:eastAsia="en-US"/>
        </w:rPr>
        <w:t>236.</w:t>
      </w:r>
      <w:r w:rsidRPr="00574AEE">
        <w:rPr>
          <w:rFonts w:eastAsia="Calibri"/>
          <w:lang w:val="es-PE" w:eastAsia="en-US"/>
        </w:rPr>
        <w:tab/>
      </w:r>
      <w:r w:rsidR="00C8443F" w:rsidRPr="00092053">
        <w:rPr>
          <w:rFonts w:eastAsia="Calibri"/>
          <w:lang w:val="es-PE" w:eastAsia="en-US"/>
        </w:rPr>
        <w:t xml:space="preserve">Con relación a la adopción de </w:t>
      </w:r>
      <w:r w:rsidR="00C8443F" w:rsidRPr="00092053">
        <w:rPr>
          <w:rFonts w:eastAsia="Calibri"/>
          <w:lang w:eastAsia="en-US"/>
        </w:rPr>
        <w:t>medidas</w:t>
      </w:r>
      <w:r w:rsidR="00C8443F" w:rsidRPr="00092053">
        <w:rPr>
          <w:rFonts w:eastAsia="Calibri"/>
          <w:lang w:val="es-PE" w:eastAsia="en-US"/>
        </w:rPr>
        <w:t xml:space="preserve"> para proteger a los defensores y las defensoras de DDHH, </w:t>
      </w:r>
      <w:r w:rsidR="00C8443F" w:rsidRPr="00092053">
        <w:rPr>
          <w:rFonts w:eastAsia="Calibri"/>
          <w:bCs/>
          <w:lang w:val="es-PE" w:eastAsia="en-US"/>
        </w:rPr>
        <w:t xml:space="preserve">mediante la </w:t>
      </w:r>
      <w:r w:rsidR="00C8443F" w:rsidRPr="00092053">
        <w:rPr>
          <w:rFonts w:eastAsia="Calibri"/>
          <w:lang w:val="es-PE" w:eastAsia="en-US"/>
        </w:rPr>
        <w:t xml:space="preserve">Resolución Viceministerial </w:t>
      </w:r>
      <w:r w:rsidR="00CD52E7">
        <w:rPr>
          <w:rFonts w:eastAsia="Calibri"/>
          <w:lang w:val="es-ES_tradnl"/>
        </w:rPr>
        <w:t xml:space="preserve">núm. </w:t>
      </w:r>
      <w:r w:rsidR="00C8443F" w:rsidRPr="00092053">
        <w:rPr>
          <w:rFonts w:eastAsia="Calibri"/>
          <w:lang w:val="es-PE" w:eastAsia="en-US"/>
        </w:rPr>
        <w:t xml:space="preserve">0007-2016-JUS, el Viceministerio de Derechos Humanos y Acceso a la Justicia encargó a la Dirección General de Derechos Humanos del MINJUS elaborar un protocolo para garantizar la protección de los defensores de DDHH en el Perú, el cual, a la fecha, se encuentra en elaboración. </w:t>
      </w:r>
    </w:p>
    <w:p w:rsidR="002A208C" w:rsidRPr="00092053" w:rsidRDefault="00092053" w:rsidP="00574AEE">
      <w:pPr>
        <w:pStyle w:val="SingleTxtG"/>
        <w:rPr>
          <w:rFonts w:eastAsia="Calibri"/>
          <w:lang w:val="es-PE" w:eastAsia="en-US"/>
        </w:rPr>
      </w:pPr>
      <w:r w:rsidRPr="00574AEE">
        <w:rPr>
          <w:rFonts w:eastAsia="Calibri"/>
          <w:lang w:val="es-PE" w:eastAsia="en-US"/>
        </w:rPr>
        <w:t>237.</w:t>
      </w:r>
      <w:r w:rsidRPr="00574AEE">
        <w:rPr>
          <w:rFonts w:eastAsia="Calibri"/>
          <w:lang w:val="es-PE" w:eastAsia="en-US"/>
        </w:rPr>
        <w:tab/>
      </w:r>
      <w:r w:rsidR="00C8443F" w:rsidRPr="00092053">
        <w:rPr>
          <w:rFonts w:eastAsia="Calibri"/>
          <w:lang w:val="es-PE" w:eastAsia="en-US"/>
        </w:rPr>
        <w:t xml:space="preserve">De otro lado, específicamente, en el marco de implementación de la medida cautelar </w:t>
      </w:r>
      <w:r w:rsidR="00CD52E7">
        <w:rPr>
          <w:rFonts w:eastAsia="Calibri"/>
          <w:lang w:val="es-ES_tradnl"/>
        </w:rPr>
        <w:t>núm.</w:t>
      </w:r>
      <w:r w:rsidR="00C8443F" w:rsidRPr="00092053">
        <w:rPr>
          <w:rFonts w:eastAsia="Calibri"/>
          <w:lang w:val="es-PE" w:eastAsia="en-US"/>
        </w:rPr>
        <w:t xml:space="preserve"> 452-11</w:t>
      </w:r>
      <w:r w:rsidR="00C8443F" w:rsidRPr="00092053">
        <w:rPr>
          <w:rFonts w:eastAsia="Calibri"/>
          <w:vertAlign w:val="superscript"/>
          <w:lang w:val="es-PE" w:eastAsia="en-US"/>
        </w:rPr>
        <w:footnoteReference w:id="240"/>
      </w:r>
      <w:r w:rsidR="00C8443F" w:rsidRPr="00092053">
        <w:rPr>
          <w:rFonts w:eastAsia="Calibri"/>
          <w:lang w:val="es-PE" w:eastAsia="en-US"/>
        </w:rPr>
        <w:t xml:space="preserve">, emitida por la Comisión Interamericana de Derechos Humanos a favor del periodista César Estrada </w:t>
      </w:r>
      <w:r w:rsidR="00C8443F" w:rsidRPr="00092053">
        <w:rPr>
          <w:rFonts w:eastAsia="Calibri"/>
          <w:lang w:eastAsia="en-US"/>
        </w:rPr>
        <w:t>Chuquilin</w:t>
      </w:r>
      <w:r w:rsidR="00C8443F" w:rsidRPr="00092053">
        <w:rPr>
          <w:rFonts w:eastAsia="Calibri"/>
          <w:lang w:val="es-PE" w:eastAsia="en-US"/>
        </w:rPr>
        <w:t>, la PNP estableció, a partir del 12 de octubre de 2016, un servicio de</w:t>
      </w:r>
      <w:r w:rsidR="00C8443F" w:rsidRPr="00092053">
        <w:rPr>
          <w:rFonts w:eastAsia="Calibri"/>
          <w:bCs/>
          <w:lang w:val="es-PE" w:eastAsia="en-US"/>
        </w:rPr>
        <w:t xml:space="preserve"> protección personal</w:t>
      </w:r>
      <w:r w:rsidR="00C8443F" w:rsidRPr="00092053">
        <w:rPr>
          <w:rFonts w:eastAsia="Calibri"/>
          <w:bCs/>
          <w:vertAlign w:val="superscript"/>
          <w:lang w:val="es-PE" w:eastAsia="en-US"/>
        </w:rPr>
        <w:footnoteReference w:id="241"/>
      </w:r>
      <w:r w:rsidR="00C8443F" w:rsidRPr="00092053">
        <w:rPr>
          <w:rFonts w:eastAsia="Calibri"/>
          <w:bCs/>
          <w:lang w:val="es-PE" w:eastAsia="en-US"/>
        </w:rPr>
        <w:t>, asignándole dos efectivos policiales de la División de Orden Público y Seguridad de la</w:t>
      </w:r>
      <w:r w:rsidR="0042499A" w:rsidRPr="00092053">
        <w:rPr>
          <w:rFonts w:eastAsia="Calibri"/>
          <w:bCs/>
          <w:lang w:val="es-PE" w:eastAsia="en-US"/>
        </w:rPr>
        <w:t xml:space="preserve"> </w:t>
      </w:r>
      <w:r w:rsidR="00C8443F" w:rsidRPr="00092053">
        <w:rPr>
          <w:rFonts w:eastAsia="Calibri"/>
          <w:bCs/>
          <w:lang w:val="es-PE" w:eastAsia="en-US"/>
        </w:rPr>
        <w:t xml:space="preserve">PNP de Cajamarca, para que lo acompañen diariamente en sus desplazamientos. Esta medida se da en atención a la denuncia de agresiones de las que habría sido objeto el señor Estrada por sus actividades relacionadas a la oposición al proyecto minero </w:t>
      </w:r>
      <w:r w:rsidR="000900D3" w:rsidRPr="00092053">
        <w:rPr>
          <w:rFonts w:eastAsia="Calibri"/>
          <w:bCs/>
          <w:lang w:val="es-PE" w:eastAsia="en-US"/>
        </w:rPr>
        <w:t>Conga en la región de Cajamarca</w:t>
      </w:r>
      <w:r w:rsidR="00C8443F" w:rsidRPr="00092053">
        <w:rPr>
          <w:rFonts w:eastAsia="Calibri"/>
          <w:bCs/>
          <w:vertAlign w:val="superscript"/>
          <w:lang w:val="es-PE" w:eastAsia="en-US"/>
        </w:rPr>
        <w:footnoteReference w:id="242"/>
      </w:r>
      <w:r w:rsidR="000900D3" w:rsidRPr="00092053">
        <w:rPr>
          <w:rFonts w:eastAsia="Calibri"/>
          <w:bCs/>
          <w:lang w:val="es-PE" w:eastAsia="en-US"/>
        </w:rPr>
        <w:t>.</w:t>
      </w:r>
      <w:r w:rsidR="00C8443F" w:rsidRPr="00092053">
        <w:rPr>
          <w:rFonts w:eastAsia="Calibri"/>
          <w:bCs/>
          <w:lang w:val="es-PE" w:eastAsia="en-US"/>
        </w:rPr>
        <w:t xml:space="preserve"> </w:t>
      </w:r>
    </w:p>
    <w:p w:rsidR="002A208C" w:rsidRPr="00092053" w:rsidRDefault="00092053" w:rsidP="00574AEE">
      <w:pPr>
        <w:pStyle w:val="SingleTxtG"/>
        <w:rPr>
          <w:rFonts w:eastAsia="Calibri"/>
          <w:lang w:val="es-ES_tradnl"/>
        </w:rPr>
      </w:pPr>
      <w:r w:rsidRPr="00574AEE">
        <w:rPr>
          <w:rFonts w:eastAsia="Calibri"/>
          <w:lang w:val="es-ES_tradnl"/>
        </w:rPr>
        <w:t>238.</w:t>
      </w:r>
      <w:r w:rsidRPr="00574AEE">
        <w:rPr>
          <w:rFonts w:eastAsia="Calibri"/>
          <w:lang w:val="es-ES_tradnl"/>
        </w:rPr>
        <w:tab/>
      </w:r>
      <w:r w:rsidR="00C8443F" w:rsidRPr="00092053">
        <w:rPr>
          <w:rFonts w:eastAsia="Calibri"/>
          <w:lang w:val="es-ES_tradnl"/>
        </w:rPr>
        <w:t xml:space="preserve">Cabe destacar, que en el </w:t>
      </w:r>
      <w:r w:rsidR="00C8443F" w:rsidRPr="00092053">
        <w:rPr>
          <w:rFonts w:eastAsia="Calibri"/>
          <w:lang w:eastAsia="en-US"/>
        </w:rPr>
        <w:t>nuevo</w:t>
      </w:r>
      <w:r w:rsidR="00C8443F" w:rsidRPr="00092053">
        <w:rPr>
          <w:rFonts w:eastAsia="Calibri"/>
          <w:lang w:val="es-ES_tradnl"/>
        </w:rPr>
        <w:t xml:space="preserve"> PNDH 2017-2021 se incorporará como grupo en situación de especial protección a los defensores y las defensoras de DDHH, con la finalidad de establecer acciones estratégicas que garanticen sus derechos.</w:t>
      </w:r>
    </w:p>
    <w:p w:rsidR="00C8443F" w:rsidRPr="00092053" w:rsidRDefault="004F7B54" w:rsidP="004F7B54">
      <w:pPr>
        <w:pStyle w:val="H23G"/>
        <w:rPr>
          <w:rFonts w:eastAsia="Calibri"/>
          <w:lang w:val="es-PE" w:eastAsia="en-US"/>
        </w:rPr>
      </w:pPr>
      <w:bookmarkStart w:id="246" w:name="_Toc468721294"/>
      <w:bookmarkStart w:id="247" w:name="_Toc471137692"/>
      <w:bookmarkStart w:id="248" w:name="_Toc472097479"/>
      <w:bookmarkStart w:id="249" w:name="_Toc484774102"/>
      <w:bookmarkStart w:id="250" w:name="_Toc468627331"/>
      <w:bookmarkStart w:id="251" w:name="_Toc468642623"/>
      <w:r w:rsidRPr="00092053">
        <w:rPr>
          <w:rFonts w:eastAsia="Calibri"/>
          <w:lang w:val="es-PE" w:eastAsia="en-US"/>
        </w:rPr>
        <w:tab/>
      </w:r>
      <w:r w:rsidRPr="00092053">
        <w:rPr>
          <w:rFonts w:eastAsia="Calibri"/>
          <w:lang w:val="es-PE" w:eastAsia="en-US"/>
        </w:rPr>
        <w:tab/>
      </w:r>
      <w:r w:rsidR="00C8443F" w:rsidRPr="00092053">
        <w:rPr>
          <w:rFonts w:eastAsia="Calibri"/>
          <w:lang w:val="es-PE" w:eastAsia="en-US"/>
        </w:rPr>
        <w:t>Respuesta al párrafo 38</w:t>
      </w:r>
      <w:bookmarkEnd w:id="246"/>
      <w:bookmarkEnd w:id="247"/>
      <w:bookmarkEnd w:id="248"/>
      <w:bookmarkEnd w:id="249"/>
      <w:r w:rsidR="00C8443F" w:rsidRPr="00092053">
        <w:rPr>
          <w:rFonts w:eastAsia="Calibri"/>
          <w:lang w:val="es-PE" w:eastAsia="en-US"/>
        </w:rPr>
        <w:t xml:space="preserve"> </w:t>
      </w:r>
      <w:bookmarkEnd w:id="250"/>
      <w:bookmarkEnd w:id="251"/>
    </w:p>
    <w:p w:rsidR="002A208C" w:rsidRPr="00092053" w:rsidRDefault="00092053" w:rsidP="00574AEE">
      <w:pPr>
        <w:pStyle w:val="SingleTxtG"/>
        <w:rPr>
          <w:rFonts w:eastAsia="Calibri"/>
          <w:lang w:val="es-PE" w:eastAsia="en-US"/>
        </w:rPr>
      </w:pPr>
      <w:r w:rsidRPr="00574AEE">
        <w:rPr>
          <w:rFonts w:eastAsia="Calibri"/>
          <w:lang w:val="es-PE" w:eastAsia="en-US"/>
        </w:rPr>
        <w:t>239.</w:t>
      </w:r>
      <w:r w:rsidRPr="00574AEE">
        <w:rPr>
          <w:rFonts w:eastAsia="Calibri"/>
          <w:lang w:val="es-PE" w:eastAsia="en-US"/>
        </w:rPr>
        <w:tab/>
      </w:r>
      <w:r w:rsidR="00C8443F" w:rsidRPr="00092053">
        <w:rPr>
          <w:rFonts w:eastAsia="Calibri"/>
          <w:lang w:val="es-PE" w:eastAsia="en-US"/>
        </w:rPr>
        <w:t xml:space="preserve">A efectos de erradicar </w:t>
      </w:r>
      <w:r w:rsidR="00C8443F" w:rsidRPr="00092053">
        <w:rPr>
          <w:rFonts w:eastAsia="Calibri"/>
          <w:lang w:eastAsia="en-US"/>
        </w:rPr>
        <w:t>el</w:t>
      </w:r>
      <w:r w:rsidR="00C8443F" w:rsidRPr="00092053">
        <w:rPr>
          <w:rFonts w:eastAsia="Calibri"/>
          <w:lang w:val="es-PE" w:eastAsia="en-US"/>
        </w:rPr>
        <w:t xml:space="preserve"> castigo corporal a los niños, en septiembre de 2015 se aprobó la Ley </w:t>
      </w:r>
      <w:r w:rsidR="00CD52E7">
        <w:rPr>
          <w:rFonts w:eastAsia="Calibri"/>
          <w:lang w:val="es-ES_tradnl"/>
        </w:rPr>
        <w:t>núm.</w:t>
      </w:r>
      <w:r w:rsidR="00C8443F" w:rsidRPr="00092053">
        <w:rPr>
          <w:rFonts w:eastAsia="Calibri"/>
          <w:lang w:val="es-PE" w:eastAsia="en-US"/>
        </w:rPr>
        <w:t xml:space="preserve"> 30403</w:t>
      </w:r>
      <w:r w:rsidR="00C8443F" w:rsidRPr="00092053">
        <w:rPr>
          <w:rFonts w:eastAsia="Calibri"/>
          <w:vertAlign w:val="superscript"/>
          <w:lang w:val="es-PE" w:eastAsia="en-US"/>
        </w:rPr>
        <w:footnoteReference w:id="243"/>
      </w:r>
      <w:r w:rsidR="00C8443F" w:rsidRPr="00092053">
        <w:rPr>
          <w:rFonts w:eastAsia="Calibri"/>
          <w:lang w:val="es-PE" w:eastAsia="en-US"/>
        </w:rPr>
        <w:t xml:space="preserve">, “Ley que prohíbe el castigo físico y humillante contra los niños, niñas y adolescentes”, cuya prohibición </w:t>
      </w:r>
      <w:r w:rsidR="00C8443F" w:rsidRPr="00092053">
        <w:rPr>
          <w:rFonts w:eastAsia="Calibri"/>
          <w:lang w:eastAsia="en-US"/>
        </w:rPr>
        <w:t>abarca</w:t>
      </w:r>
      <w:r w:rsidR="00C8443F" w:rsidRPr="00092053">
        <w:rPr>
          <w:rFonts w:eastAsia="Calibri"/>
          <w:lang w:val="es-PE" w:eastAsia="en-US"/>
        </w:rPr>
        <w:t xml:space="preserve"> todos los ámbitos en los que transcurre la niñez y adolescencia.</w:t>
      </w:r>
    </w:p>
    <w:p w:rsidR="002A208C" w:rsidRPr="00092053" w:rsidRDefault="00092053" w:rsidP="00574AEE">
      <w:pPr>
        <w:pStyle w:val="SingleTxtG"/>
        <w:rPr>
          <w:rFonts w:eastAsia="Calibri"/>
          <w:strike/>
          <w:lang w:val="es-PE" w:eastAsia="en-US"/>
        </w:rPr>
      </w:pPr>
      <w:r w:rsidRPr="00574AEE">
        <w:rPr>
          <w:rFonts w:eastAsia="Calibri"/>
          <w:lang w:val="es-PE" w:eastAsia="en-US"/>
        </w:rPr>
        <w:t>240.</w:t>
      </w:r>
      <w:r w:rsidRPr="00574AEE">
        <w:rPr>
          <w:rFonts w:eastAsia="Calibri"/>
          <w:lang w:val="es-PE" w:eastAsia="en-US"/>
        </w:rPr>
        <w:tab/>
      </w:r>
      <w:r w:rsidR="00C8443F" w:rsidRPr="00092053">
        <w:rPr>
          <w:rFonts w:eastAsia="Calibri"/>
          <w:lang w:val="es-PE" w:eastAsia="en-US"/>
        </w:rPr>
        <w:t xml:space="preserve">Es importante precisar que, mediante la referida </w:t>
      </w:r>
      <w:r w:rsidR="0020561B">
        <w:rPr>
          <w:rFonts w:eastAsia="Calibri"/>
          <w:lang w:val="es-PE" w:eastAsia="en-US"/>
        </w:rPr>
        <w:t>L</w:t>
      </w:r>
      <w:r w:rsidR="00C8443F" w:rsidRPr="00092053">
        <w:rPr>
          <w:rFonts w:eastAsia="Calibri"/>
          <w:lang w:val="es-PE" w:eastAsia="en-US"/>
        </w:rPr>
        <w:t xml:space="preserve">ey, se derogó el literal d) del artículo 74° del Código de los Niños y </w:t>
      </w:r>
      <w:r w:rsidR="00C8443F" w:rsidRPr="00092053">
        <w:rPr>
          <w:rFonts w:eastAsia="Calibri"/>
          <w:lang w:eastAsia="en-US"/>
        </w:rPr>
        <w:t>Adolescentes</w:t>
      </w:r>
      <w:r w:rsidR="00C8443F" w:rsidRPr="00092053">
        <w:rPr>
          <w:rFonts w:eastAsia="Calibri"/>
          <w:lang w:val="es-PE" w:eastAsia="en-US"/>
        </w:rPr>
        <w:t xml:space="preserve">, el cual señalaba como deber y derecho de los padres </w:t>
      </w:r>
      <w:r w:rsidR="00AB3C05">
        <w:rPr>
          <w:rFonts w:eastAsia="Calibri"/>
          <w:lang w:val="es-PE" w:eastAsia="en-US"/>
        </w:rPr>
        <w:t>“</w:t>
      </w:r>
      <w:r w:rsidR="00C8443F" w:rsidRPr="00AB3C05">
        <w:rPr>
          <w:rFonts w:eastAsia="Calibri"/>
          <w:lang w:val="es-PE" w:eastAsia="en-US"/>
        </w:rPr>
        <w:t>darles</w:t>
      </w:r>
      <w:r w:rsidR="00C8443F" w:rsidRPr="00092053">
        <w:rPr>
          <w:rFonts w:eastAsia="Calibri"/>
          <w:lang w:val="es-PE" w:eastAsia="en-US"/>
        </w:rPr>
        <w:t xml:space="preserve"> buenos ejemplos de vida y corregirlos moderadamente, pudiendo recurrir a la autoridad competente cuando su acción no bastare</w:t>
      </w:r>
      <w:r w:rsidR="00C8443F" w:rsidRPr="00574AEE">
        <w:rPr>
          <w:rFonts w:eastAsia="Calibri"/>
          <w:lang w:val="es-PE" w:eastAsia="en-US"/>
        </w:rPr>
        <w:t>”</w:t>
      </w:r>
      <w:r w:rsidR="00C8443F" w:rsidRPr="00092053">
        <w:rPr>
          <w:rFonts w:eastAsia="Calibri"/>
          <w:i/>
          <w:lang w:val="es-PE" w:eastAsia="en-US"/>
        </w:rPr>
        <w:t>.</w:t>
      </w:r>
      <w:r w:rsidR="00C8443F" w:rsidRPr="00092053">
        <w:rPr>
          <w:rFonts w:eastAsia="Calibri"/>
          <w:lang w:val="es-PE" w:eastAsia="en-US"/>
        </w:rPr>
        <w:t xml:space="preserve"> </w:t>
      </w:r>
    </w:p>
    <w:p w:rsidR="002A208C" w:rsidRPr="00092053" w:rsidRDefault="00092053" w:rsidP="00574AEE">
      <w:pPr>
        <w:pStyle w:val="SingleTxtG"/>
        <w:rPr>
          <w:rFonts w:eastAsia="Calibri"/>
          <w:lang w:val="es-PE" w:eastAsia="en-US"/>
        </w:rPr>
      </w:pPr>
      <w:r w:rsidRPr="00574AEE">
        <w:rPr>
          <w:rFonts w:eastAsia="Calibri"/>
          <w:lang w:val="es-PE" w:eastAsia="en-US"/>
        </w:rPr>
        <w:t>241.</w:t>
      </w:r>
      <w:r w:rsidRPr="00574AEE">
        <w:rPr>
          <w:rFonts w:eastAsia="Calibri"/>
          <w:lang w:val="es-PE" w:eastAsia="en-US"/>
        </w:rPr>
        <w:tab/>
      </w:r>
      <w:r w:rsidR="00C8443F" w:rsidRPr="00092053">
        <w:rPr>
          <w:rFonts w:eastAsia="Calibri"/>
          <w:lang w:val="es-PE" w:eastAsia="en-US"/>
        </w:rPr>
        <w:t xml:space="preserve">Al respecto, el MIMP lanzó la campaña “Sin pegar ni humillar, es hora de cambiar”, que tiene como objetivo, entre otras medidas, sensibilizar a la población adulta sobre los efectos del uso de la violencia como medio para corregir a </w:t>
      </w:r>
      <w:r w:rsidR="000900D3" w:rsidRPr="00092053">
        <w:rPr>
          <w:rFonts w:eastAsia="Calibri"/>
          <w:lang w:val="es-PE" w:eastAsia="en-US"/>
        </w:rPr>
        <w:t>las niñas, niños y adolescentes</w:t>
      </w:r>
      <w:r w:rsidR="00C8443F" w:rsidRPr="00092053">
        <w:rPr>
          <w:rFonts w:eastAsia="Calibri"/>
          <w:vertAlign w:val="superscript"/>
          <w:lang w:val="es-PE" w:eastAsia="en-US"/>
        </w:rPr>
        <w:footnoteReference w:id="244"/>
      </w:r>
      <w:r w:rsidR="000900D3" w:rsidRPr="00092053">
        <w:rPr>
          <w:rFonts w:eastAsia="Calibri"/>
          <w:lang w:val="es-PE" w:eastAsia="en-US"/>
        </w:rPr>
        <w:t>.</w:t>
      </w:r>
    </w:p>
    <w:p w:rsidR="00C8443F" w:rsidRPr="00092053" w:rsidRDefault="004F7B54" w:rsidP="004F7B54">
      <w:pPr>
        <w:pStyle w:val="H23G"/>
        <w:rPr>
          <w:rFonts w:eastAsia="Calibri"/>
          <w:lang w:val="es-PE" w:eastAsia="en-US"/>
        </w:rPr>
      </w:pPr>
      <w:bookmarkStart w:id="252" w:name="_Toc468721295"/>
      <w:bookmarkStart w:id="253" w:name="_Toc471137693"/>
      <w:bookmarkStart w:id="254" w:name="_Toc472097480"/>
      <w:bookmarkStart w:id="255" w:name="_Toc484774103"/>
      <w:bookmarkStart w:id="256" w:name="_Toc468627332"/>
      <w:bookmarkStart w:id="257" w:name="_Toc468642624"/>
      <w:r w:rsidRPr="00092053">
        <w:rPr>
          <w:rFonts w:eastAsia="Calibri"/>
          <w:lang w:val="es-PE" w:eastAsia="en-US"/>
        </w:rPr>
        <w:lastRenderedPageBreak/>
        <w:tab/>
      </w:r>
      <w:r w:rsidRPr="00092053">
        <w:rPr>
          <w:rFonts w:eastAsia="Calibri"/>
          <w:lang w:val="es-PE" w:eastAsia="en-US"/>
        </w:rPr>
        <w:tab/>
      </w:r>
      <w:r w:rsidR="00C8443F" w:rsidRPr="00092053">
        <w:rPr>
          <w:rFonts w:eastAsia="Calibri"/>
          <w:lang w:val="es-PE" w:eastAsia="en-US"/>
        </w:rPr>
        <w:t>Respuesta al párrafo 39</w:t>
      </w:r>
      <w:bookmarkEnd w:id="252"/>
      <w:bookmarkEnd w:id="253"/>
      <w:bookmarkEnd w:id="254"/>
      <w:bookmarkEnd w:id="255"/>
      <w:r w:rsidR="00C8443F" w:rsidRPr="00092053">
        <w:rPr>
          <w:rFonts w:eastAsia="Calibri"/>
          <w:lang w:val="es-PE" w:eastAsia="en-US"/>
        </w:rPr>
        <w:t xml:space="preserve"> </w:t>
      </w:r>
      <w:bookmarkEnd w:id="256"/>
      <w:bookmarkEnd w:id="257"/>
    </w:p>
    <w:p w:rsidR="002A208C" w:rsidRPr="00092053" w:rsidRDefault="00092053" w:rsidP="00574AEE">
      <w:pPr>
        <w:pStyle w:val="SingleTxtG"/>
        <w:rPr>
          <w:rFonts w:eastAsia="Calibri"/>
          <w:lang w:val="es-PE" w:eastAsia="en-US"/>
        </w:rPr>
      </w:pPr>
      <w:r w:rsidRPr="00574AEE">
        <w:rPr>
          <w:rFonts w:eastAsia="Calibri"/>
          <w:lang w:val="es-PE" w:eastAsia="en-US"/>
        </w:rPr>
        <w:t>242.</w:t>
      </w:r>
      <w:r w:rsidRPr="00574AEE">
        <w:rPr>
          <w:rFonts w:eastAsia="Calibri"/>
          <w:lang w:val="es-PE" w:eastAsia="en-US"/>
        </w:rPr>
        <w:tab/>
      </w:r>
      <w:r w:rsidR="00C8443F" w:rsidRPr="00092053">
        <w:rPr>
          <w:rFonts w:eastAsia="Calibri"/>
          <w:lang w:val="es-PE" w:eastAsia="en-US"/>
        </w:rPr>
        <w:t>Según los resultados de la Encuesta Nacional Especializada en Trabajo Infantil (ETI), a través del Informe 2015</w:t>
      </w:r>
      <w:r w:rsidR="00AB3C05">
        <w:rPr>
          <w:rFonts w:eastAsia="Calibri"/>
          <w:lang w:val="es-PE" w:eastAsia="en-US"/>
        </w:rPr>
        <w:t xml:space="preserve"> – </w:t>
      </w:r>
      <w:r w:rsidR="00AB3C05" w:rsidRPr="00092053">
        <w:rPr>
          <w:rFonts w:eastAsia="Calibri"/>
          <w:lang w:val="es-PE" w:eastAsia="en-US"/>
        </w:rPr>
        <w:t>“</w:t>
      </w:r>
      <w:r w:rsidR="00C8443F" w:rsidRPr="00092053">
        <w:rPr>
          <w:rFonts w:eastAsia="Calibri"/>
          <w:lang w:val="es-PE" w:eastAsia="en-US"/>
        </w:rPr>
        <w:t>Magnitud y Características del Trabajo Infantil en el Perú”, de los 7</w:t>
      </w:r>
      <w:r w:rsidR="003461EA">
        <w:rPr>
          <w:rFonts w:eastAsia="Calibri"/>
          <w:lang w:val="es-PE" w:eastAsia="en-US"/>
        </w:rPr>
        <w:t>.</w:t>
      </w:r>
      <w:r w:rsidR="00C8443F" w:rsidRPr="00092053">
        <w:rPr>
          <w:rFonts w:eastAsia="Calibri"/>
          <w:lang w:val="es-PE" w:eastAsia="en-US"/>
        </w:rPr>
        <w:t>438</w:t>
      </w:r>
      <w:r w:rsidR="003461EA">
        <w:rPr>
          <w:rFonts w:eastAsia="Calibri"/>
          <w:lang w:val="es-PE" w:eastAsia="en-US"/>
        </w:rPr>
        <w:t>.</w:t>
      </w:r>
      <w:r w:rsidR="00C8443F" w:rsidRPr="00092053">
        <w:rPr>
          <w:rFonts w:eastAsia="Calibri"/>
          <w:lang w:val="es-PE" w:eastAsia="en-US"/>
        </w:rPr>
        <w:t>700 niños de 5 a 17 años en el país, 1</w:t>
      </w:r>
      <w:r w:rsidR="003461EA">
        <w:rPr>
          <w:rFonts w:eastAsia="Calibri"/>
          <w:lang w:val="es-PE" w:eastAsia="en-US"/>
        </w:rPr>
        <w:t>.</w:t>
      </w:r>
      <w:r w:rsidR="00C8443F" w:rsidRPr="00092053">
        <w:rPr>
          <w:rFonts w:eastAsia="Calibri"/>
          <w:lang w:val="es-PE" w:eastAsia="en-US"/>
        </w:rPr>
        <w:t>939</w:t>
      </w:r>
      <w:r w:rsidR="003461EA">
        <w:rPr>
          <w:rFonts w:eastAsia="Calibri"/>
          <w:lang w:val="es-PE" w:eastAsia="en-US"/>
        </w:rPr>
        <w:t>.</w:t>
      </w:r>
      <w:r w:rsidR="00C8443F" w:rsidRPr="00092053">
        <w:rPr>
          <w:rFonts w:eastAsia="Calibri"/>
          <w:lang w:val="es-PE" w:eastAsia="en-US"/>
        </w:rPr>
        <w:t>300 realizaban actividades económicas (1</w:t>
      </w:r>
      <w:r w:rsidR="003461EA">
        <w:rPr>
          <w:rFonts w:eastAsia="Calibri"/>
          <w:lang w:val="es-PE" w:eastAsia="en-US"/>
        </w:rPr>
        <w:t>.</w:t>
      </w:r>
      <w:r w:rsidR="00C8443F" w:rsidRPr="00092053">
        <w:rPr>
          <w:rFonts w:eastAsia="Calibri"/>
          <w:lang w:val="es-PE" w:eastAsia="en-US"/>
        </w:rPr>
        <w:t>088</w:t>
      </w:r>
      <w:r w:rsidR="003461EA">
        <w:rPr>
          <w:rFonts w:eastAsia="Calibri"/>
          <w:lang w:val="es-PE" w:eastAsia="en-US"/>
        </w:rPr>
        <w:t>.</w:t>
      </w:r>
      <w:r w:rsidR="00C8443F" w:rsidRPr="00092053">
        <w:rPr>
          <w:rFonts w:eastAsia="Calibri"/>
          <w:lang w:val="es-PE" w:eastAsia="en-US"/>
        </w:rPr>
        <w:t>800 varones y 850</w:t>
      </w:r>
      <w:r w:rsidR="008405C9">
        <w:rPr>
          <w:rFonts w:eastAsia="Calibri"/>
          <w:lang w:val="es-PE" w:eastAsia="en-US"/>
        </w:rPr>
        <w:t>.</w:t>
      </w:r>
      <w:r w:rsidR="00C8443F" w:rsidRPr="00092053">
        <w:rPr>
          <w:rFonts w:eastAsia="Calibri"/>
          <w:lang w:val="es-PE" w:eastAsia="en-US"/>
        </w:rPr>
        <w:t>500 mujeres), siendo su tasa de ocupación el 26</w:t>
      </w:r>
      <w:r w:rsidR="00F44089">
        <w:rPr>
          <w:rFonts w:eastAsia="Calibri"/>
          <w:lang w:val="es-PE" w:eastAsia="en-US"/>
        </w:rPr>
        <w:t>,</w:t>
      </w:r>
      <w:r w:rsidR="00C8443F" w:rsidRPr="00092053">
        <w:rPr>
          <w:rFonts w:eastAsia="Calibri"/>
          <w:lang w:val="es-PE" w:eastAsia="en-US"/>
        </w:rPr>
        <w:t>1%</w:t>
      </w:r>
      <w:r w:rsidR="00C8443F" w:rsidRPr="00092053">
        <w:rPr>
          <w:rFonts w:eastAsia="Calibri"/>
          <w:vertAlign w:val="superscript"/>
          <w:lang w:val="es-PE" w:eastAsia="en-US"/>
        </w:rPr>
        <w:footnoteReference w:id="245"/>
      </w:r>
      <w:r w:rsidR="00C8443F" w:rsidRPr="00092053">
        <w:rPr>
          <w:rFonts w:eastAsia="Calibri"/>
          <w:lang w:val="es-PE" w:eastAsia="en-US"/>
        </w:rPr>
        <w:t>. Ver</w:t>
      </w:r>
      <w:r w:rsidR="00C8443F" w:rsidRPr="00092053">
        <w:rPr>
          <w:rFonts w:eastAsia="Calibri"/>
          <w:b/>
          <w:lang w:val="es-PE" w:eastAsia="en-US"/>
        </w:rPr>
        <w:t xml:space="preserve"> tabla </w:t>
      </w:r>
      <w:r w:rsidR="00CD52E7" w:rsidRPr="00353E55">
        <w:rPr>
          <w:rFonts w:eastAsia="Calibri"/>
          <w:b/>
          <w:lang w:val="es-PE" w:eastAsia="en-US"/>
        </w:rPr>
        <w:t>núm.</w:t>
      </w:r>
      <w:r w:rsidR="00C8443F" w:rsidRPr="00092053">
        <w:rPr>
          <w:rFonts w:eastAsia="Calibri"/>
          <w:b/>
          <w:lang w:val="es-PE" w:eastAsia="en-US"/>
        </w:rPr>
        <w:t xml:space="preserve"> 1 del Anexo </w:t>
      </w:r>
      <w:r w:rsidR="00CD52E7" w:rsidRPr="00353E55">
        <w:rPr>
          <w:rFonts w:eastAsia="Calibri"/>
          <w:b/>
          <w:lang w:val="es-PE" w:eastAsia="en-US"/>
        </w:rPr>
        <w:t>núm.</w:t>
      </w:r>
      <w:r w:rsidR="00C8443F" w:rsidRPr="00092053">
        <w:rPr>
          <w:rFonts w:eastAsia="Calibri"/>
          <w:b/>
          <w:lang w:val="es-PE" w:eastAsia="en-US"/>
        </w:rPr>
        <w:t xml:space="preserve"> 19. </w:t>
      </w:r>
    </w:p>
    <w:p w:rsidR="002A208C" w:rsidRPr="00092053" w:rsidRDefault="00092053" w:rsidP="00574AEE">
      <w:pPr>
        <w:pStyle w:val="SingleTxtG"/>
        <w:rPr>
          <w:rFonts w:eastAsia="Calibri"/>
          <w:lang w:val="es-PE" w:eastAsia="en-US"/>
        </w:rPr>
      </w:pPr>
      <w:r w:rsidRPr="00574AEE">
        <w:rPr>
          <w:rFonts w:eastAsia="Calibri"/>
          <w:lang w:val="es-PE" w:eastAsia="en-US"/>
        </w:rPr>
        <w:t>243.</w:t>
      </w:r>
      <w:r w:rsidRPr="00574AEE">
        <w:rPr>
          <w:rFonts w:eastAsia="Calibri"/>
          <w:lang w:val="es-PE" w:eastAsia="en-US"/>
        </w:rPr>
        <w:tab/>
      </w:r>
      <w:r w:rsidR="00C8443F" w:rsidRPr="00092053">
        <w:rPr>
          <w:rFonts w:eastAsia="Calibri"/>
          <w:lang w:val="es-PE" w:eastAsia="en-US"/>
        </w:rPr>
        <w:t>Asimismo, mediante el referido informe se realizó un análisis comparativo de la ETI 2015 respecto de otros instrumentos elaborados con anterioridad como la ETI 2007</w:t>
      </w:r>
      <w:r w:rsidR="00C8443F" w:rsidRPr="00092053">
        <w:rPr>
          <w:rFonts w:eastAsia="Calibri"/>
          <w:vertAlign w:val="superscript"/>
          <w:lang w:val="es-PE" w:eastAsia="en-US"/>
        </w:rPr>
        <w:footnoteReference w:id="246"/>
      </w:r>
      <w:r w:rsidR="00C8443F" w:rsidRPr="00092053">
        <w:rPr>
          <w:rFonts w:eastAsia="Calibri"/>
          <w:lang w:val="es-PE" w:eastAsia="en-US"/>
        </w:rPr>
        <w:t>, evidenciándose “la tendencia de la reducción de la tasa de ocupación de los niños durante el per</w:t>
      </w:r>
      <w:r w:rsidR="001069B7">
        <w:rPr>
          <w:rFonts w:eastAsia="Calibri"/>
          <w:lang w:val="es-PE" w:eastAsia="en-US"/>
        </w:rPr>
        <w:t>í</w:t>
      </w:r>
      <w:r w:rsidR="00C8443F" w:rsidRPr="00092053">
        <w:rPr>
          <w:rFonts w:eastAsia="Calibri"/>
          <w:lang w:val="es-PE" w:eastAsia="en-US"/>
        </w:rPr>
        <w:t>odo 2007-2015, en términos absolutos y relativos, la mayor reducción se habría dado en los niños varones respecto de las niñas, en el área rural en relación al área urbana y en los niños de 5 a 13 años respecto de los niños de 14 a 17 años”</w:t>
      </w:r>
      <w:r w:rsidR="00AB3C05">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244.</w:t>
      </w:r>
      <w:r w:rsidRPr="00574AEE">
        <w:rPr>
          <w:rFonts w:eastAsia="Calibri"/>
          <w:lang w:val="es-PE" w:eastAsia="en-US"/>
        </w:rPr>
        <w:tab/>
      </w:r>
      <w:r w:rsidR="00C8443F" w:rsidRPr="00092053">
        <w:rPr>
          <w:rFonts w:eastAsia="Calibri"/>
          <w:lang w:val="es-PE" w:eastAsia="en-US"/>
        </w:rPr>
        <w:t>Además, al comparar la ETI 2015 y la Encuesta Nacional de Hogares 2015</w:t>
      </w:r>
      <w:r w:rsidR="00C8443F" w:rsidRPr="00092053">
        <w:rPr>
          <w:rFonts w:eastAsia="Calibri"/>
          <w:vertAlign w:val="superscript"/>
          <w:lang w:val="es-PE" w:eastAsia="en-US"/>
        </w:rPr>
        <w:footnoteReference w:id="247"/>
      </w:r>
      <w:r w:rsidR="00C8443F" w:rsidRPr="00092053">
        <w:rPr>
          <w:rFonts w:eastAsia="Calibri"/>
          <w:lang w:val="es-PE" w:eastAsia="en-US"/>
        </w:rPr>
        <w:t xml:space="preserve"> “se aprecia que la primera presenta una tasa de </w:t>
      </w:r>
      <w:r w:rsidR="00C8443F" w:rsidRPr="00092053">
        <w:rPr>
          <w:rFonts w:eastAsia="Calibri"/>
          <w:lang w:eastAsia="en-US"/>
        </w:rPr>
        <w:t>ocupación</w:t>
      </w:r>
      <w:r w:rsidR="00C8443F" w:rsidRPr="00092053">
        <w:rPr>
          <w:rFonts w:eastAsia="Calibri"/>
          <w:lang w:val="es-PE" w:eastAsia="en-US"/>
        </w:rPr>
        <w:t xml:space="preserve"> ligeramente menor a la segunda; 26,1% y 26,4% respectivamente, las diferencias entre ambas se explican por diferencias metodológicas”</w:t>
      </w:r>
      <w:r w:rsidR="00AB3C05">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245.</w:t>
      </w:r>
      <w:r w:rsidRPr="00574AEE">
        <w:rPr>
          <w:rFonts w:eastAsia="Calibri"/>
          <w:lang w:val="es-PE" w:eastAsia="en-US"/>
        </w:rPr>
        <w:tab/>
      </w:r>
      <w:r w:rsidR="00C8443F" w:rsidRPr="00092053">
        <w:rPr>
          <w:rFonts w:eastAsia="Calibri"/>
          <w:lang w:val="es-PE" w:eastAsia="en-US"/>
        </w:rPr>
        <w:t xml:space="preserve">Con el fin de prevenir y erradicar el </w:t>
      </w:r>
      <w:r w:rsidR="00C8443F" w:rsidRPr="00092053">
        <w:rPr>
          <w:rFonts w:eastAsia="Calibri"/>
          <w:lang w:eastAsia="en-US"/>
        </w:rPr>
        <w:t>trabajo</w:t>
      </w:r>
      <w:r w:rsidR="00C8443F" w:rsidRPr="00092053">
        <w:rPr>
          <w:rFonts w:eastAsia="Calibri"/>
          <w:lang w:val="es-PE" w:eastAsia="en-US"/>
        </w:rPr>
        <w:t xml:space="preserve"> infantil, el MIMP adoptó diversas acciones y medidas,</w:t>
      </w:r>
      <w:r w:rsidR="000900D3" w:rsidRPr="00092053">
        <w:rPr>
          <w:rFonts w:eastAsia="Calibri"/>
          <w:lang w:val="es-PE" w:eastAsia="en-US"/>
        </w:rPr>
        <w:t xml:space="preserve"> en el ámbito de su competencia</w:t>
      </w:r>
      <w:r w:rsidR="00C8443F" w:rsidRPr="00092053">
        <w:rPr>
          <w:rFonts w:eastAsia="Calibri"/>
          <w:vertAlign w:val="superscript"/>
          <w:lang w:val="es-PE" w:eastAsia="en-US"/>
        </w:rPr>
        <w:footnoteReference w:id="248"/>
      </w:r>
      <w:r w:rsidR="000900D3" w:rsidRPr="00092053">
        <w:rPr>
          <w:rFonts w:eastAsia="Calibri"/>
          <w:lang w:val="es-PE" w:eastAsia="en-US"/>
        </w:rPr>
        <w:t>.</w:t>
      </w:r>
      <w:r w:rsidR="00C8443F" w:rsidRPr="00092053">
        <w:rPr>
          <w:rFonts w:eastAsia="Calibri"/>
          <w:lang w:val="es-PE" w:eastAsia="en-US"/>
        </w:rPr>
        <w:t xml:space="preserve">Ver </w:t>
      </w:r>
      <w:r w:rsidR="00C8443F" w:rsidRPr="00092053">
        <w:rPr>
          <w:rFonts w:eastAsia="Calibri"/>
          <w:b/>
          <w:lang w:val="es-PE" w:eastAsia="en-US"/>
        </w:rPr>
        <w:t xml:space="preserve">tabla </w:t>
      </w:r>
      <w:r w:rsidR="00CD52E7" w:rsidRPr="00353E55">
        <w:rPr>
          <w:rFonts w:eastAsia="Calibri"/>
          <w:b/>
          <w:lang w:val="es-PE" w:eastAsia="en-US"/>
        </w:rPr>
        <w:t>núm.</w:t>
      </w:r>
      <w:r w:rsidR="00C8443F" w:rsidRPr="00092053">
        <w:rPr>
          <w:rFonts w:eastAsia="Calibri"/>
          <w:b/>
          <w:lang w:val="es-PE" w:eastAsia="en-US"/>
        </w:rPr>
        <w:t xml:space="preserve"> 2 del Anexo </w:t>
      </w:r>
      <w:r w:rsidR="00CD52E7" w:rsidRPr="00353E55">
        <w:rPr>
          <w:rFonts w:eastAsia="Calibri"/>
          <w:b/>
          <w:lang w:val="es-PE" w:eastAsia="en-US"/>
        </w:rPr>
        <w:t>núm.</w:t>
      </w:r>
      <w:r w:rsidR="00CD52E7">
        <w:rPr>
          <w:rFonts w:eastAsia="Calibri"/>
          <w:b/>
          <w:lang w:val="es-PE" w:eastAsia="en-US"/>
        </w:rPr>
        <w:t> </w:t>
      </w:r>
      <w:r w:rsidR="00C8443F" w:rsidRPr="00092053">
        <w:rPr>
          <w:rFonts w:eastAsia="Calibri"/>
          <w:b/>
          <w:lang w:val="es-PE" w:eastAsia="en-US"/>
        </w:rPr>
        <w:t>19.</w:t>
      </w:r>
    </w:p>
    <w:p w:rsidR="002A208C" w:rsidRPr="00092053" w:rsidRDefault="00092053" w:rsidP="00574AEE">
      <w:pPr>
        <w:pStyle w:val="SingleTxtG"/>
        <w:rPr>
          <w:rFonts w:eastAsia="Calibri"/>
          <w:lang w:val="es-PE" w:eastAsia="en-US"/>
        </w:rPr>
      </w:pPr>
      <w:r w:rsidRPr="00574AEE">
        <w:rPr>
          <w:rFonts w:eastAsia="Calibri"/>
          <w:lang w:val="es-PE" w:eastAsia="en-US"/>
        </w:rPr>
        <w:t>246.</w:t>
      </w:r>
      <w:r w:rsidRPr="00574AEE">
        <w:rPr>
          <w:rFonts w:eastAsia="Calibri"/>
          <w:lang w:val="es-PE" w:eastAsia="en-US"/>
        </w:rPr>
        <w:tab/>
      </w:r>
      <w:r w:rsidR="00C8443F" w:rsidRPr="00092053">
        <w:rPr>
          <w:rFonts w:eastAsia="Calibri"/>
          <w:lang w:val="es-PE" w:eastAsia="en-US"/>
        </w:rPr>
        <w:t xml:space="preserve">Con relación a la Estrategia Nacional para la Prevención y Erradicación sobre el Trabajo Infantil (ENPETI) se han desarrollado </w:t>
      </w:r>
      <w:r w:rsidR="00C8443F" w:rsidRPr="00092053">
        <w:rPr>
          <w:rFonts w:eastAsia="Calibri"/>
          <w:lang w:eastAsia="en-US"/>
        </w:rPr>
        <w:t>tres</w:t>
      </w:r>
      <w:r w:rsidR="00C8443F" w:rsidRPr="00092053">
        <w:rPr>
          <w:rFonts w:eastAsia="Calibri"/>
          <w:lang w:val="es-PE" w:eastAsia="en-US"/>
        </w:rPr>
        <w:t xml:space="preserve"> experiencias piloto</w:t>
      </w:r>
      <w:r w:rsidR="00C8443F" w:rsidRPr="00092053">
        <w:rPr>
          <w:rFonts w:eastAsia="Calibri"/>
          <w:vertAlign w:val="superscript"/>
          <w:lang w:val="es-PE" w:eastAsia="en-US"/>
        </w:rPr>
        <w:footnoteReference w:id="249"/>
      </w:r>
      <w:r w:rsidR="00C8443F" w:rsidRPr="00092053">
        <w:rPr>
          <w:rFonts w:eastAsia="Calibri"/>
          <w:lang w:val="es-PE" w:eastAsia="en-US"/>
        </w:rPr>
        <w:t xml:space="preserve">: </w:t>
      </w:r>
      <w:r w:rsidR="00C8443F" w:rsidRPr="00574AEE">
        <w:rPr>
          <w:rFonts w:eastAsia="Calibri"/>
          <w:lang w:val="es-PE" w:eastAsia="en-US"/>
        </w:rPr>
        <w:t>i)</w:t>
      </w:r>
      <w:r w:rsidR="00C8443F" w:rsidRPr="00092053">
        <w:rPr>
          <w:rFonts w:eastAsia="Calibri"/>
          <w:lang w:val="es-PE" w:eastAsia="en-US"/>
        </w:rPr>
        <w:t xml:space="preserve"> Piloto Huánuco</w:t>
      </w:r>
      <w:r w:rsidR="00C8443F" w:rsidRPr="00574AEE">
        <w:rPr>
          <w:rFonts w:eastAsia="Calibri"/>
          <w:lang w:val="es-PE" w:eastAsia="en-US"/>
        </w:rPr>
        <w:footnoteReference w:id="250"/>
      </w:r>
      <w:r w:rsidR="00C8443F" w:rsidRPr="00092053">
        <w:rPr>
          <w:rFonts w:eastAsia="Calibri"/>
          <w:lang w:val="es-PE" w:eastAsia="en-US"/>
        </w:rPr>
        <w:t xml:space="preserve">; </w:t>
      </w:r>
      <w:r w:rsidR="00C8443F" w:rsidRPr="00574AEE">
        <w:rPr>
          <w:rFonts w:eastAsia="Calibri"/>
          <w:lang w:val="es-PE" w:eastAsia="en-US"/>
        </w:rPr>
        <w:t>ii)</w:t>
      </w:r>
      <w:r w:rsidR="00C8443F" w:rsidRPr="00092053">
        <w:rPr>
          <w:rFonts w:eastAsia="Calibri"/>
          <w:lang w:val="es-PE" w:eastAsia="en-US"/>
        </w:rPr>
        <w:t xml:space="preserve"> Piloto Carabayllo</w:t>
      </w:r>
      <w:r w:rsidR="00C8443F" w:rsidRPr="00574AEE">
        <w:rPr>
          <w:rFonts w:eastAsia="Calibri"/>
          <w:lang w:val="es-PE" w:eastAsia="en-US"/>
        </w:rPr>
        <w:footnoteReference w:id="251"/>
      </w:r>
      <w:r w:rsidR="003461EA">
        <w:rPr>
          <w:rFonts w:eastAsia="Calibri"/>
          <w:lang w:val="es-PE" w:eastAsia="en-US"/>
        </w:rPr>
        <w:t>;</w:t>
      </w:r>
      <w:r w:rsidR="00C8443F" w:rsidRPr="00092053">
        <w:rPr>
          <w:rFonts w:eastAsia="Calibri"/>
          <w:lang w:val="es-PE" w:eastAsia="en-US"/>
        </w:rPr>
        <w:t xml:space="preserve"> y </w:t>
      </w:r>
      <w:r w:rsidR="00C8443F" w:rsidRPr="00574AEE">
        <w:rPr>
          <w:rFonts w:eastAsia="Calibri"/>
          <w:lang w:val="es-PE" w:eastAsia="en-US"/>
        </w:rPr>
        <w:t>iii)</w:t>
      </w:r>
      <w:r w:rsidR="00C8443F" w:rsidRPr="00092053">
        <w:rPr>
          <w:rFonts w:eastAsia="Calibri"/>
          <w:lang w:val="es-PE" w:eastAsia="en-US"/>
        </w:rPr>
        <w:t xml:space="preserve"> Piloto Semilla (Huancavelica, Pasco y Junín), las cuales combinan servicios de educación, transferencia condicionada, sensibilización de padres, fortalecimiento de capacidades de autoridades y funcionarios públicos y el desarrollo de estrategias productivas. </w:t>
      </w:r>
    </w:p>
    <w:p w:rsidR="002A208C" w:rsidRPr="00092053" w:rsidRDefault="00092053" w:rsidP="00574AEE">
      <w:pPr>
        <w:pStyle w:val="SingleTxtG"/>
        <w:rPr>
          <w:rFonts w:eastAsia="Calibri"/>
          <w:lang w:val="es-PE" w:eastAsia="en-US"/>
        </w:rPr>
      </w:pPr>
      <w:r w:rsidRPr="00574AEE">
        <w:rPr>
          <w:rFonts w:eastAsia="Calibri"/>
          <w:lang w:val="es-PE" w:eastAsia="en-US"/>
        </w:rPr>
        <w:t>247.</w:t>
      </w:r>
      <w:r w:rsidRPr="00574AEE">
        <w:rPr>
          <w:rFonts w:eastAsia="Calibri"/>
          <w:lang w:val="es-PE" w:eastAsia="en-US"/>
        </w:rPr>
        <w:tab/>
      </w:r>
      <w:r w:rsidR="00C8443F" w:rsidRPr="00092053">
        <w:rPr>
          <w:rFonts w:eastAsia="Calibri"/>
          <w:lang w:val="es-PE" w:eastAsia="en-US"/>
        </w:rPr>
        <w:t xml:space="preserve">Por otro lado, la Comisión Nacional de Lucha contra el Trabajo Forzoso, como instancia de coordinación permanente de las políticas y acciones en materia de trabajo forzoso en los diferentes ámbitos sectoriales, </w:t>
      </w:r>
      <w:r w:rsidR="00C8443F" w:rsidRPr="00092053">
        <w:rPr>
          <w:rFonts w:eastAsia="Calibri"/>
          <w:lang w:eastAsia="en-US"/>
        </w:rPr>
        <w:t>regionales</w:t>
      </w:r>
      <w:r w:rsidR="00C8443F" w:rsidRPr="00092053">
        <w:rPr>
          <w:rFonts w:eastAsia="Calibri"/>
          <w:lang w:val="es-PE" w:eastAsia="en-US"/>
        </w:rPr>
        <w:t xml:space="preserve"> y nacionales realizó diversas acciones con relación al Segundo Plan Nacional contra el Trabajo Forzoso 2013-2017</w:t>
      </w:r>
      <w:r w:rsidR="00C8443F" w:rsidRPr="00092053">
        <w:rPr>
          <w:rFonts w:eastAsia="Calibri"/>
          <w:vertAlign w:val="superscript"/>
          <w:lang w:val="es-PE" w:eastAsia="en-US"/>
        </w:rPr>
        <w:footnoteReference w:id="252"/>
      </w:r>
      <w:r w:rsidR="00C8443F" w:rsidRPr="00092053">
        <w:rPr>
          <w:rFonts w:eastAsia="Calibri"/>
          <w:lang w:val="es-PE" w:eastAsia="en-US"/>
        </w:rPr>
        <w:t xml:space="preserve">. Ver </w:t>
      </w:r>
      <w:r w:rsidR="00C8443F" w:rsidRPr="00092053">
        <w:rPr>
          <w:rFonts w:eastAsia="Calibri"/>
          <w:b/>
          <w:lang w:val="es-PE" w:eastAsia="en-US"/>
        </w:rPr>
        <w:t xml:space="preserve">tabla </w:t>
      </w:r>
      <w:r w:rsidR="00CD52E7" w:rsidRPr="00353E55">
        <w:rPr>
          <w:rFonts w:eastAsia="Calibri"/>
          <w:b/>
          <w:lang w:val="es-PE" w:eastAsia="en-US"/>
        </w:rPr>
        <w:t>núm.</w:t>
      </w:r>
      <w:r w:rsidR="00C8443F" w:rsidRPr="00092053">
        <w:rPr>
          <w:rFonts w:eastAsia="Calibri"/>
          <w:b/>
          <w:lang w:val="es-PE" w:eastAsia="en-US"/>
        </w:rPr>
        <w:t xml:space="preserve"> 3 del Anexo </w:t>
      </w:r>
      <w:r w:rsidR="00CD52E7" w:rsidRPr="00353E55">
        <w:rPr>
          <w:rFonts w:eastAsia="Calibri"/>
          <w:b/>
          <w:lang w:val="es-PE" w:eastAsia="en-US"/>
        </w:rPr>
        <w:t>núm.</w:t>
      </w:r>
      <w:r w:rsidR="00C8443F" w:rsidRPr="00092053">
        <w:rPr>
          <w:rFonts w:eastAsia="Calibri"/>
          <w:b/>
          <w:lang w:val="es-PE" w:eastAsia="en-US"/>
        </w:rPr>
        <w:t xml:space="preserve"> 19.</w:t>
      </w:r>
    </w:p>
    <w:p w:rsidR="002A208C" w:rsidRPr="00092053" w:rsidRDefault="00092053" w:rsidP="00574AEE">
      <w:pPr>
        <w:pStyle w:val="SingleTxtG"/>
        <w:rPr>
          <w:rFonts w:eastAsia="Calibri"/>
          <w:lang w:val="es-PE" w:eastAsia="en-US"/>
        </w:rPr>
      </w:pPr>
      <w:r w:rsidRPr="00574AEE">
        <w:rPr>
          <w:rFonts w:eastAsia="Calibri"/>
          <w:lang w:val="es-PE" w:eastAsia="en-US"/>
        </w:rPr>
        <w:t>248.</w:t>
      </w:r>
      <w:r w:rsidRPr="00574AEE">
        <w:rPr>
          <w:rFonts w:eastAsia="Calibri"/>
          <w:lang w:val="es-PE" w:eastAsia="en-US"/>
        </w:rPr>
        <w:tab/>
      </w:r>
      <w:r w:rsidR="00C8443F" w:rsidRPr="00092053">
        <w:rPr>
          <w:rFonts w:eastAsia="Calibri"/>
          <w:lang w:val="es-PE" w:eastAsia="en-US"/>
        </w:rPr>
        <w:t xml:space="preserve">Adicionalmente, se incorporó en el CP el artículo 168-B que tipifica como delito el trabajo forzoso, estableciéndose la pena básica no menor de 6 ni mayor de 12 años, configurándose como agravantes, entre otros, </w:t>
      </w:r>
      <w:r w:rsidR="00C8443F" w:rsidRPr="00092053">
        <w:rPr>
          <w:rFonts w:eastAsia="Calibri"/>
          <w:lang w:eastAsia="en-US"/>
        </w:rPr>
        <w:t>cuando</w:t>
      </w:r>
      <w:r w:rsidR="00C8443F" w:rsidRPr="00092053">
        <w:rPr>
          <w:rFonts w:eastAsia="Calibri"/>
          <w:lang w:val="es-PE" w:eastAsia="en-US"/>
        </w:rPr>
        <w:t xml:space="preserve"> las víctimas tienen discapacidad, son </w:t>
      </w:r>
      <w:r w:rsidR="00C8443F" w:rsidRPr="00092053">
        <w:rPr>
          <w:rFonts w:eastAsia="Calibri"/>
          <w:lang w:val="es-PE" w:eastAsia="en-US"/>
        </w:rPr>
        <w:lastRenderedPageBreak/>
        <w:t>menores de catorce años, son personas adultas mayores, pertenecen a un pueblo in</w:t>
      </w:r>
      <w:r w:rsidR="000900D3" w:rsidRPr="00092053">
        <w:rPr>
          <w:rFonts w:eastAsia="Calibri"/>
          <w:lang w:val="es-PE" w:eastAsia="en-US"/>
        </w:rPr>
        <w:t>dígena o es trabajador migrante</w:t>
      </w:r>
      <w:r w:rsidR="00C8443F" w:rsidRPr="00092053">
        <w:rPr>
          <w:rFonts w:eastAsia="Calibri"/>
          <w:vertAlign w:val="superscript"/>
          <w:lang w:val="es-PE" w:eastAsia="en-US"/>
        </w:rPr>
        <w:footnoteReference w:id="253"/>
      </w:r>
      <w:r w:rsidR="000900D3" w:rsidRPr="00092053">
        <w:rPr>
          <w:rFonts w:eastAsia="Calibri"/>
          <w:lang w:val="es-PE" w:eastAsia="en-US"/>
        </w:rPr>
        <w:t>.</w:t>
      </w:r>
    </w:p>
    <w:p w:rsidR="002A208C" w:rsidRPr="00092053" w:rsidRDefault="004F7B54" w:rsidP="004F7B54">
      <w:pPr>
        <w:pStyle w:val="H23G"/>
        <w:rPr>
          <w:rFonts w:eastAsia="Calibri"/>
          <w:lang w:val="es-PE" w:eastAsia="en-US"/>
        </w:rPr>
      </w:pPr>
      <w:bookmarkStart w:id="258" w:name="_Toc468721296"/>
      <w:bookmarkStart w:id="259" w:name="_Toc471137694"/>
      <w:bookmarkStart w:id="260" w:name="_Toc472097481"/>
      <w:bookmarkStart w:id="261" w:name="_Toc484774104"/>
      <w:bookmarkStart w:id="262" w:name="_Toc468627333"/>
      <w:bookmarkStart w:id="263" w:name="_Toc468642625"/>
      <w:r w:rsidRPr="00092053">
        <w:rPr>
          <w:rFonts w:eastAsia="Calibri"/>
          <w:lang w:val="es-PE" w:eastAsia="en-US"/>
        </w:rPr>
        <w:tab/>
      </w:r>
      <w:r w:rsidRPr="00092053">
        <w:rPr>
          <w:rFonts w:eastAsia="Calibri"/>
          <w:lang w:val="es-PE" w:eastAsia="en-US"/>
        </w:rPr>
        <w:tab/>
      </w:r>
      <w:r w:rsidR="00C8443F" w:rsidRPr="00092053">
        <w:rPr>
          <w:rFonts w:eastAsia="Calibri"/>
          <w:lang w:val="es-PE" w:eastAsia="en-US"/>
        </w:rPr>
        <w:t>Respuesta al párrafo 40</w:t>
      </w:r>
      <w:bookmarkEnd w:id="258"/>
      <w:bookmarkEnd w:id="259"/>
      <w:bookmarkEnd w:id="260"/>
      <w:bookmarkEnd w:id="261"/>
      <w:r w:rsidR="00C8443F" w:rsidRPr="00092053">
        <w:rPr>
          <w:rFonts w:eastAsia="Calibri"/>
          <w:lang w:val="es-PE" w:eastAsia="en-US"/>
        </w:rPr>
        <w:t xml:space="preserve"> </w:t>
      </w:r>
      <w:bookmarkEnd w:id="262"/>
      <w:bookmarkEnd w:id="263"/>
    </w:p>
    <w:p w:rsidR="002A208C" w:rsidRPr="00092053" w:rsidRDefault="00092053" w:rsidP="00574AEE">
      <w:pPr>
        <w:pStyle w:val="SingleTxtG"/>
        <w:rPr>
          <w:rFonts w:eastAsia="Calibri"/>
          <w:lang w:val="es-PE" w:eastAsia="en-US"/>
        </w:rPr>
      </w:pPr>
      <w:r w:rsidRPr="00574AEE">
        <w:rPr>
          <w:rFonts w:eastAsia="Calibri"/>
          <w:lang w:val="es-PE" w:eastAsia="en-US"/>
        </w:rPr>
        <w:t>249.</w:t>
      </w:r>
      <w:r w:rsidRPr="00574AEE">
        <w:rPr>
          <w:rFonts w:eastAsia="Calibri"/>
          <w:lang w:val="es-PE" w:eastAsia="en-US"/>
        </w:rPr>
        <w:tab/>
      </w:r>
      <w:r w:rsidR="00C8443F" w:rsidRPr="00092053">
        <w:rPr>
          <w:rFonts w:eastAsia="Calibri"/>
          <w:lang w:val="es-PE" w:eastAsia="en-US"/>
        </w:rPr>
        <w:t xml:space="preserve">En el 2014 el MINSA aprobó la </w:t>
      </w:r>
      <w:r w:rsidR="00C8443F" w:rsidRPr="00092053">
        <w:rPr>
          <w:rFonts w:eastAsia="Calibri"/>
          <w:b/>
          <w:lang w:val="es-PE" w:eastAsia="en-US"/>
        </w:rPr>
        <w:t>“</w:t>
      </w:r>
      <w:r w:rsidR="00C8443F" w:rsidRPr="00092053">
        <w:rPr>
          <w:rFonts w:eastAsia="Calibri"/>
          <w:lang w:val="es-PE" w:eastAsia="en-US"/>
        </w:rPr>
        <w:t xml:space="preserve">Guía Técnica Nacional para la estandarización del procedimiento de la atención integral </w:t>
      </w:r>
      <w:r w:rsidR="00C8443F" w:rsidRPr="00092053">
        <w:rPr>
          <w:rFonts w:eastAsia="Calibri"/>
          <w:lang w:eastAsia="en-US"/>
        </w:rPr>
        <w:t>de</w:t>
      </w:r>
      <w:r w:rsidR="00C8443F" w:rsidRPr="00092053">
        <w:rPr>
          <w:rFonts w:eastAsia="Calibri"/>
          <w:lang w:val="es-PE" w:eastAsia="en-US"/>
        </w:rPr>
        <w:t xml:space="preserve"> la gestante en la interrupción voluntaria del embarazo menor de 22 semanas con consentimiento informado”, en el marco de lo dispuesto en el artículo 119° del CP</w:t>
      </w:r>
      <w:r w:rsidR="00C8443F" w:rsidRPr="00092053">
        <w:rPr>
          <w:rFonts w:eastAsia="Calibri"/>
          <w:vertAlign w:val="superscript"/>
          <w:lang w:val="es-PE" w:eastAsia="en-US"/>
        </w:rPr>
        <w:footnoteReference w:id="254"/>
      </w:r>
      <w:r w:rsidR="00C8443F" w:rsidRPr="00092053">
        <w:rPr>
          <w:rFonts w:eastAsia="Calibri"/>
          <w:lang w:val="es-PE" w:eastAsia="en-US"/>
        </w:rPr>
        <w:t>, a efectos estandarizar los procedimientos para la referida atención, siendo su ámbito de aplicación todos los establecimientos de salud a partir del segundo nivel de atención del sistema de salud nacional.</w:t>
      </w:r>
    </w:p>
    <w:p w:rsidR="002A208C" w:rsidRPr="00092053" w:rsidRDefault="00092053" w:rsidP="00574AEE">
      <w:pPr>
        <w:pStyle w:val="SingleTxtG"/>
        <w:rPr>
          <w:rFonts w:eastAsia="Calibri"/>
          <w:lang w:val="es-PE" w:eastAsia="en-US"/>
        </w:rPr>
      </w:pPr>
      <w:r w:rsidRPr="00574AEE">
        <w:rPr>
          <w:rFonts w:eastAsia="Calibri"/>
          <w:lang w:val="es-PE" w:eastAsia="en-US"/>
        </w:rPr>
        <w:t>250.</w:t>
      </w:r>
      <w:r w:rsidRPr="00574AEE">
        <w:rPr>
          <w:rFonts w:eastAsia="Calibri"/>
          <w:lang w:val="es-PE" w:eastAsia="en-US"/>
        </w:rPr>
        <w:tab/>
      </w:r>
      <w:r w:rsidR="00C8443F" w:rsidRPr="00092053">
        <w:rPr>
          <w:rFonts w:eastAsia="Calibri"/>
          <w:lang w:val="es-PE" w:eastAsia="en-US"/>
        </w:rPr>
        <w:t>A efectos de difundir la referida guía, el MINSA ha llevado a cabo distintas actividades:</w:t>
      </w:r>
    </w:p>
    <w:p w:rsidR="002A208C" w:rsidRPr="00092053" w:rsidRDefault="00E64CD9" w:rsidP="00E64CD9">
      <w:pPr>
        <w:pStyle w:val="SingleTxtG"/>
        <w:rPr>
          <w:rFonts w:eastAsia="Calibri"/>
          <w:lang w:val="es-PE" w:eastAsia="en-US"/>
        </w:rPr>
      </w:pPr>
      <w:r w:rsidRPr="00092053">
        <w:rPr>
          <w:rFonts w:eastAsia="Calibri"/>
          <w:lang w:val="es-PE" w:eastAsia="en-US"/>
        </w:rPr>
        <w:tab/>
        <w:t>1)</w:t>
      </w:r>
      <w:r w:rsidRPr="00092053">
        <w:rPr>
          <w:rFonts w:eastAsia="Calibri"/>
          <w:lang w:val="es-PE" w:eastAsia="en-US"/>
        </w:rPr>
        <w:tab/>
      </w:r>
      <w:r w:rsidR="00C8443F" w:rsidRPr="00092053">
        <w:rPr>
          <w:rFonts w:eastAsia="Calibri"/>
          <w:lang w:val="es-PE" w:eastAsia="en-US"/>
        </w:rPr>
        <w:t xml:space="preserve"> 2014: Desarrolló 13 reuniones técnicas en las regiones de Ucayali (1), Piura (3), Arequipa (3), C</w:t>
      </w:r>
      <w:r w:rsidR="000900D3" w:rsidRPr="00092053">
        <w:rPr>
          <w:rFonts w:eastAsia="Calibri"/>
          <w:lang w:val="es-PE" w:eastAsia="en-US"/>
        </w:rPr>
        <w:t>usco (1), Loreto (1) y Lima (4)</w:t>
      </w:r>
      <w:r w:rsidR="00C8443F" w:rsidRPr="00092053">
        <w:rPr>
          <w:rFonts w:eastAsia="Calibri"/>
          <w:vertAlign w:val="superscript"/>
          <w:lang w:val="es-PE" w:eastAsia="en-US"/>
        </w:rPr>
        <w:footnoteReference w:id="255"/>
      </w:r>
      <w:r w:rsidR="000900D3" w:rsidRPr="00092053">
        <w:rPr>
          <w:rFonts w:eastAsia="Calibri"/>
          <w:lang w:val="es-PE" w:eastAsia="en-US"/>
        </w:rPr>
        <w:t>.</w:t>
      </w:r>
    </w:p>
    <w:p w:rsidR="002A208C" w:rsidRPr="00092053" w:rsidRDefault="00E64CD9" w:rsidP="00E64CD9">
      <w:pPr>
        <w:pStyle w:val="SingleTxtG"/>
        <w:rPr>
          <w:rFonts w:eastAsia="Calibri"/>
          <w:lang w:val="es-PE" w:eastAsia="en-US"/>
        </w:rPr>
      </w:pPr>
      <w:r w:rsidRPr="00092053">
        <w:rPr>
          <w:rFonts w:eastAsia="Calibri"/>
          <w:lang w:val="es-PE" w:eastAsia="en-US"/>
        </w:rPr>
        <w:tab/>
        <w:t>2)</w:t>
      </w:r>
      <w:r w:rsidRPr="00092053">
        <w:rPr>
          <w:rFonts w:eastAsia="Calibri"/>
          <w:lang w:val="es-PE" w:eastAsia="en-US"/>
        </w:rPr>
        <w:tab/>
      </w:r>
      <w:r w:rsidR="00C8443F" w:rsidRPr="00092053">
        <w:rPr>
          <w:rFonts w:eastAsia="Calibri"/>
          <w:lang w:val="es-PE" w:eastAsia="en-US"/>
        </w:rPr>
        <w:t xml:space="preserve">2015: Impulsó actividades de difusión dirigidas a médicos gineco-obstetras, jefes de servicio de Ginecología y Obstetricia y asesores legales </w:t>
      </w:r>
      <w:r w:rsidR="00C8443F" w:rsidRPr="00092053">
        <w:rPr>
          <w:rFonts w:eastAsia="Calibri"/>
          <w:sz w:val="21"/>
          <w:szCs w:val="21"/>
          <w:lang w:val="es-PE" w:eastAsia="en-US"/>
        </w:rPr>
        <w:t>de los difer</w:t>
      </w:r>
      <w:r w:rsidR="000900D3" w:rsidRPr="00092053">
        <w:rPr>
          <w:rFonts w:eastAsia="Calibri"/>
          <w:sz w:val="21"/>
          <w:szCs w:val="21"/>
          <w:lang w:val="es-PE" w:eastAsia="en-US"/>
        </w:rPr>
        <w:t>entes establecimientos de salud</w:t>
      </w:r>
      <w:r w:rsidR="00C8443F" w:rsidRPr="00092053">
        <w:rPr>
          <w:rFonts w:eastAsia="Calibri"/>
          <w:sz w:val="21"/>
          <w:szCs w:val="21"/>
          <w:vertAlign w:val="superscript"/>
          <w:lang w:val="es-PE" w:eastAsia="en-US"/>
        </w:rPr>
        <w:footnoteReference w:id="256"/>
      </w:r>
      <w:r w:rsidR="000900D3" w:rsidRPr="00092053">
        <w:rPr>
          <w:rFonts w:eastAsia="Calibri"/>
          <w:sz w:val="21"/>
          <w:szCs w:val="21"/>
          <w:lang w:val="es-PE" w:eastAsia="en-US"/>
        </w:rPr>
        <w:t>.</w:t>
      </w:r>
    </w:p>
    <w:p w:rsidR="002A208C" w:rsidRPr="00092053" w:rsidRDefault="00E64CD9" w:rsidP="00E64CD9">
      <w:pPr>
        <w:pStyle w:val="SingleTxtG"/>
        <w:rPr>
          <w:rFonts w:eastAsia="Calibri"/>
          <w:lang w:val="es-PE" w:eastAsia="en-US"/>
        </w:rPr>
      </w:pPr>
      <w:r w:rsidRPr="00092053">
        <w:rPr>
          <w:rFonts w:eastAsia="Calibri"/>
          <w:lang w:val="es-PE" w:eastAsia="en-US"/>
        </w:rPr>
        <w:tab/>
        <w:t>3)</w:t>
      </w:r>
      <w:r w:rsidRPr="00092053">
        <w:rPr>
          <w:rFonts w:eastAsia="Calibri"/>
          <w:lang w:val="es-PE" w:eastAsia="en-US"/>
        </w:rPr>
        <w:tab/>
      </w:r>
      <w:r w:rsidR="00C8443F" w:rsidRPr="00092053">
        <w:rPr>
          <w:rFonts w:eastAsia="Calibri"/>
          <w:lang w:val="es-PE" w:eastAsia="en-US"/>
        </w:rPr>
        <w:t>2016:</w:t>
      </w:r>
      <w:r w:rsidR="00C8443F" w:rsidRPr="00092053">
        <w:rPr>
          <w:rFonts w:eastAsia="Calibri"/>
          <w:b/>
          <w:lang w:val="es-PE" w:eastAsia="en-US"/>
        </w:rPr>
        <w:t xml:space="preserve"> </w:t>
      </w:r>
      <w:r w:rsidR="00C8443F" w:rsidRPr="00092053">
        <w:rPr>
          <w:rFonts w:eastAsia="Calibri"/>
          <w:lang w:val="es-PE" w:eastAsia="en-US"/>
        </w:rPr>
        <w:t>Promovió</w:t>
      </w:r>
      <w:r w:rsidR="00C8443F" w:rsidRPr="00092053">
        <w:rPr>
          <w:rFonts w:eastAsia="Calibri"/>
          <w:b/>
          <w:lang w:val="es-PE" w:eastAsia="en-US"/>
        </w:rPr>
        <w:t xml:space="preserve"> </w:t>
      </w:r>
      <w:r w:rsidR="00C8443F" w:rsidRPr="00092053">
        <w:rPr>
          <w:rFonts w:eastAsia="Calibri"/>
          <w:lang w:val="es-PE" w:eastAsia="en-US"/>
        </w:rPr>
        <w:t>la creación de un código que corresponda al aborto terapéutico en el Sistema de Información de Salud-HIS (por sus siglas en ingl</w:t>
      </w:r>
      <w:r w:rsidR="008405C9">
        <w:rPr>
          <w:rFonts w:eastAsia="Calibri"/>
          <w:lang w:val="es-PE" w:eastAsia="en-US"/>
        </w:rPr>
        <w:t>é</w:t>
      </w:r>
      <w:r w:rsidR="00C8443F" w:rsidRPr="00092053">
        <w:rPr>
          <w:rFonts w:eastAsia="Calibri"/>
          <w:lang w:val="es-PE" w:eastAsia="en-US"/>
        </w:rPr>
        <w:t>s), para contar, a nivel nacional, con las estadísticas de las solicitudes pr</w:t>
      </w:r>
      <w:r w:rsidR="000900D3" w:rsidRPr="00092053">
        <w:rPr>
          <w:rFonts w:eastAsia="Calibri"/>
          <w:lang w:val="es-PE" w:eastAsia="en-US"/>
        </w:rPr>
        <w:t>esentadas y los casos atendidos</w:t>
      </w:r>
      <w:r w:rsidR="00C8443F" w:rsidRPr="00092053">
        <w:rPr>
          <w:rFonts w:eastAsia="Calibri"/>
          <w:vertAlign w:val="superscript"/>
          <w:lang w:val="es-PE" w:eastAsia="en-US"/>
        </w:rPr>
        <w:footnoteReference w:id="257"/>
      </w:r>
      <w:r w:rsidR="000900D3"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251.</w:t>
      </w:r>
      <w:r w:rsidRPr="00574AEE">
        <w:rPr>
          <w:rFonts w:eastAsia="Calibri"/>
          <w:lang w:val="es-PE" w:eastAsia="en-US"/>
        </w:rPr>
        <w:tab/>
      </w:r>
      <w:r w:rsidR="00C8443F" w:rsidRPr="00092053">
        <w:rPr>
          <w:rFonts w:eastAsia="Calibri"/>
          <w:lang w:val="es-PE" w:eastAsia="en-US"/>
        </w:rPr>
        <w:t>Cabe resaltar, que en los casos de violencia sexual, los establecimientos de salud están obligados a informar sobre el derecho a recibir tratamiento frente a infecciones de transmisión sexual, antiretrovirales, anticoncep</w:t>
      </w:r>
      <w:r w:rsidR="000900D3" w:rsidRPr="00092053">
        <w:rPr>
          <w:rFonts w:eastAsia="Calibri"/>
          <w:lang w:val="es-PE" w:eastAsia="en-US"/>
        </w:rPr>
        <w:t>tivo oral de emergencia y otros</w:t>
      </w:r>
      <w:r w:rsidR="00C8443F" w:rsidRPr="00092053">
        <w:rPr>
          <w:rFonts w:eastAsia="Calibri"/>
          <w:vertAlign w:val="superscript"/>
          <w:lang w:val="es-PE" w:eastAsia="en-US"/>
        </w:rPr>
        <w:footnoteReference w:id="258"/>
      </w:r>
      <w:r w:rsidR="000900D3"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252.</w:t>
      </w:r>
      <w:r w:rsidRPr="00574AEE">
        <w:rPr>
          <w:rFonts w:eastAsia="Calibri"/>
          <w:lang w:val="es-PE" w:eastAsia="en-US"/>
        </w:rPr>
        <w:tab/>
      </w:r>
      <w:r w:rsidR="00C8443F" w:rsidRPr="00092053">
        <w:rPr>
          <w:rFonts w:eastAsia="Calibri"/>
          <w:lang w:val="es-PE" w:eastAsia="en-US"/>
        </w:rPr>
        <w:t>Por otra parte, el 23 de agosto de 2016, el Primer Juzgado Constitucional de Lima dispuso, a través de una medida cautelar, que se haga efectiva la entrega gratuita del anticonceptivo oral de emergencia (AOE) en los centros de salud públicos del país.</w:t>
      </w:r>
    </w:p>
    <w:p w:rsidR="002A208C" w:rsidRPr="00092053" w:rsidRDefault="00092053" w:rsidP="00574AEE">
      <w:pPr>
        <w:pStyle w:val="SingleTxtG"/>
        <w:rPr>
          <w:rFonts w:eastAsia="Calibri"/>
          <w:lang w:val="es-PE" w:eastAsia="en-US"/>
        </w:rPr>
      </w:pPr>
      <w:r w:rsidRPr="00574AEE">
        <w:rPr>
          <w:rFonts w:eastAsia="Calibri"/>
          <w:lang w:val="es-PE" w:eastAsia="en-US"/>
        </w:rPr>
        <w:t>253.</w:t>
      </w:r>
      <w:r w:rsidRPr="00574AEE">
        <w:rPr>
          <w:rFonts w:eastAsia="Calibri"/>
          <w:lang w:val="es-PE" w:eastAsia="en-US"/>
        </w:rPr>
        <w:tab/>
      </w:r>
      <w:r w:rsidR="00C8443F" w:rsidRPr="00092053">
        <w:rPr>
          <w:rFonts w:eastAsia="Calibri"/>
          <w:lang w:val="es-PE" w:eastAsia="en-US"/>
        </w:rPr>
        <w:t>Adicionalmente, el MINEDU y el MIMP vienen ejecutando, el proyecto “Intervención para la prevención de la violencia familiar, y sexual, embarazo adolescente y trata de personas con fines de explotación sexual” (2016-2017), en el que participan 171 instituciones a nivel nacional, desarrollando una sección de sexualidad y de prevención de violencia sexual en cada uno de los cinco</w:t>
      </w:r>
      <w:r w:rsidR="000900D3" w:rsidRPr="00092053">
        <w:rPr>
          <w:rFonts w:eastAsia="Calibri"/>
          <w:lang w:val="es-PE" w:eastAsia="en-US"/>
        </w:rPr>
        <w:t xml:space="preserve"> grados de educación secundaria</w:t>
      </w:r>
      <w:r w:rsidR="00C8443F" w:rsidRPr="00092053">
        <w:rPr>
          <w:rFonts w:eastAsia="Calibri"/>
          <w:vertAlign w:val="superscript"/>
          <w:lang w:val="es-PE" w:eastAsia="en-US"/>
        </w:rPr>
        <w:footnoteReference w:id="259"/>
      </w:r>
      <w:r w:rsidR="000900D3" w:rsidRPr="00092053">
        <w:rPr>
          <w:rFonts w:eastAsia="Calibri"/>
          <w:lang w:val="es-PE" w:eastAsia="en-US"/>
        </w:rPr>
        <w:t>.</w:t>
      </w:r>
    </w:p>
    <w:p w:rsidR="002A208C" w:rsidRPr="00574AEE" w:rsidRDefault="004F7B54" w:rsidP="00574AEE">
      <w:pPr>
        <w:pStyle w:val="HChG"/>
        <w:rPr>
          <w:rFonts w:eastAsia="Calibri"/>
          <w:lang w:val="es-PE" w:eastAsia="en-US"/>
        </w:rPr>
      </w:pPr>
      <w:bookmarkStart w:id="264" w:name="_Toc468627334"/>
      <w:bookmarkStart w:id="265" w:name="_Toc468642626"/>
      <w:bookmarkStart w:id="266" w:name="_Toc468721297"/>
      <w:bookmarkStart w:id="267" w:name="_Toc471137695"/>
      <w:bookmarkStart w:id="268" w:name="_Toc472097482"/>
      <w:bookmarkStart w:id="269" w:name="_Toc484774105"/>
      <w:r w:rsidRPr="00FA45BC">
        <w:rPr>
          <w:rFonts w:eastAsia="Calibri"/>
          <w:lang w:val="es-PE" w:eastAsia="en-US"/>
        </w:rPr>
        <w:tab/>
        <w:t>III</w:t>
      </w:r>
      <w:r w:rsidR="00234021" w:rsidRPr="002C565A">
        <w:rPr>
          <w:rFonts w:eastAsia="Calibri"/>
          <w:lang w:val="es-PE" w:eastAsia="en-US"/>
        </w:rPr>
        <w:t>.</w:t>
      </w:r>
      <w:r w:rsidRPr="00574AEE">
        <w:rPr>
          <w:rFonts w:eastAsia="Calibri"/>
          <w:lang w:val="es-PE" w:eastAsia="en-US"/>
        </w:rPr>
        <w:tab/>
      </w:r>
      <w:r w:rsidR="00C8443F" w:rsidRPr="00574AEE">
        <w:rPr>
          <w:rFonts w:eastAsia="Calibri"/>
          <w:lang w:val="es-PE" w:eastAsia="en-US"/>
        </w:rPr>
        <w:t>Otras cuestiones</w:t>
      </w:r>
      <w:bookmarkEnd w:id="264"/>
      <w:bookmarkEnd w:id="265"/>
      <w:bookmarkEnd w:id="266"/>
      <w:bookmarkEnd w:id="267"/>
      <w:bookmarkEnd w:id="268"/>
      <w:bookmarkEnd w:id="269"/>
    </w:p>
    <w:p w:rsidR="00C8443F" w:rsidRPr="00092053" w:rsidRDefault="004F7B54" w:rsidP="004F7B54">
      <w:pPr>
        <w:pStyle w:val="H23G"/>
        <w:rPr>
          <w:rFonts w:eastAsia="Calibri"/>
          <w:lang w:val="es-PE" w:eastAsia="en-US"/>
        </w:rPr>
      </w:pPr>
      <w:bookmarkStart w:id="270" w:name="_Toc468721298"/>
      <w:bookmarkStart w:id="271" w:name="_Toc471137696"/>
      <w:bookmarkStart w:id="272" w:name="_Toc472097483"/>
      <w:bookmarkStart w:id="273" w:name="_Toc484774106"/>
      <w:bookmarkStart w:id="274" w:name="_Toc468627335"/>
      <w:bookmarkStart w:id="275" w:name="_Toc468642627"/>
      <w:r w:rsidRPr="00092053">
        <w:rPr>
          <w:rFonts w:eastAsia="Calibri"/>
          <w:lang w:val="es-PE" w:eastAsia="en-US"/>
        </w:rPr>
        <w:tab/>
      </w:r>
      <w:r w:rsidRPr="00092053">
        <w:rPr>
          <w:rFonts w:eastAsia="Calibri"/>
          <w:lang w:val="es-PE" w:eastAsia="en-US"/>
        </w:rPr>
        <w:tab/>
      </w:r>
      <w:r w:rsidR="00C8443F" w:rsidRPr="00092053">
        <w:rPr>
          <w:rFonts w:eastAsia="Calibri"/>
          <w:lang w:val="es-PE" w:eastAsia="en-US"/>
        </w:rPr>
        <w:t>Respuesta al párrafo 41</w:t>
      </w:r>
      <w:bookmarkEnd w:id="270"/>
      <w:bookmarkEnd w:id="271"/>
      <w:bookmarkEnd w:id="272"/>
      <w:bookmarkEnd w:id="273"/>
      <w:r w:rsidR="00C8443F" w:rsidRPr="00092053">
        <w:rPr>
          <w:rFonts w:eastAsia="Calibri"/>
          <w:lang w:val="es-PE" w:eastAsia="en-US"/>
        </w:rPr>
        <w:t xml:space="preserve"> </w:t>
      </w:r>
      <w:bookmarkEnd w:id="274"/>
      <w:bookmarkEnd w:id="275"/>
    </w:p>
    <w:p w:rsidR="002A208C" w:rsidRPr="00092053" w:rsidRDefault="00092053" w:rsidP="00574AEE">
      <w:pPr>
        <w:pStyle w:val="SingleTxtG"/>
        <w:rPr>
          <w:rFonts w:eastAsia="Calibri"/>
          <w:lang w:val="es-PE" w:eastAsia="en-US"/>
        </w:rPr>
      </w:pPr>
      <w:r w:rsidRPr="00574AEE">
        <w:rPr>
          <w:rFonts w:eastAsia="Calibri"/>
          <w:lang w:val="es-PE" w:eastAsia="en-US"/>
        </w:rPr>
        <w:t>254.</w:t>
      </w:r>
      <w:r w:rsidRPr="00574AEE">
        <w:rPr>
          <w:rFonts w:eastAsia="Calibri"/>
          <w:lang w:val="es-PE" w:eastAsia="en-US"/>
        </w:rPr>
        <w:tab/>
      </w:r>
      <w:r w:rsidR="00C8443F" w:rsidRPr="00092053">
        <w:rPr>
          <w:rFonts w:eastAsia="Calibri"/>
          <w:lang w:val="es-PE" w:eastAsia="en-US"/>
        </w:rPr>
        <w:t xml:space="preserve">La División de Investigación de Terrorismo Internacional de la Dirección Ejecutiva contra el Terrorismo de la PNP, ejecuta diversas operaciones de inteligencia e intercambia información operacional con homólogos extranjeros, especialmente, en relación con las actividades y/o movimientos considerados terroristas. Se cruza información con diferentes </w:t>
      </w:r>
      <w:r w:rsidR="00C8443F" w:rsidRPr="00092053">
        <w:rPr>
          <w:rFonts w:eastAsia="Calibri"/>
          <w:lang w:val="es-PE" w:eastAsia="en-US"/>
        </w:rPr>
        <w:lastRenderedPageBreak/>
        <w:t>departamentos de la PNP, agencias de inteligencia y otros aparatos gubernamentales extranjeros. También, se efectúan acciones de inteligencia y control migratorio en forma conjunta con el personal de la Oficina de Control Migratorio del Aeropuerto Internacional Jorge Chávez y del puerto del Callao, tendentes a detectar bajo las alertas de arribo, el ingreso al país de presuntos integrantes de organizaciones terroristas in</w:t>
      </w:r>
      <w:r w:rsidR="000900D3" w:rsidRPr="00092053">
        <w:rPr>
          <w:rFonts w:eastAsia="Calibri"/>
          <w:lang w:val="es-PE" w:eastAsia="en-US"/>
        </w:rPr>
        <w:t>ternacionales</w:t>
      </w:r>
      <w:r w:rsidR="00C8443F" w:rsidRPr="00092053">
        <w:rPr>
          <w:rFonts w:eastAsia="Calibri"/>
          <w:vertAlign w:val="superscript"/>
          <w:lang w:val="es-PE" w:eastAsia="en-US"/>
        </w:rPr>
        <w:footnoteReference w:id="260"/>
      </w:r>
      <w:r w:rsidR="000900D3"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255.</w:t>
      </w:r>
      <w:r w:rsidRPr="00574AEE">
        <w:rPr>
          <w:rFonts w:eastAsia="Calibri"/>
          <w:lang w:val="es-PE" w:eastAsia="en-US"/>
        </w:rPr>
        <w:tab/>
      </w:r>
      <w:r w:rsidR="00C8443F" w:rsidRPr="00092053">
        <w:rPr>
          <w:rFonts w:eastAsia="Calibri"/>
          <w:lang w:val="es-PE" w:eastAsia="en-US"/>
        </w:rPr>
        <w:t xml:space="preserve">Asimismo, la Dirección Ejecutiva Contra el Terrorismo, ha constituido el Departamento de Investigación de Armas de Destrucción Masiva, que tiene a su cargo las investigaciones de delitos que involucren la manipulación, utilización y tráfico ilícito de armas biológicas, químicas, </w:t>
      </w:r>
      <w:r w:rsidR="000900D3" w:rsidRPr="00092053">
        <w:rPr>
          <w:rFonts w:eastAsia="Calibri"/>
          <w:lang w:val="es-PE" w:eastAsia="en-US"/>
        </w:rPr>
        <w:t>material nuclear y/o radiactivo</w:t>
      </w:r>
      <w:r w:rsidR="00C8443F" w:rsidRPr="00092053">
        <w:rPr>
          <w:rFonts w:eastAsia="Calibri"/>
          <w:vertAlign w:val="superscript"/>
          <w:lang w:val="es-PE" w:eastAsia="en-US"/>
        </w:rPr>
        <w:footnoteReference w:id="261"/>
      </w:r>
      <w:r w:rsidR="000900D3" w:rsidRPr="00092053">
        <w:rPr>
          <w:rFonts w:eastAsia="Calibri"/>
          <w:lang w:val="es-PE" w:eastAsia="en-US"/>
        </w:rPr>
        <w:t>.</w:t>
      </w:r>
      <w:r w:rsidR="00C8443F" w:rsidRPr="00092053">
        <w:rPr>
          <w:rFonts w:eastAsia="Calibri"/>
          <w:lang w:val="es-PE" w:eastAsia="en-US"/>
        </w:rPr>
        <w:t xml:space="preserve"> </w:t>
      </w:r>
    </w:p>
    <w:p w:rsidR="002A208C" w:rsidRPr="00092053" w:rsidRDefault="00092053" w:rsidP="00574AEE">
      <w:pPr>
        <w:pStyle w:val="SingleTxtG"/>
        <w:rPr>
          <w:rFonts w:eastAsia="Calibri"/>
          <w:lang w:val="es-PE" w:eastAsia="en-US"/>
        </w:rPr>
      </w:pPr>
      <w:r w:rsidRPr="00574AEE">
        <w:rPr>
          <w:rFonts w:eastAsia="Calibri"/>
          <w:lang w:val="es-PE" w:eastAsia="en-US"/>
        </w:rPr>
        <w:t>256.</w:t>
      </w:r>
      <w:r w:rsidRPr="00574AEE">
        <w:rPr>
          <w:rFonts w:eastAsia="Calibri"/>
          <w:lang w:val="es-PE" w:eastAsia="en-US"/>
        </w:rPr>
        <w:tab/>
      </w:r>
      <w:r w:rsidR="00C8443F" w:rsidRPr="00092053">
        <w:rPr>
          <w:rFonts w:eastAsia="Calibri"/>
          <w:lang w:val="es-PE" w:eastAsia="en-US"/>
        </w:rPr>
        <w:t xml:space="preserve">De otro lado, el MIMP aprobó el “Protocolo para la atención a personas y familias rescatadas de grupos terroristas”, mediante Decreto Supremo </w:t>
      </w:r>
      <w:r w:rsidR="00CD52E7">
        <w:rPr>
          <w:rFonts w:eastAsia="Calibri"/>
          <w:lang w:val="es-ES_tradnl"/>
        </w:rPr>
        <w:t>núm.</w:t>
      </w:r>
      <w:r w:rsidR="00C8443F" w:rsidRPr="00092053">
        <w:rPr>
          <w:rFonts w:eastAsia="Calibri"/>
          <w:lang w:val="es-PE" w:eastAsia="en-US"/>
        </w:rPr>
        <w:t xml:space="preserve"> 010-2016-MIMP</w:t>
      </w:r>
      <w:r w:rsidR="00C8443F" w:rsidRPr="00092053">
        <w:rPr>
          <w:rFonts w:eastAsia="Calibri"/>
          <w:vertAlign w:val="superscript"/>
          <w:lang w:val="es-PE" w:eastAsia="en-US"/>
        </w:rPr>
        <w:footnoteReference w:id="262"/>
      </w:r>
      <w:r w:rsidR="00C8443F" w:rsidRPr="00092053">
        <w:rPr>
          <w:rFonts w:eastAsia="Calibri"/>
          <w:lang w:val="es-PE" w:eastAsia="en-US"/>
        </w:rPr>
        <w:t>, que promueve la coordinación multisectorial de diversos actores (miembros de las FFAA, PNP, MIMP y MP), con el objeto de establecer las funciones y los alcances de una intervención sectorial que garantice la recuperación del ejercicio de los derechos y la autonomía de las personas, incluidos niñas, niños y familias rescatadas del terrorismo.</w:t>
      </w:r>
      <w:r w:rsidR="00C8443F" w:rsidRPr="00092053">
        <w:rPr>
          <w:rFonts w:eastAsia="Calibri"/>
          <w:vertAlign w:val="superscript"/>
          <w:lang w:val="es-PE" w:eastAsia="en-US"/>
        </w:rPr>
        <w:t xml:space="preserve"> </w:t>
      </w:r>
    </w:p>
    <w:p w:rsidR="002A208C" w:rsidRPr="00574AEE" w:rsidRDefault="004F7B54" w:rsidP="00574AEE">
      <w:pPr>
        <w:pStyle w:val="HChG"/>
        <w:rPr>
          <w:rFonts w:eastAsia="Calibri"/>
          <w:lang w:val="es-PE" w:eastAsia="en-US"/>
        </w:rPr>
      </w:pPr>
      <w:bookmarkStart w:id="276" w:name="_Toc468627336"/>
      <w:bookmarkStart w:id="277" w:name="_Toc468642628"/>
      <w:bookmarkStart w:id="278" w:name="_Toc468721299"/>
      <w:bookmarkStart w:id="279" w:name="_Toc471137697"/>
      <w:bookmarkStart w:id="280" w:name="_Toc472097484"/>
      <w:bookmarkStart w:id="281" w:name="_Toc484774107"/>
      <w:r w:rsidRPr="00FA45BC">
        <w:rPr>
          <w:rFonts w:eastAsia="Calibri"/>
          <w:lang w:val="es-PE" w:eastAsia="en-US"/>
        </w:rPr>
        <w:tab/>
        <w:t>IV</w:t>
      </w:r>
      <w:r w:rsidR="00234021" w:rsidRPr="002C565A">
        <w:rPr>
          <w:rFonts w:eastAsia="Calibri"/>
          <w:lang w:val="es-PE" w:eastAsia="en-US"/>
        </w:rPr>
        <w:t>.</w:t>
      </w:r>
      <w:r w:rsidRPr="00574AEE">
        <w:rPr>
          <w:rFonts w:eastAsia="Calibri"/>
          <w:lang w:val="es-PE" w:eastAsia="en-US"/>
        </w:rPr>
        <w:tab/>
      </w:r>
      <w:r w:rsidR="00C8443F" w:rsidRPr="00574AEE">
        <w:rPr>
          <w:rFonts w:eastAsia="Calibri"/>
          <w:lang w:val="es-PE" w:eastAsia="en-US"/>
        </w:rPr>
        <w:t xml:space="preserve">Información sobre otras medidas y acontecimientos </w:t>
      </w:r>
      <w:r w:rsidR="00234021" w:rsidRPr="00574AEE">
        <w:rPr>
          <w:rFonts w:eastAsia="Calibri"/>
          <w:lang w:val="es-PE" w:eastAsia="en-US"/>
        </w:rPr>
        <w:br/>
      </w:r>
      <w:r w:rsidR="00C8443F" w:rsidRPr="00574AEE">
        <w:rPr>
          <w:rFonts w:eastAsia="Calibri"/>
          <w:lang w:val="es-PE" w:eastAsia="en-US"/>
        </w:rPr>
        <w:t>relativos a la aplicación de la Convención</w:t>
      </w:r>
      <w:bookmarkEnd w:id="276"/>
      <w:bookmarkEnd w:id="277"/>
      <w:bookmarkEnd w:id="278"/>
      <w:bookmarkEnd w:id="279"/>
      <w:bookmarkEnd w:id="280"/>
      <w:bookmarkEnd w:id="281"/>
    </w:p>
    <w:p w:rsidR="002A208C" w:rsidRPr="00092053" w:rsidRDefault="00092053" w:rsidP="00574AEE">
      <w:pPr>
        <w:pStyle w:val="SingleTxtG"/>
        <w:rPr>
          <w:rFonts w:eastAsia="Calibri"/>
          <w:bCs/>
          <w:lang w:val="es-PE" w:eastAsia="en-US"/>
        </w:rPr>
      </w:pPr>
      <w:r w:rsidRPr="00574AEE">
        <w:rPr>
          <w:rFonts w:eastAsia="Calibri"/>
          <w:bCs/>
          <w:lang w:val="es-PE" w:eastAsia="en-US"/>
        </w:rPr>
        <w:t>257.</w:t>
      </w:r>
      <w:r w:rsidRPr="00574AEE">
        <w:rPr>
          <w:rFonts w:eastAsia="Calibri"/>
          <w:bCs/>
          <w:lang w:val="es-PE" w:eastAsia="en-US"/>
        </w:rPr>
        <w:tab/>
      </w:r>
      <w:r w:rsidR="00C8443F" w:rsidRPr="00092053">
        <w:rPr>
          <w:rFonts w:eastAsia="Calibri"/>
          <w:bCs/>
          <w:lang w:val="es-PE" w:eastAsia="en-US"/>
        </w:rPr>
        <w:t xml:space="preserve">El Estado </w:t>
      </w:r>
      <w:r w:rsidR="00C8443F" w:rsidRPr="00092053">
        <w:rPr>
          <w:rFonts w:eastAsia="Calibri"/>
          <w:lang w:val="es-PE" w:eastAsia="en-US"/>
        </w:rPr>
        <w:t>peruano</w:t>
      </w:r>
      <w:r w:rsidR="00C8443F" w:rsidRPr="00092053">
        <w:rPr>
          <w:rFonts w:eastAsia="Calibri"/>
          <w:bCs/>
          <w:lang w:val="es-PE" w:eastAsia="en-US"/>
        </w:rPr>
        <w:t xml:space="preserve">, recientemente, ratificó </w:t>
      </w:r>
      <w:r w:rsidR="00C8443F" w:rsidRPr="00092053">
        <w:rPr>
          <w:rFonts w:eastAsia="Calibri"/>
          <w:lang w:val="es-PE" w:eastAsia="en-US"/>
        </w:rPr>
        <w:t>el Acuerdo sobre los Privilegios e Inmunidades de la Corte Penal Internacional</w:t>
      </w:r>
      <w:r w:rsidR="00C8443F" w:rsidRPr="00092053">
        <w:rPr>
          <w:rFonts w:eastAsia="Calibri"/>
          <w:vertAlign w:val="superscript"/>
          <w:lang w:val="es-PE" w:eastAsia="en-US"/>
        </w:rPr>
        <w:footnoteReference w:id="263"/>
      </w:r>
      <w:r w:rsidR="00C8443F" w:rsidRPr="00092053">
        <w:rPr>
          <w:rFonts w:eastAsia="Calibri"/>
          <w:lang w:val="es-PE" w:eastAsia="en-US"/>
        </w:rPr>
        <w:t>, a través del cual da cumplimiento al artículo 48° del Estatuto de Roma.</w:t>
      </w:r>
    </w:p>
    <w:p w:rsidR="002A208C" w:rsidRPr="00092053" w:rsidRDefault="00092053" w:rsidP="00574AEE">
      <w:pPr>
        <w:pStyle w:val="SingleTxtG"/>
        <w:rPr>
          <w:rFonts w:eastAsia="Calibri"/>
          <w:bCs/>
          <w:lang w:val="es-PE" w:eastAsia="en-US"/>
        </w:rPr>
      </w:pPr>
      <w:r w:rsidRPr="00574AEE">
        <w:rPr>
          <w:rFonts w:eastAsia="Calibri"/>
          <w:bCs/>
          <w:lang w:val="es-PE" w:eastAsia="en-US"/>
        </w:rPr>
        <w:t>258.</w:t>
      </w:r>
      <w:r w:rsidRPr="00574AEE">
        <w:rPr>
          <w:rFonts w:eastAsia="Calibri"/>
          <w:bCs/>
          <w:lang w:val="es-PE" w:eastAsia="en-US"/>
        </w:rPr>
        <w:tab/>
      </w:r>
      <w:r w:rsidR="00C8443F" w:rsidRPr="00092053">
        <w:rPr>
          <w:rFonts w:eastAsia="Calibri"/>
          <w:bCs/>
          <w:lang w:val="es-PE" w:eastAsia="en-US"/>
        </w:rPr>
        <w:t xml:space="preserve">Asimismo, </w:t>
      </w:r>
      <w:r w:rsidR="00C8443F" w:rsidRPr="00092053">
        <w:rPr>
          <w:rFonts w:eastAsia="Calibri"/>
          <w:lang w:val="es-PE" w:eastAsia="en-US"/>
        </w:rPr>
        <w:t>formuló</w:t>
      </w:r>
      <w:r w:rsidR="00C8443F" w:rsidRPr="00092053">
        <w:rPr>
          <w:rFonts w:eastAsia="Calibri"/>
          <w:bCs/>
          <w:lang w:val="es-PE" w:eastAsia="en-US"/>
        </w:rPr>
        <w:t xml:space="preserve"> la </w:t>
      </w:r>
      <w:r w:rsidR="00C8443F" w:rsidRPr="00092053">
        <w:rPr>
          <w:rFonts w:eastAsia="Calibri"/>
          <w:lang w:val="es-PE" w:eastAsia="en-US"/>
        </w:rPr>
        <w:t>Declaración de Reconocimiento de la Competencia del Comité contra la Desaparición Forzada en virtud del artículo 31° de la Convención para la Protección de Todas las Personas contra las Desapariciones Forzadas</w:t>
      </w:r>
      <w:r w:rsidR="00C8443F" w:rsidRPr="00092053">
        <w:rPr>
          <w:rFonts w:eastAsia="Calibri"/>
          <w:vertAlign w:val="superscript"/>
          <w:lang w:val="es-PE" w:eastAsia="en-US"/>
        </w:rPr>
        <w:footnoteReference w:id="264"/>
      </w:r>
      <w:r w:rsidR="00C8443F" w:rsidRPr="00092053">
        <w:rPr>
          <w:rFonts w:eastAsia="Calibri"/>
          <w:lang w:val="es-PE" w:eastAsia="en-US"/>
        </w:rPr>
        <w:t>, a efectos de que el referido comité tenga competencia para recibir y examinar las comunicaciones presentadas por personas que alegan ser víctimas de violaciones.</w:t>
      </w:r>
    </w:p>
    <w:p w:rsidR="002A208C" w:rsidRPr="00092053" w:rsidRDefault="00092053" w:rsidP="00574AEE">
      <w:pPr>
        <w:pStyle w:val="SingleTxtG"/>
        <w:rPr>
          <w:rFonts w:eastAsia="Calibri"/>
          <w:lang w:val="es-PE" w:eastAsia="en-US"/>
        </w:rPr>
      </w:pPr>
      <w:r w:rsidRPr="00574AEE">
        <w:rPr>
          <w:rFonts w:eastAsia="Calibri"/>
          <w:lang w:val="es-PE" w:eastAsia="en-US"/>
        </w:rPr>
        <w:t>259.</w:t>
      </w:r>
      <w:r w:rsidRPr="00574AEE">
        <w:rPr>
          <w:rFonts w:eastAsia="Calibri"/>
          <w:lang w:val="es-PE" w:eastAsia="en-US"/>
        </w:rPr>
        <w:tab/>
      </w:r>
      <w:r w:rsidR="00C8443F" w:rsidRPr="00092053">
        <w:rPr>
          <w:rFonts w:eastAsia="Calibri"/>
          <w:lang w:val="es-PE" w:eastAsia="en-US"/>
        </w:rPr>
        <w:t>Asimismo, ratificó el Protocolo Facultativo de la Convención sobre los Derechos del Niño relativo a un Procedimiento de Comunicaciones</w:t>
      </w:r>
      <w:r w:rsidR="00C8443F" w:rsidRPr="00092053">
        <w:rPr>
          <w:rFonts w:eastAsia="Calibri"/>
          <w:vertAlign w:val="superscript"/>
          <w:lang w:val="es-PE" w:eastAsia="en-US"/>
        </w:rPr>
        <w:footnoteReference w:id="265"/>
      </w:r>
      <w:r w:rsidR="00C8443F" w:rsidRPr="00092053">
        <w:rPr>
          <w:rFonts w:eastAsia="Calibri"/>
          <w:lang w:val="es-PE" w:eastAsia="en-US"/>
        </w:rPr>
        <w:t>, mediante el cual se reconoce la competencia del Comité de los Derechos del Niño para recibir comunicaciones y emitir un pronunciamiento sobre la cuestión de fondo respecto de las violaciones ocurridas después de la entrada en vigor del referido Protocolo, de cualquiera de los derechos enunciados en la Convención sobre los Derechos del Niño</w:t>
      </w:r>
      <w:r w:rsidR="00C8443F" w:rsidRPr="00092053">
        <w:rPr>
          <w:rFonts w:eastAsia="Calibri"/>
          <w:vertAlign w:val="superscript"/>
          <w:lang w:val="es-PE" w:eastAsia="en-US"/>
        </w:rPr>
        <w:footnoteReference w:id="266"/>
      </w:r>
      <w:r w:rsidR="00C8443F" w:rsidRPr="00092053">
        <w:rPr>
          <w:rFonts w:eastAsia="Calibri"/>
          <w:lang w:val="es-PE" w:eastAsia="en-US"/>
        </w:rPr>
        <w:t xml:space="preserve"> y en sus dos p</w:t>
      </w:r>
      <w:r w:rsidR="000900D3" w:rsidRPr="00092053">
        <w:rPr>
          <w:rFonts w:eastAsia="Calibri"/>
          <w:lang w:val="es-PE" w:eastAsia="en-US"/>
        </w:rPr>
        <w:t>rimeros Protocolos Facultativos</w:t>
      </w:r>
      <w:r w:rsidR="00C8443F" w:rsidRPr="00092053">
        <w:rPr>
          <w:rFonts w:eastAsia="Calibri"/>
          <w:vertAlign w:val="superscript"/>
          <w:lang w:val="es-PE" w:eastAsia="en-US"/>
        </w:rPr>
        <w:footnoteReference w:id="267"/>
      </w:r>
      <w:r w:rsidR="000900D3" w:rsidRPr="00092053">
        <w:rPr>
          <w:rFonts w:eastAsia="Calibri"/>
          <w:lang w:val="es-PE" w:eastAsia="en-US"/>
        </w:rPr>
        <w:t>.</w:t>
      </w:r>
    </w:p>
    <w:p w:rsidR="002A208C" w:rsidRPr="00092053" w:rsidRDefault="00092053" w:rsidP="00574AEE">
      <w:pPr>
        <w:pStyle w:val="SingleTxtG"/>
        <w:rPr>
          <w:rFonts w:eastAsia="Calibri"/>
          <w:lang w:val="es-ES_tradnl"/>
        </w:rPr>
      </w:pPr>
      <w:r w:rsidRPr="00574AEE">
        <w:rPr>
          <w:rFonts w:eastAsia="Calibri"/>
          <w:lang w:val="es-ES_tradnl"/>
        </w:rPr>
        <w:t>260.</w:t>
      </w:r>
      <w:r w:rsidRPr="00574AEE">
        <w:rPr>
          <w:rFonts w:eastAsia="Calibri"/>
          <w:lang w:val="es-ES_tradnl"/>
        </w:rPr>
        <w:tab/>
      </w:r>
      <w:r w:rsidR="00C8443F" w:rsidRPr="00092053">
        <w:rPr>
          <w:rFonts w:eastAsia="Calibri"/>
          <w:lang w:val="es-ES_tradnl"/>
        </w:rPr>
        <w:t xml:space="preserve">Cabe destacar la reciente aprobación de la Ley </w:t>
      </w:r>
      <w:r w:rsidR="00CD52E7">
        <w:rPr>
          <w:rFonts w:eastAsia="Calibri"/>
          <w:lang w:val="es-ES_tradnl"/>
        </w:rPr>
        <w:t>núm.</w:t>
      </w:r>
      <w:r w:rsidR="00C8443F" w:rsidRPr="00092053">
        <w:rPr>
          <w:rFonts w:eastAsia="Calibri"/>
          <w:lang w:val="es-ES_tradnl"/>
        </w:rPr>
        <w:t xml:space="preserve"> 30466, cuyo objetivo es establecer parámetros y garantías procesales para la consideración primordial del interés superior del niño en los procesos y </w:t>
      </w:r>
      <w:r w:rsidR="00C8443F" w:rsidRPr="00092053">
        <w:rPr>
          <w:rFonts w:eastAsia="Calibri"/>
          <w:lang w:val="es-PE" w:eastAsia="en-US"/>
        </w:rPr>
        <w:t>procedimientos</w:t>
      </w:r>
      <w:r w:rsidR="00C8443F" w:rsidRPr="00092053">
        <w:rPr>
          <w:rFonts w:eastAsia="Calibri"/>
          <w:lang w:val="es-ES_tradnl"/>
        </w:rPr>
        <w:t xml:space="preserve"> en los que estén inmersos los derechos de los niños y adolescentes en el marco de la Convención sobre los Derechos del Niño de </w:t>
      </w:r>
      <w:r w:rsidR="00C8443F" w:rsidRPr="00092053">
        <w:rPr>
          <w:rFonts w:eastAsia="Calibri"/>
          <w:lang w:val="es-ES_tradnl"/>
        </w:rPr>
        <w:lastRenderedPageBreak/>
        <w:t>las Naciones Unidas y su Observación General 14 y el artículo I</w:t>
      </w:r>
      <w:r w:rsidR="000900D3" w:rsidRPr="00092053">
        <w:rPr>
          <w:rFonts w:eastAsia="Calibri"/>
          <w:lang w:val="es-ES_tradnl"/>
        </w:rPr>
        <w:t>X del Título Preliminar del</w:t>
      </w:r>
      <w:r w:rsidR="003461EA">
        <w:rPr>
          <w:rFonts w:eastAsia="Calibri"/>
          <w:lang w:val="es-ES_tradnl"/>
        </w:rPr>
        <w:t> </w:t>
      </w:r>
      <w:r w:rsidR="000900D3" w:rsidRPr="00092053">
        <w:rPr>
          <w:rFonts w:eastAsia="Calibri"/>
          <w:lang w:val="es-ES_tradnl"/>
        </w:rPr>
        <w:t>CNA</w:t>
      </w:r>
      <w:r w:rsidR="00C8443F" w:rsidRPr="00092053">
        <w:rPr>
          <w:rFonts w:eastAsia="Calibri"/>
          <w:vertAlign w:val="superscript"/>
          <w:lang w:val="es-ES_tradnl"/>
        </w:rPr>
        <w:footnoteReference w:id="268"/>
      </w:r>
      <w:r w:rsidR="000900D3" w:rsidRPr="00092053">
        <w:rPr>
          <w:rFonts w:eastAsia="Calibri"/>
          <w:lang w:val="es-ES_tradnl"/>
        </w:rPr>
        <w:t>.</w:t>
      </w:r>
    </w:p>
    <w:p w:rsidR="002A208C" w:rsidRPr="00092053" w:rsidRDefault="00092053" w:rsidP="00574AEE">
      <w:pPr>
        <w:pStyle w:val="SingleTxtG"/>
        <w:rPr>
          <w:rFonts w:eastAsia="Calibri"/>
          <w:lang w:val="es-PE" w:eastAsia="en-US"/>
        </w:rPr>
      </w:pPr>
      <w:r w:rsidRPr="00574AEE">
        <w:rPr>
          <w:rFonts w:eastAsia="Calibri"/>
          <w:lang w:val="es-PE" w:eastAsia="en-US"/>
        </w:rPr>
        <w:t>261.</w:t>
      </w:r>
      <w:r w:rsidRPr="00574AEE">
        <w:rPr>
          <w:rFonts w:eastAsia="Calibri"/>
          <w:lang w:val="es-PE" w:eastAsia="en-US"/>
        </w:rPr>
        <w:tab/>
      </w:r>
      <w:r w:rsidR="00C8443F" w:rsidRPr="00092053">
        <w:rPr>
          <w:rFonts w:eastAsia="Calibri"/>
          <w:lang w:val="es-PE" w:eastAsia="en-US"/>
        </w:rPr>
        <w:t>Asimismo, se ha establecido en el Reglamento de Organización y Funciones del Ministerio de Defensa, como función de la Secretaría General, promover, entre otras, acciones para la transversalización de los enfoques de derechos huma</w:t>
      </w:r>
      <w:r w:rsidR="000900D3" w:rsidRPr="00092053">
        <w:rPr>
          <w:rFonts w:eastAsia="Calibri"/>
          <w:lang w:val="es-PE" w:eastAsia="en-US"/>
        </w:rPr>
        <w:t>nos, género e interculturalidad</w:t>
      </w:r>
      <w:r w:rsidR="00C8443F" w:rsidRPr="00092053">
        <w:rPr>
          <w:rFonts w:eastAsia="Calibri"/>
          <w:vertAlign w:val="superscript"/>
          <w:lang w:val="es-PE" w:eastAsia="en-US"/>
        </w:rPr>
        <w:footnoteReference w:id="269"/>
      </w:r>
      <w:r w:rsidR="000900D3" w:rsidRPr="00092053">
        <w:rPr>
          <w:rFonts w:eastAsia="Calibri"/>
          <w:lang w:val="es-PE" w:eastAsia="en-US"/>
        </w:rPr>
        <w:t>.</w:t>
      </w:r>
      <w:r w:rsidR="00C8443F" w:rsidRPr="00092053">
        <w:rPr>
          <w:rFonts w:eastAsia="Calibri"/>
          <w:lang w:val="es-PE" w:eastAsia="en-US"/>
        </w:rPr>
        <w:t xml:space="preserve"> De esta manera se asegura que las políticas que se adopten tengan como fin la incorporación de los citados enfoques. </w:t>
      </w:r>
    </w:p>
    <w:p w:rsidR="00C8443F" w:rsidRPr="00574AEE" w:rsidRDefault="004F7B54" w:rsidP="00574AEE">
      <w:pPr>
        <w:pStyle w:val="HChG"/>
        <w:rPr>
          <w:rFonts w:eastAsia="Calibri"/>
          <w:lang w:val="es-PE" w:eastAsia="en-US"/>
        </w:rPr>
      </w:pPr>
      <w:bookmarkStart w:id="282" w:name="_Toc468627337"/>
      <w:bookmarkStart w:id="283" w:name="_Toc468642629"/>
      <w:bookmarkStart w:id="284" w:name="_Toc468721300"/>
      <w:bookmarkStart w:id="285" w:name="_Toc471137698"/>
      <w:bookmarkStart w:id="286" w:name="_Toc472097485"/>
      <w:bookmarkStart w:id="287" w:name="_Toc484774108"/>
      <w:r w:rsidRPr="00FA45BC">
        <w:rPr>
          <w:rFonts w:eastAsia="Calibri"/>
          <w:lang w:val="es-PE" w:eastAsia="en-US"/>
        </w:rPr>
        <w:tab/>
      </w:r>
      <w:r w:rsidR="00B97333" w:rsidRPr="002C565A">
        <w:rPr>
          <w:rFonts w:eastAsia="Calibri"/>
          <w:lang w:val="es-PE" w:eastAsia="en-US"/>
        </w:rPr>
        <w:t>V</w:t>
      </w:r>
      <w:r w:rsidR="00234021" w:rsidRPr="00574AEE">
        <w:rPr>
          <w:rFonts w:eastAsia="Calibri"/>
          <w:lang w:val="es-PE" w:eastAsia="en-US"/>
        </w:rPr>
        <w:t>.</w:t>
      </w:r>
      <w:r w:rsidRPr="00574AEE">
        <w:rPr>
          <w:rFonts w:eastAsia="Calibri"/>
          <w:lang w:val="es-PE" w:eastAsia="en-US"/>
        </w:rPr>
        <w:tab/>
      </w:r>
      <w:r w:rsidR="00C8443F" w:rsidRPr="00574AEE">
        <w:rPr>
          <w:rFonts w:eastAsia="Calibri"/>
          <w:lang w:val="es-PE" w:eastAsia="en-US"/>
        </w:rPr>
        <w:t>Conclusiones</w:t>
      </w:r>
      <w:bookmarkEnd w:id="282"/>
      <w:bookmarkEnd w:id="283"/>
      <w:bookmarkEnd w:id="284"/>
      <w:bookmarkEnd w:id="285"/>
      <w:bookmarkEnd w:id="286"/>
      <w:bookmarkEnd w:id="287"/>
    </w:p>
    <w:p w:rsidR="002A208C" w:rsidRPr="00092053" w:rsidRDefault="00092053" w:rsidP="00574AEE">
      <w:pPr>
        <w:pStyle w:val="SingleTxtG"/>
        <w:rPr>
          <w:rFonts w:eastAsia="Calibri"/>
          <w:lang w:val="es-PE" w:eastAsia="en-US"/>
        </w:rPr>
      </w:pPr>
      <w:r w:rsidRPr="00574AEE">
        <w:rPr>
          <w:rFonts w:eastAsia="Calibri"/>
          <w:lang w:val="es-PE" w:eastAsia="en-US"/>
        </w:rPr>
        <w:t>262.</w:t>
      </w:r>
      <w:r w:rsidRPr="00574AEE">
        <w:rPr>
          <w:rFonts w:eastAsia="Calibri"/>
          <w:lang w:val="es-PE" w:eastAsia="en-US"/>
        </w:rPr>
        <w:tab/>
      </w:r>
      <w:r w:rsidR="00C8443F" w:rsidRPr="00092053">
        <w:rPr>
          <w:rFonts w:eastAsia="Calibri"/>
          <w:lang w:val="es-PE" w:eastAsia="en-US"/>
        </w:rPr>
        <w:t>En el per</w:t>
      </w:r>
      <w:r w:rsidR="0020561B">
        <w:rPr>
          <w:rFonts w:eastAsia="Calibri"/>
          <w:lang w:val="es-PE" w:eastAsia="en-US"/>
        </w:rPr>
        <w:t>í</w:t>
      </w:r>
      <w:r w:rsidR="00C8443F" w:rsidRPr="00092053">
        <w:rPr>
          <w:rFonts w:eastAsia="Calibri"/>
          <w:lang w:val="es-PE" w:eastAsia="en-US"/>
        </w:rPr>
        <w:t>odo que se informa se da cuenta de la implementación por parte del Estado peruano de la CCT, así como de otros instrumentos internacionales. A tal efecto, se han adoptado medidas normativas, políticas públicas y promovido actividades de difusión.</w:t>
      </w:r>
      <w:r w:rsidR="00C8443F" w:rsidRPr="00092053">
        <w:rPr>
          <w:rFonts w:eastAsia="Calibri"/>
          <w:strike/>
          <w:lang w:val="es-PE" w:eastAsia="en-US"/>
        </w:rPr>
        <w:t xml:space="preserve"> </w:t>
      </w:r>
    </w:p>
    <w:p w:rsidR="002A208C" w:rsidRPr="00092053" w:rsidRDefault="00092053" w:rsidP="00574AEE">
      <w:pPr>
        <w:pStyle w:val="SingleTxtG"/>
        <w:rPr>
          <w:rFonts w:eastAsia="Calibri"/>
          <w:lang w:val="es-PE" w:eastAsia="en-US"/>
        </w:rPr>
      </w:pPr>
      <w:r w:rsidRPr="00574AEE">
        <w:rPr>
          <w:rFonts w:eastAsia="Calibri"/>
          <w:lang w:val="es-PE" w:eastAsia="en-US"/>
        </w:rPr>
        <w:t>263.</w:t>
      </w:r>
      <w:r w:rsidRPr="00574AEE">
        <w:rPr>
          <w:rFonts w:eastAsia="Calibri"/>
          <w:lang w:val="es-PE" w:eastAsia="en-US"/>
        </w:rPr>
        <w:tab/>
      </w:r>
      <w:r w:rsidR="00C8443F" w:rsidRPr="00092053">
        <w:rPr>
          <w:rFonts w:eastAsia="Calibri"/>
          <w:lang w:val="es-PE" w:eastAsia="en-US"/>
        </w:rPr>
        <w:t xml:space="preserve">En esa línea, si bien existen avances que han sido resaltados en el presente documento aún queda pendiente la implementación de muchas acciones, entre ellas, las relacionadas con la dotación de mayor presupuesto para la ejecución de las medidas señaladas </w:t>
      </w:r>
      <w:r w:rsidR="00C8443F" w:rsidRPr="00092053">
        <w:rPr>
          <w:rFonts w:eastAsia="Calibri"/>
          <w:i/>
          <w:lang w:val="es-PE" w:eastAsia="en-US"/>
        </w:rPr>
        <w:t>supra</w:t>
      </w:r>
      <w:r w:rsidR="00C8443F" w:rsidRPr="00092053">
        <w:rPr>
          <w:rFonts w:eastAsia="Calibri"/>
          <w:lang w:val="es-PE" w:eastAsia="en-US"/>
        </w:rPr>
        <w:t>.</w:t>
      </w:r>
    </w:p>
    <w:p w:rsidR="002A208C" w:rsidRPr="00092053" w:rsidRDefault="00092053" w:rsidP="00574AEE">
      <w:pPr>
        <w:pStyle w:val="SingleTxtG"/>
        <w:rPr>
          <w:rFonts w:eastAsia="Calibri"/>
          <w:lang w:val="es-PE" w:eastAsia="en-US"/>
        </w:rPr>
      </w:pPr>
      <w:r w:rsidRPr="00574AEE">
        <w:rPr>
          <w:rFonts w:eastAsia="Calibri"/>
          <w:lang w:val="es-PE" w:eastAsia="en-US"/>
        </w:rPr>
        <w:t>264.</w:t>
      </w:r>
      <w:r w:rsidRPr="00574AEE">
        <w:rPr>
          <w:rFonts w:eastAsia="Calibri"/>
          <w:lang w:val="es-PE" w:eastAsia="en-US"/>
        </w:rPr>
        <w:tab/>
      </w:r>
      <w:r w:rsidR="00C8443F" w:rsidRPr="00092053">
        <w:rPr>
          <w:rFonts w:eastAsia="Calibri"/>
          <w:lang w:val="es-PE" w:eastAsia="en-US"/>
        </w:rPr>
        <w:t>Adicionalmente, se requiere impulsar una mejor gestión de información referidos a la consolidación de datos estadísticos en materia de tortura, asegurar el fortalecimiento institucional y presupuestal del MNPT y garantizar el derecho a la reparación a las víctimas del período de violencia 1980</w:t>
      </w:r>
      <w:r w:rsidR="00AB3C05">
        <w:rPr>
          <w:rFonts w:eastAsia="Calibri"/>
          <w:lang w:val="es-PE" w:eastAsia="en-US"/>
        </w:rPr>
        <w:t>-</w:t>
      </w:r>
      <w:r w:rsidR="00C8443F" w:rsidRPr="00092053">
        <w:rPr>
          <w:rFonts w:eastAsia="Calibri"/>
          <w:lang w:val="es-PE" w:eastAsia="en-US"/>
        </w:rPr>
        <w:t>2000.</w:t>
      </w:r>
    </w:p>
    <w:p w:rsidR="002A208C" w:rsidRDefault="00092053" w:rsidP="00574AEE">
      <w:pPr>
        <w:pStyle w:val="SingleTxtG"/>
        <w:rPr>
          <w:rFonts w:eastAsia="Calibri"/>
          <w:lang w:val="es-PE" w:eastAsia="en-US"/>
        </w:rPr>
      </w:pPr>
      <w:r w:rsidRPr="00574AEE">
        <w:rPr>
          <w:rFonts w:eastAsia="Calibri"/>
          <w:lang w:val="es-PE" w:eastAsia="en-US"/>
        </w:rPr>
        <w:t>265.</w:t>
      </w:r>
      <w:r w:rsidRPr="00574AEE">
        <w:rPr>
          <w:rFonts w:eastAsia="Calibri"/>
          <w:lang w:val="es-PE" w:eastAsia="en-US"/>
        </w:rPr>
        <w:tab/>
      </w:r>
      <w:r w:rsidR="00C8443F" w:rsidRPr="00092053">
        <w:rPr>
          <w:rFonts w:eastAsia="Calibri"/>
          <w:lang w:val="es-PE" w:eastAsia="en-US"/>
        </w:rPr>
        <w:t>Finalmente, advirtiéndose dichos retos y, además, convencidos de la importancia de la presentación de los informes periódicos como mecanismos de autoevaluación para los Estados, respecto de la implementación de los tratados, el Perú se compromete a seguir promoviendo más medidas que tengan por finalidad la prohibición y sanción de actos de tortura, así como asegurar las medidas de reparación que sean necesarias.</w:t>
      </w:r>
      <w:r w:rsidR="00C8443F" w:rsidRPr="00C8443F">
        <w:rPr>
          <w:rFonts w:eastAsia="Calibri"/>
          <w:lang w:val="es-PE" w:eastAsia="en-US"/>
        </w:rPr>
        <w:t xml:space="preserve"> </w:t>
      </w:r>
    </w:p>
    <w:p w:rsidR="00381C24" w:rsidRPr="007D7433" w:rsidRDefault="007D7433" w:rsidP="007D7433">
      <w:pPr>
        <w:suppressAutoHyphens/>
        <w:spacing w:before="240"/>
        <w:ind w:left="1134" w:right="1134"/>
        <w:jc w:val="center"/>
        <w:rPr>
          <w:u w:val="single"/>
        </w:rPr>
      </w:pPr>
      <w:r>
        <w:rPr>
          <w:u w:val="single"/>
        </w:rPr>
        <w:tab/>
      </w:r>
      <w:r>
        <w:rPr>
          <w:u w:val="single"/>
        </w:rPr>
        <w:tab/>
      </w:r>
      <w:r>
        <w:rPr>
          <w:u w:val="single"/>
        </w:rPr>
        <w:tab/>
      </w:r>
    </w:p>
    <w:sectPr w:rsidR="00381C24" w:rsidRPr="007D7433" w:rsidSect="00574AEE">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27A9" w:rsidRDefault="001527A9">
      <w:r>
        <w:separator/>
      </w:r>
    </w:p>
  </w:endnote>
  <w:endnote w:type="continuationSeparator" w:id="0">
    <w:p w:rsidR="001527A9" w:rsidRDefault="001527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n-ea">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6F7" w:rsidRPr="009E6FF1" w:rsidRDefault="00F046F7" w:rsidP="009E6FF1">
    <w:pPr>
      <w:pStyle w:val="Piedepgina"/>
      <w:tabs>
        <w:tab w:val="right" w:pos="9638"/>
      </w:tabs>
    </w:pPr>
    <w:r w:rsidRPr="009E6FF1">
      <w:rPr>
        <w:b/>
        <w:sz w:val="18"/>
      </w:rPr>
      <w:fldChar w:fldCharType="begin"/>
    </w:r>
    <w:r w:rsidRPr="009E6FF1">
      <w:rPr>
        <w:b/>
        <w:sz w:val="18"/>
      </w:rPr>
      <w:instrText xml:space="preserve"> PAGE  \* MERGEFORMAT </w:instrText>
    </w:r>
    <w:r w:rsidRPr="009E6FF1">
      <w:rPr>
        <w:b/>
        <w:sz w:val="18"/>
      </w:rPr>
      <w:fldChar w:fldCharType="separate"/>
    </w:r>
    <w:r w:rsidR="001338F6">
      <w:rPr>
        <w:b/>
        <w:noProof/>
        <w:sz w:val="18"/>
      </w:rPr>
      <w:t>2</w:t>
    </w:r>
    <w:r w:rsidRPr="009E6FF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6F7" w:rsidRPr="009E6FF1" w:rsidRDefault="00F046F7" w:rsidP="009E6FF1">
    <w:pPr>
      <w:pStyle w:val="Piedepgina"/>
      <w:tabs>
        <w:tab w:val="right" w:pos="9638"/>
      </w:tabs>
      <w:rPr>
        <w:b/>
        <w:sz w:val="18"/>
      </w:rPr>
    </w:pPr>
    <w:r>
      <w:tab/>
    </w:r>
    <w:r w:rsidRPr="009E6FF1">
      <w:rPr>
        <w:b/>
        <w:sz w:val="18"/>
      </w:rPr>
      <w:fldChar w:fldCharType="begin"/>
    </w:r>
    <w:r w:rsidRPr="009E6FF1">
      <w:rPr>
        <w:b/>
        <w:sz w:val="18"/>
      </w:rPr>
      <w:instrText xml:space="preserve"> PAGE  \* MERGEFORMAT </w:instrText>
    </w:r>
    <w:r w:rsidRPr="009E6FF1">
      <w:rPr>
        <w:b/>
        <w:sz w:val="18"/>
      </w:rPr>
      <w:fldChar w:fldCharType="separate"/>
    </w:r>
    <w:r w:rsidR="001338F6">
      <w:rPr>
        <w:b/>
        <w:noProof/>
        <w:sz w:val="18"/>
      </w:rPr>
      <w:t>3</w:t>
    </w:r>
    <w:r w:rsidRPr="009E6FF1">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75CB" w:rsidRPr="00B975CB" w:rsidRDefault="00B975CB" w:rsidP="00B975CB">
    <w:pPr>
      <w:pStyle w:val="Piedepgina"/>
      <w:spacing w:before="120" w:line="240" w:lineRule="auto"/>
      <w:rPr>
        <w:sz w:val="20"/>
      </w:rPr>
    </w:pPr>
    <w:r>
      <w:rPr>
        <w:noProof/>
        <w:sz w:val="20"/>
      </w:rPr>
      <w:drawing>
        <wp:anchor distT="0" distB="0" distL="114300" distR="114300" simplePos="0" relativeHeight="251657216" behindDoc="0" locked="0" layoutInCell="1" allowOverlap="1" wp14:anchorId="5257D2D0" wp14:editId="0E3F65E2">
          <wp:simplePos x="0" y="0"/>
          <wp:positionH relativeFrom="margin">
            <wp:posOffset>5405844</wp:posOffset>
          </wp:positionH>
          <wp:positionV relativeFrom="margin">
            <wp:posOffset>8878274</wp:posOffset>
          </wp:positionV>
          <wp:extent cx="638175" cy="638175"/>
          <wp:effectExtent l="0" t="0" r="9525" b="9525"/>
          <wp:wrapNone/>
          <wp:docPr id="1" name="Imagen 1" descr="https://undocs.org/m2/QRCode.ashx?DS=CAT/C/PER/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PER/7&amp;Size=2&amp;Lang=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GE.17-12095  (S)</w:t>
    </w:r>
    <w:r>
      <w:rPr>
        <w:sz w:val="20"/>
      </w:rPr>
      <w:br/>
    </w:r>
    <w:r w:rsidRPr="00B975CB">
      <w:rPr>
        <w:rFonts w:ascii="C39T30Lfz" w:hAnsi="C39T30Lfz"/>
        <w:sz w:val="56"/>
      </w:rPr>
      <w:t></w:t>
    </w:r>
    <w:r w:rsidRPr="00B975CB">
      <w:rPr>
        <w:rFonts w:ascii="C39T30Lfz" w:hAnsi="C39T30Lfz"/>
        <w:sz w:val="56"/>
      </w:rPr>
      <w:t></w:t>
    </w:r>
    <w:r w:rsidRPr="00B975CB">
      <w:rPr>
        <w:rFonts w:ascii="C39T30Lfz" w:hAnsi="C39T30Lfz"/>
        <w:sz w:val="56"/>
      </w:rPr>
      <w:t></w:t>
    </w:r>
    <w:r w:rsidRPr="00B975CB">
      <w:rPr>
        <w:rFonts w:ascii="C39T30Lfz" w:hAnsi="C39T30Lfz"/>
        <w:sz w:val="56"/>
      </w:rPr>
      <w:t></w:t>
    </w:r>
    <w:r w:rsidRPr="00B975CB">
      <w:rPr>
        <w:rFonts w:ascii="C39T30Lfz" w:hAnsi="C39T30Lfz"/>
        <w:sz w:val="56"/>
      </w:rPr>
      <w:t></w:t>
    </w:r>
    <w:r w:rsidRPr="00B975CB">
      <w:rPr>
        <w:rFonts w:ascii="C39T30Lfz" w:hAnsi="C39T30Lfz"/>
        <w:sz w:val="56"/>
      </w:rPr>
      <w:t></w:t>
    </w:r>
    <w:r w:rsidRPr="00B975CB">
      <w:rPr>
        <w:rFonts w:ascii="C39T30Lfz" w:hAnsi="C39T30Lfz"/>
        <w:sz w:val="56"/>
      </w:rPr>
      <w:t></w:t>
    </w:r>
    <w:r w:rsidRPr="00B975CB">
      <w:rPr>
        <w:rFonts w:ascii="C39T30Lfz" w:hAnsi="C39T30Lfz"/>
        <w:sz w:val="56"/>
      </w:rPr>
      <w:t></w:t>
    </w:r>
    <w:r w:rsidRPr="00B975CB">
      <w:rPr>
        <w:rFonts w:ascii="C39T30Lfz" w:hAnsi="C39T30Lfz"/>
        <w:sz w:val="56"/>
      </w:rPr>
      <w:t></w:t>
    </w:r>
    <w:r w:rsidRPr="00B975CB">
      <w:rPr>
        <w:rFonts w:ascii="C39T30Lfz" w:hAnsi="C39T30Lfz"/>
        <w:noProof/>
        <w:sz w:val="56"/>
      </w:rPr>
      <w:drawing>
        <wp:anchor distT="0" distB="0" distL="114300" distR="114300" simplePos="0" relativeHeight="251659264" behindDoc="0" locked="1" layoutInCell="1" allowOverlap="1" wp14:anchorId="0747FDDD" wp14:editId="6FE2BBA8">
          <wp:simplePos x="0" y="0"/>
          <wp:positionH relativeFrom="margin">
            <wp:posOffset>4202430</wp:posOffset>
          </wp:positionH>
          <wp:positionV relativeFrom="margin">
            <wp:posOffset>9161780</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27A9" w:rsidRPr="001075E9" w:rsidRDefault="001527A9" w:rsidP="001075E9">
      <w:pPr>
        <w:tabs>
          <w:tab w:val="right" w:pos="2155"/>
        </w:tabs>
        <w:spacing w:after="80" w:line="240" w:lineRule="auto"/>
        <w:ind w:left="680"/>
        <w:rPr>
          <w:u w:val="single"/>
        </w:rPr>
      </w:pPr>
      <w:r>
        <w:rPr>
          <w:u w:val="single"/>
        </w:rPr>
        <w:tab/>
      </w:r>
    </w:p>
  </w:footnote>
  <w:footnote w:type="continuationSeparator" w:id="0">
    <w:p w:rsidR="001527A9" w:rsidRDefault="001527A9" w:rsidP="00407B78">
      <w:pPr>
        <w:tabs>
          <w:tab w:val="right" w:pos="2155"/>
        </w:tabs>
        <w:spacing w:after="80"/>
        <w:ind w:left="680"/>
        <w:rPr>
          <w:u w:val="single"/>
        </w:rPr>
      </w:pPr>
      <w:r>
        <w:rPr>
          <w:u w:val="single"/>
        </w:rPr>
        <w:tab/>
      </w:r>
    </w:p>
  </w:footnote>
  <w:footnote w:id="1">
    <w:p w:rsidR="00F046F7" w:rsidRPr="00266130" w:rsidRDefault="00F046F7" w:rsidP="00F44089">
      <w:pPr>
        <w:pStyle w:val="Textonotapie"/>
        <w:rPr>
          <w:szCs w:val="18"/>
        </w:rPr>
      </w:pPr>
      <w:r>
        <w:tab/>
      </w:r>
      <w:r w:rsidRPr="00266130">
        <w:rPr>
          <w:rStyle w:val="Refdenotaalpie"/>
          <w:sz w:val="20"/>
          <w:vertAlign w:val="baseline"/>
        </w:rPr>
        <w:t>*</w:t>
      </w:r>
      <w:r w:rsidRPr="00266130">
        <w:rPr>
          <w:sz w:val="20"/>
        </w:rPr>
        <w:tab/>
      </w:r>
      <w:r w:rsidRPr="00266130">
        <w:t xml:space="preserve">Los informes periódicos </w:t>
      </w:r>
      <w:r w:rsidRPr="00C0349B">
        <w:t>quinto y sexto</w:t>
      </w:r>
      <w:r>
        <w:t xml:space="preserve"> </w:t>
      </w:r>
      <w:r w:rsidRPr="00266130">
        <w:t xml:space="preserve">combinados </w:t>
      </w:r>
      <w:r>
        <w:t xml:space="preserve">del </w:t>
      </w:r>
      <w:r w:rsidRPr="008841E9">
        <w:t>Perú</w:t>
      </w:r>
      <w:r w:rsidRPr="00266130">
        <w:t xml:space="preserve"> figuran en el documento CAT/C/</w:t>
      </w:r>
      <w:r>
        <w:t>PER/6</w:t>
      </w:r>
      <w:r w:rsidRPr="00266130">
        <w:t>; fue</w:t>
      </w:r>
      <w:r>
        <w:t>ron</w:t>
      </w:r>
      <w:r w:rsidRPr="00266130">
        <w:t xml:space="preserve"> examinados por el Comité en sus sesiones </w:t>
      </w:r>
      <w:r>
        <w:t>1096</w:t>
      </w:r>
      <w:r w:rsidRPr="0005326B">
        <w:t xml:space="preserve">ª y </w:t>
      </w:r>
      <w:r>
        <w:t>1099</w:t>
      </w:r>
      <w:r w:rsidRPr="0005326B">
        <w:t>ª</w:t>
      </w:r>
      <w:r w:rsidRPr="00266130">
        <w:t xml:space="preserve">, </w:t>
      </w:r>
      <w:r w:rsidRPr="0005326B">
        <w:t xml:space="preserve">celebradas los días </w:t>
      </w:r>
      <w:r>
        <w:t>30</w:t>
      </w:r>
      <w:r w:rsidRPr="0005326B">
        <w:t xml:space="preserve"> y </w:t>
      </w:r>
      <w:r>
        <w:t>31</w:t>
      </w:r>
      <w:r w:rsidRPr="0005326B">
        <w:t xml:space="preserve"> de </w:t>
      </w:r>
      <w:r>
        <w:t>octubre</w:t>
      </w:r>
      <w:r w:rsidRPr="0005326B">
        <w:t xml:space="preserve"> de 20</w:t>
      </w:r>
      <w:r>
        <w:t>12</w:t>
      </w:r>
      <w:r w:rsidRPr="00266130">
        <w:t xml:space="preserve"> (</w:t>
      </w:r>
      <w:r w:rsidRPr="00C0349B">
        <w:t>CAT/C/SR.</w:t>
      </w:r>
      <w:r>
        <w:t>1096</w:t>
      </w:r>
      <w:r w:rsidRPr="00C0349B">
        <w:t xml:space="preserve"> y 1</w:t>
      </w:r>
      <w:r>
        <w:t>099</w:t>
      </w:r>
      <w:r w:rsidRPr="00266130">
        <w:t>). En relación con su examen, véanse las observaciones finales del Comité (CAT/C/</w:t>
      </w:r>
      <w:r>
        <w:t>PER</w:t>
      </w:r>
      <w:r w:rsidRPr="00266130">
        <w:t>/CO/</w:t>
      </w:r>
      <w:r>
        <w:t>5-6</w:t>
      </w:r>
      <w:r w:rsidRPr="00266130">
        <w:t>).</w:t>
      </w:r>
    </w:p>
  </w:footnote>
  <w:footnote w:id="2">
    <w:p w:rsidR="00F046F7" w:rsidRPr="00266130" w:rsidRDefault="00F046F7">
      <w:pPr>
        <w:pStyle w:val="Textonotapie"/>
      </w:pPr>
      <w:r w:rsidRPr="00266130">
        <w:tab/>
      </w:r>
      <w:r w:rsidRPr="00266130">
        <w:rPr>
          <w:rStyle w:val="Refdenotaalpie"/>
          <w:sz w:val="20"/>
          <w:vertAlign w:val="baseline"/>
        </w:rPr>
        <w:t>**</w:t>
      </w:r>
      <w:r w:rsidRPr="00266130">
        <w:rPr>
          <w:sz w:val="20"/>
        </w:rPr>
        <w:tab/>
      </w:r>
      <w:r w:rsidRPr="00266130">
        <w:t>El presente documento se publica sin haber sido objeto de revisión editorial oficial.</w:t>
      </w:r>
    </w:p>
  </w:footnote>
  <w:footnote w:id="3">
    <w:p w:rsidR="00F046F7" w:rsidRPr="00574AEE" w:rsidRDefault="00F046F7">
      <w:pPr>
        <w:pStyle w:val="Textonotapie"/>
      </w:pPr>
      <w:r>
        <w:rPr>
          <w:rStyle w:val="Refdenotaalpie"/>
        </w:rPr>
        <w:tab/>
      </w:r>
      <w:r w:rsidRPr="009614E6">
        <w:rPr>
          <w:rStyle w:val="Refdenotaalpie"/>
          <w:sz w:val="20"/>
          <w:vertAlign w:val="baseline"/>
        </w:rPr>
        <w:t>***</w:t>
      </w:r>
      <w:r>
        <w:rPr>
          <w:rStyle w:val="Refdenotaalpie"/>
          <w:sz w:val="20"/>
          <w:vertAlign w:val="baseline"/>
        </w:rPr>
        <w:tab/>
      </w:r>
      <w:r w:rsidRPr="00732010">
        <w:rPr>
          <w:szCs w:val="18"/>
        </w:rPr>
        <w:t>Los anexos al presente documento pueden consultarse en los archivos de la Secretaría</w:t>
      </w:r>
      <w:r>
        <w:rPr>
          <w:szCs w:val="18"/>
        </w:rPr>
        <w:t>.</w:t>
      </w:r>
    </w:p>
  </w:footnote>
  <w:footnote w:id="4">
    <w:p w:rsidR="00F046F7" w:rsidRPr="001D1DB6" w:rsidRDefault="00F046F7">
      <w:pPr>
        <w:pStyle w:val="Textonotapie"/>
        <w:rPr>
          <w:sz w:val="16"/>
          <w:szCs w:val="16"/>
        </w:rPr>
      </w:pPr>
      <w:r>
        <w:tab/>
      </w:r>
      <w:r w:rsidRPr="001D1DB6">
        <w:rPr>
          <w:rStyle w:val="Refdenotaalpie"/>
          <w:sz w:val="16"/>
          <w:szCs w:val="16"/>
        </w:rPr>
        <w:footnoteRef/>
      </w:r>
      <w:r>
        <w:tab/>
      </w:r>
      <w:r w:rsidRPr="00D20B36">
        <w:rPr>
          <w:rStyle w:val="TextonotapieCar"/>
        </w:rPr>
        <w:t xml:space="preserve">CONSTITUCIÓN POLÍTICA DEL PERÚ. </w:t>
      </w:r>
      <w:r w:rsidRPr="00D20B36">
        <w:t>Artículo</w:t>
      </w:r>
      <w:r w:rsidRPr="00D20B36">
        <w:rPr>
          <w:rStyle w:val="TextonotapieCar"/>
        </w:rPr>
        <w:t xml:space="preserve"> 1° y 2° 24) h).</w:t>
      </w:r>
    </w:p>
  </w:footnote>
  <w:footnote w:id="5">
    <w:p w:rsidR="00F046F7" w:rsidRPr="001D1DB6" w:rsidRDefault="00F046F7">
      <w:pPr>
        <w:pStyle w:val="Textonotapie"/>
        <w:rPr>
          <w:sz w:val="16"/>
          <w:szCs w:val="16"/>
        </w:rPr>
      </w:pPr>
      <w:r>
        <w:tab/>
      </w:r>
      <w:r w:rsidRPr="001D1DB6">
        <w:rPr>
          <w:rStyle w:val="Refdenotaalpie"/>
          <w:sz w:val="16"/>
          <w:szCs w:val="16"/>
        </w:rPr>
        <w:footnoteRef/>
      </w:r>
      <w:r>
        <w:tab/>
      </w:r>
      <w:r w:rsidRPr="001D1DB6">
        <w:t>PODER</w:t>
      </w:r>
      <w:r w:rsidRPr="001D1DB6">
        <w:rPr>
          <w:lang w:val="es-ES_tradnl"/>
        </w:rPr>
        <w:t xml:space="preserve"> EJECUTIVO. Decreto Legislativo </w:t>
      </w:r>
      <w:r>
        <w:rPr>
          <w:lang w:val="es-ES_tradnl"/>
        </w:rPr>
        <w:t xml:space="preserve">núm. </w:t>
      </w:r>
      <w:r w:rsidRPr="001D1DB6">
        <w:rPr>
          <w:lang w:val="es-ES_tradnl"/>
        </w:rPr>
        <w:t xml:space="preserve">1351. Publicado </w:t>
      </w:r>
      <w:r w:rsidRPr="00D20B36">
        <w:t>en</w:t>
      </w:r>
      <w:r w:rsidRPr="001D1DB6">
        <w:rPr>
          <w:lang w:val="es-ES_tradnl"/>
        </w:rPr>
        <w:t xml:space="preserve"> el Diario Oficial </w:t>
      </w:r>
      <w:r w:rsidRPr="00574AEE">
        <w:rPr>
          <w:i/>
          <w:lang w:val="es-ES_tradnl"/>
        </w:rPr>
        <w:t>El Peruano</w:t>
      </w:r>
      <w:r w:rsidRPr="001D1DB6">
        <w:rPr>
          <w:lang w:val="es-ES_tradnl"/>
        </w:rPr>
        <w:t xml:space="preserve">: 07.01.2017. </w:t>
      </w:r>
      <w:r w:rsidRPr="001D1DB6">
        <w:t>Artículo</w:t>
      </w:r>
      <w:r w:rsidRPr="001D1DB6">
        <w:rPr>
          <w:lang w:val="es-ES_tradnl"/>
        </w:rPr>
        <w:t xml:space="preserve"> 2°.</w:t>
      </w:r>
    </w:p>
  </w:footnote>
  <w:footnote w:id="6">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CONGRESO DE LA REPÚBLICA. Ley </w:t>
      </w:r>
      <w:r>
        <w:rPr>
          <w:rFonts w:eastAsia="Calibri"/>
          <w:lang w:val="es-ES_tradnl"/>
        </w:rPr>
        <w:t>núm.</w:t>
      </w:r>
      <w:r w:rsidRPr="001D1DB6">
        <w:t xml:space="preserve"> 30054. </w:t>
      </w:r>
      <w:r>
        <w:t>Publicada</w:t>
      </w:r>
      <w:r w:rsidRPr="001D1DB6">
        <w:t xml:space="preserve"> en el Diario Oficial </w:t>
      </w:r>
      <w:r w:rsidRPr="00574AEE">
        <w:rPr>
          <w:i/>
        </w:rPr>
        <w:t>El Peruano</w:t>
      </w:r>
      <w:r w:rsidRPr="001D1DB6">
        <w:t>: 30.06.2013.</w:t>
      </w:r>
    </w:p>
  </w:footnote>
  <w:footnote w:id="7">
    <w:p w:rsidR="00F046F7" w:rsidRPr="001D1DB6" w:rsidRDefault="00F046F7">
      <w:pPr>
        <w:pStyle w:val="Textonotapie"/>
        <w:rPr>
          <w:sz w:val="16"/>
          <w:szCs w:val="16"/>
        </w:rPr>
      </w:pPr>
      <w:r>
        <w:tab/>
      </w:r>
      <w:r w:rsidRPr="001D1DB6">
        <w:rPr>
          <w:rStyle w:val="Refdenotaalpie"/>
          <w:sz w:val="16"/>
          <w:szCs w:val="16"/>
        </w:rPr>
        <w:footnoteRef/>
      </w:r>
      <w:r>
        <w:t xml:space="preserve"> </w:t>
      </w:r>
      <w:r w:rsidRPr="001D1DB6">
        <w:tab/>
      </w:r>
      <w:r w:rsidRPr="001D1DB6">
        <w:rPr>
          <w:lang w:val="es-ES_tradnl"/>
        </w:rPr>
        <w:t xml:space="preserve">CONGRESO </w:t>
      </w:r>
      <w:r w:rsidRPr="001D1DB6">
        <w:t xml:space="preserve">DE LA REPÚBLICA. Ley </w:t>
      </w:r>
      <w:r>
        <w:rPr>
          <w:rFonts w:eastAsia="Calibri"/>
          <w:lang w:val="es-ES_tradnl"/>
        </w:rPr>
        <w:t>núm.</w:t>
      </w:r>
      <w:r w:rsidRPr="001D1DB6">
        <w:t xml:space="preserve"> 30077. Publicado en </w:t>
      </w:r>
      <w:r w:rsidRPr="00D20B36">
        <w:t>el</w:t>
      </w:r>
      <w:r w:rsidRPr="001D1DB6">
        <w:t xml:space="preserve"> Diario Oficial </w:t>
      </w:r>
      <w:r w:rsidRPr="00353E55">
        <w:rPr>
          <w:i/>
        </w:rPr>
        <w:t>El Peruano</w:t>
      </w:r>
      <w:r w:rsidRPr="001D1DB6" w:rsidDel="00F14ECC">
        <w:t xml:space="preserve"> </w:t>
      </w:r>
      <w:r w:rsidRPr="001D1DB6">
        <w:t>: 20.08.2013. Artículo 3° inc. 18.</w:t>
      </w:r>
    </w:p>
  </w:footnote>
  <w:footnote w:id="8">
    <w:p w:rsidR="00F046F7" w:rsidRPr="001D1DB6" w:rsidRDefault="00F046F7">
      <w:pPr>
        <w:pStyle w:val="Textonotapie"/>
        <w:rPr>
          <w:sz w:val="16"/>
          <w:szCs w:val="16"/>
        </w:rPr>
      </w:pPr>
      <w:r>
        <w:tab/>
      </w:r>
      <w:r w:rsidRPr="001D1DB6">
        <w:rPr>
          <w:rStyle w:val="Refdenotaalpie"/>
          <w:sz w:val="16"/>
          <w:szCs w:val="16"/>
        </w:rPr>
        <w:footnoteRef/>
      </w:r>
      <w:r>
        <w:tab/>
        <w:t xml:space="preserve">Artículo 2° de la Ley </w:t>
      </w:r>
      <w:r>
        <w:rPr>
          <w:rFonts w:eastAsia="Calibri"/>
          <w:lang w:val="es-ES_tradnl"/>
        </w:rPr>
        <w:t>núm.</w:t>
      </w:r>
      <w:r>
        <w:t xml:space="preserve"> 30054.</w:t>
      </w:r>
    </w:p>
  </w:footnote>
  <w:footnote w:id="9">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Artículo 3° inc. 18. Ley </w:t>
      </w:r>
      <w:r>
        <w:rPr>
          <w:rFonts w:eastAsia="Calibri"/>
          <w:lang w:val="es-ES_tradnl"/>
        </w:rPr>
        <w:t>núm.</w:t>
      </w:r>
      <w:r w:rsidRPr="001D1DB6">
        <w:t xml:space="preserve"> 30077.</w:t>
      </w:r>
    </w:p>
  </w:footnote>
  <w:footnote w:id="10">
    <w:p w:rsidR="00F046F7" w:rsidRPr="003416E8" w:rsidRDefault="00F046F7">
      <w:pPr>
        <w:pStyle w:val="Textonotapie"/>
        <w:rPr>
          <w:sz w:val="16"/>
          <w:szCs w:val="16"/>
          <w:lang w:val="en-US"/>
        </w:rPr>
      </w:pPr>
      <w:r w:rsidRPr="00574AEE">
        <w:tab/>
      </w:r>
      <w:r w:rsidRPr="001D1DB6">
        <w:rPr>
          <w:rStyle w:val="Refdenotaalpie"/>
          <w:sz w:val="16"/>
          <w:szCs w:val="16"/>
        </w:rPr>
        <w:footnoteRef/>
      </w:r>
      <w:r>
        <w:rPr>
          <w:lang w:val="en-US"/>
        </w:rPr>
        <w:tab/>
      </w:r>
      <w:r w:rsidRPr="00D062B4">
        <w:rPr>
          <w:lang w:val="en-US"/>
        </w:rPr>
        <w:t xml:space="preserve">Ley </w:t>
      </w:r>
      <w:r w:rsidRPr="00CD156B">
        <w:rPr>
          <w:rFonts w:eastAsia="Calibri"/>
          <w:lang w:val="en-US"/>
        </w:rPr>
        <w:t>núm.</w:t>
      </w:r>
      <w:r w:rsidRPr="00D062B4">
        <w:rPr>
          <w:lang w:val="en-US"/>
        </w:rPr>
        <w:t xml:space="preserve"> 30077. </w:t>
      </w:r>
      <w:r w:rsidRPr="003416E8">
        <w:rPr>
          <w:lang w:val="en-US"/>
        </w:rPr>
        <w:t>Art. 22° 1) c).</w:t>
      </w:r>
    </w:p>
  </w:footnote>
  <w:footnote w:id="11">
    <w:p w:rsidR="00F046F7" w:rsidRPr="003416E8" w:rsidRDefault="00F046F7">
      <w:pPr>
        <w:pStyle w:val="Textonotapie"/>
        <w:rPr>
          <w:sz w:val="16"/>
          <w:szCs w:val="16"/>
          <w:lang w:val="en-US"/>
        </w:rPr>
      </w:pPr>
      <w:r>
        <w:rPr>
          <w:lang w:val="en-US"/>
        </w:rPr>
        <w:tab/>
      </w:r>
      <w:r w:rsidRPr="001D1DB6">
        <w:rPr>
          <w:rStyle w:val="Refdenotaalpie"/>
          <w:sz w:val="16"/>
          <w:szCs w:val="16"/>
        </w:rPr>
        <w:footnoteRef/>
      </w:r>
      <w:r>
        <w:rPr>
          <w:lang w:val="en-US"/>
        </w:rPr>
        <w:tab/>
      </w:r>
      <w:r w:rsidRPr="00D062B4">
        <w:rPr>
          <w:lang w:val="en-US"/>
        </w:rPr>
        <w:t>Ídem,</w:t>
      </w:r>
      <w:r>
        <w:rPr>
          <w:lang w:val="en-US"/>
        </w:rPr>
        <w:t xml:space="preserve"> a</w:t>
      </w:r>
      <w:r w:rsidRPr="003416E8">
        <w:rPr>
          <w:lang w:val="en-US"/>
        </w:rPr>
        <w:t>rt. 24° 1).</w:t>
      </w:r>
      <w:r>
        <w:rPr>
          <w:sz w:val="16"/>
          <w:szCs w:val="16"/>
          <w:lang w:val="en-US"/>
        </w:rPr>
        <w:t xml:space="preserve"> </w:t>
      </w:r>
    </w:p>
  </w:footnote>
  <w:footnote w:id="12">
    <w:p w:rsidR="00F046F7" w:rsidRPr="001D1DB6" w:rsidRDefault="00F046F7">
      <w:pPr>
        <w:pStyle w:val="Textonotapie"/>
      </w:pPr>
      <w:r w:rsidRPr="006C55AC">
        <w:rPr>
          <w:lang w:val="en-US"/>
        </w:rPr>
        <w:tab/>
      </w:r>
      <w:r w:rsidRPr="001D1DB6">
        <w:rPr>
          <w:rStyle w:val="Refdenotaalpie"/>
          <w:sz w:val="16"/>
          <w:szCs w:val="16"/>
        </w:rPr>
        <w:footnoteRef/>
      </w:r>
      <w:r>
        <w:tab/>
      </w:r>
      <w:r w:rsidRPr="001D1DB6">
        <w:t xml:space="preserve">PODER EJECUTIVO. Decreto Legislativo </w:t>
      </w:r>
      <w:r>
        <w:rPr>
          <w:rFonts w:eastAsia="Calibri"/>
          <w:lang w:val="es-ES_tradnl"/>
        </w:rPr>
        <w:t>núm.</w:t>
      </w:r>
      <w:r w:rsidRPr="001D1DB6">
        <w:t xml:space="preserve"> 957. Publicado en el Diario Oficial </w:t>
      </w:r>
      <w:r w:rsidRPr="00353E55">
        <w:rPr>
          <w:i/>
        </w:rPr>
        <w:t>El Peruano</w:t>
      </w:r>
      <w:r>
        <w:t>: 29.07.2004. Artículo IX.</w:t>
      </w:r>
    </w:p>
  </w:footnote>
  <w:footnote w:id="13">
    <w:p w:rsidR="00F046F7" w:rsidRPr="001D1DB6" w:rsidRDefault="00F046F7">
      <w:pPr>
        <w:pStyle w:val="Textonotapie"/>
        <w:rPr>
          <w:sz w:val="16"/>
          <w:szCs w:val="16"/>
        </w:rPr>
      </w:pPr>
      <w:r>
        <w:tab/>
      </w:r>
      <w:r w:rsidRPr="001D1DB6">
        <w:rPr>
          <w:rStyle w:val="Refdenotaalpie"/>
          <w:sz w:val="16"/>
          <w:szCs w:val="16"/>
        </w:rPr>
        <w:footnoteRef/>
      </w:r>
      <w:r>
        <w:tab/>
        <w:t xml:space="preserve">MINISTERIO DE </w:t>
      </w:r>
      <w:r w:rsidRPr="001D1DB6">
        <w:t>JUSTICIA Y DERECHOS HUMANOS. D</w:t>
      </w:r>
      <w:r>
        <w:t>.S.</w:t>
      </w:r>
      <w:r w:rsidRPr="001D1DB6">
        <w:t xml:space="preserve"> </w:t>
      </w:r>
      <w:r>
        <w:rPr>
          <w:rFonts w:eastAsia="Calibri"/>
          <w:lang w:val="es-ES_tradnl"/>
        </w:rPr>
        <w:t>núm.</w:t>
      </w:r>
      <w:r w:rsidRPr="001D1DB6">
        <w:t xml:space="preserve"> 011-2012-JU</w:t>
      </w:r>
      <w:r>
        <w:t xml:space="preserve">S. Fecha: 20.04.2016. </w:t>
      </w:r>
      <w:r w:rsidRPr="001D1DB6">
        <w:t>Artículo</w:t>
      </w:r>
      <w:r>
        <w:t xml:space="preserve"> 101</w:t>
      </w:r>
      <w:r w:rsidRPr="001D1DB6">
        <w:t>.</w:t>
      </w:r>
    </w:p>
  </w:footnote>
  <w:footnote w:id="14">
    <w:p w:rsidR="00F046F7" w:rsidRPr="00D503CF" w:rsidRDefault="00F046F7">
      <w:pPr>
        <w:pStyle w:val="Textonotapie"/>
        <w:rPr>
          <w:sz w:val="16"/>
          <w:szCs w:val="16"/>
          <w:lang w:val="pt-PT"/>
        </w:rPr>
      </w:pPr>
      <w:r>
        <w:tab/>
      </w:r>
      <w:r w:rsidRPr="001D1DB6">
        <w:rPr>
          <w:rStyle w:val="Refdenotaalpie"/>
          <w:sz w:val="16"/>
          <w:szCs w:val="16"/>
        </w:rPr>
        <w:footnoteRef/>
      </w:r>
      <w:r>
        <w:tab/>
      </w:r>
      <w:r w:rsidRPr="001D1DB6">
        <w:rPr>
          <w:lang w:val="es-ES_tradnl"/>
        </w:rPr>
        <w:t>MINISTERIO</w:t>
      </w:r>
      <w:r w:rsidRPr="001D1DB6">
        <w:t xml:space="preserve"> DE JUSTICIA Y DERECHOS HUMANOS. Dirección General de Defensa Pública y Acceso a la Justicia</w:t>
      </w:r>
      <w:r>
        <w:t xml:space="preserve"> (DGDPAJ)</w:t>
      </w:r>
      <w:r w:rsidRPr="001D1DB6">
        <w:t xml:space="preserve">. </w:t>
      </w:r>
      <w:r w:rsidRPr="00D503CF">
        <w:rPr>
          <w:lang w:val="pt-PT"/>
        </w:rPr>
        <w:t xml:space="preserve">Oficio </w:t>
      </w:r>
      <w:r>
        <w:rPr>
          <w:rFonts w:eastAsia="Calibri"/>
          <w:lang w:val="es-ES_tradnl"/>
        </w:rPr>
        <w:t>núm.</w:t>
      </w:r>
      <w:r w:rsidRPr="00D503CF">
        <w:rPr>
          <w:lang w:val="pt-PT"/>
        </w:rPr>
        <w:t xml:space="preserve"> 01014-2016-JUS-DGDP. </w:t>
      </w:r>
      <w:r w:rsidRPr="00D20B36">
        <w:rPr>
          <w:shd w:val="clear" w:color="auto" w:fill="FFFFFF"/>
        </w:rPr>
        <w:t>Fecha</w:t>
      </w:r>
      <w:r w:rsidRPr="00D503CF">
        <w:rPr>
          <w:lang w:val="pt-PT"/>
        </w:rPr>
        <w:t xml:space="preserve">: 29.09.2016. Informe </w:t>
      </w:r>
      <w:r>
        <w:rPr>
          <w:rFonts w:eastAsia="Calibri"/>
          <w:lang w:val="es-ES_tradnl"/>
        </w:rPr>
        <w:t>núm.</w:t>
      </w:r>
      <w:r w:rsidRPr="00D503CF">
        <w:rPr>
          <w:lang w:val="pt-PT"/>
        </w:rPr>
        <w:t xml:space="preserve"> 00018-2016-JUS/DGDP-DDP-FEVP </w:t>
      </w:r>
      <w:r>
        <w:rPr>
          <w:lang w:val="pt-PT"/>
        </w:rPr>
        <w:t>(Fecha: 26.09.2016). Págs. 3-4.</w:t>
      </w:r>
    </w:p>
  </w:footnote>
  <w:footnote w:id="15">
    <w:p w:rsidR="00F046F7" w:rsidRPr="00D503CF" w:rsidRDefault="00F046F7">
      <w:pPr>
        <w:pStyle w:val="Textonotapie"/>
        <w:rPr>
          <w:sz w:val="16"/>
          <w:szCs w:val="16"/>
          <w:lang w:val="pt-PT"/>
        </w:rPr>
      </w:pPr>
      <w:r>
        <w:rPr>
          <w:lang w:val="pt-PT"/>
        </w:rPr>
        <w:tab/>
      </w:r>
      <w:r w:rsidRPr="001D1DB6">
        <w:rPr>
          <w:rStyle w:val="Refdenotaalpie"/>
          <w:rFonts w:eastAsiaTheme="majorEastAsia"/>
          <w:sz w:val="16"/>
          <w:szCs w:val="16"/>
        </w:rPr>
        <w:footnoteRef/>
      </w:r>
      <w:r>
        <w:rPr>
          <w:lang w:val="pt-PT"/>
        </w:rPr>
        <w:tab/>
      </w:r>
      <w:r w:rsidRPr="00D503CF">
        <w:rPr>
          <w:lang w:val="pt-PT"/>
        </w:rPr>
        <w:t>Ídem, págs.5</w:t>
      </w:r>
      <w:r>
        <w:rPr>
          <w:lang w:val="pt-PT"/>
        </w:rPr>
        <w:t>-</w:t>
      </w:r>
      <w:r w:rsidRPr="00D503CF">
        <w:rPr>
          <w:lang w:val="pt-PT"/>
        </w:rPr>
        <w:t>6</w:t>
      </w:r>
      <w:r>
        <w:rPr>
          <w:lang w:val="pt-PT"/>
        </w:rPr>
        <w:t>.</w:t>
      </w:r>
    </w:p>
  </w:footnote>
  <w:footnote w:id="16">
    <w:p w:rsidR="00F046F7" w:rsidRPr="001D1DB6" w:rsidRDefault="00F046F7">
      <w:pPr>
        <w:pStyle w:val="Textonotapie"/>
        <w:rPr>
          <w:sz w:val="16"/>
          <w:szCs w:val="16"/>
        </w:rPr>
      </w:pPr>
      <w:r>
        <w:tab/>
      </w:r>
      <w:r w:rsidRPr="001D1DB6">
        <w:rPr>
          <w:rStyle w:val="Refdenotaalpie"/>
          <w:sz w:val="16"/>
          <w:szCs w:val="16"/>
        </w:rPr>
        <w:footnoteRef/>
      </w:r>
      <w:r>
        <w:tab/>
      </w:r>
      <w:r w:rsidRPr="001D1DB6">
        <w:t>Ídem, pág. 17.</w:t>
      </w:r>
    </w:p>
  </w:footnote>
  <w:footnote w:id="17">
    <w:p w:rsidR="00F046F7" w:rsidRPr="001D1DB6" w:rsidRDefault="00F046F7">
      <w:pPr>
        <w:pStyle w:val="Textonotapie"/>
        <w:rPr>
          <w:sz w:val="16"/>
          <w:szCs w:val="16"/>
        </w:rPr>
      </w:pPr>
      <w:r>
        <w:tab/>
      </w:r>
      <w:r w:rsidRPr="001D1DB6">
        <w:rPr>
          <w:rStyle w:val="Refdenotaalpie"/>
          <w:rFonts w:eastAsiaTheme="majorEastAsia"/>
          <w:sz w:val="16"/>
          <w:szCs w:val="16"/>
        </w:rPr>
        <w:footnoteRef/>
      </w:r>
      <w:r w:rsidRPr="001D1DB6">
        <w:t xml:space="preserve"> </w:t>
      </w:r>
      <w:r w:rsidRPr="001D1DB6">
        <w:tab/>
        <w:t xml:space="preserve">MINISTERIO DE JUSTICIA Y DERECHOS HUMANOS. </w:t>
      </w:r>
      <w:r w:rsidRPr="00D503CF">
        <w:rPr>
          <w:lang w:val="pt-PT"/>
        </w:rPr>
        <w:t xml:space="preserve">DGDPAJ. Oficio </w:t>
      </w:r>
      <w:r>
        <w:rPr>
          <w:rFonts w:eastAsia="Calibri"/>
          <w:lang w:val="es-ES_tradnl"/>
        </w:rPr>
        <w:t>núm.</w:t>
      </w:r>
      <w:r w:rsidRPr="00D503CF">
        <w:rPr>
          <w:lang w:val="pt-PT"/>
        </w:rPr>
        <w:t xml:space="preserve"> 1254-2016-JUS-DGDP. </w:t>
      </w:r>
      <w:r w:rsidRPr="001D1DB6">
        <w:t xml:space="preserve">Fecha: 16.11.2016. Informe </w:t>
      </w:r>
      <w:r>
        <w:rPr>
          <w:rFonts w:eastAsia="Calibri"/>
          <w:lang w:val="es-ES_tradnl"/>
        </w:rPr>
        <w:t>núm.</w:t>
      </w:r>
      <w:r w:rsidRPr="001D1DB6">
        <w:t xml:space="preserve"> 3917-2016-DGDPAJ. Fecha: 11.11.2016. Págs. 3-4.</w:t>
      </w:r>
    </w:p>
  </w:footnote>
  <w:footnote w:id="18">
    <w:p w:rsidR="00F046F7" w:rsidRPr="00D503CF" w:rsidRDefault="00F046F7">
      <w:pPr>
        <w:pStyle w:val="Textonotapie"/>
        <w:rPr>
          <w:sz w:val="16"/>
          <w:szCs w:val="16"/>
          <w:lang w:val="pt-PT"/>
        </w:rPr>
      </w:pPr>
      <w:r>
        <w:tab/>
      </w:r>
      <w:r w:rsidRPr="001D1DB6">
        <w:rPr>
          <w:rStyle w:val="Refdenotaalpie"/>
          <w:sz w:val="16"/>
          <w:szCs w:val="16"/>
        </w:rPr>
        <w:footnoteRef/>
      </w:r>
      <w:r w:rsidRPr="001D1DB6">
        <w:t xml:space="preserve"> </w:t>
      </w:r>
      <w:r w:rsidRPr="001D1DB6">
        <w:tab/>
      </w:r>
      <w:r w:rsidRPr="001D1DB6">
        <w:rPr>
          <w:lang w:val="es-ES_tradnl"/>
        </w:rPr>
        <w:t>MINISTERIO</w:t>
      </w:r>
      <w:r w:rsidRPr="001D1DB6">
        <w:t xml:space="preserve"> DE JUSTICIA Y DERECHOS HUMANOS</w:t>
      </w:r>
      <w:r>
        <w:t xml:space="preserve">. </w:t>
      </w:r>
      <w:r w:rsidRPr="00D503CF">
        <w:rPr>
          <w:lang w:val="pt-PT"/>
        </w:rPr>
        <w:t xml:space="preserve">DGDPAJ. Oficio </w:t>
      </w:r>
      <w:r>
        <w:rPr>
          <w:rFonts w:eastAsia="Calibri"/>
          <w:lang w:val="es-ES_tradnl"/>
        </w:rPr>
        <w:t>núm.</w:t>
      </w:r>
      <w:r w:rsidRPr="00D503CF">
        <w:rPr>
          <w:lang w:val="pt-PT"/>
        </w:rPr>
        <w:t xml:space="preserve"> 01014-2016-JUS-DGDP. Fecha: 29.09.2016. Informe Técnico </w:t>
      </w:r>
      <w:r>
        <w:rPr>
          <w:rFonts w:eastAsia="Calibri"/>
          <w:lang w:val="es-ES_tradnl"/>
        </w:rPr>
        <w:t>núm.</w:t>
      </w:r>
      <w:r w:rsidRPr="00D503CF">
        <w:rPr>
          <w:lang w:val="pt-PT"/>
        </w:rPr>
        <w:t xml:space="preserve"> 00018-2016-JUS/DGDP-DDP-FEVP (Fecha:</w:t>
      </w:r>
      <w:r>
        <w:rPr>
          <w:lang w:val="pt-PT"/>
        </w:rPr>
        <w:t> </w:t>
      </w:r>
      <w:r w:rsidRPr="00D503CF">
        <w:rPr>
          <w:lang w:val="pt-PT"/>
        </w:rPr>
        <w:t>26.09.2016). Págs. 11-13.</w:t>
      </w:r>
    </w:p>
  </w:footnote>
  <w:footnote w:id="19">
    <w:p w:rsidR="00F046F7" w:rsidRPr="001D1DB6" w:rsidRDefault="00F046F7">
      <w:pPr>
        <w:pStyle w:val="Textonotapie"/>
        <w:rPr>
          <w:sz w:val="16"/>
          <w:szCs w:val="16"/>
        </w:rPr>
      </w:pPr>
      <w:r>
        <w:rPr>
          <w:lang w:val="pt-PT"/>
        </w:rPr>
        <w:tab/>
      </w:r>
      <w:r w:rsidRPr="001D1DB6">
        <w:rPr>
          <w:rStyle w:val="Refdenotaalpie"/>
          <w:rFonts w:eastAsiaTheme="majorEastAsia"/>
          <w:sz w:val="16"/>
          <w:szCs w:val="16"/>
        </w:rPr>
        <w:footnoteRef/>
      </w:r>
      <w:r>
        <w:rPr>
          <w:lang w:val="pt-PT"/>
        </w:rPr>
        <w:tab/>
      </w:r>
      <w:r w:rsidRPr="00D503CF">
        <w:rPr>
          <w:lang w:val="pt-PT"/>
        </w:rPr>
        <w:t xml:space="preserve">NUEVO CÓDIGO PROCESAL PENAL. Decreto Legislativo </w:t>
      </w:r>
      <w:r>
        <w:rPr>
          <w:rFonts w:eastAsia="Calibri"/>
          <w:lang w:val="es-ES_tradnl"/>
        </w:rPr>
        <w:t>núm.</w:t>
      </w:r>
      <w:r w:rsidRPr="00D503CF">
        <w:rPr>
          <w:lang w:val="pt-PT"/>
        </w:rPr>
        <w:t xml:space="preserve"> 957. Publicado en el Diario Oficial </w:t>
      </w:r>
      <w:r w:rsidRPr="00353E55">
        <w:rPr>
          <w:i/>
        </w:rPr>
        <w:t>El Peruano</w:t>
      </w:r>
      <w:r w:rsidRPr="00D503CF">
        <w:rPr>
          <w:lang w:val="pt-PT"/>
        </w:rPr>
        <w:t xml:space="preserve">: 29.07.2004. </w:t>
      </w:r>
      <w:r>
        <w:t>Art. 263.</w:t>
      </w:r>
    </w:p>
  </w:footnote>
  <w:footnote w:id="20">
    <w:p w:rsidR="00F046F7" w:rsidRPr="001D1DB6" w:rsidRDefault="00F046F7">
      <w:pPr>
        <w:pStyle w:val="Textonotapie"/>
        <w:rPr>
          <w:sz w:val="16"/>
          <w:szCs w:val="16"/>
        </w:rPr>
      </w:pPr>
      <w:r>
        <w:tab/>
      </w:r>
      <w:r w:rsidRPr="001D1DB6">
        <w:rPr>
          <w:rStyle w:val="Refdenotaalpie"/>
          <w:rFonts w:eastAsiaTheme="majorEastAsia"/>
          <w:sz w:val="16"/>
          <w:szCs w:val="16"/>
        </w:rPr>
        <w:footnoteRef/>
      </w:r>
      <w:r w:rsidRPr="001D1DB6">
        <w:t xml:space="preserve"> </w:t>
      </w:r>
      <w:r w:rsidRPr="001D1DB6">
        <w:tab/>
        <w:t>Numeral 4 del artículo 71° del Nuevo Código Procesal Penal.</w:t>
      </w:r>
    </w:p>
  </w:footnote>
  <w:footnote w:id="21">
    <w:p w:rsidR="00F046F7" w:rsidRPr="001D1DB6" w:rsidRDefault="00F046F7" w:rsidP="00574AEE">
      <w:pPr>
        <w:pStyle w:val="Textonotapie"/>
        <w:spacing w:after="60"/>
      </w:pPr>
      <w:r>
        <w:tab/>
      </w:r>
      <w:r w:rsidRPr="001D1DB6">
        <w:rPr>
          <w:rStyle w:val="Refdenotaalpie"/>
          <w:sz w:val="16"/>
          <w:szCs w:val="16"/>
        </w:rPr>
        <w:footnoteRef/>
      </w:r>
      <w:r>
        <w:tab/>
      </w:r>
      <w:r w:rsidRPr="001D1DB6">
        <w:rPr>
          <w:lang w:val="es-ES_tradnl"/>
        </w:rPr>
        <w:t>DEFENSORÍA</w:t>
      </w:r>
      <w:r w:rsidRPr="001D1DB6">
        <w:t xml:space="preserve"> DEL PUEBLO. </w:t>
      </w:r>
    </w:p>
    <w:p w:rsidR="00F046F7" w:rsidRPr="001D1DB6" w:rsidRDefault="00F046F7" w:rsidP="00574AEE">
      <w:pPr>
        <w:pStyle w:val="Textonotapie"/>
        <w:spacing w:after="60"/>
      </w:pPr>
      <w:r>
        <w:tab/>
      </w:r>
      <w:r>
        <w:tab/>
        <w:t>19°</w:t>
      </w:r>
      <w:r w:rsidRPr="001D1DB6">
        <w:t xml:space="preserve"> Informe Anual al Congreso de la República. Enero – diciembre 2015.</w:t>
      </w:r>
      <w:r>
        <w:t xml:space="preserve"> </w:t>
      </w:r>
      <w:r w:rsidRPr="001D1DB6">
        <w:t>Lima, mayo de 2016. Pág.</w:t>
      </w:r>
      <w:r>
        <w:t> </w:t>
      </w:r>
      <w:r w:rsidRPr="001D1DB6">
        <w:t>337</w:t>
      </w:r>
      <w:r>
        <w:t>-</w:t>
      </w:r>
      <w:r w:rsidRPr="001D1DB6">
        <w:t xml:space="preserve">339. Consulta: 10.10.2016. </w:t>
      </w:r>
    </w:p>
    <w:p w:rsidR="00F046F7" w:rsidRPr="001D1DB6" w:rsidRDefault="00F046F7" w:rsidP="00574AEE">
      <w:pPr>
        <w:pStyle w:val="Textonotapie"/>
        <w:spacing w:after="60"/>
        <w:rPr>
          <w:sz w:val="16"/>
          <w:szCs w:val="16"/>
        </w:rPr>
      </w:pPr>
      <w:r>
        <w:tab/>
      </w:r>
      <w:r>
        <w:tab/>
        <w:t xml:space="preserve">Disponible: </w:t>
      </w:r>
      <w:r w:rsidRPr="001D1DB6">
        <w:t>http://www.defensoria.gob.pe/modules/Downloads/informes/anuales</w:t>
      </w:r>
      <w:r>
        <w:t>/decimonoveno-informe-anual.pdf.</w:t>
      </w:r>
    </w:p>
    <w:p w:rsidR="00F046F7" w:rsidRPr="001D1DB6" w:rsidRDefault="00F046F7" w:rsidP="00574AEE">
      <w:pPr>
        <w:pStyle w:val="Textonotapie"/>
        <w:spacing w:after="60"/>
      </w:pPr>
      <w:r>
        <w:tab/>
      </w:r>
      <w:r>
        <w:tab/>
        <w:t>18°</w:t>
      </w:r>
      <w:r w:rsidRPr="001D1DB6">
        <w:t xml:space="preserve"> Informe Anual al Congreso de la República. Enero – diciembre 2014.</w:t>
      </w:r>
      <w:r>
        <w:t xml:space="preserve"> </w:t>
      </w:r>
      <w:r w:rsidRPr="001D1DB6">
        <w:t>Lima, mayo de 2015. Pág.</w:t>
      </w:r>
      <w:r>
        <w:t> </w:t>
      </w:r>
      <w:r w:rsidRPr="001D1DB6">
        <w:t xml:space="preserve">305. Consulta: 10.10.2016. Consulta: 10.10.2016. </w:t>
      </w:r>
    </w:p>
    <w:p w:rsidR="00F046F7" w:rsidRPr="001D1DB6" w:rsidRDefault="00F046F7" w:rsidP="00574AEE">
      <w:pPr>
        <w:pStyle w:val="Textonotapie"/>
        <w:spacing w:after="60"/>
        <w:rPr>
          <w:sz w:val="16"/>
          <w:szCs w:val="16"/>
        </w:rPr>
      </w:pPr>
      <w:r>
        <w:tab/>
      </w:r>
      <w:r>
        <w:tab/>
        <w:t xml:space="preserve">Disponible: </w:t>
      </w:r>
      <w:r w:rsidRPr="001D1DB6">
        <w:t>http://www.defensoria.gob.pe/modules/Downloads/informes/anuales</w:t>
      </w:r>
      <w:r>
        <w:t>/</w:t>
      </w:r>
      <w:r w:rsidRPr="00D20B36">
        <w:rPr>
          <w:shd w:val="clear" w:color="auto" w:fill="FFFFFF"/>
        </w:rPr>
        <w:t>decimonoveno</w:t>
      </w:r>
      <w:r>
        <w:t>-informe-anual.pdf.</w:t>
      </w:r>
    </w:p>
    <w:p w:rsidR="00F046F7" w:rsidRPr="001D1DB6" w:rsidRDefault="00F046F7" w:rsidP="00574AEE">
      <w:pPr>
        <w:pStyle w:val="Textonotapie"/>
        <w:spacing w:after="60"/>
      </w:pPr>
      <w:r>
        <w:tab/>
      </w:r>
      <w:r>
        <w:tab/>
        <w:t>17°</w:t>
      </w:r>
      <w:r w:rsidRPr="001D1DB6">
        <w:t xml:space="preserve"> Informe Anual al Congreso de la República. Enero – diciembre 2013.</w:t>
      </w:r>
      <w:r>
        <w:t xml:space="preserve"> </w:t>
      </w:r>
      <w:r w:rsidRPr="001D1DB6">
        <w:t>Lima, mayo de 2014. Pág.</w:t>
      </w:r>
      <w:r>
        <w:t> </w:t>
      </w:r>
      <w:r w:rsidRPr="001D1DB6">
        <w:t xml:space="preserve">283. Consulta: 10.10.2016. Consulta: 10.10.2016. </w:t>
      </w:r>
    </w:p>
    <w:p w:rsidR="00F046F7" w:rsidRPr="001D1DB6" w:rsidRDefault="00F046F7" w:rsidP="00574AEE">
      <w:pPr>
        <w:pStyle w:val="Textonotapie"/>
        <w:spacing w:after="60"/>
      </w:pPr>
      <w:r>
        <w:tab/>
      </w:r>
      <w:r>
        <w:tab/>
        <w:t xml:space="preserve">Disponible: </w:t>
      </w:r>
      <w:r w:rsidRPr="001D1DB6">
        <w:t>http://www.defensoria.gob.pe/modules/Downloads/informes/anuales/</w:t>
      </w:r>
      <w:r>
        <w:t>Decimoseptimo-Informe-Anual.pdf</w:t>
      </w:r>
      <w:r w:rsidR="00AF2E0E">
        <w:t>.</w:t>
      </w:r>
    </w:p>
    <w:p w:rsidR="00F046F7" w:rsidRPr="001D1DB6" w:rsidRDefault="00F046F7" w:rsidP="00574AEE">
      <w:pPr>
        <w:pStyle w:val="Textonotapie"/>
        <w:spacing w:after="60"/>
      </w:pPr>
      <w:r>
        <w:tab/>
      </w:r>
      <w:r>
        <w:tab/>
        <w:t>16°</w:t>
      </w:r>
      <w:r w:rsidRPr="001D1DB6">
        <w:t xml:space="preserve"> Informe Anual al Congreso de la República. Enero – diciembre 2012.</w:t>
      </w:r>
      <w:r>
        <w:t xml:space="preserve"> </w:t>
      </w:r>
      <w:r w:rsidRPr="001D1DB6">
        <w:t>Lima, mayo de 2013. Pág.</w:t>
      </w:r>
      <w:r>
        <w:t> </w:t>
      </w:r>
      <w:r w:rsidRPr="001D1DB6">
        <w:t xml:space="preserve">261. Consulta: 10.10.2016. Consulta: 10.10.2016. </w:t>
      </w:r>
    </w:p>
    <w:p w:rsidR="00F046F7" w:rsidRPr="001D1DB6" w:rsidRDefault="00F046F7">
      <w:pPr>
        <w:pStyle w:val="Textonotapie"/>
        <w:rPr>
          <w:sz w:val="16"/>
          <w:szCs w:val="16"/>
        </w:rPr>
      </w:pPr>
      <w:r>
        <w:tab/>
      </w:r>
      <w:r>
        <w:tab/>
        <w:t xml:space="preserve">Disponible: </w:t>
      </w:r>
      <w:r w:rsidRPr="001D1DB6">
        <w:t>http://www.defensoria.gob.pe/modules/Downloads/informes/anuale</w:t>
      </w:r>
      <w:r>
        <w:t>s/Decimosexto-Informe-Anual.pdf.</w:t>
      </w:r>
    </w:p>
  </w:footnote>
  <w:footnote w:id="22">
    <w:p w:rsidR="00F046F7" w:rsidRPr="001D1DB6" w:rsidRDefault="00F046F7">
      <w:pPr>
        <w:pStyle w:val="Textonotapie"/>
      </w:pPr>
      <w:r>
        <w:tab/>
      </w:r>
      <w:r w:rsidRPr="001D1DB6">
        <w:rPr>
          <w:rStyle w:val="Refdenotaalpie"/>
          <w:rFonts w:eastAsiaTheme="majorEastAsia"/>
          <w:sz w:val="16"/>
          <w:szCs w:val="16"/>
        </w:rPr>
        <w:footnoteRef/>
      </w:r>
      <w:r>
        <w:tab/>
      </w:r>
      <w:r w:rsidRPr="001D1DB6">
        <w:rPr>
          <w:lang w:val="es-ES_tradnl"/>
        </w:rPr>
        <w:t>CONGRESO</w:t>
      </w:r>
      <w:r w:rsidRPr="001D1DB6">
        <w:t xml:space="preserve"> DE LA REPÚBLICA. </w:t>
      </w:r>
      <w:r w:rsidRPr="00916DB3">
        <w:t xml:space="preserve">Ley </w:t>
      </w:r>
      <w:r>
        <w:rPr>
          <w:rFonts w:eastAsia="Calibri"/>
          <w:lang w:val="es-ES_tradnl"/>
        </w:rPr>
        <w:t>núm.</w:t>
      </w:r>
      <w:r w:rsidRPr="00916DB3">
        <w:t xml:space="preserve"> 30394. Publicada en el Diario Oficial </w:t>
      </w:r>
      <w:r w:rsidRPr="00353E55">
        <w:rPr>
          <w:i/>
        </w:rPr>
        <w:t>El Peruano</w:t>
      </w:r>
      <w:r w:rsidRPr="00916DB3">
        <w:t>: 22.12.2015.</w:t>
      </w:r>
    </w:p>
  </w:footnote>
  <w:footnote w:id="23">
    <w:p w:rsidR="00F046F7" w:rsidRPr="001D1DB6" w:rsidRDefault="00F046F7">
      <w:pPr>
        <w:pStyle w:val="Textonotapie"/>
      </w:pPr>
      <w:r>
        <w:tab/>
      </w:r>
      <w:r w:rsidRPr="001D1DB6">
        <w:rPr>
          <w:rStyle w:val="Refdenotaalpie"/>
          <w:sz w:val="16"/>
          <w:szCs w:val="16"/>
        </w:rPr>
        <w:footnoteRef/>
      </w:r>
      <w:r>
        <w:tab/>
      </w:r>
      <w:r w:rsidRPr="001D1DB6">
        <w:rPr>
          <w:lang w:val="es-ES_tradnl"/>
        </w:rPr>
        <w:t>DEFENSORÍA</w:t>
      </w:r>
      <w:r>
        <w:t xml:space="preserve"> DEL PUEBLO. 19°</w:t>
      </w:r>
      <w:r w:rsidRPr="001D1DB6">
        <w:t xml:space="preserve"> Informe Anual de la Defensoría del Pueblo al Congreso de la República. Enero – diciembre 2015.</w:t>
      </w:r>
      <w:r>
        <w:t xml:space="preserve"> </w:t>
      </w:r>
      <w:r w:rsidRPr="001D1DB6">
        <w:t>Pág. 140.</w:t>
      </w:r>
    </w:p>
  </w:footnote>
  <w:footnote w:id="24">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MINISTERIO DE JUSTICIA Y DERECHOS HUMANOS. </w:t>
      </w:r>
      <w:r>
        <w:rPr>
          <w:noProof/>
        </w:rPr>
        <w:t>D.S.</w:t>
      </w:r>
      <w:r w:rsidRPr="001D1DB6">
        <w:rPr>
          <w:noProof/>
        </w:rPr>
        <w:t xml:space="preserve"> </w:t>
      </w:r>
      <w:r>
        <w:rPr>
          <w:rFonts w:eastAsia="Calibri"/>
          <w:lang w:val="es-ES_tradnl"/>
        </w:rPr>
        <w:t>núm.</w:t>
      </w:r>
      <w:r w:rsidRPr="001D1DB6">
        <w:rPr>
          <w:noProof/>
        </w:rPr>
        <w:t xml:space="preserve"> 005-2014-JUS. </w:t>
      </w:r>
      <w:r w:rsidRPr="00916DB3">
        <w:t>Publicado</w:t>
      </w:r>
      <w:r w:rsidRPr="001D1DB6">
        <w:rPr>
          <w:noProof/>
        </w:rPr>
        <w:t xml:space="preserve"> en</w:t>
      </w:r>
      <w:r>
        <w:rPr>
          <w:noProof/>
        </w:rPr>
        <w:t xml:space="preserve"> </w:t>
      </w:r>
      <w:r w:rsidRPr="001D1DB6">
        <w:rPr>
          <w:noProof/>
        </w:rPr>
        <w:t xml:space="preserve">el Diario Oficial </w:t>
      </w:r>
      <w:r w:rsidRPr="00353E55">
        <w:rPr>
          <w:i/>
        </w:rPr>
        <w:t>El Peruano</w:t>
      </w:r>
      <w:r w:rsidRPr="001D1DB6">
        <w:rPr>
          <w:noProof/>
        </w:rPr>
        <w:t>: 05.07.2014. Pág. 59 y 113. Con</w:t>
      </w:r>
      <w:r>
        <w:rPr>
          <w:noProof/>
        </w:rPr>
        <w:t>sulta: 30.11.2016. Disponible</w:t>
      </w:r>
      <w:r w:rsidRPr="001D1DB6">
        <w:rPr>
          <w:noProof/>
        </w:rPr>
        <w:t>:</w:t>
      </w:r>
      <w:r>
        <w:rPr>
          <w:noProof/>
        </w:rPr>
        <w:t> </w:t>
      </w:r>
      <w:r w:rsidRPr="001D1DB6">
        <w:t>http://www.minjus.gob.pe/vmjdh/contenido/publicaciones/11_ds_0</w:t>
      </w:r>
      <w:r>
        <w:t>05_2014_jus_aprobacion_pndh.pdf.</w:t>
      </w:r>
    </w:p>
  </w:footnote>
  <w:footnote w:id="25">
    <w:p w:rsidR="00F046F7" w:rsidRPr="001D1DB6" w:rsidRDefault="00F046F7" w:rsidP="00574AEE">
      <w:pPr>
        <w:pStyle w:val="Textonotapie"/>
        <w:spacing w:after="60"/>
      </w:pPr>
      <w:r>
        <w:tab/>
      </w:r>
      <w:r w:rsidRPr="001D1DB6">
        <w:rPr>
          <w:rStyle w:val="Refdenotaalpie"/>
          <w:rFonts w:eastAsiaTheme="majorEastAsia"/>
          <w:sz w:val="16"/>
          <w:szCs w:val="16"/>
        </w:rPr>
        <w:footnoteRef/>
      </w:r>
      <w:r>
        <w:t xml:space="preserve"> </w:t>
      </w:r>
      <w:r w:rsidRPr="001D1DB6">
        <w:tab/>
        <w:t>MINISTERIO DE LA MUJER Y POBLACIONES VULNERABLES. Dirección General de Igualdad y No Discriminación</w:t>
      </w:r>
      <w:r>
        <w:t xml:space="preserve"> (DGIGND)</w:t>
      </w:r>
      <w:r w:rsidRPr="001D1DB6">
        <w:t xml:space="preserve">. </w:t>
      </w:r>
      <w:r w:rsidRPr="00D503CF">
        <w:rPr>
          <w:lang w:val="pt-PT"/>
        </w:rPr>
        <w:t xml:space="preserve">Oficio </w:t>
      </w:r>
      <w:r>
        <w:rPr>
          <w:rFonts w:eastAsia="Calibri"/>
          <w:lang w:val="es-ES_tradnl"/>
        </w:rPr>
        <w:t>núm.</w:t>
      </w:r>
      <w:r w:rsidRPr="00D503CF">
        <w:rPr>
          <w:lang w:val="pt-PT"/>
        </w:rPr>
        <w:t xml:space="preserve"> 112-2016-MIMP/DGIGND. Fecha: 03.10.2016. Informe </w:t>
      </w:r>
      <w:r>
        <w:rPr>
          <w:rFonts w:eastAsia="Calibri"/>
          <w:lang w:val="es-ES_tradnl"/>
        </w:rPr>
        <w:t>núm.</w:t>
      </w:r>
      <w:r w:rsidRPr="00D503CF">
        <w:rPr>
          <w:lang w:val="pt-PT"/>
        </w:rPr>
        <w:t xml:space="preserve"> 014-2016-MIMP/ DGIGND - DPIGND. </w:t>
      </w:r>
      <w:r w:rsidRPr="001D1DB6">
        <w:t xml:space="preserve">Anexo </w:t>
      </w:r>
      <w:r>
        <w:rPr>
          <w:rFonts w:eastAsia="Calibri"/>
          <w:lang w:val="es-ES_tradnl"/>
        </w:rPr>
        <w:t>núm.</w:t>
      </w:r>
      <w:r w:rsidRPr="001D1DB6">
        <w:t xml:space="preserve"> 1.</w:t>
      </w:r>
    </w:p>
    <w:p w:rsidR="00F046F7" w:rsidRPr="001D1DB6" w:rsidRDefault="00F046F7">
      <w:pPr>
        <w:pStyle w:val="Textonotapie"/>
        <w:rPr>
          <w:sz w:val="16"/>
          <w:szCs w:val="16"/>
        </w:rPr>
      </w:pPr>
      <w:r w:rsidRPr="001D1DB6">
        <w:tab/>
      </w:r>
      <w:r>
        <w:tab/>
      </w:r>
      <w:r w:rsidRPr="00916DB3">
        <w:t>Cifras preliminares correspondientes al período enero</w:t>
      </w:r>
      <w:r>
        <w:t>-</w:t>
      </w:r>
      <w:r w:rsidRPr="00916DB3">
        <w:t xml:space="preserve">agosto 2016 publicadas en el portal web del Programa Nacional contra la Violencia Familiar y Sexual: Consulta: 29.09.2016. Disponible: </w:t>
      </w:r>
      <w:hyperlink r:id="rId1" w:history="1">
        <w:r w:rsidRPr="00916DB3">
          <w:rPr>
            <w:rStyle w:val="Hipervnculo"/>
          </w:rPr>
          <w:t>http://www.mimp.gob.pe/contigo/contenidos/pncontigo-articulos.php?codigo=36</w:t>
        </w:r>
      </w:hyperlink>
      <w:r>
        <w:rPr>
          <w:rStyle w:val="Hipervnculo"/>
        </w:rPr>
        <w:t>.</w:t>
      </w:r>
    </w:p>
  </w:footnote>
  <w:footnote w:id="26">
    <w:p w:rsidR="00F046F7" w:rsidRPr="001D1DB6" w:rsidRDefault="00F046F7">
      <w:pPr>
        <w:pStyle w:val="Textonotapie"/>
        <w:rPr>
          <w:sz w:val="16"/>
          <w:szCs w:val="16"/>
        </w:rPr>
      </w:pPr>
      <w:r>
        <w:tab/>
      </w:r>
      <w:r w:rsidRPr="001D1DB6">
        <w:rPr>
          <w:rStyle w:val="Refdenotaalpie"/>
          <w:sz w:val="16"/>
          <w:szCs w:val="16"/>
        </w:rPr>
        <w:footnoteRef/>
      </w:r>
      <w:r>
        <w:tab/>
      </w:r>
      <w:r w:rsidRPr="001D1DB6">
        <w:t>Ídem, p. 7.</w:t>
      </w:r>
    </w:p>
  </w:footnote>
  <w:footnote w:id="27">
    <w:p w:rsidR="00F046F7" w:rsidRPr="00574AEE" w:rsidRDefault="00F046F7">
      <w:pPr>
        <w:pStyle w:val="Textonotapie"/>
      </w:pPr>
      <w:r>
        <w:tab/>
      </w:r>
      <w:r w:rsidRPr="001D1DB6">
        <w:rPr>
          <w:rStyle w:val="Refdenotaalpie"/>
          <w:rFonts w:eastAsiaTheme="majorEastAsia"/>
          <w:sz w:val="16"/>
          <w:szCs w:val="16"/>
        </w:rPr>
        <w:footnoteRef/>
      </w:r>
      <w:r>
        <w:tab/>
      </w:r>
      <w:r w:rsidRPr="001D1DB6">
        <w:t xml:space="preserve">MINISTERIO DE LA MUJER Y POBLACIONES VULNERABLES. IX Informe de Avances en el Cumplimiento de la Ley </w:t>
      </w:r>
      <w:r>
        <w:rPr>
          <w:rFonts w:eastAsia="Calibri"/>
          <w:lang w:val="es-ES_tradnl"/>
        </w:rPr>
        <w:t>núm.</w:t>
      </w:r>
      <w:r w:rsidRPr="001D1DB6">
        <w:t xml:space="preserve"> 28983. Per</w:t>
      </w:r>
      <w:r>
        <w:t>í</w:t>
      </w:r>
      <w:r w:rsidRPr="001D1DB6">
        <w:t>odo 2015. Pág. 235. Co</w:t>
      </w:r>
      <w:r>
        <w:t xml:space="preserve">nsulta: 19.10. 16. Disponible: </w:t>
      </w:r>
      <w:hyperlink r:id="rId2" w:history="1">
        <w:r w:rsidRPr="00574AEE">
          <w:t>http://www.mimp.gob.pe/files/direcciones/dgignd/informes/2015-Informe_LIO.pdf</w:t>
        </w:r>
      </w:hyperlink>
      <w:r>
        <w:t>.</w:t>
      </w:r>
    </w:p>
  </w:footnote>
  <w:footnote w:id="28">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MINISTERIO DE LA MUJER Y POBLACIONES VULNERABLES. Dirección General Contra la Violencia de Género</w:t>
      </w:r>
      <w:r>
        <w:t xml:space="preserve"> (DGCVG)</w:t>
      </w:r>
      <w:r w:rsidRPr="001D1DB6">
        <w:t xml:space="preserve">. Oficio </w:t>
      </w:r>
      <w:r>
        <w:rPr>
          <w:rFonts w:eastAsia="Calibri"/>
          <w:lang w:val="es-ES_tradnl"/>
        </w:rPr>
        <w:t>núm.</w:t>
      </w:r>
      <w:r w:rsidRPr="001D1DB6">
        <w:t xml:space="preserve"> 288-2016-MIMP/DGCVG. Fecha: 14.09.2016. Pág. 5.</w:t>
      </w:r>
    </w:p>
  </w:footnote>
  <w:footnote w:id="29">
    <w:p w:rsidR="00F046F7" w:rsidRPr="00D503CF" w:rsidRDefault="00F046F7">
      <w:pPr>
        <w:pStyle w:val="Textonotapie"/>
        <w:rPr>
          <w:sz w:val="16"/>
          <w:szCs w:val="16"/>
          <w:lang w:val="pt-PT"/>
        </w:rPr>
      </w:pPr>
      <w:r>
        <w:tab/>
      </w:r>
      <w:r w:rsidRPr="001D1DB6">
        <w:rPr>
          <w:rStyle w:val="Refdenotaalpie"/>
          <w:sz w:val="16"/>
          <w:szCs w:val="16"/>
        </w:rPr>
        <w:footnoteRef/>
      </w:r>
      <w:r>
        <w:t xml:space="preserve"> </w:t>
      </w:r>
      <w:r w:rsidRPr="001D1DB6">
        <w:tab/>
        <w:t xml:space="preserve">MINISTERIO DE LA MUJER Y POBLACIONES VULNERABLES. </w:t>
      </w:r>
      <w:r w:rsidRPr="00D503CF">
        <w:rPr>
          <w:lang w:val="pt-PT"/>
        </w:rPr>
        <w:t xml:space="preserve">DGIGND. Oficio </w:t>
      </w:r>
      <w:r>
        <w:rPr>
          <w:rFonts w:eastAsia="Calibri"/>
          <w:lang w:val="es-ES_tradnl"/>
        </w:rPr>
        <w:t>núm.</w:t>
      </w:r>
      <w:r w:rsidRPr="00D503CF">
        <w:rPr>
          <w:lang w:val="pt-PT"/>
        </w:rPr>
        <w:t xml:space="preserve"> 112-2016-MIMP/DGIGND. Fecha: 03.10.2016. Informe </w:t>
      </w:r>
      <w:r>
        <w:rPr>
          <w:rFonts w:eastAsia="Calibri"/>
          <w:lang w:val="es-ES_tradnl"/>
        </w:rPr>
        <w:t>núm.</w:t>
      </w:r>
      <w:r w:rsidRPr="00D503CF">
        <w:rPr>
          <w:lang w:val="pt-PT"/>
        </w:rPr>
        <w:t xml:space="preserve"> 014-2016-MIMP/ DGIGND - DPIGND. Anexo </w:t>
      </w:r>
      <w:r>
        <w:rPr>
          <w:rFonts w:eastAsia="Calibri"/>
          <w:lang w:val="es-ES_tradnl"/>
        </w:rPr>
        <w:t>núm.</w:t>
      </w:r>
      <w:r w:rsidRPr="00D503CF">
        <w:rPr>
          <w:lang w:val="pt-PT"/>
        </w:rPr>
        <w:t xml:space="preserve"> 2.</w:t>
      </w:r>
    </w:p>
  </w:footnote>
  <w:footnote w:id="30">
    <w:p w:rsidR="00F046F7" w:rsidRPr="00D503CF" w:rsidRDefault="00F046F7">
      <w:pPr>
        <w:pStyle w:val="Textonotapie"/>
        <w:rPr>
          <w:sz w:val="16"/>
          <w:szCs w:val="16"/>
          <w:lang w:val="pt-PT"/>
        </w:rPr>
      </w:pPr>
      <w:r>
        <w:rPr>
          <w:lang w:val="pt-PT"/>
        </w:rPr>
        <w:tab/>
      </w:r>
      <w:r w:rsidRPr="001D1DB6">
        <w:rPr>
          <w:rStyle w:val="Refdenotaalpie"/>
          <w:sz w:val="16"/>
          <w:szCs w:val="16"/>
        </w:rPr>
        <w:footnoteRef/>
      </w:r>
      <w:r w:rsidRPr="00D503CF">
        <w:rPr>
          <w:lang w:val="pt-PT"/>
        </w:rPr>
        <w:t xml:space="preserve"> </w:t>
      </w:r>
      <w:r w:rsidRPr="00D503CF">
        <w:rPr>
          <w:lang w:val="pt-PT"/>
        </w:rPr>
        <w:tab/>
        <w:t xml:space="preserve">Ídem, Anexos </w:t>
      </w:r>
      <w:r>
        <w:rPr>
          <w:rFonts w:eastAsia="Calibri"/>
          <w:lang w:val="es-ES_tradnl"/>
        </w:rPr>
        <w:t>núms.</w:t>
      </w:r>
      <w:r w:rsidRPr="00D503CF">
        <w:rPr>
          <w:lang w:val="pt-PT"/>
        </w:rPr>
        <w:t xml:space="preserve"> 3 y 4.</w:t>
      </w:r>
    </w:p>
  </w:footnote>
  <w:footnote w:id="31">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 xml:space="preserve">MINISTERIO DE LA MUJER Y POBLACIONES VULNERABLES. </w:t>
      </w:r>
      <w:r w:rsidRPr="00D503CF">
        <w:rPr>
          <w:lang w:val="pt-PT"/>
        </w:rPr>
        <w:t xml:space="preserve">DGCVG. Oficio </w:t>
      </w:r>
      <w:r>
        <w:rPr>
          <w:rFonts w:eastAsia="Calibri"/>
          <w:lang w:val="es-ES_tradnl"/>
        </w:rPr>
        <w:t>núm.</w:t>
      </w:r>
      <w:r>
        <w:rPr>
          <w:lang w:val="pt-PT"/>
        </w:rPr>
        <w:t> </w:t>
      </w:r>
      <w:r w:rsidRPr="00D503CF">
        <w:rPr>
          <w:lang w:val="pt-PT"/>
        </w:rPr>
        <w:t>288</w:t>
      </w:r>
      <w:r>
        <w:rPr>
          <w:lang w:val="pt-PT"/>
        </w:rPr>
        <w:noBreakHyphen/>
      </w:r>
      <w:r w:rsidRPr="00D503CF">
        <w:rPr>
          <w:lang w:val="pt-PT"/>
        </w:rPr>
        <w:t xml:space="preserve">2016-MIMP/DGCVG. </w:t>
      </w:r>
      <w:r w:rsidRPr="001D1DB6">
        <w:t>Fecha: 14.09.2016. Pág. 3.</w:t>
      </w:r>
    </w:p>
  </w:footnote>
  <w:footnote w:id="32">
    <w:p w:rsidR="00F046F7" w:rsidRPr="001D1DB6" w:rsidRDefault="00F046F7">
      <w:pPr>
        <w:pStyle w:val="Textonotapie"/>
        <w:rPr>
          <w:sz w:val="16"/>
          <w:szCs w:val="16"/>
        </w:rPr>
      </w:pPr>
      <w:r>
        <w:tab/>
      </w:r>
      <w:r w:rsidRPr="001D1DB6">
        <w:rPr>
          <w:rStyle w:val="Refdenotaalpie"/>
          <w:sz w:val="16"/>
          <w:szCs w:val="16"/>
        </w:rPr>
        <w:footnoteRef/>
      </w:r>
      <w:r w:rsidRPr="001D1DB6">
        <w:t xml:space="preserve"> </w:t>
      </w:r>
      <w:r w:rsidRPr="001D1DB6">
        <w:tab/>
      </w:r>
      <w:r w:rsidRPr="001D1DB6">
        <w:rPr>
          <w:lang w:val="es-ES_tradnl"/>
        </w:rPr>
        <w:t>MINISTERIO</w:t>
      </w:r>
      <w:r w:rsidRPr="001D1DB6">
        <w:t xml:space="preserve"> DE JUSTICIA Y DERECHOS HUMANOS. </w:t>
      </w:r>
      <w:r>
        <w:t>DGDPAJ</w:t>
      </w:r>
      <w:r w:rsidRPr="001D1DB6">
        <w:t xml:space="preserve">. Oficio </w:t>
      </w:r>
      <w:r>
        <w:rPr>
          <w:rFonts w:eastAsia="Calibri"/>
          <w:lang w:val="es-ES_tradnl"/>
        </w:rPr>
        <w:t>núm.</w:t>
      </w:r>
      <w:r w:rsidRPr="001D1DB6">
        <w:t xml:space="preserve"> 01014-2016-JUS-DGDP. Pág. 18.</w:t>
      </w:r>
    </w:p>
  </w:footnote>
  <w:footnote w:id="33">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 xml:space="preserve">MINISTERIO DE LA MUJER Y DESARROLLO SOCIAL. </w:t>
      </w:r>
      <w:r>
        <w:t>D.S.</w:t>
      </w:r>
      <w:r w:rsidRPr="001D1DB6">
        <w:t xml:space="preserve"> </w:t>
      </w:r>
      <w:r>
        <w:rPr>
          <w:rFonts w:eastAsia="Calibri"/>
          <w:lang w:val="es-ES_tradnl"/>
        </w:rPr>
        <w:t>núm.</w:t>
      </w:r>
      <w:r w:rsidRPr="001D1DB6">
        <w:t xml:space="preserve"> 003-2009-MIMDES. Publicado en el Diario Oficial </w:t>
      </w:r>
      <w:r w:rsidRPr="00353E55">
        <w:rPr>
          <w:i/>
        </w:rPr>
        <w:t>El Peruano</w:t>
      </w:r>
      <w:r w:rsidRPr="001D1DB6">
        <w:t>. 27.03.2009.</w:t>
      </w:r>
    </w:p>
  </w:footnote>
  <w:footnote w:id="34">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 xml:space="preserve">CONGRESO DE LA REPÚBLICA. Ley </w:t>
      </w:r>
      <w:r>
        <w:rPr>
          <w:rFonts w:eastAsia="Calibri"/>
          <w:lang w:val="es-ES_tradnl"/>
        </w:rPr>
        <w:t>núm.</w:t>
      </w:r>
      <w:r w:rsidRPr="001D1DB6">
        <w:t xml:space="preserve"> 30314. Publicada en el Diario Oficial </w:t>
      </w:r>
      <w:r w:rsidRPr="00353E55">
        <w:rPr>
          <w:i/>
        </w:rPr>
        <w:t>El Peruano</w:t>
      </w:r>
      <w:r w:rsidRPr="001D1DB6">
        <w:t>. 23.03.2013.</w:t>
      </w:r>
    </w:p>
  </w:footnote>
  <w:footnote w:id="35">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 xml:space="preserve">MINISTERIO DE LA MUJER Y POBLACIONES VULNERABLES. </w:t>
      </w:r>
      <w:r>
        <w:t>DGCVG</w:t>
      </w:r>
      <w:r w:rsidRPr="001D1DB6">
        <w:t xml:space="preserve">. Oficio </w:t>
      </w:r>
      <w:r>
        <w:rPr>
          <w:rFonts w:eastAsia="Calibri"/>
          <w:lang w:val="es-ES_tradnl"/>
        </w:rPr>
        <w:t>núm.</w:t>
      </w:r>
      <w:r>
        <w:t> </w:t>
      </w:r>
      <w:r w:rsidRPr="001D1DB6">
        <w:t>288</w:t>
      </w:r>
      <w:r>
        <w:noBreakHyphen/>
      </w:r>
      <w:r w:rsidRPr="001D1DB6">
        <w:t>2016-MIMO/DGCVG. Fecha: 14.09.2016. Pág. 4.</w:t>
      </w:r>
    </w:p>
  </w:footnote>
  <w:footnote w:id="36">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 xml:space="preserve">CONGRESO DE LA REPÚBLICA. Ley </w:t>
      </w:r>
      <w:r>
        <w:rPr>
          <w:rFonts w:eastAsia="Calibri"/>
          <w:lang w:val="es-ES_tradnl"/>
        </w:rPr>
        <w:t>núm.</w:t>
      </w:r>
      <w:r w:rsidRPr="001D1DB6">
        <w:t xml:space="preserve"> 30364. Publicada en el Diario Oficial </w:t>
      </w:r>
      <w:r w:rsidRPr="00353E55">
        <w:rPr>
          <w:i/>
        </w:rPr>
        <w:t>El Peruano</w:t>
      </w:r>
      <w:r w:rsidRPr="001D1DB6">
        <w:t>. 23.11.2015.</w:t>
      </w:r>
    </w:p>
  </w:footnote>
  <w:footnote w:id="37">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 xml:space="preserve">MINISTERIO DE LA MUJER Y POBLACIONES VULNERABLES. </w:t>
      </w:r>
      <w:r>
        <w:t>D.S.</w:t>
      </w:r>
      <w:r w:rsidRPr="001D1DB6">
        <w:t xml:space="preserve"> </w:t>
      </w:r>
      <w:r>
        <w:rPr>
          <w:rFonts w:eastAsia="Calibri"/>
          <w:lang w:val="es-ES_tradnl"/>
        </w:rPr>
        <w:t>núm.</w:t>
      </w:r>
      <w:r w:rsidRPr="001D1DB6">
        <w:t xml:space="preserve"> 009-2016-MIMP. Publicado en el Diario Oficial </w:t>
      </w:r>
      <w:r w:rsidRPr="00353E55">
        <w:rPr>
          <w:i/>
        </w:rPr>
        <w:t>El Peruano</w:t>
      </w:r>
      <w:r w:rsidRPr="001D1DB6">
        <w:t>. 27.07.2019.</w:t>
      </w:r>
    </w:p>
  </w:footnote>
  <w:footnote w:id="38">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PODER EJECUTIVO. Decreto Legislativo </w:t>
      </w:r>
      <w:r>
        <w:rPr>
          <w:rFonts w:eastAsia="Calibri"/>
          <w:lang w:val="es-ES_tradnl"/>
        </w:rPr>
        <w:t>núm.</w:t>
      </w:r>
      <w:r w:rsidRPr="001D1DB6">
        <w:t xml:space="preserve"> 1323. Publicado en el Diario Oficial </w:t>
      </w:r>
      <w:r w:rsidRPr="00353E55">
        <w:rPr>
          <w:i/>
        </w:rPr>
        <w:t>El Peruano</w:t>
      </w:r>
      <w:r w:rsidRPr="001D1DB6">
        <w:t>: 06.01.2017. Art. 2°.</w:t>
      </w:r>
    </w:p>
  </w:footnote>
  <w:footnote w:id="39">
    <w:p w:rsidR="00F046F7" w:rsidRPr="001D1DB6" w:rsidRDefault="00F046F7">
      <w:pPr>
        <w:pStyle w:val="Textonotapie"/>
      </w:pPr>
      <w:r>
        <w:tab/>
      </w:r>
      <w:r w:rsidRPr="001D1DB6">
        <w:rPr>
          <w:rStyle w:val="Refdenotaalpie"/>
          <w:rFonts w:eastAsiaTheme="majorEastAsia"/>
          <w:sz w:val="16"/>
          <w:szCs w:val="16"/>
        </w:rPr>
        <w:footnoteRef/>
      </w:r>
      <w:r>
        <w:tab/>
      </w:r>
      <w:r w:rsidRPr="001D1DB6">
        <w:t>MINISTERIO DE LA MUJER Y POBLACIO</w:t>
      </w:r>
      <w:r>
        <w:t>NES VULNERABLES. DGCVG</w:t>
      </w:r>
      <w:r w:rsidRPr="001D1DB6">
        <w:t xml:space="preserve">. Oficio </w:t>
      </w:r>
      <w:r>
        <w:rPr>
          <w:rFonts w:eastAsia="Calibri"/>
          <w:lang w:val="es-ES_tradnl"/>
        </w:rPr>
        <w:t>núm.</w:t>
      </w:r>
      <w:r>
        <w:t> </w:t>
      </w:r>
      <w:r w:rsidRPr="001D1DB6">
        <w:t>288-2016-MIMO/DGCVG. Fecha: 14.09.2016. Pág. 5.</w:t>
      </w:r>
    </w:p>
  </w:footnote>
  <w:footnote w:id="40">
    <w:p w:rsidR="00F046F7" w:rsidRPr="001D1DB6" w:rsidRDefault="00F046F7">
      <w:pPr>
        <w:pStyle w:val="Textonotapie"/>
      </w:pPr>
      <w:r>
        <w:tab/>
      </w:r>
      <w:r w:rsidRPr="001D1DB6">
        <w:rPr>
          <w:rStyle w:val="Refdenotaalpie"/>
          <w:rFonts w:eastAsiaTheme="minorEastAsia"/>
          <w:sz w:val="16"/>
          <w:szCs w:val="16"/>
        </w:rPr>
        <w:footnoteRef/>
      </w:r>
      <w:r>
        <w:tab/>
      </w:r>
      <w:r w:rsidRPr="001D1DB6">
        <w:t>MINISTERIO DE LA MUJER Y POBLACIO</w:t>
      </w:r>
      <w:r>
        <w:t>NES VULNERABLES. D.S.</w:t>
      </w:r>
      <w:r w:rsidRPr="001D1DB6">
        <w:t xml:space="preserve"> </w:t>
      </w:r>
      <w:r>
        <w:rPr>
          <w:rFonts w:eastAsia="Calibri"/>
          <w:lang w:val="es-ES_tradnl"/>
        </w:rPr>
        <w:t>núm.</w:t>
      </w:r>
      <w:r w:rsidRPr="001D1DB6">
        <w:t xml:space="preserve"> 008-2016-MIMP. Publicado en la Separata Especial del Diario Of</w:t>
      </w:r>
      <w:r>
        <w:t xml:space="preserve">icial </w:t>
      </w:r>
      <w:r w:rsidRPr="00353E55">
        <w:rPr>
          <w:i/>
        </w:rPr>
        <w:t>El Peruano</w:t>
      </w:r>
      <w:r>
        <w:t>: 26.07.2016.</w:t>
      </w:r>
    </w:p>
  </w:footnote>
  <w:footnote w:id="41">
    <w:p w:rsidR="00F046F7" w:rsidRPr="00D503CF" w:rsidRDefault="00F046F7">
      <w:pPr>
        <w:pStyle w:val="Textonotapie"/>
        <w:rPr>
          <w:sz w:val="16"/>
          <w:szCs w:val="16"/>
          <w:lang w:val="pt-PT"/>
        </w:rPr>
      </w:pPr>
      <w:r>
        <w:rPr>
          <w:lang w:val="pt-PT"/>
        </w:rPr>
        <w:tab/>
      </w:r>
      <w:r w:rsidRPr="001D1DB6">
        <w:rPr>
          <w:rStyle w:val="Refdenotaalpie"/>
          <w:rFonts w:eastAsiaTheme="majorEastAsia"/>
          <w:sz w:val="16"/>
          <w:szCs w:val="16"/>
        </w:rPr>
        <w:footnoteRef/>
      </w:r>
      <w:r>
        <w:rPr>
          <w:lang w:val="pt-PT"/>
        </w:rPr>
        <w:tab/>
      </w:r>
      <w:r w:rsidRPr="00D503CF">
        <w:rPr>
          <w:lang w:val="pt-PT"/>
        </w:rPr>
        <w:t xml:space="preserve">PODER JUDICIAL. Oficio </w:t>
      </w:r>
      <w:r>
        <w:rPr>
          <w:rFonts w:eastAsia="Calibri"/>
          <w:lang w:val="es-ES_tradnl"/>
        </w:rPr>
        <w:t>núm.</w:t>
      </w:r>
      <w:r w:rsidRPr="00D503CF">
        <w:rPr>
          <w:lang w:val="pt-PT"/>
        </w:rPr>
        <w:t xml:space="preserve"> 77-2016-DDHH-PJ. Fecha: 29.09.2016. Pág. 4.</w:t>
      </w:r>
    </w:p>
  </w:footnote>
  <w:footnote w:id="42">
    <w:p w:rsidR="00F046F7" w:rsidRPr="00D503CF" w:rsidRDefault="00F046F7">
      <w:pPr>
        <w:pStyle w:val="Textonotapie"/>
        <w:rPr>
          <w:sz w:val="16"/>
          <w:szCs w:val="16"/>
          <w:lang w:val="pt-PT"/>
        </w:rPr>
      </w:pPr>
      <w:r>
        <w:rPr>
          <w:lang w:val="pt-PT"/>
        </w:rPr>
        <w:tab/>
      </w:r>
      <w:r w:rsidRPr="001D1DB6">
        <w:rPr>
          <w:rStyle w:val="Refdenotaalpie"/>
          <w:sz w:val="16"/>
          <w:szCs w:val="16"/>
        </w:rPr>
        <w:footnoteRef/>
      </w:r>
      <w:r>
        <w:rPr>
          <w:lang w:val="pt-PT"/>
        </w:rPr>
        <w:tab/>
      </w:r>
      <w:r w:rsidRPr="00D503CF">
        <w:rPr>
          <w:lang w:val="pt-PT"/>
        </w:rPr>
        <w:t xml:space="preserve">PODER EJECUTIVO. Decreto Legislativo </w:t>
      </w:r>
      <w:r>
        <w:rPr>
          <w:rFonts w:eastAsia="Calibri"/>
          <w:lang w:val="es-ES_tradnl"/>
        </w:rPr>
        <w:t>núm.</w:t>
      </w:r>
      <w:r w:rsidRPr="00D503CF">
        <w:rPr>
          <w:lang w:val="pt-PT"/>
        </w:rPr>
        <w:t xml:space="preserve"> 1323. Art. 1°.</w:t>
      </w:r>
    </w:p>
  </w:footnote>
  <w:footnote w:id="43">
    <w:p w:rsidR="00F046F7" w:rsidRPr="00D503CF" w:rsidRDefault="00F046F7">
      <w:pPr>
        <w:pStyle w:val="Textonotapie"/>
        <w:rPr>
          <w:sz w:val="16"/>
          <w:szCs w:val="16"/>
          <w:lang w:val="pt-PT"/>
        </w:rPr>
      </w:pPr>
      <w:r>
        <w:rPr>
          <w:lang w:val="pt-PT"/>
        </w:rPr>
        <w:tab/>
      </w:r>
      <w:r w:rsidRPr="001D1DB6">
        <w:rPr>
          <w:rStyle w:val="Refdenotaalpie"/>
          <w:sz w:val="16"/>
          <w:szCs w:val="16"/>
        </w:rPr>
        <w:footnoteRef/>
      </w:r>
      <w:r w:rsidRPr="00D503CF">
        <w:rPr>
          <w:lang w:val="pt-PT"/>
        </w:rPr>
        <w:t xml:space="preserve"> </w:t>
      </w:r>
      <w:r w:rsidRPr="00D503CF">
        <w:rPr>
          <w:lang w:val="pt-PT"/>
        </w:rPr>
        <w:tab/>
        <w:t xml:space="preserve">MINISTERIO DEL INTERIOR. Oficio </w:t>
      </w:r>
      <w:r>
        <w:rPr>
          <w:rFonts w:eastAsia="Calibri"/>
          <w:lang w:val="es-ES_tradnl"/>
        </w:rPr>
        <w:t>núm.</w:t>
      </w:r>
      <w:r w:rsidRPr="00D503CF">
        <w:rPr>
          <w:lang w:val="pt-PT"/>
        </w:rPr>
        <w:t>001784-2016-IN-DGSD. Fecha: 03.11.2016. Página 2.</w:t>
      </w:r>
    </w:p>
  </w:footnote>
  <w:footnote w:id="44">
    <w:p w:rsidR="00F046F7" w:rsidRPr="00D503CF" w:rsidRDefault="00F046F7">
      <w:pPr>
        <w:pStyle w:val="Textonotapie"/>
        <w:rPr>
          <w:sz w:val="16"/>
          <w:szCs w:val="16"/>
          <w:lang w:val="pt-PT"/>
        </w:rPr>
      </w:pPr>
      <w:r>
        <w:rPr>
          <w:lang w:val="pt-PT"/>
        </w:rPr>
        <w:tab/>
      </w:r>
      <w:r w:rsidRPr="001D1DB6">
        <w:rPr>
          <w:rStyle w:val="Refdenotaalpie"/>
          <w:sz w:val="16"/>
          <w:szCs w:val="16"/>
        </w:rPr>
        <w:footnoteRef/>
      </w:r>
      <w:r w:rsidRPr="00D503CF">
        <w:rPr>
          <w:lang w:val="pt-PT"/>
        </w:rPr>
        <w:t xml:space="preserve"> </w:t>
      </w:r>
      <w:r w:rsidRPr="00D503CF">
        <w:rPr>
          <w:lang w:val="pt-PT"/>
        </w:rPr>
        <w:tab/>
      </w:r>
      <w:r w:rsidRPr="00574AEE">
        <w:rPr>
          <w:i/>
          <w:lang w:val="pt-PT"/>
        </w:rPr>
        <w:t>Ib</w:t>
      </w:r>
      <w:r w:rsidR="00AA3175" w:rsidRPr="00574AEE">
        <w:rPr>
          <w:i/>
          <w:lang w:val="pt-PT"/>
        </w:rPr>
        <w:t>id.</w:t>
      </w:r>
    </w:p>
  </w:footnote>
  <w:footnote w:id="45">
    <w:p w:rsidR="00F046F7" w:rsidRPr="001D1DB6" w:rsidRDefault="00F046F7">
      <w:pPr>
        <w:pStyle w:val="Textonotapie"/>
        <w:rPr>
          <w:sz w:val="16"/>
          <w:szCs w:val="16"/>
        </w:rPr>
      </w:pPr>
      <w:r>
        <w:rPr>
          <w:lang w:val="pt-PT"/>
        </w:rPr>
        <w:tab/>
      </w:r>
      <w:r w:rsidRPr="001D1DB6">
        <w:rPr>
          <w:rStyle w:val="Refdenotaalpie"/>
          <w:sz w:val="16"/>
          <w:szCs w:val="16"/>
        </w:rPr>
        <w:footnoteRef/>
      </w:r>
      <w:r w:rsidRPr="00D503CF">
        <w:rPr>
          <w:lang w:val="pt-PT"/>
        </w:rPr>
        <w:t xml:space="preserve"> </w:t>
      </w:r>
      <w:r w:rsidRPr="00D503CF">
        <w:rPr>
          <w:lang w:val="pt-PT"/>
        </w:rPr>
        <w:tab/>
        <w:t xml:space="preserve">MINISTERIO DEL INTERIOR. </w:t>
      </w:r>
      <w:r w:rsidRPr="001D1DB6">
        <w:t xml:space="preserve">Oficio </w:t>
      </w:r>
      <w:r>
        <w:rPr>
          <w:rFonts w:eastAsia="Calibri"/>
          <w:lang w:val="es-ES_tradnl"/>
        </w:rPr>
        <w:t xml:space="preserve">núm. </w:t>
      </w:r>
      <w:r w:rsidRPr="001D1DB6">
        <w:t>001784-2016-IN-DGSD. Fecha: 03.11.2016. Página 3.</w:t>
      </w:r>
    </w:p>
  </w:footnote>
  <w:footnote w:id="46">
    <w:p w:rsidR="00F046F7" w:rsidRPr="001D1DB6" w:rsidRDefault="00F046F7">
      <w:pPr>
        <w:pStyle w:val="Textonotapie"/>
        <w:rPr>
          <w:sz w:val="16"/>
          <w:szCs w:val="16"/>
        </w:rPr>
      </w:pPr>
      <w:r>
        <w:tab/>
      </w:r>
      <w:r w:rsidRPr="001D1DB6">
        <w:rPr>
          <w:rStyle w:val="Refdenotaalpie"/>
          <w:rFonts w:eastAsiaTheme="majorEastAsia"/>
          <w:sz w:val="16"/>
          <w:szCs w:val="16"/>
        </w:rPr>
        <w:footnoteRef/>
      </w:r>
      <w:r w:rsidRPr="001D1DB6">
        <w:t xml:space="preserve"> </w:t>
      </w:r>
      <w:r w:rsidRPr="001D1DB6">
        <w:tab/>
        <w:t xml:space="preserve">MINISTERIO DE JUSTICIA Y DERECHOS HUMANOS. </w:t>
      </w:r>
      <w:r>
        <w:t xml:space="preserve">DGDPAJ. </w:t>
      </w:r>
      <w:r w:rsidRPr="001D1DB6">
        <w:t>I</w:t>
      </w:r>
      <w:r>
        <w:t xml:space="preserve">nforme </w:t>
      </w:r>
      <w:r>
        <w:rPr>
          <w:rFonts w:eastAsia="Calibri"/>
          <w:lang w:val="es-ES_tradnl"/>
        </w:rPr>
        <w:t>núm.</w:t>
      </w:r>
      <w:r w:rsidRPr="001D1DB6">
        <w:t xml:space="preserve"> 3917-2016-DGDPAJ. Fecha: 11.11.2016. Pág. 5.</w:t>
      </w:r>
    </w:p>
  </w:footnote>
  <w:footnote w:id="47">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MINISTERIO DE JUSTICIA Y DERECHOS HUMANOS. </w:t>
      </w:r>
      <w:r>
        <w:t>DGDPAJ</w:t>
      </w:r>
      <w:r w:rsidRPr="001D1DB6">
        <w:t xml:space="preserve">. Oficio </w:t>
      </w:r>
      <w:r>
        <w:rPr>
          <w:rFonts w:eastAsia="Calibri"/>
          <w:lang w:val="es-ES_tradnl"/>
        </w:rPr>
        <w:t>núm.</w:t>
      </w:r>
      <w:r w:rsidRPr="001D1DB6">
        <w:t xml:space="preserve"> 1254-2016-JUS-DGDP. Fecha: 16.11.2016. Informe </w:t>
      </w:r>
      <w:r>
        <w:rPr>
          <w:rFonts w:eastAsia="Calibri"/>
          <w:lang w:val="es-ES_tradnl"/>
        </w:rPr>
        <w:t>núm.</w:t>
      </w:r>
      <w:r w:rsidRPr="001D1DB6">
        <w:t xml:space="preserve"> 3917-2016-DGDPAJ. Fecha: 11.11.2016. Págs. 6-8.</w:t>
      </w:r>
    </w:p>
  </w:footnote>
  <w:footnote w:id="48">
    <w:p w:rsidR="00F046F7" w:rsidRPr="001D1DB6" w:rsidRDefault="00F046F7">
      <w:pPr>
        <w:pStyle w:val="Textonotapie"/>
        <w:rPr>
          <w:sz w:val="16"/>
          <w:szCs w:val="16"/>
        </w:rPr>
      </w:pPr>
      <w:r>
        <w:tab/>
      </w:r>
      <w:r w:rsidRPr="001D1DB6">
        <w:rPr>
          <w:rStyle w:val="Refdenotaalpie"/>
          <w:sz w:val="16"/>
          <w:szCs w:val="16"/>
        </w:rPr>
        <w:footnoteRef/>
      </w:r>
      <w:r w:rsidRPr="001D1DB6">
        <w:t xml:space="preserve"> </w:t>
      </w:r>
      <w:r w:rsidRPr="001D1DB6">
        <w:tab/>
        <w:t xml:space="preserve">MINISTERIO DE JUSTICIA Y DERECHOS HUMANOS. </w:t>
      </w:r>
      <w:r>
        <w:t>DGDPAJ</w:t>
      </w:r>
      <w:r w:rsidRPr="001D1DB6">
        <w:t>. I</w:t>
      </w:r>
      <w:r>
        <w:t>nforme</w:t>
      </w:r>
      <w:r w:rsidRPr="001D1DB6">
        <w:t xml:space="preserve"> </w:t>
      </w:r>
      <w:r>
        <w:rPr>
          <w:rFonts w:eastAsia="Calibri"/>
          <w:lang w:val="es-ES_tradnl"/>
        </w:rPr>
        <w:t>núm.</w:t>
      </w:r>
      <w:r w:rsidRPr="001D1DB6">
        <w:t xml:space="preserve"> 3917-2016-DGDPAJ. Fecha: 11.11.2016. Pág. 5.</w:t>
      </w:r>
    </w:p>
  </w:footnote>
  <w:footnote w:id="49">
    <w:p w:rsidR="00F046F7" w:rsidRPr="001D1DB6" w:rsidRDefault="00F046F7">
      <w:pPr>
        <w:pStyle w:val="Textonotapie"/>
      </w:pPr>
      <w:r>
        <w:tab/>
      </w:r>
      <w:r w:rsidRPr="001D1DB6">
        <w:rPr>
          <w:rStyle w:val="Refdenotaalpie"/>
          <w:sz w:val="16"/>
          <w:szCs w:val="16"/>
        </w:rPr>
        <w:footnoteRef/>
      </w:r>
      <w:r w:rsidRPr="001D1DB6">
        <w:t xml:space="preserve"> </w:t>
      </w:r>
      <w:r w:rsidRPr="001D1DB6">
        <w:tab/>
        <w:t xml:space="preserve">POLICÍA NACIONAL DEL PERÚ. Resolución Directoral </w:t>
      </w:r>
      <w:r>
        <w:rPr>
          <w:rFonts w:eastAsia="Calibri"/>
          <w:lang w:val="es-ES_tradnl"/>
        </w:rPr>
        <w:t>núm.</w:t>
      </w:r>
      <w:r w:rsidRPr="001D1DB6">
        <w:t xml:space="preserve"> 665-2014-DIRGEN/EMG-PNP, de fecha 19 de julio de 2014.</w:t>
      </w:r>
    </w:p>
  </w:footnote>
  <w:footnote w:id="50">
    <w:p w:rsidR="00F046F7" w:rsidRPr="001D1DB6" w:rsidRDefault="00F046F7">
      <w:pPr>
        <w:pStyle w:val="Textonotapie"/>
        <w:rPr>
          <w:sz w:val="16"/>
          <w:szCs w:val="16"/>
        </w:rPr>
      </w:pPr>
      <w:r>
        <w:tab/>
      </w:r>
      <w:r w:rsidRPr="001D1DB6">
        <w:rPr>
          <w:rStyle w:val="Refdenotaalpie"/>
          <w:sz w:val="16"/>
          <w:szCs w:val="16"/>
        </w:rPr>
        <w:footnoteRef/>
      </w:r>
      <w:r w:rsidRPr="001D1DB6">
        <w:t xml:space="preserve"> </w:t>
      </w:r>
      <w:r w:rsidRPr="001D1DB6">
        <w:tab/>
        <w:t xml:space="preserve">MINISTERIO DEL INTERIOR. Oficio </w:t>
      </w:r>
      <w:r>
        <w:rPr>
          <w:rFonts w:eastAsia="Calibri"/>
          <w:lang w:val="es-ES_tradnl"/>
        </w:rPr>
        <w:t>núm.</w:t>
      </w:r>
      <w:r w:rsidRPr="001D1DB6">
        <w:t>001784-2016-IN-DGSD. Fecha: 03.11.2016. Página 4.</w:t>
      </w:r>
    </w:p>
  </w:footnote>
  <w:footnote w:id="51">
    <w:p w:rsidR="00F046F7" w:rsidRPr="001D1DB6" w:rsidRDefault="00F046F7">
      <w:pPr>
        <w:pStyle w:val="Textonotapie"/>
        <w:rPr>
          <w:sz w:val="16"/>
          <w:szCs w:val="16"/>
        </w:rPr>
      </w:pPr>
      <w:r>
        <w:tab/>
      </w:r>
      <w:r w:rsidRPr="001D1DB6">
        <w:rPr>
          <w:rStyle w:val="Refdenotaalpie"/>
          <w:sz w:val="16"/>
          <w:szCs w:val="16"/>
        </w:rPr>
        <w:footnoteRef/>
      </w:r>
      <w:r w:rsidRPr="001D1DB6">
        <w:t xml:space="preserve"> </w:t>
      </w:r>
      <w:r w:rsidRPr="001D1DB6">
        <w:tab/>
        <w:t xml:space="preserve">MINISTERIO DEL INTERIOR. </w:t>
      </w:r>
      <w:r>
        <w:t xml:space="preserve">Directiva </w:t>
      </w:r>
      <w:r>
        <w:rPr>
          <w:rFonts w:eastAsia="Calibri"/>
          <w:lang w:val="es-ES_tradnl"/>
        </w:rPr>
        <w:t>núm.</w:t>
      </w:r>
      <w:r>
        <w:t xml:space="preserve"> 002-2016-IN/ DGSD. </w:t>
      </w:r>
      <w:r w:rsidRPr="001D1DB6">
        <w:t>Con</w:t>
      </w:r>
      <w:r>
        <w:t xml:space="preserve">sulta: 11.11.2016. Disponible: </w:t>
      </w:r>
      <w:r w:rsidRPr="001D1DB6">
        <w:t>http://conasec.mininter.gob.pe/contenidos/userfiles/files/RD.%20N%C2%B0002-IN-DGSC%20-apru</w:t>
      </w:r>
      <w:r>
        <w:t>eba%20Plan%20Capac%20visada.pdf.</w:t>
      </w:r>
    </w:p>
  </w:footnote>
  <w:footnote w:id="52">
    <w:p w:rsidR="00F046F7" w:rsidRPr="001D1DB6" w:rsidRDefault="00F046F7">
      <w:pPr>
        <w:pStyle w:val="Textonotapie"/>
        <w:rPr>
          <w:sz w:val="16"/>
          <w:szCs w:val="16"/>
        </w:rPr>
      </w:pPr>
      <w:r>
        <w:tab/>
      </w:r>
      <w:r w:rsidRPr="001D1DB6">
        <w:rPr>
          <w:rStyle w:val="Refdenotaalpie"/>
          <w:sz w:val="16"/>
          <w:szCs w:val="16"/>
        </w:rPr>
        <w:footnoteRef/>
      </w:r>
      <w:r w:rsidRPr="001D1DB6">
        <w:t xml:space="preserve"> </w:t>
      </w:r>
      <w:r w:rsidRPr="001D1DB6">
        <w:tab/>
        <w:t xml:space="preserve">MINISTERIO DEL INTERIOR. Oficio </w:t>
      </w:r>
      <w:r>
        <w:rPr>
          <w:rFonts w:eastAsia="Calibri"/>
          <w:lang w:val="es-ES_tradnl"/>
        </w:rPr>
        <w:t xml:space="preserve">núm. </w:t>
      </w:r>
      <w:r w:rsidRPr="001D1DB6">
        <w:t>001784-2016-IN-DGSD. Fecha: 03.11.2016. Página 4.</w:t>
      </w:r>
    </w:p>
  </w:footnote>
  <w:footnote w:id="53">
    <w:p w:rsidR="00F046F7" w:rsidRPr="001D1DB6" w:rsidRDefault="00F046F7">
      <w:pPr>
        <w:pStyle w:val="Textonotapie"/>
        <w:rPr>
          <w:sz w:val="16"/>
          <w:szCs w:val="16"/>
        </w:rPr>
      </w:pPr>
      <w:r>
        <w:tab/>
      </w:r>
      <w:r w:rsidRPr="001D1DB6">
        <w:rPr>
          <w:rStyle w:val="Refdenotaalpie"/>
          <w:sz w:val="16"/>
          <w:szCs w:val="16"/>
        </w:rPr>
        <w:footnoteRef/>
      </w:r>
      <w:r w:rsidRPr="001D1DB6">
        <w:t xml:space="preserve"> </w:t>
      </w:r>
      <w:r w:rsidRPr="001D1DB6">
        <w:tab/>
        <w:t>Ídem, pág. 5</w:t>
      </w:r>
      <w:r>
        <w:t>.</w:t>
      </w:r>
    </w:p>
  </w:footnote>
  <w:footnote w:id="54">
    <w:p w:rsidR="00F046F7" w:rsidRPr="001D1DB6" w:rsidRDefault="00F046F7">
      <w:pPr>
        <w:pStyle w:val="Textonotapie"/>
        <w:rPr>
          <w:sz w:val="16"/>
          <w:szCs w:val="16"/>
        </w:rPr>
      </w:pPr>
      <w:r>
        <w:tab/>
      </w:r>
      <w:r w:rsidRPr="001D1DB6">
        <w:rPr>
          <w:rStyle w:val="Refdenotaalpie"/>
          <w:sz w:val="16"/>
          <w:szCs w:val="16"/>
        </w:rPr>
        <w:footnoteRef/>
      </w:r>
      <w:r w:rsidRPr="001D1DB6">
        <w:t xml:space="preserve"> </w:t>
      </w:r>
      <w:r w:rsidRPr="001D1DB6">
        <w:tab/>
        <w:t xml:space="preserve">PODER JUDICIAL DEL PERÚ. Oficio </w:t>
      </w:r>
      <w:r>
        <w:rPr>
          <w:rFonts w:eastAsia="Calibri"/>
          <w:lang w:val="es-ES_tradnl"/>
        </w:rPr>
        <w:t>núm.</w:t>
      </w:r>
      <w:r w:rsidRPr="001D1DB6">
        <w:t xml:space="preserve"> 104-2016-Representación PJ CMNPTP. Fecha: 31.10.2016. Página 1.</w:t>
      </w:r>
    </w:p>
  </w:footnote>
  <w:footnote w:id="55">
    <w:p w:rsidR="00F046F7" w:rsidRPr="001D1DB6" w:rsidRDefault="00F046F7">
      <w:pPr>
        <w:pStyle w:val="Textonotapie"/>
        <w:rPr>
          <w:sz w:val="16"/>
          <w:szCs w:val="16"/>
        </w:rPr>
      </w:pPr>
      <w:r>
        <w:tab/>
      </w:r>
      <w:r w:rsidRPr="001D1DB6">
        <w:rPr>
          <w:rStyle w:val="Refdenotaalpie"/>
          <w:sz w:val="16"/>
          <w:szCs w:val="16"/>
        </w:rPr>
        <w:footnoteRef/>
      </w:r>
      <w:r w:rsidRPr="001D1DB6">
        <w:t xml:space="preserve"> </w:t>
      </w:r>
      <w:r w:rsidRPr="001D1DB6">
        <w:tab/>
        <w:t>REGISTRO NACIONAL DE DETENIDOS Y SENTENCIADOS A PENA PRIVATIVA DE LIBERTAD EFECTIVA (RENADESPPLE). Comunicación Electrónica de fecha 25.11.2016</w:t>
      </w:r>
      <w:r>
        <w:t>.</w:t>
      </w:r>
    </w:p>
  </w:footnote>
  <w:footnote w:id="56">
    <w:p w:rsidR="00F046F7" w:rsidRPr="001D1DB6" w:rsidRDefault="00F046F7">
      <w:pPr>
        <w:pStyle w:val="Textonotapie"/>
        <w:rPr>
          <w:sz w:val="16"/>
          <w:szCs w:val="16"/>
        </w:rPr>
      </w:pPr>
      <w:r>
        <w:tab/>
      </w:r>
      <w:r w:rsidRPr="001D1DB6">
        <w:rPr>
          <w:rStyle w:val="Refdenotaalpie"/>
          <w:sz w:val="16"/>
          <w:szCs w:val="16"/>
        </w:rPr>
        <w:footnoteRef/>
      </w:r>
      <w:r w:rsidRPr="001D1DB6">
        <w:t xml:space="preserve"> </w:t>
      </w:r>
      <w:r w:rsidRPr="001D1DB6">
        <w:tab/>
        <w:t>Ídem, págs. 9-10.</w:t>
      </w:r>
    </w:p>
  </w:footnote>
  <w:footnote w:id="57">
    <w:p w:rsidR="00F046F7" w:rsidRPr="001D1DB6" w:rsidRDefault="00F046F7">
      <w:pPr>
        <w:pStyle w:val="Textonotapie"/>
        <w:rPr>
          <w:sz w:val="16"/>
          <w:szCs w:val="16"/>
        </w:rPr>
      </w:pPr>
      <w:r>
        <w:tab/>
      </w:r>
      <w:r w:rsidRPr="001D1DB6">
        <w:rPr>
          <w:rStyle w:val="Refdenotaalpie"/>
          <w:sz w:val="16"/>
          <w:szCs w:val="16"/>
        </w:rPr>
        <w:footnoteRef/>
      </w:r>
      <w:r w:rsidRPr="001D1DB6">
        <w:t xml:space="preserve"> </w:t>
      </w:r>
      <w:r w:rsidRPr="001D1DB6">
        <w:tab/>
        <w:t xml:space="preserve">CONGRESO DE LA REPÚBLICA. Ley </w:t>
      </w:r>
      <w:r>
        <w:rPr>
          <w:rFonts w:eastAsia="Calibri"/>
          <w:lang w:val="es-ES_tradnl"/>
        </w:rPr>
        <w:t>núm.</w:t>
      </w:r>
      <w:r w:rsidRPr="001D1DB6">
        <w:t xml:space="preserve"> 28950. Publicada en el Diario Oficial </w:t>
      </w:r>
      <w:r w:rsidRPr="00353E55">
        <w:rPr>
          <w:i/>
        </w:rPr>
        <w:t>El Peruano</w:t>
      </w:r>
      <w:r w:rsidRPr="001D1DB6">
        <w:t>. 16.01.2007.</w:t>
      </w:r>
    </w:p>
  </w:footnote>
  <w:footnote w:id="58">
    <w:p w:rsidR="00F046F7" w:rsidRPr="001D1DB6" w:rsidRDefault="00F046F7">
      <w:pPr>
        <w:pStyle w:val="Textonotapie"/>
        <w:rPr>
          <w:sz w:val="16"/>
          <w:szCs w:val="16"/>
        </w:rPr>
      </w:pPr>
      <w:r>
        <w:tab/>
      </w:r>
      <w:r w:rsidRPr="001D1DB6">
        <w:rPr>
          <w:rStyle w:val="Refdenotaalpie"/>
          <w:sz w:val="16"/>
          <w:szCs w:val="16"/>
        </w:rPr>
        <w:footnoteRef/>
      </w:r>
      <w:r w:rsidRPr="001D1DB6">
        <w:t xml:space="preserve"> </w:t>
      </w:r>
      <w:r w:rsidRPr="001D1DB6">
        <w:tab/>
        <w:t xml:space="preserve">CONGRESO DE LA REPÚBLICA. Ley </w:t>
      </w:r>
      <w:r>
        <w:rPr>
          <w:rFonts w:eastAsia="Calibri"/>
          <w:lang w:val="es-ES_tradnl"/>
        </w:rPr>
        <w:t>núm.</w:t>
      </w:r>
      <w:r w:rsidRPr="001D1DB6">
        <w:t xml:space="preserve"> 30251. Publicado en el Diario Oficial </w:t>
      </w:r>
      <w:r w:rsidRPr="00353E55">
        <w:rPr>
          <w:i/>
        </w:rPr>
        <w:t>El Peruano</w:t>
      </w:r>
      <w:r w:rsidRPr="001D1DB6">
        <w:t>: 21.10.2014.</w:t>
      </w:r>
    </w:p>
  </w:footnote>
  <w:footnote w:id="59">
    <w:p w:rsidR="00F046F7" w:rsidRPr="001D1DB6" w:rsidRDefault="00F046F7">
      <w:pPr>
        <w:pStyle w:val="Textonotapie"/>
        <w:rPr>
          <w:sz w:val="16"/>
          <w:szCs w:val="16"/>
        </w:rPr>
      </w:pPr>
      <w:r>
        <w:tab/>
      </w:r>
      <w:r w:rsidRPr="001D1DB6">
        <w:rPr>
          <w:rStyle w:val="Refdenotaalpie"/>
          <w:sz w:val="16"/>
          <w:szCs w:val="16"/>
        </w:rPr>
        <w:footnoteRef/>
      </w:r>
      <w:r w:rsidRPr="001D1DB6">
        <w:tab/>
        <w:t xml:space="preserve">MINISTERIO DEL INTERIOR. </w:t>
      </w:r>
      <w:r>
        <w:t>D.S.</w:t>
      </w:r>
      <w:r w:rsidRPr="001D1DB6">
        <w:t xml:space="preserve"> </w:t>
      </w:r>
      <w:r>
        <w:rPr>
          <w:rFonts w:eastAsia="Calibri"/>
          <w:lang w:val="es-ES_tradnl"/>
        </w:rPr>
        <w:t>núm.</w:t>
      </w:r>
      <w:r w:rsidRPr="001D1DB6">
        <w:t xml:space="preserve"> 004-2011-IN. Publicado en el Diario Oficial </w:t>
      </w:r>
      <w:r w:rsidRPr="00574AEE">
        <w:rPr>
          <w:i/>
        </w:rPr>
        <w:t>El Peruano</w:t>
      </w:r>
      <w:r w:rsidRPr="001D1DB6">
        <w:t>: 19.10.2011.</w:t>
      </w:r>
    </w:p>
  </w:footnote>
  <w:footnote w:id="60">
    <w:p w:rsidR="00F046F7" w:rsidRPr="00D503CF" w:rsidRDefault="00F046F7">
      <w:pPr>
        <w:pStyle w:val="Textonotapie"/>
        <w:rPr>
          <w:sz w:val="16"/>
          <w:szCs w:val="16"/>
          <w:lang w:val="pt-PT"/>
        </w:rPr>
      </w:pPr>
      <w:r>
        <w:tab/>
      </w:r>
      <w:r w:rsidRPr="001D1DB6">
        <w:rPr>
          <w:rStyle w:val="Refdenotaalpie"/>
          <w:sz w:val="16"/>
          <w:szCs w:val="16"/>
        </w:rPr>
        <w:footnoteRef/>
      </w:r>
      <w:r w:rsidRPr="001D1DB6">
        <w:tab/>
        <w:t xml:space="preserve">PODER JUDICIAL DEL PERÚ. Oficio </w:t>
      </w:r>
      <w:r>
        <w:rPr>
          <w:rFonts w:eastAsia="Calibri"/>
          <w:lang w:val="es-ES_tradnl"/>
        </w:rPr>
        <w:t>núm.</w:t>
      </w:r>
      <w:r w:rsidRPr="001D1DB6">
        <w:t xml:space="preserve"> 104-2016-Representación PJ CMNPTP. </w:t>
      </w:r>
      <w:r w:rsidRPr="00D503CF">
        <w:rPr>
          <w:lang w:val="pt-PT"/>
        </w:rPr>
        <w:t>Óp. Cit. Anexo 1.</w:t>
      </w:r>
    </w:p>
  </w:footnote>
  <w:footnote w:id="61">
    <w:p w:rsidR="00F046F7" w:rsidRPr="00D503CF" w:rsidRDefault="00F046F7">
      <w:pPr>
        <w:pStyle w:val="Textonotapie"/>
        <w:rPr>
          <w:sz w:val="16"/>
          <w:szCs w:val="16"/>
          <w:lang w:val="pt-PT"/>
        </w:rPr>
      </w:pPr>
      <w:r>
        <w:rPr>
          <w:lang w:val="pt-PT"/>
        </w:rPr>
        <w:tab/>
      </w:r>
      <w:r w:rsidRPr="00747CC3">
        <w:rPr>
          <w:rStyle w:val="Refdenotaalpie"/>
          <w:sz w:val="16"/>
          <w:szCs w:val="16"/>
        </w:rPr>
        <w:footnoteRef/>
      </w:r>
      <w:r w:rsidRPr="00D503CF">
        <w:rPr>
          <w:lang w:val="pt-PT"/>
        </w:rPr>
        <w:tab/>
        <w:t xml:space="preserve">Ídem, </w:t>
      </w:r>
      <w:r w:rsidRPr="007B4624">
        <w:t>anexo</w:t>
      </w:r>
      <w:r w:rsidRPr="00D503CF">
        <w:rPr>
          <w:lang w:val="pt-PT"/>
        </w:rPr>
        <w:t xml:space="preserve"> 3.</w:t>
      </w:r>
    </w:p>
  </w:footnote>
  <w:footnote w:id="62">
    <w:p w:rsidR="00F046F7" w:rsidRPr="001D1DB6" w:rsidRDefault="00F046F7">
      <w:pPr>
        <w:pStyle w:val="Textonotapie"/>
        <w:rPr>
          <w:sz w:val="16"/>
          <w:szCs w:val="16"/>
        </w:rPr>
      </w:pPr>
      <w:r>
        <w:rPr>
          <w:lang w:val="pt-PT"/>
        </w:rPr>
        <w:tab/>
      </w:r>
      <w:r w:rsidRPr="001D1DB6">
        <w:rPr>
          <w:rStyle w:val="Refdenotaalpie"/>
          <w:sz w:val="16"/>
          <w:szCs w:val="16"/>
        </w:rPr>
        <w:footnoteRef/>
      </w:r>
      <w:r>
        <w:rPr>
          <w:lang w:val="pt-PT"/>
        </w:rPr>
        <w:tab/>
      </w:r>
      <w:r w:rsidRPr="00D503CF">
        <w:rPr>
          <w:lang w:val="pt-PT"/>
        </w:rPr>
        <w:t xml:space="preserve">CONGRESO DE LA REPÚBLICA. D.S. </w:t>
      </w:r>
      <w:r>
        <w:rPr>
          <w:rFonts w:eastAsia="Calibri"/>
          <w:lang w:val="es-ES_tradnl"/>
        </w:rPr>
        <w:t>núm.</w:t>
      </w:r>
      <w:r w:rsidRPr="00D503CF">
        <w:rPr>
          <w:lang w:val="pt-PT"/>
        </w:rPr>
        <w:t xml:space="preserve"> 005-2016-IN. </w:t>
      </w:r>
      <w:r w:rsidRPr="001D1DB6">
        <w:t xml:space="preserve">Publicado en el Diario Oficial </w:t>
      </w:r>
      <w:r w:rsidRPr="00353E55">
        <w:rPr>
          <w:i/>
        </w:rPr>
        <w:t>El Peruano</w:t>
      </w:r>
      <w:r w:rsidRPr="001D1DB6">
        <w:t>: 12.05.2016.</w:t>
      </w:r>
    </w:p>
  </w:footnote>
  <w:footnote w:id="63">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PODER EJECUTIVO. Decreto Legislativo </w:t>
      </w:r>
      <w:r>
        <w:rPr>
          <w:rFonts w:eastAsia="Calibri"/>
          <w:lang w:val="es-ES_tradnl"/>
        </w:rPr>
        <w:t>núm.</w:t>
      </w:r>
      <w:r w:rsidRPr="001D1DB6">
        <w:t xml:space="preserve"> 1323. Art. 2°. “Artículo 153-B.- Explotación sexual”.</w:t>
      </w:r>
    </w:p>
  </w:footnote>
  <w:footnote w:id="64">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PODER EJECUTIVO. Decreto Legislativo </w:t>
      </w:r>
      <w:r>
        <w:rPr>
          <w:rFonts w:eastAsia="Calibri"/>
          <w:lang w:val="es-ES_tradnl"/>
        </w:rPr>
        <w:t>núm.</w:t>
      </w:r>
      <w:r w:rsidRPr="001D1DB6">
        <w:t xml:space="preserve"> 1323. Art. 2°. “Artículo 153-C.- Esclavitud y otras formas de explotación”.</w:t>
      </w:r>
    </w:p>
  </w:footnote>
  <w:footnote w:id="65">
    <w:p w:rsidR="00F046F7" w:rsidRPr="00144757" w:rsidRDefault="00F046F7">
      <w:pPr>
        <w:pStyle w:val="Textonotapie"/>
        <w:rPr>
          <w:sz w:val="16"/>
          <w:szCs w:val="16"/>
        </w:rPr>
      </w:pPr>
      <w:r>
        <w:rPr>
          <w:sz w:val="16"/>
          <w:szCs w:val="16"/>
        </w:rPr>
        <w:tab/>
      </w:r>
      <w:r w:rsidRPr="00144757">
        <w:rPr>
          <w:rStyle w:val="Refdenotaalpie"/>
          <w:sz w:val="16"/>
          <w:szCs w:val="16"/>
        </w:rPr>
        <w:footnoteRef/>
      </w:r>
      <w:r>
        <w:rPr>
          <w:sz w:val="16"/>
          <w:szCs w:val="16"/>
        </w:rPr>
        <w:tab/>
      </w:r>
      <w:r>
        <w:rPr>
          <w:rStyle w:val="Refdenotaalpie"/>
          <w:sz w:val="16"/>
          <w:szCs w:val="16"/>
        </w:rPr>
        <w:t xml:space="preserve"> </w:t>
      </w:r>
      <w:r w:rsidRPr="001D1DB6">
        <w:t xml:space="preserve">MINISTERIO DEL INTERIOR. </w:t>
      </w:r>
      <w:r>
        <w:t>D.S.</w:t>
      </w:r>
      <w:r w:rsidRPr="001D1DB6">
        <w:t xml:space="preserve"> </w:t>
      </w:r>
      <w:r>
        <w:rPr>
          <w:rFonts w:eastAsia="Calibri"/>
          <w:lang w:val="es-ES_tradnl"/>
        </w:rPr>
        <w:t>núm.</w:t>
      </w:r>
      <w:r w:rsidRPr="001D1DB6">
        <w:t xml:space="preserve"> 0</w:t>
      </w:r>
      <w:r>
        <w:t>17</w:t>
      </w:r>
      <w:r w:rsidRPr="001D1DB6">
        <w:t>-201</w:t>
      </w:r>
      <w:r>
        <w:t>7</w:t>
      </w:r>
      <w:r w:rsidRPr="001D1DB6">
        <w:t>-IN. Publicado en el Diario Of</w:t>
      </w:r>
      <w:r>
        <w:t xml:space="preserve">icial </w:t>
      </w:r>
      <w:r w:rsidRPr="00353E55">
        <w:rPr>
          <w:i/>
        </w:rPr>
        <w:t>El Peruano</w:t>
      </w:r>
      <w:r>
        <w:t>: 08.06.2017.</w:t>
      </w:r>
    </w:p>
  </w:footnote>
  <w:footnote w:id="66">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PODER EJECUTIVO. Decreto Legislativo </w:t>
      </w:r>
      <w:r>
        <w:rPr>
          <w:rFonts w:eastAsia="Calibri"/>
          <w:lang w:val="es-ES_tradnl"/>
        </w:rPr>
        <w:t>núm.</w:t>
      </w:r>
      <w:r w:rsidRPr="001D1DB6">
        <w:t xml:space="preserve"> 1350. Publicado en el Diario Oficial </w:t>
      </w:r>
      <w:r w:rsidRPr="00353E55">
        <w:rPr>
          <w:i/>
        </w:rPr>
        <w:t>El Peruano</w:t>
      </w:r>
      <w:r w:rsidRPr="001D1DB6">
        <w:t>: 07.01.2017. Art. 29.2 (k)</w:t>
      </w:r>
      <w:r>
        <w:t>.</w:t>
      </w:r>
    </w:p>
  </w:footnote>
  <w:footnote w:id="67">
    <w:p w:rsidR="00F046F7" w:rsidRPr="001354A8" w:rsidRDefault="00F046F7">
      <w:pPr>
        <w:pStyle w:val="Textonotapie"/>
      </w:pPr>
      <w:r>
        <w:tab/>
      </w:r>
      <w:r w:rsidRPr="001354A8">
        <w:rPr>
          <w:rStyle w:val="Refdenotaalpie"/>
          <w:sz w:val="16"/>
        </w:rPr>
        <w:footnoteRef/>
      </w:r>
      <w:r>
        <w:rPr>
          <w:rStyle w:val="Refdenotaalpie"/>
        </w:rPr>
        <w:tab/>
      </w:r>
      <w:r w:rsidRPr="001354A8">
        <w:t xml:space="preserve">MINISTERIO DEL INTERIOR. </w:t>
      </w:r>
      <w:r>
        <w:t>D.S.</w:t>
      </w:r>
      <w:r w:rsidRPr="001354A8">
        <w:t xml:space="preserve"> </w:t>
      </w:r>
      <w:r>
        <w:rPr>
          <w:rFonts w:eastAsia="Calibri"/>
          <w:lang w:val="es-ES_tradnl"/>
        </w:rPr>
        <w:t>núm.</w:t>
      </w:r>
      <w:r w:rsidRPr="001354A8">
        <w:t xml:space="preserve"> 007-2017-IN. Publicado en el Diario Oficial </w:t>
      </w:r>
      <w:r w:rsidRPr="00353E55">
        <w:rPr>
          <w:i/>
        </w:rPr>
        <w:t>El Peruano</w:t>
      </w:r>
      <w:r w:rsidRPr="001354A8">
        <w:t>: 27.03.2017.</w:t>
      </w:r>
    </w:p>
  </w:footnote>
  <w:footnote w:id="68">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CONGRESO DE LA REPÚBLICA. Ley </w:t>
      </w:r>
      <w:r>
        <w:rPr>
          <w:rFonts w:eastAsia="Calibri"/>
          <w:lang w:val="es-ES_tradnl"/>
        </w:rPr>
        <w:t>núm.</w:t>
      </w:r>
      <w:r w:rsidRPr="001D1DB6">
        <w:t xml:space="preserve"> 27891. Publicado en el Diario Oficial </w:t>
      </w:r>
      <w:r w:rsidRPr="00353E55">
        <w:rPr>
          <w:i/>
        </w:rPr>
        <w:t>El Peruano</w:t>
      </w:r>
      <w:r w:rsidRPr="001D1DB6">
        <w:t>: 22.10.2002.</w:t>
      </w:r>
    </w:p>
  </w:footnote>
  <w:footnote w:id="69">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MINISTERIO DE RELACIONES EXTERIORES. </w:t>
      </w:r>
      <w:r>
        <w:t>D.S.</w:t>
      </w:r>
      <w:r w:rsidRPr="001D1DB6">
        <w:t xml:space="preserve"> </w:t>
      </w:r>
      <w:r>
        <w:rPr>
          <w:rFonts w:eastAsia="Calibri"/>
          <w:lang w:val="es-ES_tradnl"/>
        </w:rPr>
        <w:t>núm.</w:t>
      </w:r>
      <w:r w:rsidRPr="001D1DB6">
        <w:t xml:space="preserve"> 119-2003-RE. Publicado en el Diario Oficial </w:t>
      </w:r>
      <w:r w:rsidRPr="00353E55">
        <w:rPr>
          <w:i/>
        </w:rPr>
        <w:t>El Peruano</w:t>
      </w:r>
      <w:r w:rsidRPr="001D1DB6">
        <w:t>: 14.10.2003.</w:t>
      </w:r>
    </w:p>
  </w:footnote>
  <w:footnote w:id="70">
    <w:p w:rsidR="00F046F7" w:rsidRPr="001D1DB6" w:rsidRDefault="00F046F7">
      <w:pPr>
        <w:pStyle w:val="Textonotapie"/>
        <w:rPr>
          <w:sz w:val="16"/>
          <w:szCs w:val="16"/>
        </w:rPr>
      </w:pPr>
      <w:r>
        <w:tab/>
      </w:r>
      <w:r w:rsidRPr="001D1DB6">
        <w:rPr>
          <w:rStyle w:val="Refdenotaalpie"/>
          <w:sz w:val="16"/>
          <w:szCs w:val="16"/>
        </w:rPr>
        <w:footnoteRef/>
      </w:r>
      <w:r w:rsidRPr="001D1DB6">
        <w:tab/>
        <w:t xml:space="preserve">CONGRESO DE LA REPÚBLICA. Ley </w:t>
      </w:r>
      <w:r>
        <w:rPr>
          <w:rFonts w:eastAsia="Calibri"/>
          <w:lang w:val="es-ES_tradnl"/>
        </w:rPr>
        <w:t>núm.</w:t>
      </w:r>
      <w:r w:rsidRPr="001D1DB6">
        <w:t xml:space="preserve"> 27444. Publicado en el Diario Oficial </w:t>
      </w:r>
      <w:r w:rsidRPr="00353E55">
        <w:rPr>
          <w:i/>
        </w:rPr>
        <w:t>El Peruano</w:t>
      </w:r>
      <w:r w:rsidRPr="001D1DB6">
        <w:t>: 11.04.2001.</w:t>
      </w:r>
    </w:p>
  </w:footnote>
  <w:footnote w:id="71">
    <w:p w:rsidR="00F046F7" w:rsidRPr="00D503CF" w:rsidRDefault="00F046F7">
      <w:pPr>
        <w:pStyle w:val="Textonotapie"/>
        <w:rPr>
          <w:sz w:val="16"/>
          <w:szCs w:val="16"/>
          <w:lang w:val="pt-PT"/>
        </w:rPr>
      </w:pPr>
      <w:r>
        <w:rPr>
          <w:lang w:val="pt-PT"/>
        </w:rPr>
        <w:tab/>
      </w:r>
      <w:r w:rsidRPr="001D1DB6">
        <w:rPr>
          <w:rStyle w:val="Refdenotaalpie"/>
          <w:sz w:val="16"/>
          <w:szCs w:val="16"/>
        </w:rPr>
        <w:footnoteRef/>
      </w:r>
      <w:r>
        <w:rPr>
          <w:lang w:val="pt-PT"/>
        </w:rPr>
        <w:tab/>
      </w:r>
      <w:r w:rsidRPr="00D503CF">
        <w:rPr>
          <w:lang w:val="pt-PT"/>
        </w:rPr>
        <w:t xml:space="preserve">MINISTERIO DE RELACIONES EXTERIORES. OF.RE. (DDH) </w:t>
      </w:r>
      <w:r>
        <w:rPr>
          <w:rFonts w:eastAsia="Calibri"/>
          <w:lang w:val="es-ES_tradnl"/>
        </w:rPr>
        <w:t>núm.</w:t>
      </w:r>
      <w:r w:rsidRPr="00D503CF">
        <w:rPr>
          <w:lang w:val="pt-PT"/>
        </w:rPr>
        <w:t xml:space="preserve"> 2-19-B/824. Fecha: 15.09.2016. Pág. 3. Anexos </w:t>
      </w:r>
      <w:r>
        <w:rPr>
          <w:rFonts w:eastAsia="Calibri"/>
          <w:lang w:val="es-ES_tradnl"/>
        </w:rPr>
        <w:t>núms.</w:t>
      </w:r>
      <w:r w:rsidRPr="00D503CF">
        <w:rPr>
          <w:lang w:val="pt-PT"/>
        </w:rPr>
        <w:t xml:space="preserve"> 1-3. </w:t>
      </w:r>
    </w:p>
  </w:footnote>
  <w:footnote w:id="72">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PODER EJECUTIVO. Decreto Legislativo </w:t>
      </w:r>
      <w:r>
        <w:rPr>
          <w:rFonts w:eastAsia="Calibri"/>
          <w:lang w:val="es-ES_tradnl"/>
        </w:rPr>
        <w:t>núm.</w:t>
      </w:r>
      <w:r w:rsidRPr="001D1DB6">
        <w:t xml:space="preserve"> 957. Publicado en el Diario Oficial </w:t>
      </w:r>
      <w:r w:rsidRPr="00353E55">
        <w:rPr>
          <w:i/>
        </w:rPr>
        <w:t>El Peruano</w:t>
      </w:r>
      <w:r w:rsidRPr="001D1DB6">
        <w:t>: 29.07.2004. Artículo 517° 3) a</w:t>
      </w:r>
      <w:r>
        <w:t xml:space="preserve">), </w:t>
      </w:r>
      <w:r w:rsidRPr="001D1DB6">
        <w:t>b</w:t>
      </w:r>
      <w:r>
        <w:t>)</w:t>
      </w:r>
      <w:r w:rsidRPr="001D1DB6">
        <w:t>,</w:t>
      </w:r>
      <w:r>
        <w:t xml:space="preserve"> </w:t>
      </w:r>
      <w:r w:rsidRPr="001D1DB6">
        <w:t>d)</w:t>
      </w:r>
      <w:r>
        <w:t>.</w:t>
      </w:r>
    </w:p>
  </w:footnote>
  <w:footnote w:id="73">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MINISTERIO DE RELACIONES EXTERIORES. OF.RE. (DDH) </w:t>
      </w:r>
      <w:r>
        <w:rPr>
          <w:rFonts w:eastAsia="Calibri"/>
          <w:lang w:val="es-ES_tradnl"/>
        </w:rPr>
        <w:t>núm.</w:t>
      </w:r>
      <w:r w:rsidRPr="001D1DB6">
        <w:t xml:space="preserve"> 2-19-B/824. Pág. 4.</w:t>
      </w:r>
    </w:p>
  </w:footnote>
  <w:footnote w:id="74">
    <w:p w:rsidR="00F046F7" w:rsidRPr="00D503CF" w:rsidRDefault="00F046F7">
      <w:pPr>
        <w:pStyle w:val="Textonotapie"/>
        <w:rPr>
          <w:sz w:val="16"/>
          <w:szCs w:val="16"/>
          <w:lang w:val="pt-PT"/>
        </w:rPr>
      </w:pPr>
      <w:r>
        <w:tab/>
      </w:r>
      <w:r w:rsidRPr="001D1DB6">
        <w:rPr>
          <w:rStyle w:val="Refdenotaalpie"/>
          <w:sz w:val="16"/>
          <w:szCs w:val="16"/>
        </w:rPr>
        <w:footnoteRef/>
      </w:r>
      <w:r>
        <w:tab/>
      </w:r>
      <w:r w:rsidRPr="001D1DB6">
        <w:t xml:space="preserve">MINISTERIO PÚBLICO. Unidad de Cooperación Judicial Internacional y Extradiciones. </w:t>
      </w:r>
      <w:r w:rsidRPr="00D503CF">
        <w:rPr>
          <w:lang w:val="pt-PT"/>
        </w:rPr>
        <w:t xml:space="preserve">Oficio </w:t>
      </w:r>
      <w:r>
        <w:rPr>
          <w:rFonts w:eastAsia="Calibri"/>
          <w:lang w:val="es-ES_tradnl"/>
        </w:rPr>
        <w:t>núm.</w:t>
      </w:r>
      <w:r w:rsidRPr="00D503CF">
        <w:rPr>
          <w:lang w:val="pt-PT"/>
        </w:rPr>
        <w:t xml:space="preserve"> 6995-2016-MP-FN-UCJIE. Fecha: 15.09.2016. Pág. 8.</w:t>
      </w:r>
    </w:p>
  </w:footnote>
  <w:footnote w:id="75">
    <w:p w:rsidR="00F046F7" w:rsidRPr="00D503CF" w:rsidRDefault="00F046F7">
      <w:pPr>
        <w:pStyle w:val="Textonotapie"/>
        <w:rPr>
          <w:sz w:val="16"/>
          <w:szCs w:val="16"/>
          <w:lang w:val="pt-PT"/>
        </w:rPr>
      </w:pPr>
      <w:r>
        <w:rPr>
          <w:lang w:val="pt-PT"/>
        </w:rPr>
        <w:tab/>
      </w:r>
      <w:r w:rsidRPr="001D1DB6">
        <w:rPr>
          <w:rStyle w:val="Refdenotaalpie"/>
          <w:rFonts w:eastAsiaTheme="majorEastAsia"/>
          <w:sz w:val="16"/>
          <w:szCs w:val="16"/>
        </w:rPr>
        <w:footnoteRef/>
      </w:r>
      <w:r>
        <w:rPr>
          <w:lang w:val="pt-PT"/>
        </w:rPr>
        <w:tab/>
      </w:r>
      <w:r w:rsidRPr="00D503CF">
        <w:rPr>
          <w:lang w:val="pt-PT"/>
        </w:rPr>
        <w:t xml:space="preserve">CÓDIGO PENAL. Decreto Legislativo </w:t>
      </w:r>
      <w:r>
        <w:rPr>
          <w:rFonts w:eastAsia="Calibri"/>
          <w:lang w:val="es-ES_tradnl"/>
        </w:rPr>
        <w:t>núm.</w:t>
      </w:r>
      <w:r w:rsidRPr="00D503CF">
        <w:rPr>
          <w:lang w:val="pt-PT"/>
        </w:rPr>
        <w:t xml:space="preserve"> 635.</w:t>
      </w:r>
      <w:r>
        <w:rPr>
          <w:lang w:val="pt-PT"/>
        </w:rPr>
        <w:t xml:space="preserve"> </w:t>
      </w:r>
      <w:r w:rsidRPr="00D503CF">
        <w:rPr>
          <w:bCs/>
          <w:lang w:val="pt-PT"/>
        </w:rPr>
        <w:t>Artículo 2</w:t>
      </w:r>
      <w:r w:rsidRPr="00D503CF">
        <w:rPr>
          <w:lang w:val="pt-PT"/>
        </w:rPr>
        <w:t>.</w:t>
      </w:r>
    </w:p>
  </w:footnote>
  <w:footnote w:id="76">
    <w:p w:rsidR="00F046F7" w:rsidRPr="00D503CF" w:rsidRDefault="00F046F7">
      <w:pPr>
        <w:pStyle w:val="Textonotapie"/>
        <w:rPr>
          <w:sz w:val="16"/>
          <w:szCs w:val="16"/>
          <w:lang w:val="pt-PT"/>
        </w:rPr>
      </w:pPr>
      <w:r>
        <w:rPr>
          <w:lang w:val="pt-PT"/>
        </w:rPr>
        <w:tab/>
      </w:r>
      <w:r w:rsidRPr="001D1DB6">
        <w:rPr>
          <w:rStyle w:val="Refdenotaalpie"/>
          <w:rFonts w:eastAsiaTheme="majorEastAsia"/>
          <w:sz w:val="16"/>
          <w:szCs w:val="16"/>
        </w:rPr>
        <w:footnoteRef/>
      </w:r>
      <w:r>
        <w:rPr>
          <w:lang w:val="pt-PT"/>
        </w:rPr>
        <w:tab/>
      </w:r>
      <w:r w:rsidRPr="00D503CF">
        <w:rPr>
          <w:lang w:val="pt-PT"/>
        </w:rPr>
        <w:t xml:space="preserve">PODER JUDICIAL. Oficio </w:t>
      </w:r>
      <w:r>
        <w:rPr>
          <w:rFonts w:eastAsia="Calibri"/>
          <w:lang w:val="es-ES_tradnl"/>
        </w:rPr>
        <w:t>núm.</w:t>
      </w:r>
      <w:r w:rsidRPr="00D503CF">
        <w:rPr>
          <w:lang w:val="pt-PT"/>
        </w:rPr>
        <w:t xml:space="preserve"> 77-2016-DDHH-PJ. Fecha: 29.09.2016. Pág. 5</w:t>
      </w:r>
      <w:r>
        <w:rPr>
          <w:lang w:val="pt-PT"/>
        </w:rPr>
        <w:t>.</w:t>
      </w:r>
    </w:p>
  </w:footnote>
  <w:footnote w:id="77">
    <w:p w:rsidR="00F046F7" w:rsidRPr="00D503CF" w:rsidRDefault="00F046F7">
      <w:pPr>
        <w:pStyle w:val="Textonotapie"/>
        <w:rPr>
          <w:sz w:val="16"/>
          <w:szCs w:val="16"/>
          <w:lang w:val="pt-PT"/>
        </w:rPr>
      </w:pPr>
      <w:r>
        <w:rPr>
          <w:lang w:val="pt-PT"/>
        </w:rPr>
        <w:tab/>
      </w:r>
      <w:r w:rsidRPr="001D1DB6">
        <w:rPr>
          <w:rStyle w:val="Refdenotaalpie"/>
          <w:sz w:val="16"/>
          <w:szCs w:val="16"/>
        </w:rPr>
        <w:footnoteRef/>
      </w:r>
      <w:r>
        <w:rPr>
          <w:lang w:val="pt-PT"/>
        </w:rPr>
        <w:tab/>
      </w:r>
      <w:r w:rsidRPr="00D503CF">
        <w:rPr>
          <w:lang w:val="pt-PT"/>
        </w:rPr>
        <w:t xml:space="preserve">MINISTERIO DE RELACIONES EXTERIORES. OF.RE. (DDH) </w:t>
      </w:r>
      <w:r>
        <w:rPr>
          <w:rFonts w:eastAsia="Calibri"/>
          <w:lang w:val="es-ES_tradnl"/>
        </w:rPr>
        <w:t>núm.</w:t>
      </w:r>
      <w:r w:rsidRPr="00D503CF">
        <w:rPr>
          <w:lang w:val="pt-PT"/>
        </w:rPr>
        <w:t xml:space="preserve"> 2-19-B/824. Fecha: 15.09.2016. Pág. 4</w:t>
      </w:r>
      <w:r>
        <w:rPr>
          <w:lang w:val="pt-PT"/>
        </w:rPr>
        <w:t>.</w:t>
      </w:r>
    </w:p>
  </w:footnote>
  <w:footnote w:id="78">
    <w:p w:rsidR="00F046F7" w:rsidRPr="00D503CF" w:rsidRDefault="00F046F7">
      <w:pPr>
        <w:pStyle w:val="Textonotapie"/>
        <w:rPr>
          <w:sz w:val="16"/>
          <w:szCs w:val="16"/>
          <w:lang w:val="pt-PT"/>
        </w:rPr>
      </w:pPr>
      <w:r>
        <w:rPr>
          <w:lang w:val="pt-PT"/>
        </w:rPr>
        <w:tab/>
      </w:r>
      <w:r w:rsidRPr="001D1DB6">
        <w:rPr>
          <w:rStyle w:val="Refdenotaalpie"/>
          <w:sz w:val="16"/>
          <w:szCs w:val="16"/>
        </w:rPr>
        <w:footnoteRef/>
      </w:r>
      <w:r>
        <w:rPr>
          <w:lang w:val="pt-PT"/>
        </w:rPr>
        <w:tab/>
      </w:r>
      <w:r w:rsidRPr="00D503CF">
        <w:rPr>
          <w:lang w:val="pt-PT"/>
        </w:rPr>
        <w:t xml:space="preserve">MINISTERIO PÚBLICO. Oficio </w:t>
      </w:r>
      <w:r>
        <w:rPr>
          <w:rFonts w:eastAsia="Calibri"/>
          <w:lang w:val="es-ES_tradnl"/>
        </w:rPr>
        <w:t>núm.</w:t>
      </w:r>
      <w:r w:rsidRPr="00D503CF">
        <w:rPr>
          <w:lang w:val="pt-PT"/>
        </w:rPr>
        <w:t xml:space="preserve"> 6995-2016-MP-FN-UCJIE. Óp. Cit. Pág. 14.</w:t>
      </w:r>
    </w:p>
  </w:footnote>
  <w:footnote w:id="79">
    <w:p w:rsidR="00F046F7" w:rsidRPr="00D503CF" w:rsidRDefault="00F046F7">
      <w:pPr>
        <w:pStyle w:val="Textonotapie"/>
        <w:rPr>
          <w:lang w:val="pt-PT"/>
        </w:rPr>
      </w:pPr>
      <w:r>
        <w:rPr>
          <w:lang w:val="pt-PT"/>
        </w:rPr>
        <w:tab/>
      </w:r>
      <w:r w:rsidRPr="001D1DB6">
        <w:rPr>
          <w:rStyle w:val="Refdenotaalpie"/>
          <w:sz w:val="16"/>
          <w:szCs w:val="16"/>
        </w:rPr>
        <w:footnoteRef/>
      </w:r>
      <w:r>
        <w:rPr>
          <w:lang w:val="pt-PT"/>
        </w:rPr>
        <w:tab/>
      </w:r>
      <w:r w:rsidRPr="00D503CF">
        <w:rPr>
          <w:lang w:val="pt-PT"/>
        </w:rPr>
        <w:t>Ídem, págs. 14</w:t>
      </w:r>
      <w:r>
        <w:rPr>
          <w:lang w:val="pt-PT"/>
        </w:rPr>
        <w:t>-</w:t>
      </w:r>
      <w:r w:rsidRPr="00D503CF">
        <w:rPr>
          <w:lang w:val="pt-PT"/>
        </w:rPr>
        <w:t>15.</w:t>
      </w:r>
    </w:p>
  </w:footnote>
  <w:footnote w:id="80">
    <w:p w:rsidR="00F046F7" w:rsidRPr="00D503CF" w:rsidRDefault="00F046F7">
      <w:pPr>
        <w:pStyle w:val="Textonotapie"/>
        <w:rPr>
          <w:sz w:val="16"/>
          <w:szCs w:val="16"/>
          <w:lang w:val="pt-PT"/>
        </w:rPr>
      </w:pPr>
      <w:r>
        <w:rPr>
          <w:lang w:val="pt-PT"/>
        </w:rPr>
        <w:tab/>
      </w:r>
      <w:r w:rsidRPr="001D1DB6">
        <w:rPr>
          <w:rStyle w:val="Refdenotaalpie"/>
          <w:sz w:val="16"/>
          <w:szCs w:val="16"/>
        </w:rPr>
        <w:footnoteRef/>
      </w:r>
      <w:r>
        <w:rPr>
          <w:lang w:val="pt-PT"/>
        </w:rPr>
        <w:tab/>
      </w:r>
      <w:r w:rsidRPr="00D503CF">
        <w:rPr>
          <w:lang w:val="pt-PT"/>
        </w:rPr>
        <w:t xml:space="preserve">MINISTERIO DE RELACIONES EXTERIORES. OF.RE. (DDH) </w:t>
      </w:r>
      <w:r>
        <w:rPr>
          <w:rFonts w:eastAsia="Calibri"/>
          <w:lang w:val="es-ES_tradnl"/>
        </w:rPr>
        <w:t>núm.</w:t>
      </w:r>
      <w:r w:rsidRPr="00D503CF">
        <w:rPr>
          <w:lang w:val="pt-PT"/>
        </w:rPr>
        <w:t xml:space="preserve"> 2-19-B/824. Óp. Cit. Págs.</w:t>
      </w:r>
      <w:r>
        <w:rPr>
          <w:lang w:val="pt-PT"/>
        </w:rPr>
        <w:t> </w:t>
      </w:r>
      <w:r w:rsidRPr="00D503CF">
        <w:rPr>
          <w:lang w:val="pt-PT"/>
        </w:rPr>
        <w:t>15-16.</w:t>
      </w:r>
    </w:p>
  </w:footnote>
  <w:footnote w:id="81">
    <w:p w:rsidR="00F046F7" w:rsidRPr="00D503CF" w:rsidRDefault="00F046F7">
      <w:pPr>
        <w:pStyle w:val="Textonotapie"/>
        <w:rPr>
          <w:sz w:val="16"/>
          <w:szCs w:val="16"/>
          <w:lang w:val="pt-PT"/>
        </w:rPr>
      </w:pPr>
      <w:r>
        <w:rPr>
          <w:lang w:val="pt-PT"/>
        </w:rPr>
        <w:tab/>
      </w:r>
      <w:r w:rsidRPr="001D1DB6">
        <w:rPr>
          <w:rStyle w:val="Refdenotaalpie"/>
          <w:sz w:val="16"/>
          <w:szCs w:val="16"/>
        </w:rPr>
        <w:footnoteRef/>
      </w:r>
      <w:r>
        <w:rPr>
          <w:lang w:val="pt-PT"/>
        </w:rPr>
        <w:tab/>
      </w:r>
      <w:r w:rsidRPr="00D503CF">
        <w:rPr>
          <w:lang w:val="pt-PT"/>
        </w:rPr>
        <w:t>Nuevo Códig</w:t>
      </w:r>
      <w:r>
        <w:rPr>
          <w:lang w:val="pt-PT"/>
        </w:rPr>
        <w:t>o Procesal Penal. Artículo 508.</w:t>
      </w:r>
    </w:p>
  </w:footnote>
  <w:footnote w:id="82">
    <w:p w:rsidR="00F046F7" w:rsidRPr="00D503CF" w:rsidRDefault="00F046F7">
      <w:pPr>
        <w:pStyle w:val="Textonotapie"/>
        <w:rPr>
          <w:sz w:val="16"/>
          <w:szCs w:val="16"/>
          <w:lang w:val="pt-PT"/>
        </w:rPr>
      </w:pPr>
      <w:r>
        <w:rPr>
          <w:lang w:val="pt-PT"/>
        </w:rPr>
        <w:tab/>
      </w:r>
      <w:r w:rsidRPr="001D1DB6">
        <w:rPr>
          <w:rStyle w:val="Refdenotaalpie"/>
          <w:sz w:val="16"/>
          <w:szCs w:val="16"/>
        </w:rPr>
        <w:footnoteRef/>
      </w:r>
      <w:r>
        <w:rPr>
          <w:lang w:val="pt-PT"/>
        </w:rPr>
        <w:tab/>
      </w:r>
      <w:r w:rsidRPr="00D503CF">
        <w:rPr>
          <w:lang w:val="pt-PT"/>
        </w:rPr>
        <w:t>Código Procesal Penal. A</w:t>
      </w:r>
      <w:r>
        <w:rPr>
          <w:iCs/>
          <w:lang w:val="pt-PT"/>
        </w:rPr>
        <w:t>rtículo 535</w:t>
      </w:r>
      <w:r w:rsidRPr="00D503CF">
        <w:rPr>
          <w:iCs/>
          <w:lang w:val="pt-PT"/>
        </w:rPr>
        <w:t>.</w:t>
      </w:r>
    </w:p>
  </w:footnote>
  <w:footnote w:id="83">
    <w:p w:rsidR="00F046F7" w:rsidRPr="00D503CF" w:rsidRDefault="00F046F7">
      <w:pPr>
        <w:pStyle w:val="Textonotapie"/>
        <w:rPr>
          <w:sz w:val="16"/>
          <w:szCs w:val="16"/>
          <w:lang w:val="pt-PT"/>
        </w:rPr>
      </w:pPr>
      <w:r>
        <w:rPr>
          <w:lang w:val="pt-PT"/>
        </w:rPr>
        <w:tab/>
      </w:r>
      <w:r w:rsidRPr="001D1DB6">
        <w:rPr>
          <w:rStyle w:val="Refdenotaalpie"/>
          <w:sz w:val="16"/>
          <w:szCs w:val="16"/>
        </w:rPr>
        <w:footnoteRef/>
      </w:r>
      <w:r>
        <w:rPr>
          <w:lang w:val="pt-PT"/>
        </w:rPr>
        <w:tab/>
      </w:r>
      <w:r w:rsidRPr="00D503CF">
        <w:rPr>
          <w:lang w:val="pt-PT"/>
        </w:rPr>
        <w:t xml:space="preserve">MINISTERIO PÚBLICO. Oficio </w:t>
      </w:r>
      <w:r>
        <w:rPr>
          <w:rFonts w:eastAsia="Calibri"/>
          <w:lang w:val="es-ES_tradnl"/>
        </w:rPr>
        <w:t>núm.</w:t>
      </w:r>
      <w:r w:rsidRPr="00D503CF">
        <w:rPr>
          <w:lang w:val="pt-PT"/>
        </w:rPr>
        <w:t xml:space="preserve"> 6995-2016-MP-FN-UCJIE. Óp. Cit. Pág. 15.</w:t>
      </w:r>
    </w:p>
  </w:footnote>
  <w:footnote w:id="84">
    <w:p w:rsidR="00F046F7" w:rsidRPr="001D1DB6" w:rsidRDefault="00F046F7">
      <w:pPr>
        <w:pStyle w:val="Textonotapie"/>
        <w:rPr>
          <w:sz w:val="16"/>
          <w:szCs w:val="16"/>
        </w:rPr>
      </w:pPr>
      <w:r>
        <w:rPr>
          <w:lang w:val="pt-PT"/>
        </w:rPr>
        <w:tab/>
      </w:r>
      <w:r w:rsidRPr="001D1DB6">
        <w:rPr>
          <w:rStyle w:val="Refdenotaalpie"/>
          <w:rFonts w:eastAsiaTheme="majorEastAsia"/>
          <w:sz w:val="16"/>
          <w:szCs w:val="16"/>
        </w:rPr>
        <w:footnoteRef/>
      </w:r>
      <w:r>
        <w:rPr>
          <w:lang w:val="pt-PT"/>
        </w:rPr>
        <w:tab/>
      </w:r>
      <w:r w:rsidRPr="00D503CF">
        <w:rPr>
          <w:lang w:val="pt-PT"/>
        </w:rPr>
        <w:t xml:space="preserve">MINISTERIO DE JUSTICIA Y DERECHOS HUMANOS. </w:t>
      </w:r>
      <w:r w:rsidRPr="001D1DB6">
        <w:t xml:space="preserve">Decreto Supremo </w:t>
      </w:r>
      <w:r>
        <w:rPr>
          <w:rFonts w:eastAsia="Calibri"/>
          <w:lang w:val="es-ES_tradnl"/>
        </w:rPr>
        <w:t>núm.</w:t>
      </w:r>
      <w:r w:rsidRPr="001D1DB6">
        <w:t xml:space="preserve"> 010-2014.</w:t>
      </w:r>
      <w:r>
        <w:t xml:space="preserve"> </w:t>
      </w:r>
      <w:r w:rsidRPr="001D1DB6">
        <w:t xml:space="preserve">Publicado en el Diario Oficial </w:t>
      </w:r>
      <w:r w:rsidRPr="00353E55">
        <w:rPr>
          <w:i/>
        </w:rPr>
        <w:t>El Peruano</w:t>
      </w:r>
      <w:r w:rsidRPr="001D1DB6">
        <w:t>: 12.12.2014.</w:t>
      </w:r>
      <w:r>
        <w:t xml:space="preserve"> </w:t>
      </w:r>
      <w:r w:rsidRPr="001D1DB6">
        <w:t>Pág. 48. Consulta: 23.06.2016. Di</w:t>
      </w:r>
      <w:r>
        <w:t xml:space="preserve">sponible: </w:t>
      </w:r>
      <w:r w:rsidRPr="001D1DB6">
        <w:t>http://www.minjus.gob.pe/wp-content</w:t>
      </w:r>
      <w:r>
        <w:t>/uploads/2014/12/PNDDF-2014.pdf.</w:t>
      </w:r>
    </w:p>
  </w:footnote>
  <w:footnote w:id="85">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ACADEMIA DE LA MAGISTRATURA. Oficio </w:t>
      </w:r>
      <w:r>
        <w:rPr>
          <w:rFonts w:eastAsia="Calibri"/>
          <w:lang w:val="es-ES_tradnl"/>
        </w:rPr>
        <w:t>núm.</w:t>
      </w:r>
      <w:r w:rsidRPr="001D1DB6">
        <w:t xml:space="preserve"> 100-2016-AMAG/DG. Fecha: 16.09.2016. </w:t>
      </w:r>
    </w:p>
  </w:footnote>
  <w:footnote w:id="86">
    <w:p w:rsidR="00F046F7" w:rsidRPr="001D1DB6" w:rsidRDefault="00F046F7">
      <w:pPr>
        <w:pStyle w:val="Textonotapie"/>
      </w:pPr>
      <w:r>
        <w:tab/>
      </w:r>
      <w:r w:rsidRPr="001D1DB6">
        <w:rPr>
          <w:rStyle w:val="Refdenotaalpie"/>
          <w:rFonts w:eastAsiaTheme="majorEastAsia"/>
          <w:sz w:val="16"/>
          <w:szCs w:val="16"/>
        </w:rPr>
        <w:footnoteRef/>
      </w:r>
      <w:r>
        <w:tab/>
      </w:r>
      <w:r w:rsidRPr="001D1DB6">
        <w:t xml:space="preserve">MINISTERIO DE JUSTICIA Y DERECHOS HUMANOS. </w:t>
      </w:r>
      <w:r w:rsidRPr="00D503CF">
        <w:rPr>
          <w:lang w:val="pt-PT"/>
        </w:rPr>
        <w:t xml:space="preserve">DGDPAJ. Oficio </w:t>
      </w:r>
      <w:r>
        <w:rPr>
          <w:rFonts w:eastAsia="Calibri"/>
          <w:lang w:val="es-ES_tradnl"/>
        </w:rPr>
        <w:t>núm.</w:t>
      </w:r>
      <w:r w:rsidRPr="00D503CF">
        <w:rPr>
          <w:lang w:val="pt-PT"/>
        </w:rPr>
        <w:t xml:space="preserve"> 1061-2015-JUS/DGDP. </w:t>
      </w:r>
      <w:r w:rsidRPr="001D1DB6">
        <w:t>Fecha: 06.11.2015. Pág.5.</w:t>
      </w:r>
    </w:p>
  </w:footnote>
  <w:footnote w:id="87">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MINISTERIO DE DEFENSA. Centro de </w:t>
      </w:r>
      <w:r>
        <w:t>DIH y DDHH</w:t>
      </w:r>
      <w:r w:rsidRPr="001D1DB6">
        <w:t xml:space="preserve">. </w:t>
      </w:r>
      <w:r w:rsidRPr="00D503CF">
        <w:rPr>
          <w:lang w:val="pt-PT"/>
        </w:rPr>
        <w:t xml:space="preserve">Oficio </w:t>
      </w:r>
      <w:r>
        <w:rPr>
          <w:rFonts w:eastAsia="Calibri"/>
          <w:lang w:val="es-ES_tradnl"/>
        </w:rPr>
        <w:t>núm.</w:t>
      </w:r>
      <w:r w:rsidRPr="00D503CF">
        <w:rPr>
          <w:lang w:val="pt-PT"/>
        </w:rPr>
        <w:t xml:space="preserve"> 659-2016. MINDEF/VPD/CDIH-DHH. </w:t>
      </w:r>
      <w:r w:rsidRPr="001D1DB6">
        <w:t>Fecha: 14.09.2016. Anexo “a”.</w:t>
      </w:r>
    </w:p>
  </w:footnote>
  <w:footnote w:id="88">
    <w:p w:rsidR="00F046F7" w:rsidRPr="001D1DB6" w:rsidRDefault="00F046F7">
      <w:pPr>
        <w:pStyle w:val="Textonotapie"/>
        <w:rPr>
          <w:rFonts w:eastAsiaTheme="minorEastAsia"/>
          <w:sz w:val="16"/>
          <w:szCs w:val="16"/>
          <w:lang w:eastAsia="ja-JP"/>
        </w:rPr>
      </w:pPr>
      <w:r>
        <w:tab/>
      </w:r>
      <w:r w:rsidRPr="001D1DB6">
        <w:rPr>
          <w:rStyle w:val="Refdenotaalpie"/>
          <w:sz w:val="16"/>
          <w:szCs w:val="16"/>
        </w:rPr>
        <w:footnoteRef/>
      </w:r>
      <w:r>
        <w:tab/>
      </w:r>
      <w:r w:rsidRPr="001D1DB6">
        <w:t>MINISTERIO</w:t>
      </w:r>
      <w:r w:rsidRPr="001D1DB6">
        <w:rPr>
          <w:rFonts w:eastAsiaTheme="minorEastAsia"/>
          <w:lang w:eastAsia="ja-JP"/>
        </w:rPr>
        <w:t xml:space="preserve"> DE DEFENSA. </w:t>
      </w:r>
      <w:r>
        <w:rPr>
          <w:rFonts w:eastAsiaTheme="minorEastAsia"/>
          <w:lang w:eastAsia="ja-JP"/>
        </w:rPr>
        <w:t>D.S.</w:t>
      </w:r>
      <w:r w:rsidRPr="001D1DB6">
        <w:rPr>
          <w:rFonts w:eastAsiaTheme="minorEastAsia"/>
          <w:lang w:eastAsia="ja-JP"/>
        </w:rPr>
        <w:t xml:space="preserve"> </w:t>
      </w:r>
      <w:r>
        <w:rPr>
          <w:rFonts w:eastAsia="Calibri"/>
          <w:lang w:val="es-ES_tradnl"/>
        </w:rPr>
        <w:t>núm.</w:t>
      </w:r>
      <w:r w:rsidRPr="001D1DB6">
        <w:rPr>
          <w:rFonts w:eastAsiaTheme="minorEastAsia"/>
          <w:lang w:eastAsia="ja-JP"/>
        </w:rPr>
        <w:t xml:space="preserve"> 007-2016-DE. Publicado en el Diario Oficial </w:t>
      </w:r>
      <w:r w:rsidRPr="00353E55">
        <w:rPr>
          <w:i/>
        </w:rPr>
        <w:t>El Peruano</w:t>
      </w:r>
      <w:r w:rsidRPr="001D1DB6">
        <w:rPr>
          <w:rFonts w:eastAsiaTheme="minorEastAsia"/>
          <w:lang w:eastAsia="ja-JP"/>
        </w:rPr>
        <w:t>: 19.07.2016. Art. 8° (Inc. 28).</w:t>
      </w:r>
    </w:p>
  </w:footnote>
  <w:footnote w:id="89">
    <w:p w:rsidR="00F046F7" w:rsidRPr="001D1DB6" w:rsidRDefault="00F046F7">
      <w:pPr>
        <w:pStyle w:val="Textonotapie"/>
        <w:rPr>
          <w:sz w:val="16"/>
          <w:szCs w:val="16"/>
        </w:rPr>
      </w:pPr>
      <w:r>
        <w:tab/>
      </w:r>
      <w:r w:rsidRPr="001D1DB6">
        <w:rPr>
          <w:rStyle w:val="Refdenotaalpie"/>
          <w:sz w:val="16"/>
          <w:szCs w:val="16"/>
        </w:rPr>
        <w:footnoteRef/>
      </w:r>
      <w:r>
        <w:tab/>
      </w:r>
      <w:r w:rsidRPr="001D1DB6">
        <w:rPr>
          <w:rFonts w:eastAsiaTheme="minorEastAsia"/>
          <w:lang w:eastAsia="ja-JP"/>
        </w:rPr>
        <w:t xml:space="preserve">Decreto Supremo </w:t>
      </w:r>
      <w:r>
        <w:rPr>
          <w:rFonts w:eastAsia="Calibri"/>
          <w:lang w:val="es-ES_tradnl"/>
        </w:rPr>
        <w:t>núm.</w:t>
      </w:r>
      <w:r w:rsidRPr="001D1DB6">
        <w:rPr>
          <w:rFonts w:eastAsiaTheme="minorEastAsia"/>
          <w:lang w:eastAsia="ja-JP"/>
        </w:rPr>
        <w:t xml:space="preserve"> 007-2016-DE. Artículo 11° (Inc. 10).</w:t>
      </w:r>
    </w:p>
  </w:footnote>
  <w:footnote w:id="90">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Ídem, </w:t>
      </w:r>
      <w:r>
        <w:t>A</w:t>
      </w:r>
      <w:r w:rsidRPr="001D1DB6">
        <w:rPr>
          <w:rFonts w:eastAsiaTheme="minorEastAsia"/>
          <w:lang w:eastAsia="ja-JP"/>
        </w:rPr>
        <w:t>rtículo 11° (Inc. 11.24.6).</w:t>
      </w:r>
    </w:p>
  </w:footnote>
  <w:footnote w:id="91">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FUERO MILITAR POLICIAL. Oficio </w:t>
      </w:r>
      <w:r>
        <w:rPr>
          <w:rFonts w:eastAsia="Calibri"/>
          <w:lang w:val="es-ES_tradnl"/>
        </w:rPr>
        <w:t>núm.</w:t>
      </w:r>
      <w:r w:rsidRPr="001D1DB6">
        <w:t xml:space="preserve"> 333-2016-FMP/P. Fecha: 21.09.2016. </w:t>
      </w:r>
    </w:p>
  </w:footnote>
  <w:footnote w:id="92">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MINISTERIO DEL INTERIOR. Oficio </w:t>
      </w:r>
      <w:r>
        <w:rPr>
          <w:rFonts w:eastAsia="Calibri"/>
          <w:lang w:val="es-ES_tradnl"/>
        </w:rPr>
        <w:t>núm.</w:t>
      </w:r>
      <w:r w:rsidRPr="001D1DB6">
        <w:t>001784-2016-IN-DGSD. Fecha: 03.11.2016. Página 9.</w:t>
      </w:r>
    </w:p>
  </w:footnote>
  <w:footnote w:id="93">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PODER EJECUTIVO. Decreto Legislativo </w:t>
      </w:r>
      <w:r>
        <w:rPr>
          <w:rFonts w:eastAsia="Calibri"/>
          <w:lang w:val="es-ES_tradnl"/>
        </w:rPr>
        <w:t>núm.</w:t>
      </w:r>
      <w:r w:rsidRPr="001D1DB6">
        <w:t xml:space="preserve"> 1186. Publicado en el Diario Oficial </w:t>
      </w:r>
      <w:r w:rsidRPr="00353E55">
        <w:rPr>
          <w:i/>
        </w:rPr>
        <w:t>El Peruano</w:t>
      </w:r>
      <w:r w:rsidRPr="001D1DB6">
        <w:t>: 16.08.2015.</w:t>
      </w:r>
    </w:p>
  </w:footnote>
  <w:footnote w:id="94">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MINISTERIO DEL INTERIOR. </w:t>
      </w:r>
      <w:r>
        <w:t>D.S.</w:t>
      </w:r>
      <w:r w:rsidRPr="001D1DB6">
        <w:t xml:space="preserve"> </w:t>
      </w:r>
      <w:r>
        <w:rPr>
          <w:rFonts w:eastAsia="Calibri"/>
          <w:lang w:val="es-ES_tradnl"/>
        </w:rPr>
        <w:t>núm.</w:t>
      </w:r>
      <w:r w:rsidRPr="001D1DB6">
        <w:t xml:space="preserve"> 012-2006-IN. Publicado en el Diario Oficial </w:t>
      </w:r>
      <w:r w:rsidRPr="00353E55">
        <w:rPr>
          <w:i/>
        </w:rPr>
        <w:t>El Peruano</w:t>
      </w:r>
      <w:r w:rsidRPr="001D1DB6">
        <w:t>: 27.07.2016.</w:t>
      </w:r>
    </w:p>
  </w:footnote>
  <w:footnote w:id="95">
    <w:p w:rsidR="00F046F7" w:rsidRPr="001D1DB6" w:rsidRDefault="00F046F7">
      <w:pPr>
        <w:pStyle w:val="Textonotapie"/>
        <w:rPr>
          <w:sz w:val="16"/>
          <w:szCs w:val="16"/>
        </w:rPr>
      </w:pPr>
      <w:r>
        <w:tab/>
      </w:r>
      <w:r w:rsidRPr="001D1DB6">
        <w:rPr>
          <w:rStyle w:val="Refdenotaalpie"/>
          <w:sz w:val="16"/>
          <w:szCs w:val="16"/>
        </w:rPr>
        <w:footnoteRef/>
      </w:r>
      <w:r w:rsidRPr="001D1DB6">
        <w:tab/>
      </w:r>
      <w:r w:rsidRPr="00574AEE">
        <w:rPr>
          <w:i/>
        </w:rPr>
        <w:t>Ib</w:t>
      </w:r>
      <w:r w:rsidR="00AA3175" w:rsidRPr="00574AEE">
        <w:rPr>
          <w:i/>
        </w:rPr>
        <w:t>id.</w:t>
      </w:r>
    </w:p>
  </w:footnote>
  <w:footnote w:id="96">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PODER EJECUTIVO. Decreto Legislativo </w:t>
      </w:r>
      <w:r>
        <w:rPr>
          <w:rFonts w:eastAsia="Calibri"/>
          <w:lang w:val="es-ES_tradnl"/>
        </w:rPr>
        <w:t>núm.</w:t>
      </w:r>
      <w:r w:rsidRPr="001D1DB6">
        <w:t xml:space="preserve"> 1318. Publicado en la edición extraordinaria del Diario Oficial </w:t>
      </w:r>
      <w:r w:rsidRPr="00353E55">
        <w:rPr>
          <w:i/>
        </w:rPr>
        <w:t>El Peruano</w:t>
      </w:r>
      <w:r w:rsidRPr="001D1DB6">
        <w:t>: 02.01.2017.</w:t>
      </w:r>
    </w:p>
  </w:footnote>
  <w:footnote w:id="97">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MINISTERIO DE JUSTICIA Y DERECHOS HUMANOS. D</w:t>
      </w:r>
      <w:r>
        <w:t xml:space="preserve">.S. </w:t>
      </w:r>
      <w:r>
        <w:rPr>
          <w:rFonts w:eastAsia="Calibri"/>
          <w:lang w:val="es-ES_tradnl"/>
        </w:rPr>
        <w:t>núm.</w:t>
      </w:r>
      <w:r w:rsidRPr="001D1DB6">
        <w:t xml:space="preserve"> 005-2016-JUS. Publicado en el Diario Oficial </w:t>
      </w:r>
      <w:r w:rsidRPr="00353E55">
        <w:rPr>
          <w:i/>
        </w:rPr>
        <w:t>El Peruano</w:t>
      </w:r>
      <w:r w:rsidRPr="001D1DB6">
        <w:t>: 15.07.2016.</w:t>
      </w:r>
      <w:r w:rsidRPr="008155BB">
        <w:t xml:space="preserve"> </w:t>
      </w:r>
      <w:r w:rsidRPr="001D1DB6">
        <w:t>Cons</w:t>
      </w:r>
      <w:r>
        <w:t xml:space="preserve">ulta: 01.09.2016. Disponible: </w:t>
      </w:r>
      <w:r w:rsidRPr="001D1DB6">
        <w:t>http://www.minjus.gob.pe/wp-content/uploads/2</w:t>
      </w:r>
      <w:r>
        <w:t>016/07/DS-N-005-2016-JUS.pdf.</w:t>
      </w:r>
    </w:p>
  </w:footnote>
  <w:footnote w:id="98">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 xml:space="preserve">MINISTERIO DE JUSTICIA Y DERECHOS HUMANOS. </w:t>
      </w:r>
      <w:r>
        <w:t xml:space="preserve">R.M. </w:t>
      </w:r>
      <w:r>
        <w:rPr>
          <w:rFonts w:eastAsia="Calibri"/>
          <w:lang w:val="es-ES_tradnl"/>
        </w:rPr>
        <w:t>núm.</w:t>
      </w:r>
      <w:r w:rsidRPr="001D1DB6">
        <w:t xml:space="preserve"> 0070-2016-JUS. </w:t>
      </w:r>
      <w:r>
        <w:t xml:space="preserve">Fecha: 28.03.2016. Disponible: </w:t>
      </w:r>
      <w:r w:rsidRPr="001D1DB6">
        <w:t>http://www.minjus.gob.pe/wp-content/uplo</w:t>
      </w:r>
      <w:r>
        <w:t>ads/2016/03/</w:t>
      </w:r>
      <w:r>
        <w:br/>
        <w:t>RESOLUCI%C3%93N.pdf</w:t>
      </w:r>
      <w:r w:rsidRPr="001D1DB6">
        <w:t>. Consulta: 20.04.2016.</w:t>
      </w:r>
    </w:p>
  </w:footnote>
  <w:footnote w:id="99">
    <w:p w:rsidR="00F046F7" w:rsidRPr="00574AEE" w:rsidRDefault="00F046F7">
      <w:pPr>
        <w:pStyle w:val="Textonotapie"/>
      </w:pPr>
      <w:r>
        <w:tab/>
      </w:r>
      <w:r w:rsidRPr="001D1DB6">
        <w:rPr>
          <w:rStyle w:val="Refdenotaalpie"/>
          <w:sz w:val="16"/>
          <w:szCs w:val="16"/>
        </w:rPr>
        <w:footnoteRef/>
      </w:r>
      <w:r w:rsidRPr="001D1DB6">
        <w:t xml:space="preserve"> </w:t>
      </w:r>
      <w:r w:rsidRPr="001D1DB6">
        <w:tab/>
        <w:t>INEI. Perú: Primer Censo Nacional Penitenciario</w:t>
      </w:r>
      <w:r>
        <w:t xml:space="preserve"> 2016. </w:t>
      </w:r>
      <w:r w:rsidRPr="00D503CF">
        <w:rPr>
          <w:lang w:val="pt-PT"/>
        </w:rPr>
        <w:t xml:space="preserve">Págs. 9-10. Disponible: </w:t>
      </w:r>
      <w:hyperlink r:id="rId3" w:history="1">
        <w:r w:rsidRPr="00574AEE">
          <w:t>https://www.inei.gob.pe/media/MenuRecursivo/publicaciones_digitales/Est/Lib1364/libro.pdf</w:t>
        </w:r>
      </w:hyperlink>
      <w:r w:rsidRPr="00574AEE">
        <w:t>. Consulta: 23.11.2016.</w:t>
      </w:r>
    </w:p>
  </w:footnote>
  <w:footnote w:id="100">
    <w:p w:rsidR="00F046F7" w:rsidRPr="00D503CF" w:rsidRDefault="00F046F7">
      <w:pPr>
        <w:pStyle w:val="Textonotapie"/>
        <w:rPr>
          <w:sz w:val="16"/>
          <w:szCs w:val="16"/>
          <w:lang w:val="pt-PT"/>
        </w:rPr>
      </w:pPr>
      <w:r>
        <w:rPr>
          <w:lang w:val="pt-PT"/>
        </w:rPr>
        <w:tab/>
      </w:r>
      <w:r w:rsidRPr="001D1DB6">
        <w:rPr>
          <w:rStyle w:val="Refdenotaalpie"/>
          <w:sz w:val="16"/>
          <w:szCs w:val="16"/>
        </w:rPr>
        <w:footnoteRef/>
      </w:r>
      <w:r w:rsidRPr="00D503CF">
        <w:rPr>
          <w:lang w:val="pt-PT"/>
        </w:rPr>
        <w:tab/>
        <w:t>Ídem, pág. 11.</w:t>
      </w:r>
    </w:p>
  </w:footnote>
  <w:footnote w:id="101">
    <w:p w:rsidR="00F046F7" w:rsidRPr="00D503CF" w:rsidRDefault="00F046F7">
      <w:pPr>
        <w:pStyle w:val="Textonotapie"/>
        <w:rPr>
          <w:sz w:val="16"/>
          <w:szCs w:val="16"/>
          <w:lang w:val="pt-PT"/>
        </w:rPr>
      </w:pPr>
      <w:r>
        <w:rPr>
          <w:lang w:val="pt-PT"/>
        </w:rPr>
        <w:tab/>
      </w:r>
      <w:r w:rsidRPr="001D1DB6">
        <w:rPr>
          <w:rStyle w:val="Refdenotaalpie"/>
          <w:sz w:val="16"/>
          <w:szCs w:val="16"/>
        </w:rPr>
        <w:footnoteRef/>
      </w:r>
      <w:r w:rsidRPr="00D503CF">
        <w:rPr>
          <w:lang w:val="pt-PT"/>
        </w:rPr>
        <w:tab/>
        <w:t>Ídem, pág. 12.</w:t>
      </w:r>
    </w:p>
  </w:footnote>
  <w:footnote w:id="102">
    <w:p w:rsidR="00F046F7" w:rsidRPr="00D503CF" w:rsidRDefault="00F046F7">
      <w:pPr>
        <w:pStyle w:val="Textonotapie"/>
        <w:rPr>
          <w:sz w:val="16"/>
          <w:szCs w:val="16"/>
          <w:lang w:val="pt-PT"/>
        </w:rPr>
      </w:pPr>
      <w:r>
        <w:rPr>
          <w:lang w:val="pt-PT"/>
        </w:rPr>
        <w:tab/>
      </w:r>
      <w:r w:rsidRPr="001D1DB6">
        <w:rPr>
          <w:rStyle w:val="Refdenotaalpie"/>
          <w:sz w:val="16"/>
          <w:szCs w:val="16"/>
        </w:rPr>
        <w:footnoteRef/>
      </w:r>
      <w:r w:rsidRPr="00D503CF">
        <w:rPr>
          <w:lang w:val="pt-PT"/>
        </w:rPr>
        <w:tab/>
        <w:t>Ídem, pág. 39.</w:t>
      </w:r>
    </w:p>
  </w:footnote>
  <w:footnote w:id="103">
    <w:p w:rsidR="00F046F7" w:rsidRPr="00574AEE" w:rsidRDefault="00F046F7">
      <w:pPr>
        <w:pStyle w:val="Textonotapie"/>
        <w:rPr>
          <w:rStyle w:val="Refdenotaalpie"/>
          <w:szCs w:val="18"/>
          <w:vertAlign w:val="baseline"/>
          <w:lang w:val="pt-PT"/>
        </w:rPr>
      </w:pPr>
      <w:r>
        <w:rPr>
          <w:lang w:val="pt-PT"/>
        </w:rPr>
        <w:tab/>
      </w:r>
      <w:r w:rsidRPr="001D1DB6">
        <w:rPr>
          <w:rStyle w:val="Refdenotaalpie"/>
          <w:sz w:val="16"/>
          <w:szCs w:val="16"/>
        </w:rPr>
        <w:footnoteRef/>
      </w:r>
      <w:r w:rsidRPr="00D503CF">
        <w:rPr>
          <w:lang w:val="pt-PT"/>
        </w:rPr>
        <w:tab/>
        <w:t>INSTITUTO NACIONAL PENITENCIARIO. Informe Estadístico Penitenciario 2016. Julio. Págs.</w:t>
      </w:r>
      <w:r>
        <w:rPr>
          <w:lang w:val="pt-PT"/>
        </w:rPr>
        <w:t> </w:t>
      </w:r>
      <w:r w:rsidRPr="00D503CF">
        <w:rPr>
          <w:lang w:val="pt-PT"/>
        </w:rPr>
        <w:t xml:space="preserve">10-14. Disponible: </w:t>
      </w:r>
      <w:hyperlink r:id="rId4" w:history="1">
        <w:r w:rsidRPr="00D503CF">
          <w:rPr>
            <w:rStyle w:val="Hipervnculo"/>
            <w:sz w:val="16"/>
            <w:szCs w:val="16"/>
            <w:lang w:val="pt-PT"/>
          </w:rPr>
          <w:t>http://www.inpe.gob.pe/pdf/julio_2016.pdf</w:t>
        </w:r>
      </w:hyperlink>
      <w:r w:rsidRPr="00D503CF">
        <w:rPr>
          <w:lang w:val="pt-PT"/>
        </w:rPr>
        <w:t xml:space="preserve"> . Consulta: 23.11.2016.</w:t>
      </w:r>
    </w:p>
  </w:footnote>
  <w:footnote w:id="104">
    <w:p w:rsidR="00F046F7" w:rsidRPr="00574AEE" w:rsidRDefault="00F046F7">
      <w:pPr>
        <w:pStyle w:val="Textonotapie"/>
        <w:rPr>
          <w:szCs w:val="18"/>
        </w:rPr>
      </w:pPr>
      <w:r>
        <w:tab/>
      </w:r>
      <w:r w:rsidRPr="001D1DB6">
        <w:rPr>
          <w:rStyle w:val="Refdenotaalpie"/>
          <w:sz w:val="16"/>
          <w:szCs w:val="16"/>
        </w:rPr>
        <w:footnoteRef/>
      </w:r>
      <w:r w:rsidRPr="001D1DB6">
        <w:tab/>
        <w:t xml:space="preserve">CONGRESO DE LA REPÚBLICA. Ley </w:t>
      </w:r>
      <w:r>
        <w:rPr>
          <w:rFonts w:eastAsia="Calibri"/>
          <w:lang w:val="es-ES_tradnl"/>
        </w:rPr>
        <w:t>núm.</w:t>
      </w:r>
      <w:r w:rsidRPr="001D1DB6">
        <w:t xml:space="preserve"> 29709. Publicada en el Diario Of</w:t>
      </w:r>
      <w:r>
        <w:t xml:space="preserve">icial </w:t>
      </w:r>
      <w:r w:rsidRPr="00353E55">
        <w:rPr>
          <w:i/>
        </w:rPr>
        <w:t>El Peruano</w:t>
      </w:r>
      <w:r>
        <w:t>: 17.06.2011.</w:t>
      </w:r>
    </w:p>
  </w:footnote>
  <w:footnote w:id="105">
    <w:p w:rsidR="00F046F7" w:rsidRPr="001D1DB6" w:rsidRDefault="00F046F7">
      <w:pPr>
        <w:pStyle w:val="Textonotapie"/>
        <w:rPr>
          <w:sz w:val="16"/>
          <w:szCs w:val="16"/>
        </w:rPr>
      </w:pPr>
      <w:r>
        <w:tab/>
      </w:r>
      <w:r w:rsidRPr="001D1DB6">
        <w:rPr>
          <w:rStyle w:val="Refdenotaalpie"/>
          <w:sz w:val="16"/>
          <w:szCs w:val="16"/>
        </w:rPr>
        <w:footnoteRef/>
      </w:r>
      <w:r w:rsidRPr="001D1DB6">
        <w:tab/>
        <w:t xml:space="preserve">MINISTERIO DE JUSTICIA Y DERECHO HUMANOS. </w:t>
      </w:r>
      <w:r>
        <w:t>D.S.</w:t>
      </w:r>
      <w:r w:rsidRPr="001D1DB6">
        <w:t xml:space="preserve"> </w:t>
      </w:r>
      <w:r>
        <w:rPr>
          <w:rFonts w:eastAsia="Calibri"/>
          <w:lang w:val="es-ES_tradnl"/>
        </w:rPr>
        <w:t>núm.</w:t>
      </w:r>
      <w:r w:rsidRPr="001D1DB6">
        <w:t xml:space="preserve"> 013-2012-JUS. Publicada en el Diario Oficial </w:t>
      </w:r>
      <w:r w:rsidRPr="00353E55">
        <w:rPr>
          <w:i/>
        </w:rPr>
        <w:t>El Peruano</w:t>
      </w:r>
      <w:r w:rsidRPr="001D1DB6">
        <w:t>: 23.07.2012.</w:t>
      </w:r>
    </w:p>
  </w:footnote>
  <w:footnote w:id="106">
    <w:p w:rsidR="00F046F7" w:rsidRPr="001D1DB6" w:rsidRDefault="00F046F7">
      <w:pPr>
        <w:pStyle w:val="Textonotapie"/>
        <w:rPr>
          <w:sz w:val="16"/>
          <w:szCs w:val="16"/>
        </w:rPr>
      </w:pPr>
      <w:r>
        <w:tab/>
      </w:r>
      <w:r w:rsidRPr="001D1DB6">
        <w:rPr>
          <w:rStyle w:val="Refdenotaalpie"/>
          <w:sz w:val="16"/>
          <w:szCs w:val="16"/>
        </w:rPr>
        <w:footnoteRef/>
      </w:r>
      <w:r w:rsidRPr="001D1DB6">
        <w:t xml:space="preserve"> </w:t>
      </w:r>
      <w:r w:rsidRPr="001D1DB6">
        <w:tab/>
        <w:t xml:space="preserve">INSTITUTO NACIONAL PENITENCIARIO. Resolución Presidencial </w:t>
      </w:r>
      <w:r>
        <w:rPr>
          <w:rFonts w:eastAsia="Calibri"/>
          <w:lang w:val="es-ES_tradnl"/>
        </w:rPr>
        <w:t>núm.</w:t>
      </w:r>
      <w:r w:rsidRPr="001D1DB6">
        <w:t xml:space="preserve"> 296-</w:t>
      </w:r>
      <w:r>
        <w:t>2012-INPE/P. Artículo 2°.</w:t>
      </w:r>
    </w:p>
  </w:footnote>
  <w:footnote w:id="107">
    <w:p w:rsidR="00F046F7" w:rsidRPr="00574AEE" w:rsidRDefault="00F046F7">
      <w:pPr>
        <w:pStyle w:val="Textonotapie"/>
      </w:pPr>
      <w:r>
        <w:rPr>
          <w:sz w:val="16"/>
          <w:szCs w:val="16"/>
        </w:rPr>
        <w:tab/>
      </w:r>
      <w:r w:rsidRPr="001D1DB6">
        <w:rPr>
          <w:rStyle w:val="Refdenotaalpie"/>
          <w:sz w:val="16"/>
          <w:szCs w:val="16"/>
        </w:rPr>
        <w:footnoteRef/>
      </w:r>
      <w:r w:rsidRPr="001D1DB6">
        <w:rPr>
          <w:rStyle w:val="Refdenotaalpie"/>
          <w:sz w:val="16"/>
          <w:szCs w:val="16"/>
        </w:rPr>
        <w:t xml:space="preserve"> </w:t>
      </w:r>
      <w:r w:rsidRPr="001D1DB6">
        <w:tab/>
        <w:t xml:space="preserve">INSTITUTO NACIONAL PENITENCIARIO. Informe </w:t>
      </w:r>
      <w:r>
        <w:rPr>
          <w:rFonts w:eastAsia="Calibri"/>
          <w:lang w:val="es-ES_tradnl"/>
        </w:rPr>
        <w:t>núm.</w:t>
      </w:r>
      <w:r w:rsidRPr="001D1DB6">
        <w:t xml:space="preserve"> 001-2013-INPE/CMDECD. 2013. Pág.</w:t>
      </w:r>
      <w:r>
        <w:t> </w:t>
      </w:r>
      <w:r w:rsidRPr="001D1DB6">
        <w:t xml:space="preserve">6. Consulta: 25.11.2016. </w:t>
      </w:r>
      <w:r>
        <w:t xml:space="preserve">Disponible: </w:t>
      </w:r>
      <w:hyperlink r:id="rId5" w:history="1">
        <w:r w:rsidRPr="00574AEE">
          <w:t>http://app2.inpe.gob.pe/resolucion/cache/</w:t>
        </w:r>
        <w:r>
          <w:br/>
        </w:r>
        <w:r w:rsidRPr="00574AEE">
          <w:t>2013/Resolucion%20Presidencial/RP%20320%202013.pdf</w:t>
        </w:r>
      </w:hyperlink>
      <w:r>
        <w:t>.</w:t>
      </w:r>
    </w:p>
  </w:footnote>
  <w:footnote w:id="108">
    <w:p w:rsidR="00F046F7" w:rsidRPr="00872A9A" w:rsidRDefault="00F046F7">
      <w:pPr>
        <w:pStyle w:val="Textonotapie"/>
        <w:rPr>
          <w:rStyle w:val="Refdenotaalpie"/>
          <w:sz w:val="16"/>
          <w:szCs w:val="16"/>
        </w:rPr>
      </w:pPr>
      <w:r>
        <w:rPr>
          <w:sz w:val="16"/>
          <w:szCs w:val="16"/>
        </w:rPr>
        <w:tab/>
      </w:r>
      <w:r w:rsidRPr="001D1DB6">
        <w:rPr>
          <w:rStyle w:val="Refdenotaalpie"/>
          <w:sz w:val="16"/>
          <w:szCs w:val="16"/>
        </w:rPr>
        <w:footnoteRef/>
      </w:r>
      <w:r w:rsidRPr="001D1DB6">
        <w:rPr>
          <w:rStyle w:val="Refdenotaalpie"/>
          <w:sz w:val="16"/>
          <w:szCs w:val="16"/>
        </w:rPr>
        <w:t xml:space="preserve"> </w:t>
      </w:r>
      <w:r w:rsidRPr="001D1DB6">
        <w:rPr>
          <w:rStyle w:val="Refdenotaalpie"/>
          <w:sz w:val="16"/>
          <w:szCs w:val="16"/>
        </w:rPr>
        <w:tab/>
      </w:r>
      <w:r w:rsidRPr="001D1DB6">
        <w:t xml:space="preserve">INSTITUTO NACIONAL PENITENCIARIO. Informe </w:t>
      </w:r>
      <w:r>
        <w:rPr>
          <w:rFonts w:eastAsia="Calibri"/>
          <w:lang w:val="es-ES_tradnl"/>
        </w:rPr>
        <w:t>núm.</w:t>
      </w:r>
      <w:r w:rsidRPr="001D1DB6">
        <w:t xml:space="preserve"> 001-2014-INPE/CMDECD. 2013. Pág.</w:t>
      </w:r>
      <w:r>
        <w:t> </w:t>
      </w:r>
      <w:r w:rsidRPr="001D1DB6">
        <w:t>6. Consulta: 25.11.2016.</w:t>
      </w:r>
    </w:p>
  </w:footnote>
  <w:footnote w:id="109">
    <w:p w:rsidR="00F046F7" w:rsidRPr="001D1DB6" w:rsidRDefault="00F046F7">
      <w:pPr>
        <w:pStyle w:val="Textonotapie"/>
      </w:pPr>
      <w:r>
        <w:tab/>
      </w:r>
      <w:r w:rsidRPr="001D1DB6">
        <w:rPr>
          <w:rStyle w:val="Refdenotaalpie"/>
          <w:sz w:val="16"/>
          <w:szCs w:val="16"/>
        </w:rPr>
        <w:footnoteRef/>
      </w:r>
      <w:r w:rsidRPr="001D1DB6">
        <w:tab/>
        <w:t xml:space="preserve">INSTITUTO NACIONAL PENITENCIARIO. Informe </w:t>
      </w:r>
      <w:r>
        <w:rPr>
          <w:rFonts w:eastAsia="Calibri"/>
          <w:lang w:val="es-ES_tradnl"/>
        </w:rPr>
        <w:t>núm.</w:t>
      </w:r>
      <w:r w:rsidRPr="001D1DB6">
        <w:t xml:space="preserve"> 001-2015-INPE/CMDECD. 2013. Pág.</w:t>
      </w:r>
      <w:r>
        <w:t> </w:t>
      </w:r>
      <w:r w:rsidRPr="001D1DB6">
        <w:t>5. Consulta: 25.11.2016.</w:t>
      </w:r>
    </w:p>
    <w:p w:rsidR="00F046F7" w:rsidRPr="00574AEE" w:rsidRDefault="00F046F7">
      <w:pPr>
        <w:pStyle w:val="Textonotapie"/>
      </w:pPr>
      <w:r>
        <w:tab/>
      </w:r>
      <w:r>
        <w:tab/>
        <w:t xml:space="preserve">Disponible: </w:t>
      </w:r>
      <w:hyperlink r:id="rId6" w:history="1">
        <w:r w:rsidRPr="00574AEE">
          <w:t>http://app2.inpe.gob.pe/resolucion/cache/2013/Resolucion%20Presidencial/</w:t>
        </w:r>
        <w:r>
          <w:br/>
        </w:r>
        <w:r w:rsidRPr="00574AEE">
          <w:t>RP%20320%202013.pdf</w:t>
        </w:r>
      </w:hyperlink>
      <w:r w:rsidRPr="00574AEE">
        <w:t>.</w:t>
      </w:r>
    </w:p>
  </w:footnote>
  <w:footnote w:id="110">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 xml:space="preserve">PODER JUDICIAL. Plan Nacional de Acceso a la Justicia de las Personas en Condición de Vulnerabilidad 2016 – 2021. Resolución Administrativa </w:t>
      </w:r>
      <w:r>
        <w:rPr>
          <w:rFonts w:eastAsia="Calibri"/>
          <w:lang w:val="es-ES_tradnl"/>
        </w:rPr>
        <w:t>núm.</w:t>
      </w:r>
      <w:r w:rsidRPr="001D1DB6">
        <w:t xml:space="preserve"> 090-2016-CE-PJ. Publicado en el Diario Oficial </w:t>
      </w:r>
      <w:r w:rsidRPr="00353E55">
        <w:rPr>
          <w:i/>
        </w:rPr>
        <w:t>El Peruano</w:t>
      </w:r>
      <w:r w:rsidRPr="001D1DB6">
        <w:t>: 07.04.2016. Pág. 104-105. Con</w:t>
      </w:r>
      <w:r>
        <w:t xml:space="preserve">sulta: 23.06.2016. Disponible: </w:t>
      </w:r>
      <w:r w:rsidRPr="001D1DB6">
        <w:t>https://scc.pj.gob.pe/wps/wcm/connect/2b4459804d160074ad7cbdd13fde886c/PLAN+NACIONAL+19-04+CORREGIDO+FINAL%5B1%5D.pdf?MOD=AJPERES&amp;CACHEID=</w:t>
      </w:r>
      <w:r>
        <w:br/>
      </w:r>
      <w:r w:rsidRPr="001D1DB6">
        <w:t>2</w:t>
      </w:r>
      <w:r>
        <w:t>b4459804d160074ad7cbdd13fde886c.</w:t>
      </w:r>
    </w:p>
  </w:footnote>
  <w:footnote w:id="111">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 xml:space="preserve">PODER EJECUTIVO. Decreto Legislativo </w:t>
      </w:r>
      <w:r>
        <w:rPr>
          <w:rFonts w:eastAsia="Calibri"/>
          <w:lang w:val="es-ES_tradnl"/>
        </w:rPr>
        <w:t>núm.</w:t>
      </w:r>
      <w:r w:rsidRPr="001D1DB6">
        <w:t xml:space="preserve"> 1229. Publicado en el Diario Oficial </w:t>
      </w:r>
      <w:r w:rsidRPr="00353E55">
        <w:rPr>
          <w:i/>
        </w:rPr>
        <w:t>El Peruano</w:t>
      </w:r>
      <w:r w:rsidRPr="001D1DB6">
        <w:t>: 25.09.2015.</w:t>
      </w:r>
      <w:r>
        <w:t xml:space="preserve"> Art. 1°.</w:t>
      </w:r>
    </w:p>
  </w:footnote>
  <w:footnote w:id="112">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 xml:space="preserve">JUSTICIA. </w:t>
      </w:r>
      <w:r>
        <w:t>D.S.</w:t>
      </w:r>
      <w:r w:rsidRPr="001D1DB6">
        <w:t xml:space="preserve"> </w:t>
      </w:r>
      <w:r>
        <w:rPr>
          <w:rFonts w:eastAsia="Calibri"/>
          <w:lang w:val="es-ES_tradnl"/>
        </w:rPr>
        <w:t>núm.</w:t>
      </w:r>
      <w:r w:rsidRPr="001D1DB6">
        <w:t xml:space="preserve"> 007-2016-JUS. Publicado en el Diario Oficial </w:t>
      </w:r>
      <w:r w:rsidRPr="00353E55">
        <w:rPr>
          <w:i/>
        </w:rPr>
        <w:t>El Peruano</w:t>
      </w:r>
      <w:r w:rsidRPr="001D1DB6">
        <w:t>: 21.07.2016.</w:t>
      </w:r>
    </w:p>
  </w:footnote>
  <w:footnote w:id="113">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 xml:space="preserve">PODER EJECUTIVO. Decreto Legislativo </w:t>
      </w:r>
      <w:r>
        <w:rPr>
          <w:rFonts w:eastAsia="Calibri"/>
          <w:lang w:val="es-ES_tradnl"/>
        </w:rPr>
        <w:t>núm.</w:t>
      </w:r>
      <w:r w:rsidRPr="001D1DB6">
        <w:t xml:space="preserve"> 1322. Publicado en el Diario Oficial </w:t>
      </w:r>
      <w:r w:rsidRPr="00353E55">
        <w:rPr>
          <w:i/>
        </w:rPr>
        <w:t>El Peruano</w:t>
      </w:r>
      <w:r w:rsidRPr="001D1DB6">
        <w:t>: 06.01.2017. Art</w:t>
      </w:r>
      <w:r>
        <w:t>s</w:t>
      </w:r>
      <w:r w:rsidRPr="001D1DB6">
        <w:t>. 2° y 5° (inc. 1).</w:t>
      </w:r>
    </w:p>
  </w:footnote>
  <w:footnote w:id="114">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Cfr. Inc. 2 del artículo 5° de D. Legislativo </w:t>
      </w:r>
      <w:r>
        <w:rPr>
          <w:rFonts w:eastAsia="Calibri"/>
          <w:lang w:val="es-ES_tradnl"/>
        </w:rPr>
        <w:t>núm.</w:t>
      </w:r>
      <w:r w:rsidRPr="001D1DB6">
        <w:t xml:space="preserve"> 1322.</w:t>
      </w:r>
    </w:p>
  </w:footnote>
  <w:footnote w:id="115">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 xml:space="preserve">PODER EJECUTIVO. Decreto Legislativo </w:t>
      </w:r>
      <w:r>
        <w:rPr>
          <w:rFonts w:eastAsia="Calibri"/>
          <w:lang w:val="es-ES_tradnl"/>
        </w:rPr>
        <w:t>núm.</w:t>
      </w:r>
      <w:r w:rsidRPr="001D1DB6">
        <w:t xml:space="preserve"> 957. Publicado en el Diario Oficial </w:t>
      </w:r>
      <w:r w:rsidRPr="00353E55">
        <w:rPr>
          <w:i/>
        </w:rPr>
        <w:t>El Peruano</w:t>
      </w:r>
      <w:r w:rsidRPr="001D1DB6">
        <w:t>: 29.07.2004. Artículo modificado por la Cuarta Disposición Complementaria Modificatoria d</w:t>
      </w:r>
      <w:r>
        <w:t xml:space="preserve">el Decreto Legislativo </w:t>
      </w:r>
      <w:r>
        <w:rPr>
          <w:rFonts w:eastAsia="Calibri"/>
          <w:lang w:val="es-ES_tradnl"/>
        </w:rPr>
        <w:t>núm.</w:t>
      </w:r>
      <w:r>
        <w:t xml:space="preserve"> 1229. </w:t>
      </w:r>
      <w:r w:rsidRPr="001D1DB6">
        <w:t>Publicado en el Diario Of</w:t>
      </w:r>
      <w:r>
        <w:t xml:space="preserve">icial </w:t>
      </w:r>
      <w:r w:rsidRPr="00353E55">
        <w:rPr>
          <w:i/>
        </w:rPr>
        <w:t>El Peruano</w:t>
      </w:r>
      <w:r>
        <w:t>: 25.09.2016.</w:t>
      </w:r>
    </w:p>
  </w:footnote>
  <w:footnote w:id="116">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 xml:space="preserve">INSTITUTO NACIONAL PENITENCIARIO. Resolución Presidencial del INPE </w:t>
      </w:r>
      <w:r>
        <w:rPr>
          <w:rFonts w:eastAsia="Calibri"/>
          <w:lang w:val="es-ES_tradnl"/>
        </w:rPr>
        <w:t>núm.</w:t>
      </w:r>
      <w:r w:rsidRPr="001D1DB6">
        <w:t xml:space="preserve"> 017-2016-INPE. Fecha: 18.01.2016. Cons</w:t>
      </w:r>
      <w:r>
        <w:t xml:space="preserve">ulta: 23.06.2016. Disponible: </w:t>
      </w:r>
      <w:r w:rsidRPr="001D1DB6">
        <w:t>http://app2.inpe.gob.pe/Resolucion/</w:t>
      </w:r>
      <w:r w:rsidR="007D4A4A">
        <w:br/>
      </w:r>
      <w:r w:rsidRPr="001D1DB6">
        <w:t>cache/Gestion/2016/Directiva/D</w:t>
      </w:r>
      <w:r>
        <w:t>I-007-2016-INPE-DTP.pdf.</w:t>
      </w:r>
    </w:p>
  </w:footnote>
  <w:footnote w:id="117">
    <w:p w:rsidR="00F046F7" w:rsidRPr="001D1DB6" w:rsidRDefault="00F046F7">
      <w:pPr>
        <w:pStyle w:val="Textonotapie"/>
        <w:rPr>
          <w:sz w:val="16"/>
          <w:szCs w:val="16"/>
        </w:rPr>
      </w:pPr>
      <w:r>
        <w:tab/>
      </w:r>
      <w:r w:rsidRPr="001D1DB6">
        <w:rPr>
          <w:rStyle w:val="Refdenotaalpie"/>
          <w:sz w:val="16"/>
          <w:szCs w:val="16"/>
        </w:rPr>
        <w:footnoteRef/>
      </w:r>
      <w:r w:rsidRPr="001D1DB6">
        <w:t xml:space="preserve"> </w:t>
      </w:r>
      <w:r w:rsidRPr="001D1DB6">
        <w:tab/>
        <w:t xml:space="preserve">PODER EJECUTIVO. Decreto Legislativo </w:t>
      </w:r>
      <w:r>
        <w:rPr>
          <w:rFonts w:eastAsia="Calibri"/>
          <w:lang w:val="es-ES_tradnl"/>
        </w:rPr>
        <w:t>núm.</w:t>
      </w:r>
      <w:r w:rsidRPr="001D1DB6">
        <w:t xml:space="preserve"> 1343. Publicado en el Diario Oficial </w:t>
      </w:r>
      <w:r w:rsidRPr="00353E55">
        <w:rPr>
          <w:i/>
        </w:rPr>
        <w:t>El Peruano</w:t>
      </w:r>
      <w:r w:rsidRPr="001D1DB6">
        <w:t xml:space="preserve">: 07.01.2017. </w:t>
      </w:r>
    </w:p>
  </w:footnote>
  <w:footnote w:id="118">
    <w:p w:rsidR="00F046F7" w:rsidRPr="00574AEE" w:rsidRDefault="00F046F7">
      <w:pPr>
        <w:pStyle w:val="Textonotapie"/>
      </w:pPr>
      <w:r>
        <w:tab/>
      </w:r>
      <w:r w:rsidRPr="001D1DB6">
        <w:rPr>
          <w:rStyle w:val="Refdenotaalpie"/>
          <w:rFonts w:eastAsiaTheme="majorEastAsia"/>
          <w:sz w:val="16"/>
          <w:szCs w:val="16"/>
        </w:rPr>
        <w:footnoteRef/>
      </w:r>
      <w:r>
        <w:tab/>
      </w:r>
      <w:r w:rsidRPr="001D1DB6">
        <w:t xml:space="preserve">INSTITUTO NACIONAL PENITENCIARIO. Resolución Presidencial </w:t>
      </w:r>
      <w:r w:rsidRPr="00574AEE">
        <w:t>núm.</w:t>
      </w:r>
      <w:r w:rsidRPr="001D1DB6">
        <w:t xml:space="preserve"> 119-2016-INPE/P. </w:t>
      </w:r>
      <w:r>
        <w:t xml:space="preserve">Fecha: 22.04.2016. Disponible: </w:t>
      </w:r>
      <w:hyperlink r:id="rId7" w:history="1">
        <w:r w:rsidRPr="00574AEE">
          <w:t>http://app2.inpe.gob.pe/resolucion/cache/Gestion/2016/Directiva/</w:t>
        </w:r>
        <w:r w:rsidR="00D17826">
          <w:br/>
        </w:r>
        <w:r w:rsidRPr="00574AEE">
          <w:t>DI012-INPE-2016-DTP.pdf</w:t>
        </w:r>
      </w:hyperlink>
      <w:r w:rsidRPr="001D1DB6">
        <w:t>. Consulta: 19.10.2016.</w:t>
      </w:r>
    </w:p>
  </w:footnote>
  <w:footnote w:id="119">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 xml:space="preserve">MINISTERIO DE LA MUJER Y POBLACIONES VULNERABLES. </w:t>
      </w:r>
      <w:r>
        <w:t>D.S.</w:t>
      </w:r>
      <w:r w:rsidRPr="001D1DB6">
        <w:t xml:space="preserve"> </w:t>
      </w:r>
      <w:r>
        <w:rPr>
          <w:rFonts w:eastAsia="Calibri"/>
          <w:lang w:val="es-ES_tradnl"/>
        </w:rPr>
        <w:t>núm.</w:t>
      </w:r>
      <w:r w:rsidRPr="001D1DB6">
        <w:t xml:space="preserve"> 006-2016-MIMP. Publicado en el Diario Oficial </w:t>
      </w:r>
      <w:r w:rsidRPr="00353E55">
        <w:rPr>
          <w:i/>
        </w:rPr>
        <w:t>El Peruano</w:t>
      </w:r>
      <w:r w:rsidRPr="001D1DB6">
        <w:t>: 22.07.2016.</w:t>
      </w:r>
    </w:p>
  </w:footnote>
  <w:footnote w:id="120">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MINISTERIO DE LA MUJER Y POBLACIONES VULNERABLES. Dirección General de Niñas, Niños y Adolescentes</w:t>
      </w:r>
      <w:r>
        <w:t xml:space="preserve"> (</w:t>
      </w:r>
      <w:r w:rsidRPr="001D1DB6">
        <w:t>DGNNA</w:t>
      </w:r>
      <w:r>
        <w:t>)</w:t>
      </w:r>
      <w:r w:rsidRPr="001D1DB6">
        <w:t xml:space="preserve">. </w:t>
      </w:r>
      <w:r w:rsidRPr="00D503CF">
        <w:rPr>
          <w:lang w:val="pt-PT"/>
        </w:rPr>
        <w:t xml:space="preserve">Oficio </w:t>
      </w:r>
      <w:r>
        <w:rPr>
          <w:rFonts w:eastAsia="Calibri"/>
          <w:lang w:val="es-ES_tradnl"/>
        </w:rPr>
        <w:t>núm.</w:t>
      </w:r>
      <w:r w:rsidRPr="00D503CF">
        <w:rPr>
          <w:lang w:val="pt-PT"/>
        </w:rPr>
        <w:t xml:space="preserve"> 542-2015-MIMP/DGNNA. Fecha: 11.11.2015. Informe </w:t>
      </w:r>
      <w:r>
        <w:rPr>
          <w:rFonts w:eastAsia="Calibri"/>
          <w:lang w:val="es-ES_tradnl"/>
        </w:rPr>
        <w:t>núm.</w:t>
      </w:r>
      <w:r w:rsidRPr="00D503CF">
        <w:rPr>
          <w:lang w:val="pt-PT"/>
        </w:rPr>
        <w:t xml:space="preserve"> 047-2015-MIMP-DGNNA-OAAA. </w:t>
      </w:r>
      <w:r w:rsidRPr="001D1DB6">
        <w:t>Pág. 2.</w:t>
      </w:r>
    </w:p>
  </w:footnote>
  <w:footnote w:id="121">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 xml:space="preserve">CONGRESO DE LA REPÚBLICA. Ley </w:t>
      </w:r>
      <w:r>
        <w:rPr>
          <w:rFonts w:eastAsia="Calibri"/>
          <w:lang w:val="es-ES_tradnl"/>
        </w:rPr>
        <w:t>núm.</w:t>
      </w:r>
      <w:r w:rsidRPr="001D1DB6">
        <w:t xml:space="preserve"> 30287. Publicado en el Diario Oficial </w:t>
      </w:r>
      <w:r w:rsidRPr="00353E55">
        <w:rPr>
          <w:i/>
        </w:rPr>
        <w:t>El Peruano</w:t>
      </w:r>
      <w:r>
        <w:t>: 14.12.2014. Artículo 1.</w:t>
      </w:r>
    </w:p>
  </w:footnote>
  <w:footnote w:id="122">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t xml:space="preserve">Ley </w:t>
      </w:r>
      <w:r>
        <w:rPr>
          <w:rFonts w:eastAsia="Calibri"/>
          <w:lang w:val="es-ES_tradnl"/>
        </w:rPr>
        <w:t>núm.</w:t>
      </w:r>
      <w:r>
        <w:t xml:space="preserve"> 30287. Art. 25.</w:t>
      </w:r>
    </w:p>
  </w:footnote>
  <w:footnote w:id="123">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t>Ídem, art. 26.</w:t>
      </w:r>
    </w:p>
  </w:footnote>
  <w:footnote w:id="124">
    <w:p w:rsidR="00F046F7" w:rsidRPr="001D1DB6" w:rsidRDefault="00F046F7">
      <w:pPr>
        <w:pStyle w:val="Textonotapie"/>
      </w:pPr>
      <w:r>
        <w:tab/>
      </w:r>
      <w:r w:rsidRPr="001D1DB6">
        <w:rPr>
          <w:rStyle w:val="Refdenotaalpie"/>
          <w:sz w:val="16"/>
          <w:szCs w:val="16"/>
        </w:rPr>
        <w:footnoteRef/>
      </w:r>
      <w:r>
        <w:tab/>
      </w:r>
      <w:r w:rsidRPr="001D1DB6">
        <w:t xml:space="preserve">PODER EJECUTIVO. Decreto Legislativo </w:t>
      </w:r>
      <w:r>
        <w:rPr>
          <w:rFonts w:eastAsia="Calibri"/>
          <w:lang w:val="es-ES_tradnl"/>
        </w:rPr>
        <w:t>núm.</w:t>
      </w:r>
      <w:r w:rsidRPr="001D1DB6">
        <w:t xml:space="preserve"> 1325. Publicado en el Diario Oficial </w:t>
      </w:r>
      <w:r w:rsidRPr="00353E55">
        <w:rPr>
          <w:i/>
        </w:rPr>
        <w:t>El Peruano</w:t>
      </w:r>
      <w:r w:rsidRPr="001D1DB6">
        <w:t>: 06.01.2017.</w:t>
      </w:r>
    </w:p>
  </w:footnote>
  <w:footnote w:id="125">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 xml:space="preserve">REGISTRO NACIONAL DE DETENIDOS Y SENTENCIADOS A PENA PRIVATIVA DE LIBERTAD EFECTIVA. Oficio </w:t>
      </w:r>
      <w:r>
        <w:rPr>
          <w:rFonts w:eastAsia="Calibri"/>
          <w:lang w:val="es-ES_tradnl"/>
        </w:rPr>
        <w:t>núm.</w:t>
      </w:r>
      <w:r w:rsidRPr="001D1DB6">
        <w:t xml:space="preserve"> 1602-2016-MP/FN-RENADESPPLE, de</w:t>
      </w:r>
      <w:r>
        <w:t xml:space="preserve"> fecha 29 de setiembre de 2016.</w:t>
      </w:r>
    </w:p>
  </w:footnote>
  <w:footnote w:id="126">
    <w:p w:rsidR="00F046F7" w:rsidRPr="00D503CF" w:rsidRDefault="00F046F7">
      <w:pPr>
        <w:pStyle w:val="Textonotapie"/>
        <w:rPr>
          <w:sz w:val="16"/>
          <w:szCs w:val="16"/>
          <w:lang w:val="pt-PT"/>
        </w:rPr>
      </w:pPr>
      <w:r>
        <w:rPr>
          <w:lang w:val="pt-PT"/>
        </w:rPr>
        <w:tab/>
      </w:r>
      <w:r w:rsidRPr="001D1DB6">
        <w:rPr>
          <w:rStyle w:val="Refdenotaalpie"/>
          <w:sz w:val="16"/>
          <w:szCs w:val="16"/>
        </w:rPr>
        <w:footnoteRef/>
      </w:r>
      <w:r>
        <w:rPr>
          <w:lang w:val="pt-PT"/>
        </w:rPr>
        <w:tab/>
      </w:r>
      <w:r w:rsidRPr="00D503CF">
        <w:rPr>
          <w:lang w:val="pt-PT"/>
        </w:rPr>
        <w:t xml:space="preserve">PODER JUDICIAL. Oficio </w:t>
      </w:r>
      <w:r>
        <w:rPr>
          <w:rFonts w:eastAsia="Calibri"/>
          <w:lang w:val="es-ES_tradnl"/>
        </w:rPr>
        <w:t>núm.</w:t>
      </w:r>
      <w:r w:rsidRPr="00D503CF">
        <w:rPr>
          <w:lang w:val="pt-PT"/>
        </w:rPr>
        <w:t xml:space="preserve"> 669-2016-GCJ-GG/PJ. Fecha: 16.09.16. Págs. 5-14.</w:t>
      </w:r>
    </w:p>
  </w:footnote>
  <w:footnote w:id="127">
    <w:p w:rsidR="00F046F7" w:rsidRPr="00D503CF" w:rsidRDefault="00F046F7">
      <w:pPr>
        <w:pStyle w:val="Textonotapie"/>
        <w:rPr>
          <w:sz w:val="16"/>
          <w:szCs w:val="16"/>
          <w:lang w:val="pt-PT"/>
        </w:rPr>
      </w:pPr>
      <w:r>
        <w:rPr>
          <w:lang w:val="pt-PT"/>
        </w:rPr>
        <w:tab/>
      </w:r>
      <w:r w:rsidRPr="001D1DB6">
        <w:rPr>
          <w:rStyle w:val="Refdenotaalpie"/>
          <w:rFonts w:eastAsiaTheme="majorEastAsia"/>
          <w:sz w:val="16"/>
          <w:szCs w:val="16"/>
        </w:rPr>
        <w:footnoteRef/>
      </w:r>
      <w:r>
        <w:rPr>
          <w:lang w:val="pt-PT"/>
        </w:rPr>
        <w:tab/>
      </w:r>
      <w:r w:rsidRPr="00D503CF">
        <w:rPr>
          <w:lang w:val="pt-PT"/>
        </w:rPr>
        <w:t xml:space="preserve">PODER JUDICIAL. Oficio </w:t>
      </w:r>
      <w:r>
        <w:rPr>
          <w:rFonts w:eastAsia="Calibri"/>
          <w:lang w:val="es-ES_tradnl"/>
        </w:rPr>
        <w:t>núm.</w:t>
      </w:r>
      <w:r w:rsidRPr="00D503CF">
        <w:rPr>
          <w:lang w:val="pt-PT"/>
        </w:rPr>
        <w:t xml:space="preserve"> 2215-2016-SG-CS-PJ (Fecha: 28.03.2016). Pág. 5.</w:t>
      </w:r>
    </w:p>
  </w:footnote>
  <w:footnote w:id="128">
    <w:p w:rsidR="00F046F7" w:rsidRPr="001D1DB6" w:rsidRDefault="00F046F7">
      <w:pPr>
        <w:pStyle w:val="Textonotapie"/>
        <w:rPr>
          <w:sz w:val="16"/>
          <w:szCs w:val="16"/>
        </w:rPr>
      </w:pPr>
      <w:r>
        <w:rPr>
          <w:lang w:val="pt-PT"/>
        </w:rPr>
        <w:tab/>
      </w:r>
      <w:r w:rsidRPr="001D1DB6">
        <w:rPr>
          <w:rStyle w:val="Refdenotaalpie"/>
          <w:rFonts w:eastAsiaTheme="majorEastAsia"/>
          <w:sz w:val="16"/>
          <w:szCs w:val="16"/>
        </w:rPr>
        <w:footnoteRef/>
      </w:r>
      <w:r>
        <w:rPr>
          <w:lang w:val="pt-PT"/>
        </w:rPr>
        <w:tab/>
      </w:r>
      <w:r w:rsidRPr="00D503CF">
        <w:rPr>
          <w:lang w:val="pt-PT"/>
        </w:rPr>
        <w:t>PODER JUDICIAL.</w:t>
      </w:r>
      <w:r>
        <w:rPr>
          <w:lang w:val="pt-PT"/>
        </w:rPr>
        <w:t xml:space="preserve"> </w:t>
      </w:r>
      <w:r w:rsidRPr="00D503CF">
        <w:rPr>
          <w:lang w:val="pt-PT"/>
        </w:rPr>
        <w:t xml:space="preserve">Consejo Ejecutivo del Poder Judicial. Resolución Administrativa </w:t>
      </w:r>
      <w:r>
        <w:rPr>
          <w:rFonts w:eastAsia="Calibri"/>
          <w:lang w:val="es-ES_tradnl"/>
        </w:rPr>
        <w:t>núm.</w:t>
      </w:r>
      <w:r>
        <w:rPr>
          <w:lang w:val="pt-PT"/>
        </w:rPr>
        <w:t> </w:t>
      </w:r>
      <w:r w:rsidRPr="00D503CF">
        <w:rPr>
          <w:lang w:val="pt-PT"/>
        </w:rPr>
        <w:t>135</w:t>
      </w:r>
      <w:r>
        <w:rPr>
          <w:lang w:val="pt-PT"/>
        </w:rPr>
        <w:noBreakHyphen/>
      </w:r>
      <w:r w:rsidRPr="00D503CF">
        <w:rPr>
          <w:lang w:val="pt-PT"/>
        </w:rPr>
        <w:t xml:space="preserve">2016-CE-PJ. </w:t>
      </w:r>
      <w:r w:rsidRPr="001D1DB6">
        <w:t>Publicado en el</w:t>
      </w:r>
      <w:r>
        <w:t xml:space="preserve"> </w:t>
      </w:r>
      <w:r w:rsidRPr="001D1DB6">
        <w:t xml:space="preserve">Diario Oficial </w:t>
      </w:r>
      <w:r w:rsidRPr="00353E55">
        <w:rPr>
          <w:i/>
        </w:rPr>
        <w:t>El Peruano</w:t>
      </w:r>
      <w:r w:rsidRPr="001D1DB6">
        <w:t>: 22.06.2016.</w:t>
      </w:r>
    </w:p>
  </w:footnote>
  <w:footnote w:id="129">
    <w:p w:rsidR="00F046F7" w:rsidRPr="001D1DB6" w:rsidRDefault="00F046F7">
      <w:pPr>
        <w:pStyle w:val="Textonotapie"/>
        <w:rPr>
          <w:sz w:val="16"/>
          <w:szCs w:val="16"/>
        </w:rPr>
      </w:pPr>
      <w:r>
        <w:tab/>
      </w:r>
      <w:r w:rsidRPr="001D1DB6">
        <w:rPr>
          <w:rStyle w:val="Refdenotaalpie"/>
          <w:rFonts w:eastAsiaTheme="majorEastAsia"/>
          <w:sz w:val="16"/>
          <w:szCs w:val="16"/>
        </w:rPr>
        <w:footnoteRef/>
      </w:r>
      <w:r>
        <w:rPr>
          <w:lang w:val="pt-PT"/>
        </w:rPr>
        <w:tab/>
      </w:r>
      <w:r w:rsidRPr="001D1DB6">
        <w:t>PODER JUDICIAL. Consejo Ejecutivo del Poder Judicial.</w:t>
      </w:r>
      <w:r>
        <w:t xml:space="preserve"> </w:t>
      </w:r>
      <w:r w:rsidRPr="001D1DB6">
        <w:t xml:space="preserve">Resolución Administrativa </w:t>
      </w:r>
      <w:r>
        <w:rPr>
          <w:rFonts w:eastAsia="Calibri"/>
          <w:lang w:val="es-ES_tradnl"/>
        </w:rPr>
        <w:t>núm.</w:t>
      </w:r>
      <w:r>
        <w:t> </w:t>
      </w:r>
      <w:r w:rsidRPr="001D1DB6">
        <w:t>173</w:t>
      </w:r>
      <w:r>
        <w:noBreakHyphen/>
      </w:r>
      <w:r w:rsidRPr="001D1DB6">
        <w:t xml:space="preserve">2016-CE-PJ. Publicado en el Diario Oficial </w:t>
      </w:r>
      <w:r w:rsidRPr="00353E55">
        <w:rPr>
          <w:i/>
        </w:rPr>
        <w:t>El Peruano</w:t>
      </w:r>
      <w:r w:rsidRPr="001D1DB6">
        <w:t>: 28.06.2016.</w:t>
      </w:r>
    </w:p>
  </w:footnote>
  <w:footnote w:id="130">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 xml:space="preserve">MINISTERIO DE JUSTICIA Y DERECHOS HUMANOS. </w:t>
      </w:r>
      <w:r>
        <w:t>D.S.</w:t>
      </w:r>
      <w:r w:rsidRPr="001D1DB6">
        <w:t xml:space="preserve"> </w:t>
      </w:r>
      <w:r>
        <w:rPr>
          <w:rFonts w:eastAsia="Calibri"/>
          <w:lang w:val="es-ES_tradnl"/>
        </w:rPr>
        <w:t>núm.</w:t>
      </w:r>
      <w:r w:rsidRPr="001D1DB6">
        <w:t xml:space="preserve"> 014-2014-JUS. Publicada en el Diario Of</w:t>
      </w:r>
      <w:r>
        <w:t xml:space="preserve">icial </w:t>
      </w:r>
      <w:r w:rsidRPr="00353E55">
        <w:rPr>
          <w:i/>
        </w:rPr>
        <w:t>El Peruano</w:t>
      </w:r>
      <w:r>
        <w:t>: 01.12.2013.</w:t>
      </w:r>
    </w:p>
  </w:footnote>
  <w:footnote w:id="131">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 xml:space="preserve">MINISTERIO DE JUSTICIA Y DERECHOS HUMANOS. Dirección General de Política Criminal y Penitenciaria. Informe </w:t>
      </w:r>
      <w:r>
        <w:rPr>
          <w:rFonts w:eastAsia="Calibri"/>
          <w:lang w:val="es-ES_tradnl"/>
        </w:rPr>
        <w:t>núm.</w:t>
      </w:r>
      <w:r w:rsidRPr="001D1DB6">
        <w:t xml:space="preserve"> 109-2015-JUS/DGPCP. Fecha: 29.10.2015. Pág. 3.</w:t>
      </w:r>
    </w:p>
  </w:footnote>
  <w:footnote w:id="132">
    <w:p w:rsidR="00F046F7" w:rsidRPr="001D1DB6" w:rsidRDefault="00F046F7">
      <w:pPr>
        <w:pStyle w:val="Textonotapie"/>
      </w:pPr>
      <w:r>
        <w:tab/>
      </w:r>
      <w:r w:rsidRPr="001D1DB6">
        <w:rPr>
          <w:rStyle w:val="Refdenotaalpie"/>
          <w:sz w:val="16"/>
          <w:szCs w:val="16"/>
        </w:rPr>
        <w:footnoteRef/>
      </w:r>
      <w:r>
        <w:tab/>
      </w:r>
      <w:r w:rsidRPr="001D1DB6">
        <w:t xml:space="preserve">PODER EJECUTIVO. Decreto Legislativo </w:t>
      </w:r>
      <w:r>
        <w:rPr>
          <w:rFonts w:eastAsia="Calibri"/>
          <w:lang w:val="es-ES_tradnl"/>
        </w:rPr>
        <w:t>núm.</w:t>
      </w:r>
      <w:r w:rsidRPr="001D1DB6">
        <w:t xml:space="preserve"> 1299. Publicado en el Diario Oficial </w:t>
      </w:r>
      <w:r w:rsidRPr="00353E55">
        <w:rPr>
          <w:i/>
        </w:rPr>
        <w:t>El Peruano</w:t>
      </w:r>
      <w:r>
        <w:t>: 30.12.2016. Art. 1.</w:t>
      </w:r>
    </w:p>
  </w:footnote>
  <w:footnote w:id="133">
    <w:p w:rsidR="00F046F7" w:rsidRPr="001D1DB6" w:rsidRDefault="00F046F7">
      <w:pPr>
        <w:pStyle w:val="Textonotapie"/>
        <w:rPr>
          <w:sz w:val="16"/>
          <w:szCs w:val="16"/>
        </w:rPr>
      </w:pPr>
      <w:r>
        <w:tab/>
      </w:r>
      <w:r w:rsidRPr="001D1DB6">
        <w:rPr>
          <w:rStyle w:val="Refdenotaalpie"/>
          <w:sz w:val="16"/>
          <w:szCs w:val="16"/>
        </w:rPr>
        <w:footnoteRef/>
      </w:r>
      <w:r w:rsidRPr="001D1DB6">
        <w:t xml:space="preserve"> </w:t>
      </w:r>
      <w:r w:rsidRPr="001D1DB6">
        <w:tab/>
        <w:t xml:space="preserve">PODER EJECUTIVO. Decreto Legislativo </w:t>
      </w:r>
      <w:r>
        <w:rPr>
          <w:rFonts w:eastAsia="Calibri"/>
          <w:lang w:val="es-ES_tradnl"/>
        </w:rPr>
        <w:t>núm.</w:t>
      </w:r>
      <w:r w:rsidRPr="001D1DB6">
        <w:t xml:space="preserve"> 1348. Publicada en el Diario Oficial </w:t>
      </w:r>
      <w:r w:rsidRPr="00353E55">
        <w:rPr>
          <w:i/>
        </w:rPr>
        <w:t>El Peruano</w:t>
      </w:r>
      <w:r w:rsidRPr="001D1DB6">
        <w:t>: 07.01.2017.</w:t>
      </w:r>
    </w:p>
  </w:footnote>
  <w:footnote w:id="134">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 xml:space="preserve">CONGRESO DE LA REPÚBLICA. Ley </w:t>
      </w:r>
      <w:r>
        <w:rPr>
          <w:rFonts w:eastAsia="Calibri"/>
          <w:lang w:val="es-ES_tradnl"/>
        </w:rPr>
        <w:t>núm.</w:t>
      </w:r>
      <w:r w:rsidRPr="001D1DB6">
        <w:t xml:space="preserve"> 29973. Publicada en el Diario Oficial </w:t>
      </w:r>
      <w:r w:rsidRPr="00353E55">
        <w:rPr>
          <w:i/>
        </w:rPr>
        <w:t>El Peruano</w:t>
      </w:r>
      <w:r w:rsidRPr="001D1DB6">
        <w:t>: 24.12.2012. Art. 1°.</w:t>
      </w:r>
    </w:p>
  </w:footnote>
  <w:footnote w:id="135">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MINISTERIO DE LA MUJER Y POBLACIONES VULNERABLES. </w:t>
      </w:r>
      <w:r>
        <w:t>D.S.</w:t>
      </w:r>
      <w:r w:rsidRPr="001D1DB6">
        <w:t xml:space="preserve"> </w:t>
      </w:r>
      <w:r>
        <w:rPr>
          <w:rFonts w:eastAsia="Calibri"/>
          <w:lang w:val="es-ES_tradnl"/>
        </w:rPr>
        <w:t>núm.</w:t>
      </w:r>
      <w:r w:rsidRPr="001D1DB6">
        <w:t xml:space="preserve"> 002-2014-MIMP. Publicado en el Diario Oficial </w:t>
      </w:r>
      <w:r w:rsidRPr="00353E55">
        <w:rPr>
          <w:i/>
        </w:rPr>
        <w:t>El Peruano</w:t>
      </w:r>
      <w:r w:rsidRPr="001D1DB6">
        <w:t>: 08.04.2014.</w:t>
      </w:r>
    </w:p>
  </w:footnote>
  <w:footnote w:id="136">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CONSEJO NACIONAL PARA LA INTEGRACIÓN DE LA PERSONA CON DISCAPACIDAD. Oficio </w:t>
      </w:r>
      <w:r>
        <w:rPr>
          <w:rFonts w:eastAsia="Calibri"/>
          <w:lang w:val="es-ES_tradnl"/>
        </w:rPr>
        <w:t>núm.</w:t>
      </w:r>
      <w:r w:rsidRPr="001D1DB6">
        <w:t xml:space="preserve"> 048-2016-CONADIS/DPD. Fecha: 11.11.2016. Informe </w:t>
      </w:r>
      <w:r>
        <w:rPr>
          <w:rFonts w:eastAsia="Calibri"/>
          <w:lang w:val="es-ES_tradnl"/>
        </w:rPr>
        <w:t>núm.</w:t>
      </w:r>
      <w:r w:rsidRPr="001D1DB6">
        <w:t xml:space="preserve"> 270-2016-CONADIS/DPD. Pág. 2.</w:t>
      </w:r>
    </w:p>
  </w:footnote>
  <w:footnote w:id="137">
    <w:p w:rsidR="00F046F7" w:rsidRPr="001D1DB6" w:rsidRDefault="00F046F7">
      <w:pPr>
        <w:pStyle w:val="Textonotapie"/>
        <w:rPr>
          <w:sz w:val="16"/>
          <w:szCs w:val="16"/>
        </w:rPr>
      </w:pPr>
      <w:r>
        <w:tab/>
      </w:r>
      <w:r w:rsidRPr="001D1DB6">
        <w:rPr>
          <w:rStyle w:val="Refdenotaalpie"/>
          <w:sz w:val="16"/>
          <w:szCs w:val="16"/>
        </w:rPr>
        <w:footnoteRef/>
      </w:r>
      <w:r>
        <w:tab/>
      </w:r>
      <w:r w:rsidRPr="00574AEE">
        <w:rPr>
          <w:i/>
        </w:rPr>
        <w:t>Ib</w:t>
      </w:r>
      <w:r w:rsidR="007D4A4A">
        <w:rPr>
          <w:i/>
        </w:rPr>
        <w:t>i</w:t>
      </w:r>
      <w:r w:rsidRPr="00574AEE">
        <w:rPr>
          <w:i/>
        </w:rPr>
        <w:t>d.</w:t>
      </w:r>
    </w:p>
  </w:footnote>
  <w:footnote w:id="138">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CONGRESO DE LA REPÚBLICA. Ley </w:t>
      </w:r>
      <w:r>
        <w:rPr>
          <w:rFonts w:eastAsia="Calibri"/>
          <w:lang w:val="es-ES_tradnl"/>
        </w:rPr>
        <w:t>núm.</w:t>
      </w:r>
      <w:r w:rsidRPr="001D1DB6">
        <w:t xml:space="preserve"> 29889. Publicada en el Diario Oficial </w:t>
      </w:r>
      <w:r w:rsidRPr="00353E55">
        <w:rPr>
          <w:i/>
        </w:rPr>
        <w:t>El Peruano</w:t>
      </w:r>
      <w:r w:rsidRPr="001D1DB6">
        <w:t>: 24.06.2012.</w:t>
      </w:r>
    </w:p>
  </w:footnote>
  <w:footnote w:id="139">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 xml:space="preserve">MINISTERIO DE SALUD. </w:t>
      </w:r>
      <w:r>
        <w:t>D.S.</w:t>
      </w:r>
      <w:r w:rsidRPr="001D1DB6">
        <w:t xml:space="preserve"> </w:t>
      </w:r>
      <w:r>
        <w:rPr>
          <w:rFonts w:eastAsia="Calibri"/>
          <w:lang w:val="es-ES_tradnl"/>
        </w:rPr>
        <w:t>núm.</w:t>
      </w:r>
      <w:r w:rsidRPr="001D1DB6">
        <w:t xml:space="preserve"> 033-2015-SA. Publicada en el Diario Oficial </w:t>
      </w:r>
      <w:r w:rsidRPr="00353E55">
        <w:rPr>
          <w:i/>
        </w:rPr>
        <w:t>El Peruano</w:t>
      </w:r>
      <w:r>
        <w:t>: 06.10.2015. Art. 1.</w:t>
      </w:r>
    </w:p>
  </w:footnote>
  <w:footnote w:id="140">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MINISTERIO DE SALUD. Artículo 4° de los incisos e),</w:t>
      </w:r>
      <w:r>
        <w:t xml:space="preserve"> </w:t>
      </w:r>
      <w:r w:rsidRPr="001D1DB6">
        <w:t>f),</w:t>
      </w:r>
      <w:r>
        <w:t xml:space="preserve"> </w:t>
      </w:r>
      <w:r w:rsidRPr="001D1DB6">
        <w:t>g),</w:t>
      </w:r>
      <w:r>
        <w:t xml:space="preserve"> </w:t>
      </w:r>
      <w:r w:rsidRPr="001D1DB6">
        <w:t>l),</w:t>
      </w:r>
      <w:r>
        <w:t xml:space="preserve"> </w:t>
      </w:r>
      <w:r w:rsidRPr="001D1DB6">
        <w:t>n) y s).</w:t>
      </w:r>
    </w:p>
  </w:footnote>
  <w:footnote w:id="141">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INSTITUTO NACIONAL PENITENCIARIO. Fecha: 23.09.2014. Cláusula Quinta. Con</w:t>
      </w:r>
      <w:r>
        <w:t xml:space="preserve">sulta: 13.10.2016. Disponible: </w:t>
      </w:r>
      <w:r w:rsidRPr="001D1DB6">
        <w:t>http:</w:t>
      </w:r>
      <w:r>
        <w:t>//www.inpe.gob.pe/pdf/65__a.pdf.</w:t>
      </w:r>
    </w:p>
  </w:footnote>
  <w:footnote w:id="142">
    <w:p w:rsidR="00F046F7" w:rsidRPr="001D1DB6" w:rsidRDefault="00F046F7">
      <w:pPr>
        <w:pStyle w:val="Textonotapie"/>
        <w:rPr>
          <w:sz w:val="16"/>
          <w:szCs w:val="16"/>
        </w:rPr>
      </w:pPr>
      <w:r>
        <w:tab/>
      </w:r>
      <w:r w:rsidRPr="001D1DB6">
        <w:rPr>
          <w:rStyle w:val="Refdenotaalpie"/>
          <w:sz w:val="16"/>
          <w:szCs w:val="16"/>
        </w:rPr>
        <w:footnoteRef/>
      </w:r>
      <w:r w:rsidRPr="001D1DB6">
        <w:t xml:space="preserve"> </w:t>
      </w:r>
      <w:r w:rsidRPr="001D1DB6">
        <w:tab/>
        <w:t xml:space="preserve">MINISTERIO DEL INTERIOR. Oficio </w:t>
      </w:r>
      <w:r>
        <w:rPr>
          <w:rFonts w:eastAsia="Calibri"/>
          <w:lang w:val="es-ES_tradnl"/>
        </w:rPr>
        <w:t>núm.</w:t>
      </w:r>
      <w:r w:rsidRPr="001D1DB6">
        <w:t xml:space="preserve"> 001784-2016/IN/DGSD, de fecha 3 de noviembre de</w:t>
      </w:r>
      <w:r>
        <w:t> </w:t>
      </w:r>
      <w:r w:rsidRPr="001D1DB6">
        <w:t>2016. Página 10.</w:t>
      </w:r>
    </w:p>
  </w:footnote>
  <w:footnote w:id="143">
    <w:p w:rsidR="00F046F7" w:rsidRPr="001D1DB6" w:rsidRDefault="00F046F7" w:rsidP="00574AEE">
      <w:pPr>
        <w:pStyle w:val="Textonotapie"/>
      </w:pPr>
      <w:r>
        <w:rPr>
          <w:sz w:val="16"/>
          <w:szCs w:val="16"/>
        </w:rPr>
        <w:tab/>
      </w:r>
      <w:r w:rsidRPr="001D1DB6">
        <w:rPr>
          <w:rStyle w:val="Refdenotaalpie"/>
          <w:sz w:val="16"/>
          <w:szCs w:val="16"/>
        </w:rPr>
        <w:footnoteRef/>
      </w:r>
      <w:r>
        <w:rPr>
          <w:sz w:val="16"/>
          <w:szCs w:val="16"/>
        </w:rPr>
        <w:tab/>
      </w:r>
      <w:r w:rsidRPr="00574AEE">
        <w:t>Ídem, pág. 11.</w:t>
      </w:r>
    </w:p>
  </w:footnote>
  <w:footnote w:id="144">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PODER EJECUTIVO. Decreto Legislativo </w:t>
      </w:r>
      <w:r>
        <w:t xml:space="preserve">núm. </w:t>
      </w:r>
      <w:r w:rsidRPr="001D1DB6">
        <w:t xml:space="preserve">1268. Publicado en el Diario Oficial </w:t>
      </w:r>
      <w:r w:rsidRPr="00353E55">
        <w:rPr>
          <w:i/>
        </w:rPr>
        <w:t>El Peruano</w:t>
      </w:r>
      <w:r w:rsidRPr="001D1DB6">
        <w:t>: 19.12.2016. Anexo III: Tabla de Infracciones y sanciones muy graves. Contra el servicio policial. MG</w:t>
      </w:r>
      <w:r>
        <w:t> </w:t>
      </w:r>
      <w:r w:rsidRPr="001D1DB6">
        <w:t>65.</w:t>
      </w:r>
    </w:p>
  </w:footnote>
  <w:footnote w:id="145">
    <w:p w:rsidR="00F046F7" w:rsidRPr="001D1DB6" w:rsidRDefault="00F046F7">
      <w:pPr>
        <w:pStyle w:val="Textonotapie"/>
      </w:pPr>
      <w:r>
        <w:tab/>
      </w:r>
      <w:r w:rsidRPr="001D1DB6">
        <w:rPr>
          <w:rStyle w:val="Refdenotaalpie"/>
          <w:sz w:val="16"/>
          <w:szCs w:val="16"/>
        </w:rPr>
        <w:footnoteRef/>
      </w:r>
      <w:r>
        <w:tab/>
      </w:r>
      <w:r w:rsidRPr="001D1DB6">
        <w:t xml:space="preserve">MINISTERIO PÚBLICO. Coordinadora de la Fiscalía Superior Penal Nacional y Fiscalías Penales Supraprovinciales. Informe </w:t>
      </w:r>
      <w:r>
        <w:rPr>
          <w:rFonts w:eastAsia="Calibri"/>
          <w:lang w:val="es-ES_tradnl"/>
        </w:rPr>
        <w:t>núm.</w:t>
      </w:r>
      <w:r w:rsidRPr="001D1DB6">
        <w:t xml:space="preserve"> 13-2016-FSPNC-MP-FN, de fecha 15 de setiembre de 2016. Página</w:t>
      </w:r>
      <w:r>
        <w:t> </w:t>
      </w:r>
      <w:r w:rsidRPr="001D1DB6">
        <w:t>3.</w:t>
      </w:r>
    </w:p>
  </w:footnote>
  <w:footnote w:id="146">
    <w:p w:rsidR="00F046F7" w:rsidRPr="001D1DB6" w:rsidRDefault="00F046F7">
      <w:pPr>
        <w:pStyle w:val="Textonotapie"/>
        <w:rPr>
          <w:sz w:val="16"/>
          <w:szCs w:val="16"/>
        </w:rPr>
      </w:pPr>
      <w:r>
        <w:tab/>
      </w:r>
      <w:r w:rsidRPr="001D1DB6">
        <w:rPr>
          <w:rStyle w:val="Refdenotaalpie"/>
          <w:sz w:val="16"/>
          <w:szCs w:val="16"/>
        </w:rPr>
        <w:footnoteRef/>
      </w:r>
      <w:r>
        <w:tab/>
      </w:r>
      <w:r w:rsidRPr="001D1DB6">
        <w:t>Ídem. Página 4.</w:t>
      </w:r>
    </w:p>
  </w:footnote>
  <w:footnote w:id="147">
    <w:p w:rsidR="00F046F7" w:rsidRPr="00D503CF" w:rsidRDefault="00F046F7">
      <w:pPr>
        <w:pStyle w:val="Textonotapie"/>
        <w:rPr>
          <w:sz w:val="16"/>
          <w:szCs w:val="16"/>
          <w:lang w:val="pt-PT"/>
        </w:rPr>
      </w:pPr>
      <w:r>
        <w:tab/>
      </w:r>
      <w:r w:rsidRPr="001D1DB6">
        <w:rPr>
          <w:rStyle w:val="Refdenotaalpie"/>
          <w:rFonts w:eastAsiaTheme="majorEastAsia"/>
          <w:sz w:val="16"/>
          <w:szCs w:val="16"/>
        </w:rPr>
        <w:footnoteRef/>
      </w:r>
      <w:r>
        <w:tab/>
      </w:r>
      <w:r w:rsidRPr="001D1DB6">
        <w:t xml:space="preserve">PODER JUDICIAL. Resolución Administrativa </w:t>
      </w:r>
      <w:r>
        <w:rPr>
          <w:rFonts w:eastAsia="Calibri"/>
          <w:lang w:val="es-ES_tradnl"/>
        </w:rPr>
        <w:t>núm.</w:t>
      </w:r>
      <w:r w:rsidRPr="001D1DB6">
        <w:t xml:space="preserve"> 116-2013-P/PJ. 01.04.2013. citado por PODER</w:t>
      </w:r>
      <w:r w:rsidR="00D17826">
        <w:t> </w:t>
      </w:r>
      <w:r w:rsidRPr="001D1DB6">
        <w:t xml:space="preserve">JUDICIAL. </w:t>
      </w:r>
      <w:r w:rsidRPr="00D503CF">
        <w:rPr>
          <w:lang w:val="pt-PT"/>
        </w:rPr>
        <w:t xml:space="preserve">Oficio </w:t>
      </w:r>
      <w:r>
        <w:rPr>
          <w:rFonts w:eastAsia="Calibri"/>
          <w:lang w:val="es-ES_tradnl"/>
        </w:rPr>
        <w:t>núm.</w:t>
      </w:r>
      <w:r w:rsidRPr="00D503CF">
        <w:rPr>
          <w:lang w:val="pt-PT"/>
        </w:rPr>
        <w:t xml:space="preserve"> 77-2016-DDHH-PJ. Fecha: 29.09.2016. Pág. 9</w:t>
      </w:r>
      <w:r>
        <w:rPr>
          <w:lang w:val="pt-PT"/>
        </w:rPr>
        <w:t>.</w:t>
      </w:r>
    </w:p>
  </w:footnote>
  <w:footnote w:id="148">
    <w:p w:rsidR="00F046F7" w:rsidRPr="001D1DB6" w:rsidRDefault="00F046F7">
      <w:pPr>
        <w:pStyle w:val="Textonotapie"/>
        <w:rPr>
          <w:sz w:val="16"/>
          <w:szCs w:val="16"/>
        </w:rPr>
      </w:pPr>
      <w:r>
        <w:rPr>
          <w:lang w:val="pt-PT"/>
        </w:rPr>
        <w:tab/>
      </w:r>
      <w:r w:rsidRPr="001D1DB6">
        <w:rPr>
          <w:rStyle w:val="Refdenotaalpie"/>
          <w:rFonts w:eastAsiaTheme="majorEastAsia"/>
          <w:sz w:val="16"/>
          <w:szCs w:val="16"/>
        </w:rPr>
        <w:footnoteRef/>
      </w:r>
      <w:r>
        <w:rPr>
          <w:lang w:val="pt-PT"/>
        </w:rPr>
        <w:tab/>
      </w:r>
      <w:r w:rsidRPr="00D503CF">
        <w:rPr>
          <w:lang w:val="pt-PT"/>
        </w:rPr>
        <w:t xml:space="preserve">PODER JUDICIAL. Oficio </w:t>
      </w:r>
      <w:r>
        <w:rPr>
          <w:rFonts w:eastAsia="Calibri"/>
          <w:lang w:val="es-ES_tradnl"/>
        </w:rPr>
        <w:t>núm.</w:t>
      </w:r>
      <w:r w:rsidRPr="00D503CF">
        <w:rPr>
          <w:lang w:val="pt-PT"/>
        </w:rPr>
        <w:t xml:space="preserve"> 234-2015-DDHH-PJ. </w:t>
      </w:r>
      <w:r w:rsidRPr="001D1DB6">
        <w:t xml:space="preserve">Fecha: 18.11.2016. Adjunta Oficio </w:t>
      </w:r>
      <w:r>
        <w:rPr>
          <w:rFonts w:eastAsia="Calibri"/>
          <w:lang w:val="es-ES_tradnl"/>
        </w:rPr>
        <w:t>núm.</w:t>
      </w:r>
      <w:r>
        <w:t> </w:t>
      </w:r>
      <w:r w:rsidRPr="001D1DB6">
        <w:t>919</w:t>
      </w:r>
      <w:r w:rsidR="00D17826">
        <w:noBreakHyphen/>
      </w:r>
      <w:r w:rsidRPr="001D1DB6">
        <w:t>2015-GCJ-GG/PJ (10.11.2015) de la Gerencia de Centros Juveniles.</w:t>
      </w:r>
    </w:p>
  </w:footnote>
  <w:footnote w:id="149">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574AEE">
        <w:rPr>
          <w:i/>
        </w:rPr>
        <w:t>Ib</w:t>
      </w:r>
      <w:r w:rsidR="007D4A4A">
        <w:rPr>
          <w:i/>
        </w:rPr>
        <w:t>i</w:t>
      </w:r>
      <w:r w:rsidRPr="00574AEE">
        <w:rPr>
          <w:i/>
        </w:rPr>
        <w:t>d.</w:t>
      </w:r>
    </w:p>
  </w:footnote>
  <w:footnote w:id="150">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574AEE">
        <w:rPr>
          <w:i/>
        </w:rPr>
        <w:t>Ib</w:t>
      </w:r>
      <w:r w:rsidR="007D4A4A">
        <w:rPr>
          <w:i/>
        </w:rPr>
        <w:t>i</w:t>
      </w:r>
      <w:r w:rsidRPr="00574AEE">
        <w:rPr>
          <w:i/>
        </w:rPr>
        <w:t>d.</w:t>
      </w:r>
    </w:p>
  </w:footnote>
  <w:footnote w:id="151">
    <w:p w:rsidR="00F046F7" w:rsidRPr="00D503CF" w:rsidRDefault="00F046F7">
      <w:pPr>
        <w:pStyle w:val="Textonotapie"/>
        <w:rPr>
          <w:sz w:val="16"/>
          <w:szCs w:val="16"/>
          <w:lang w:val="pt-PT"/>
        </w:rPr>
      </w:pPr>
      <w:r>
        <w:rPr>
          <w:lang w:val="pt-PT"/>
        </w:rPr>
        <w:tab/>
      </w:r>
      <w:r w:rsidRPr="001D1DB6">
        <w:rPr>
          <w:rStyle w:val="Refdenotaalpie"/>
          <w:rFonts w:eastAsiaTheme="majorEastAsia"/>
          <w:sz w:val="16"/>
          <w:szCs w:val="16"/>
        </w:rPr>
        <w:footnoteRef/>
      </w:r>
      <w:r>
        <w:rPr>
          <w:lang w:val="pt-PT"/>
        </w:rPr>
        <w:tab/>
      </w:r>
      <w:r w:rsidRPr="00D503CF">
        <w:rPr>
          <w:lang w:val="pt-PT"/>
        </w:rPr>
        <w:t xml:space="preserve">PODER JUDICIAL. Oficio </w:t>
      </w:r>
      <w:r>
        <w:rPr>
          <w:rFonts w:eastAsia="Calibri"/>
          <w:lang w:val="es-ES_tradnl"/>
        </w:rPr>
        <w:t>núm.</w:t>
      </w:r>
      <w:r w:rsidRPr="00D503CF">
        <w:rPr>
          <w:lang w:val="pt-PT"/>
        </w:rPr>
        <w:t xml:space="preserve"> 234-2015-DDHH-PJ. Óp. Cit. Pág. 2.</w:t>
      </w:r>
    </w:p>
  </w:footnote>
  <w:footnote w:id="152">
    <w:p w:rsidR="00F046F7" w:rsidRPr="00D503CF" w:rsidRDefault="00F046F7">
      <w:pPr>
        <w:pStyle w:val="Textonotapie"/>
        <w:rPr>
          <w:sz w:val="16"/>
          <w:szCs w:val="16"/>
          <w:lang w:val="pt-PT"/>
        </w:rPr>
      </w:pPr>
      <w:r>
        <w:rPr>
          <w:lang w:val="pt-PT"/>
        </w:rPr>
        <w:tab/>
      </w:r>
      <w:r w:rsidRPr="001D1DB6">
        <w:rPr>
          <w:rStyle w:val="Refdenotaalpie"/>
          <w:rFonts w:eastAsiaTheme="majorEastAsia"/>
          <w:sz w:val="16"/>
          <w:szCs w:val="16"/>
        </w:rPr>
        <w:footnoteRef/>
      </w:r>
      <w:r>
        <w:rPr>
          <w:lang w:val="pt-PT"/>
        </w:rPr>
        <w:t xml:space="preserve"> </w:t>
      </w:r>
      <w:r w:rsidRPr="00D503CF">
        <w:rPr>
          <w:lang w:val="pt-PT"/>
        </w:rPr>
        <w:tab/>
        <w:t xml:space="preserve">PODER JUDICIAL. Gerencia General. Resolución Administrativa </w:t>
      </w:r>
      <w:r>
        <w:rPr>
          <w:rFonts w:eastAsia="Calibri"/>
          <w:lang w:val="es-ES_tradnl"/>
        </w:rPr>
        <w:t>núm.</w:t>
      </w:r>
      <w:r w:rsidRPr="00D503CF">
        <w:rPr>
          <w:lang w:val="pt-PT"/>
        </w:rPr>
        <w:t xml:space="preserve"> 040-2013-GG-PJ. Fecha: 22.01.2013. Consulta: 23.06.2016. Disponible: https://www.pj.gob.pe/wps/wcm/connect/</w:t>
      </w:r>
      <w:r w:rsidR="007D4A4A">
        <w:rPr>
          <w:lang w:val="pt-PT"/>
        </w:rPr>
        <w:br/>
      </w:r>
      <w:r w:rsidRPr="00D503CF">
        <w:rPr>
          <w:lang w:val="pt-PT"/>
        </w:rPr>
        <w:t>007320804f05a4478dc4efef22a976ef/RA_040-2013-GG-PJ.PDF?MOD=AJPERES&amp;CACHEID=007320804f05a4478dc4efef22a976ef</w:t>
      </w:r>
      <w:r>
        <w:rPr>
          <w:lang w:val="pt-PT"/>
        </w:rPr>
        <w:t>.</w:t>
      </w:r>
    </w:p>
  </w:footnote>
  <w:footnote w:id="153">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PODER JUDICIAL. Plan Nacional de Acceso a la Justicia de las Personas en Condició</w:t>
      </w:r>
      <w:r>
        <w:t>n de Vulnerabilidad 2016 – 2021. Pág. 77-80.</w:t>
      </w:r>
    </w:p>
  </w:footnote>
  <w:footnote w:id="154">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MINISTERIO PÚBLICO. Instituto de Medicina Legal y Ciencias Forenses</w:t>
      </w:r>
      <w:r>
        <w:t xml:space="preserve"> (IML)</w:t>
      </w:r>
      <w:r w:rsidRPr="001D1DB6">
        <w:t xml:space="preserve">. Oficio </w:t>
      </w:r>
      <w:r>
        <w:rPr>
          <w:rFonts w:eastAsia="Calibri"/>
          <w:lang w:val="es-ES_tradnl"/>
        </w:rPr>
        <w:t>núm.</w:t>
      </w:r>
      <w:r>
        <w:t> </w:t>
      </w:r>
      <w:r w:rsidRPr="001D1DB6">
        <w:t>3055</w:t>
      </w:r>
      <w:r>
        <w:noBreakHyphen/>
      </w:r>
      <w:r w:rsidRPr="001D1DB6">
        <w:t>2016-MP-FN-IML-JN. Fecha: 22.09.2016. Pág. 2.</w:t>
      </w:r>
    </w:p>
  </w:footnote>
  <w:footnote w:id="155">
    <w:p w:rsidR="00F046F7" w:rsidRPr="001D1DB6" w:rsidRDefault="00F046F7">
      <w:pPr>
        <w:pStyle w:val="Textonotapie"/>
        <w:rPr>
          <w:sz w:val="16"/>
          <w:szCs w:val="16"/>
        </w:rPr>
      </w:pPr>
      <w:r>
        <w:tab/>
      </w:r>
      <w:r w:rsidRPr="001D1DB6">
        <w:rPr>
          <w:rStyle w:val="Refdenotaalpie"/>
          <w:sz w:val="16"/>
          <w:szCs w:val="16"/>
        </w:rPr>
        <w:footnoteRef/>
      </w:r>
      <w:r>
        <w:tab/>
      </w:r>
      <w:r w:rsidRPr="001D1DB6">
        <w:t>Ídem, pág. 2.</w:t>
      </w:r>
    </w:p>
  </w:footnote>
  <w:footnote w:id="156">
    <w:p w:rsidR="00F046F7" w:rsidRPr="00D503CF" w:rsidRDefault="00F046F7">
      <w:pPr>
        <w:pStyle w:val="Textonotapie"/>
        <w:rPr>
          <w:sz w:val="16"/>
          <w:szCs w:val="16"/>
          <w:lang w:val="pt-PT"/>
        </w:rPr>
      </w:pPr>
      <w:r>
        <w:rPr>
          <w:lang w:val="pt-PT"/>
        </w:rPr>
        <w:tab/>
      </w:r>
      <w:r w:rsidRPr="001D1DB6">
        <w:rPr>
          <w:rStyle w:val="Refdenotaalpie"/>
          <w:sz w:val="16"/>
          <w:szCs w:val="16"/>
        </w:rPr>
        <w:footnoteRef/>
      </w:r>
      <w:r>
        <w:rPr>
          <w:lang w:val="pt-PT"/>
        </w:rPr>
        <w:tab/>
      </w:r>
      <w:r w:rsidRPr="00D503CF">
        <w:rPr>
          <w:lang w:val="pt-PT"/>
        </w:rPr>
        <w:t xml:space="preserve">MINISTERIO PÚBLICO. IML. Oficio </w:t>
      </w:r>
      <w:r>
        <w:rPr>
          <w:rFonts w:eastAsia="Calibri"/>
          <w:lang w:val="es-ES_tradnl"/>
        </w:rPr>
        <w:t>núm.</w:t>
      </w:r>
      <w:r w:rsidRPr="00D503CF">
        <w:rPr>
          <w:lang w:val="pt-PT"/>
        </w:rPr>
        <w:t xml:space="preserve"> 3055-2016-MP-FN-IML-JN. Pág. 3.</w:t>
      </w:r>
    </w:p>
  </w:footnote>
  <w:footnote w:id="157">
    <w:p w:rsidR="00F046F7" w:rsidRPr="001D1DB6" w:rsidRDefault="00F046F7">
      <w:pPr>
        <w:pStyle w:val="Textonotapie"/>
        <w:rPr>
          <w:sz w:val="16"/>
          <w:szCs w:val="16"/>
        </w:rPr>
      </w:pPr>
      <w:r>
        <w:rPr>
          <w:lang w:val="pt-PT"/>
        </w:rPr>
        <w:tab/>
      </w:r>
      <w:r w:rsidRPr="001D1DB6">
        <w:rPr>
          <w:rStyle w:val="Refdenotaalpie"/>
          <w:sz w:val="16"/>
          <w:szCs w:val="16"/>
        </w:rPr>
        <w:footnoteRef/>
      </w:r>
      <w:r>
        <w:rPr>
          <w:lang w:val="pt-PT"/>
        </w:rPr>
        <w:tab/>
      </w:r>
      <w:r w:rsidRPr="00D503CF">
        <w:rPr>
          <w:lang w:val="pt-PT"/>
        </w:rPr>
        <w:t xml:space="preserve">MINISTERIO PÚBLICO. Informe </w:t>
      </w:r>
      <w:r>
        <w:rPr>
          <w:rFonts w:eastAsia="Calibri"/>
          <w:lang w:val="es-ES_tradnl"/>
        </w:rPr>
        <w:t>núm.</w:t>
      </w:r>
      <w:r w:rsidRPr="00D503CF">
        <w:rPr>
          <w:lang w:val="pt-PT"/>
        </w:rPr>
        <w:t xml:space="preserve"> 13-2016-FSPNC-MP-FN. </w:t>
      </w:r>
      <w:r w:rsidRPr="001D1DB6">
        <w:t>Óp. Cit. Pág. 5.</w:t>
      </w:r>
    </w:p>
  </w:footnote>
  <w:footnote w:id="158">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 xml:space="preserve">PODER EJECUTIVO. Decreto Legislativo </w:t>
      </w:r>
      <w:r>
        <w:rPr>
          <w:rFonts w:eastAsia="Calibri"/>
          <w:lang w:val="es-ES_tradnl"/>
        </w:rPr>
        <w:t>núm.</w:t>
      </w:r>
      <w:r w:rsidRPr="001D1DB6">
        <w:t xml:space="preserve"> 1186. Publicado en el Diario Oficial </w:t>
      </w:r>
      <w:r w:rsidRPr="00353E55">
        <w:rPr>
          <w:i/>
        </w:rPr>
        <w:t>El Peruano</w:t>
      </w:r>
      <w:r w:rsidRPr="001D1DB6">
        <w:t xml:space="preserve">: 16.08.2015. </w:t>
      </w:r>
    </w:p>
  </w:footnote>
  <w:footnote w:id="159">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 xml:space="preserve">Decreto Legislativo </w:t>
      </w:r>
      <w:r>
        <w:rPr>
          <w:rFonts w:eastAsia="Calibri"/>
          <w:lang w:val="es-ES_tradnl"/>
        </w:rPr>
        <w:t>núm.</w:t>
      </w:r>
      <w:r w:rsidRPr="001D1DB6">
        <w:t xml:space="preserve"> 1186. Artículo 11° inc. 2.</w:t>
      </w:r>
    </w:p>
  </w:footnote>
  <w:footnote w:id="160">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MINISTERIO DEL INTERIOR. </w:t>
      </w:r>
      <w:r>
        <w:t>D.S.</w:t>
      </w:r>
      <w:r w:rsidRPr="001D1DB6">
        <w:t xml:space="preserve"> </w:t>
      </w:r>
      <w:r>
        <w:rPr>
          <w:rFonts w:eastAsia="Calibri"/>
          <w:lang w:val="es-ES_tradnl"/>
        </w:rPr>
        <w:t>núm.</w:t>
      </w:r>
      <w:r w:rsidRPr="001D1DB6">
        <w:t xml:space="preserve"> 012-2016-IN. Publicado en el Diario Oficial </w:t>
      </w:r>
      <w:r w:rsidRPr="00353E55">
        <w:rPr>
          <w:i/>
        </w:rPr>
        <w:t>El Peruano</w:t>
      </w:r>
      <w:r w:rsidRPr="001D1DB6">
        <w:t xml:space="preserve">: 27.07.2016. </w:t>
      </w:r>
    </w:p>
  </w:footnote>
  <w:footnote w:id="161">
    <w:p w:rsidR="00F046F7" w:rsidRPr="001D1DB6" w:rsidRDefault="00F046F7">
      <w:pPr>
        <w:pStyle w:val="Textonotapie"/>
        <w:rPr>
          <w:sz w:val="16"/>
          <w:szCs w:val="16"/>
        </w:rPr>
      </w:pPr>
      <w:r>
        <w:tab/>
      </w:r>
      <w:r w:rsidRPr="001D1DB6">
        <w:rPr>
          <w:rStyle w:val="Refdenotaalpie"/>
          <w:sz w:val="16"/>
          <w:szCs w:val="16"/>
        </w:rPr>
        <w:footnoteRef/>
      </w:r>
      <w:r w:rsidRPr="001D1DB6">
        <w:tab/>
        <w:t xml:space="preserve">Artículo 14° (1) del Reglamento del Decreto Legislativo </w:t>
      </w:r>
      <w:r>
        <w:rPr>
          <w:rFonts w:eastAsia="Calibri"/>
          <w:lang w:val="es-ES_tradnl"/>
        </w:rPr>
        <w:t>núm.</w:t>
      </w:r>
      <w:r w:rsidRPr="001D1DB6">
        <w:t xml:space="preserve"> 1186</w:t>
      </w:r>
      <w:r>
        <w:t>.</w:t>
      </w:r>
    </w:p>
  </w:footnote>
  <w:footnote w:id="162">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Ídem, </w:t>
      </w:r>
      <w:r>
        <w:t>art.</w:t>
      </w:r>
      <w:r w:rsidRPr="001D1DB6">
        <w:t xml:space="preserve"> 8° (3)</w:t>
      </w:r>
      <w:r>
        <w:t>.</w:t>
      </w:r>
    </w:p>
  </w:footnote>
  <w:footnote w:id="163">
    <w:p w:rsidR="00F046F7" w:rsidRPr="001D1DB6" w:rsidRDefault="00F046F7">
      <w:pPr>
        <w:pStyle w:val="Textonotapie"/>
      </w:pPr>
      <w:r>
        <w:tab/>
      </w:r>
      <w:r w:rsidRPr="001D1DB6">
        <w:rPr>
          <w:rStyle w:val="Refdenotaalpie"/>
          <w:sz w:val="16"/>
          <w:szCs w:val="16"/>
        </w:rPr>
        <w:footnoteRef/>
      </w:r>
      <w:r>
        <w:tab/>
      </w:r>
      <w:r w:rsidRPr="001D1DB6">
        <w:t xml:space="preserve">CONGRESO DE LA REPÚBLICA. Ley </w:t>
      </w:r>
      <w:r>
        <w:rPr>
          <w:rFonts w:eastAsia="Calibri"/>
          <w:lang w:val="es-ES_tradnl"/>
        </w:rPr>
        <w:t>núm.</w:t>
      </w:r>
      <w:r w:rsidRPr="001D1DB6">
        <w:t xml:space="preserve"> 30151. Publicado en el Diario Oficial </w:t>
      </w:r>
      <w:r w:rsidRPr="00353E55">
        <w:rPr>
          <w:i/>
        </w:rPr>
        <w:t>El Peruano</w:t>
      </w:r>
      <w:r w:rsidRPr="001D1DB6">
        <w:t>: 13.01.2014.</w:t>
      </w:r>
    </w:p>
  </w:footnote>
  <w:footnote w:id="164">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PODER EJECUTIVO. Decreto Legislativo </w:t>
      </w:r>
      <w:r>
        <w:rPr>
          <w:rFonts w:eastAsia="Calibri"/>
          <w:lang w:val="es-ES_tradnl"/>
        </w:rPr>
        <w:t>núm.</w:t>
      </w:r>
      <w:r w:rsidRPr="001D1DB6">
        <w:t xml:space="preserve"> 12</w:t>
      </w:r>
      <w:r>
        <w:t>67</w:t>
      </w:r>
      <w:r w:rsidRPr="001D1DB6">
        <w:t xml:space="preserve">. Publicado en el Diario Oficial </w:t>
      </w:r>
      <w:r w:rsidRPr="00353E55">
        <w:rPr>
          <w:i/>
        </w:rPr>
        <w:t>El Peruano</w:t>
      </w:r>
      <w:r w:rsidRPr="001D1DB6">
        <w:t xml:space="preserve">: </w:t>
      </w:r>
      <w:r>
        <w:t>18.12.2016</w:t>
      </w:r>
      <w:r w:rsidRPr="001D1DB6">
        <w:t>.</w:t>
      </w:r>
    </w:p>
  </w:footnote>
  <w:footnote w:id="165">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MINISTERIO DEL INTERIOR. </w:t>
      </w:r>
      <w:r>
        <w:t>R.M.</w:t>
      </w:r>
      <w:r w:rsidRPr="001D1DB6">
        <w:t xml:space="preserve"> </w:t>
      </w:r>
      <w:r>
        <w:rPr>
          <w:rFonts w:eastAsia="Calibri"/>
          <w:lang w:val="es-ES_tradnl"/>
        </w:rPr>
        <w:t>núm.</w:t>
      </w:r>
      <w:r w:rsidRPr="001D1DB6">
        <w:t xml:space="preserve"> 0813-2016-IN. Fecha: 31.08.2016.</w:t>
      </w:r>
    </w:p>
  </w:footnote>
  <w:footnote w:id="166">
    <w:p w:rsidR="00F046F7" w:rsidRPr="00D503CF" w:rsidRDefault="00F046F7">
      <w:pPr>
        <w:pStyle w:val="Textonotapie"/>
        <w:rPr>
          <w:sz w:val="16"/>
          <w:szCs w:val="16"/>
          <w:lang w:val="pt-PT"/>
        </w:rPr>
      </w:pPr>
      <w:r>
        <w:tab/>
      </w:r>
      <w:r w:rsidRPr="001D1DB6">
        <w:rPr>
          <w:rStyle w:val="Refdenotaalpie"/>
          <w:sz w:val="16"/>
          <w:szCs w:val="16"/>
        </w:rPr>
        <w:footnoteRef/>
      </w:r>
      <w:r>
        <w:tab/>
      </w:r>
      <w:r w:rsidRPr="001D1DB6">
        <w:t xml:space="preserve">MINISTERIO DEL INTERIOR. Oficio </w:t>
      </w:r>
      <w:r>
        <w:rPr>
          <w:rFonts w:eastAsia="Calibri"/>
          <w:lang w:val="es-ES_tradnl"/>
        </w:rPr>
        <w:t>núm.</w:t>
      </w:r>
      <w:r w:rsidRPr="001D1DB6">
        <w:t xml:space="preserve"> 001784-2016/IN/DGSD, de fecha 3 de noviembre de</w:t>
      </w:r>
      <w:r>
        <w:t> </w:t>
      </w:r>
      <w:r w:rsidRPr="001D1DB6">
        <w:t xml:space="preserve">2016. </w:t>
      </w:r>
      <w:r w:rsidRPr="00D503CF">
        <w:rPr>
          <w:lang w:val="pt-PT"/>
        </w:rPr>
        <w:t>Página 13.</w:t>
      </w:r>
    </w:p>
  </w:footnote>
  <w:footnote w:id="167">
    <w:p w:rsidR="00F046F7" w:rsidRPr="00D503CF" w:rsidRDefault="00F046F7">
      <w:pPr>
        <w:pStyle w:val="Textonotapie"/>
        <w:rPr>
          <w:sz w:val="16"/>
          <w:szCs w:val="16"/>
          <w:lang w:val="pt-PT"/>
        </w:rPr>
      </w:pPr>
      <w:r>
        <w:rPr>
          <w:lang w:val="pt-PT"/>
        </w:rPr>
        <w:tab/>
      </w:r>
      <w:r w:rsidRPr="001D1DB6">
        <w:rPr>
          <w:rStyle w:val="Refdenotaalpie"/>
          <w:rFonts w:eastAsiaTheme="majorEastAsia"/>
          <w:sz w:val="16"/>
          <w:szCs w:val="16"/>
        </w:rPr>
        <w:footnoteRef/>
      </w:r>
      <w:r>
        <w:rPr>
          <w:lang w:val="pt-PT"/>
        </w:rPr>
        <w:tab/>
      </w:r>
      <w:r w:rsidRPr="00D503CF">
        <w:rPr>
          <w:lang w:val="pt-PT"/>
        </w:rPr>
        <w:t xml:space="preserve">MINISTERIO PÚBLICO. Informe </w:t>
      </w:r>
      <w:r>
        <w:rPr>
          <w:rFonts w:eastAsia="Calibri"/>
          <w:lang w:val="es-ES_tradnl"/>
        </w:rPr>
        <w:t>núm.</w:t>
      </w:r>
      <w:r w:rsidRPr="00D503CF">
        <w:rPr>
          <w:lang w:val="pt-PT"/>
        </w:rPr>
        <w:t xml:space="preserve"> 13-2016-FSPNC-MP-FN. Óp. Cit. Pág. 5. </w:t>
      </w:r>
    </w:p>
  </w:footnote>
  <w:footnote w:id="168">
    <w:p w:rsidR="00F046F7" w:rsidRPr="00D503CF" w:rsidRDefault="00F046F7">
      <w:pPr>
        <w:pStyle w:val="Textonotapie"/>
        <w:rPr>
          <w:sz w:val="16"/>
          <w:szCs w:val="16"/>
          <w:lang w:val="pt-PT"/>
        </w:rPr>
      </w:pPr>
      <w:r>
        <w:rPr>
          <w:lang w:val="pt-PT"/>
        </w:rPr>
        <w:tab/>
      </w:r>
      <w:r w:rsidRPr="001D1DB6">
        <w:rPr>
          <w:rStyle w:val="Refdenotaalpie"/>
          <w:rFonts w:eastAsiaTheme="majorEastAsia"/>
          <w:sz w:val="16"/>
          <w:szCs w:val="16"/>
        </w:rPr>
        <w:footnoteRef/>
      </w:r>
      <w:r>
        <w:rPr>
          <w:lang w:val="pt-PT"/>
        </w:rPr>
        <w:tab/>
      </w:r>
      <w:r w:rsidRPr="00574AEE">
        <w:rPr>
          <w:i/>
          <w:lang w:val="pt-PT"/>
        </w:rPr>
        <w:t>Ib</w:t>
      </w:r>
      <w:r w:rsidR="00AA3175" w:rsidRPr="00574AEE">
        <w:rPr>
          <w:i/>
          <w:lang w:val="pt-PT"/>
        </w:rPr>
        <w:t>id.</w:t>
      </w:r>
    </w:p>
  </w:footnote>
  <w:footnote w:id="169">
    <w:p w:rsidR="00F046F7" w:rsidRPr="00D503CF" w:rsidRDefault="00F046F7">
      <w:pPr>
        <w:pStyle w:val="Textonotapie"/>
        <w:rPr>
          <w:sz w:val="16"/>
          <w:szCs w:val="16"/>
          <w:lang w:val="pt-PT"/>
        </w:rPr>
      </w:pPr>
      <w:r>
        <w:rPr>
          <w:lang w:val="pt-PT"/>
        </w:rPr>
        <w:tab/>
      </w:r>
      <w:r w:rsidRPr="001D1DB6">
        <w:rPr>
          <w:rStyle w:val="Refdenotaalpie"/>
          <w:rFonts w:eastAsiaTheme="majorEastAsia"/>
          <w:sz w:val="16"/>
          <w:szCs w:val="16"/>
        </w:rPr>
        <w:footnoteRef/>
      </w:r>
      <w:r>
        <w:rPr>
          <w:lang w:val="pt-PT"/>
        </w:rPr>
        <w:tab/>
      </w:r>
      <w:r w:rsidRPr="00D503CF">
        <w:rPr>
          <w:lang w:val="pt-PT"/>
        </w:rPr>
        <w:t xml:space="preserve">MINISTERIO DEL INTERIOR. Oficio </w:t>
      </w:r>
      <w:r>
        <w:rPr>
          <w:rFonts w:eastAsia="Calibri"/>
          <w:lang w:val="es-ES_tradnl"/>
        </w:rPr>
        <w:t>núm.</w:t>
      </w:r>
      <w:r w:rsidRPr="00D503CF">
        <w:rPr>
          <w:lang w:val="pt-PT"/>
        </w:rPr>
        <w:t xml:space="preserve"> 001577-2015/IN/DGSD. Pág. 5.</w:t>
      </w:r>
    </w:p>
  </w:footnote>
  <w:footnote w:id="170">
    <w:p w:rsidR="00F046F7" w:rsidRPr="001D1DB6" w:rsidRDefault="00F046F7">
      <w:pPr>
        <w:pStyle w:val="Textonotapie"/>
        <w:rPr>
          <w:sz w:val="16"/>
          <w:szCs w:val="16"/>
        </w:rPr>
      </w:pPr>
      <w:r>
        <w:rPr>
          <w:lang w:val="pt-PT"/>
        </w:rPr>
        <w:tab/>
      </w:r>
      <w:r w:rsidRPr="001D1DB6">
        <w:rPr>
          <w:rStyle w:val="Refdenotaalpie"/>
          <w:sz w:val="16"/>
          <w:szCs w:val="16"/>
        </w:rPr>
        <w:footnoteRef/>
      </w:r>
      <w:r>
        <w:rPr>
          <w:lang w:val="pt-PT"/>
        </w:rPr>
        <w:tab/>
      </w:r>
      <w:r w:rsidRPr="00D503CF">
        <w:rPr>
          <w:lang w:val="pt-PT"/>
        </w:rPr>
        <w:t xml:space="preserve">PODER EJECUTIVO. Decreto Legislativo </w:t>
      </w:r>
      <w:r>
        <w:rPr>
          <w:rFonts w:eastAsia="Calibri"/>
          <w:lang w:val="es-ES_tradnl"/>
        </w:rPr>
        <w:t>núm.</w:t>
      </w:r>
      <w:r w:rsidRPr="00D503CF">
        <w:rPr>
          <w:lang w:val="pt-PT"/>
        </w:rPr>
        <w:t xml:space="preserve"> 1268. Anexo II: Tabla de Infracciones y sanciones graves. </w:t>
      </w:r>
      <w:r w:rsidRPr="001D1DB6">
        <w:t>Contra la disciplina. G 33.</w:t>
      </w:r>
    </w:p>
  </w:footnote>
  <w:footnote w:id="171">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 xml:space="preserve">MINISTERIO DE LA MUJER Y POBLACIONES VULNERABLES. </w:t>
      </w:r>
      <w:r w:rsidRPr="00D503CF">
        <w:rPr>
          <w:lang w:val="pt-PT"/>
        </w:rPr>
        <w:t xml:space="preserve">DGCVG. Oficio </w:t>
      </w:r>
      <w:r>
        <w:rPr>
          <w:rFonts w:eastAsia="Calibri"/>
          <w:lang w:val="es-ES_tradnl"/>
        </w:rPr>
        <w:t>núm.</w:t>
      </w:r>
      <w:r>
        <w:rPr>
          <w:lang w:val="pt-PT"/>
        </w:rPr>
        <w:t> </w:t>
      </w:r>
      <w:r w:rsidRPr="00D503CF">
        <w:rPr>
          <w:lang w:val="pt-PT"/>
        </w:rPr>
        <w:t>288</w:t>
      </w:r>
      <w:r>
        <w:rPr>
          <w:lang w:val="pt-PT"/>
        </w:rPr>
        <w:noBreakHyphen/>
      </w:r>
      <w:r w:rsidRPr="00D503CF">
        <w:rPr>
          <w:lang w:val="pt-PT"/>
        </w:rPr>
        <w:t xml:space="preserve">2016-MIMO/DGCVG. </w:t>
      </w:r>
      <w:r w:rsidRPr="001D1DB6">
        <w:t>Fecha: 14.09.2016. Pág. 5.</w:t>
      </w:r>
    </w:p>
  </w:footnote>
  <w:footnote w:id="172">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574AEE">
        <w:rPr>
          <w:i/>
        </w:rPr>
        <w:t>Ib</w:t>
      </w:r>
      <w:r w:rsidR="007D4A4A">
        <w:rPr>
          <w:i/>
        </w:rPr>
        <w:t>i</w:t>
      </w:r>
      <w:r w:rsidRPr="00574AEE">
        <w:rPr>
          <w:i/>
        </w:rPr>
        <w:t>d.</w:t>
      </w:r>
      <w:r w:rsidRPr="001D1DB6">
        <w:t>, pág. 6.</w:t>
      </w:r>
    </w:p>
  </w:footnote>
  <w:footnote w:id="173">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MINISTERIO DE LA MUJER Y POBLACIONES VULNERABLES. </w:t>
      </w:r>
      <w:r>
        <w:rPr>
          <w:lang w:val="es-ES_tradnl"/>
        </w:rPr>
        <w:t xml:space="preserve">R.M. </w:t>
      </w:r>
      <w:r>
        <w:rPr>
          <w:rFonts w:eastAsia="Calibri"/>
          <w:lang w:val="es-ES_tradnl"/>
        </w:rPr>
        <w:t>núm.</w:t>
      </w:r>
      <w:r w:rsidRPr="001D1DB6">
        <w:rPr>
          <w:lang w:val="es-ES_tradnl"/>
        </w:rPr>
        <w:t xml:space="preserve"> 294-2016-MIMP. Publicado en el Diario Oficial </w:t>
      </w:r>
      <w:r w:rsidRPr="00353E55">
        <w:rPr>
          <w:i/>
        </w:rPr>
        <w:t>El Peruano</w:t>
      </w:r>
      <w:r>
        <w:rPr>
          <w:lang w:val="es-ES_tradnl"/>
        </w:rPr>
        <w:t>: 07.11.2016. Art. 1.</w:t>
      </w:r>
    </w:p>
  </w:footnote>
  <w:footnote w:id="174">
    <w:p w:rsidR="00F046F7" w:rsidRPr="001D1DB6" w:rsidRDefault="00F046F7">
      <w:pPr>
        <w:pStyle w:val="Textonotapie"/>
        <w:rPr>
          <w:sz w:val="16"/>
          <w:szCs w:val="16"/>
        </w:rPr>
      </w:pPr>
      <w:r>
        <w:rPr>
          <w:sz w:val="16"/>
          <w:szCs w:val="16"/>
        </w:rPr>
        <w:tab/>
      </w:r>
      <w:r w:rsidRPr="001D1DB6">
        <w:rPr>
          <w:rStyle w:val="Refdenotaalpie"/>
          <w:sz w:val="16"/>
          <w:szCs w:val="16"/>
        </w:rPr>
        <w:footnoteRef/>
      </w:r>
      <w:r>
        <w:rPr>
          <w:sz w:val="16"/>
          <w:szCs w:val="16"/>
        </w:rPr>
        <w:tab/>
      </w:r>
      <w:r w:rsidRPr="001D1DB6">
        <w:t xml:space="preserve">MINISTERIO DE LA MUJER Y POBLACIONES VULNERABLES. </w:t>
      </w:r>
      <w:r>
        <w:t>R.M.</w:t>
      </w:r>
      <w:r w:rsidRPr="001D1DB6">
        <w:rPr>
          <w:lang w:val="es-ES_tradnl"/>
        </w:rPr>
        <w:t xml:space="preserve"> </w:t>
      </w:r>
      <w:r>
        <w:rPr>
          <w:rFonts w:eastAsia="Calibri"/>
          <w:lang w:val="es-ES_tradnl"/>
        </w:rPr>
        <w:t>núm.</w:t>
      </w:r>
      <w:r w:rsidRPr="001D1DB6">
        <w:rPr>
          <w:lang w:val="es-ES_tradnl"/>
        </w:rPr>
        <w:t xml:space="preserve"> 099-2016-MIMP. Publicado en el Diario Oficial </w:t>
      </w:r>
      <w:r w:rsidRPr="00353E55">
        <w:rPr>
          <w:i/>
        </w:rPr>
        <w:t>El Peruano</w:t>
      </w:r>
      <w:r>
        <w:rPr>
          <w:lang w:val="es-ES_tradnl"/>
        </w:rPr>
        <w:t>: 22.04.2016. Art. 1.</w:t>
      </w:r>
    </w:p>
  </w:footnote>
  <w:footnote w:id="175">
    <w:p w:rsidR="00F046F7" w:rsidRDefault="00F046F7" w:rsidP="00574AEE">
      <w:pPr>
        <w:pStyle w:val="Textonotapie"/>
        <w:spacing w:after="60"/>
      </w:pPr>
      <w:r>
        <w:rPr>
          <w:sz w:val="16"/>
          <w:szCs w:val="16"/>
        </w:rPr>
        <w:tab/>
      </w:r>
      <w:r w:rsidRPr="001D1DB6">
        <w:rPr>
          <w:rStyle w:val="Refdenotaalpie"/>
          <w:sz w:val="16"/>
          <w:szCs w:val="16"/>
        </w:rPr>
        <w:footnoteRef/>
      </w:r>
      <w:r>
        <w:rPr>
          <w:sz w:val="16"/>
          <w:szCs w:val="16"/>
        </w:rPr>
        <w:tab/>
      </w:r>
      <w:r w:rsidRPr="00574AEE">
        <w:t xml:space="preserve">PODER EJECUTIVO. Decreto Legislativo núm. 1323. Publicado en el Diario Oficial </w:t>
      </w:r>
      <w:r w:rsidRPr="00353E55">
        <w:rPr>
          <w:i/>
        </w:rPr>
        <w:t>El Peruano</w:t>
      </w:r>
      <w:r w:rsidRPr="001D1DB6">
        <w:rPr>
          <w:sz w:val="16"/>
          <w:szCs w:val="16"/>
        </w:rPr>
        <w:t xml:space="preserve">: </w:t>
      </w:r>
      <w:r w:rsidRPr="00574AEE">
        <w:t>06.01.2017. Art. 1°.</w:t>
      </w:r>
      <w:r>
        <w:t xml:space="preserve"> Con fecha 12.05.2017 el Congreso de la República remitió al Poder Ejecutivo la autógrafa del Decreto Legislativo </w:t>
      </w:r>
      <w:r>
        <w:rPr>
          <w:rFonts w:eastAsia="Calibri"/>
          <w:lang w:val="es-ES_tradnl"/>
        </w:rPr>
        <w:t>núm.</w:t>
      </w:r>
      <w:r>
        <w:t xml:space="preserve"> 1323, que deroga parcialmente su artículo 1° y restituye la vigencia del literal d) del numeral 2 del artículo 46° y artículo 323°. Disponible: </w:t>
      </w:r>
      <w:r w:rsidRPr="00C67BC3">
        <w:t>http://www2.congreso.gob.pe/Sicr/RelatAgenda/proapro20112016.nsf/ProyectosAprobadosPortal/737054A2FA9D2CB80525811E008056E6/$FILE/AU0131920170512.pdf</w:t>
      </w:r>
    </w:p>
    <w:p w:rsidR="00F046F7" w:rsidRPr="001D1DB6" w:rsidRDefault="00F046F7">
      <w:pPr>
        <w:pStyle w:val="Textonotapie"/>
        <w:rPr>
          <w:sz w:val="16"/>
          <w:szCs w:val="16"/>
        </w:rPr>
      </w:pPr>
      <w:r>
        <w:tab/>
      </w:r>
      <w:r>
        <w:tab/>
        <w:t xml:space="preserve">Dicha autógrafa fue observada por el Poder Ejecutivo el 02.06.2017. Disponible: </w:t>
      </w:r>
      <w:r w:rsidRPr="00D062B4">
        <w:t>http://www.leyes.congreso.gob.pe/Documentos/2016_2021/Observacion_a_la_Autografa/OBAU0131920170602.pdf</w:t>
      </w:r>
      <w:r>
        <w:t>.</w:t>
      </w:r>
    </w:p>
  </w:footnote>
  <w:footnote w:id="176">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 xml:space="preserve">MINISTERIO DE JUSTICIA Y DERECHOS HUMANOS. </w:t>
      </w:r>
      <w:r>
        <w:t>D.S.</w:t>
      </w:r>
      <w:r w:rsidRPr="001D1DB6">
        <w:t xml:space="preserve"> </w:t>
      </w:r>
      <w:r>
        <w:rPr>
          <w:rFonts w:eastAsia="Calibri"/>
          <w:lang w:val="es-ES_tradnl"/>
        </w:rPr>
        <w:t>núm.</w:t>
      </w:r>
      <w:r w:rsidRPr="001D1DB6">
        <w:t xml:space="preserve"> 015-2013-JUS. Publicado en el Diario Oficial </w:t>
      </w:r>
      <w:r w:rsidRPr="00353E55">
        <w:rPr>
          <w:i/>
        </w:rPr>
        <w:t>El Peruano</w:t>
      </w:r>
      <w:r>
        <w:t>: 06.12.2013. Art. 1.</w:t>
      </w:r>
    </w:p>
  </w:footnote>
  <w:footnote w:id="177">
    <w:p w:rsidR="00F046F7" w:rsidRPr="001D1DB6" w:rsidRDefault="00F046F7">
      <w:pPr>
        <w:pStyle w:val="Textonotapie"/>
        <w:rPr>
          <w:sz w:val="16"/>
          <w:szCs w:val="16"/>
        </w:rPr>
      </w:pPr>
      <w:r>
        <w:tab/>
      </w:r>
      <w:r w:rsidRPr="001D1DB6">
        <w:rPr>
          <w:rStyle w:val="Refdenotaalpie"/>
          <w:sz w:val="16"/>
          <w:szCs w:val="16"/>
        </w:rPr>
        <w:footnoteRef/>
      </w:r>
      <w:r>
        <w:tab/>
        <w:t>MINISTERIO DEL INTERIOR</w:t>
      </w:r>
      <w:r w:rsidRPr="001D1DB6">
        <w:t>.</w:t>
      </w:r>
      <w:r>
        <w:t xml:space="preserve"> Oficio </w:t>
      </w:r>
      <w:r>
        <w:rPr>
          <w:rFonts w:eastAsia="Calibri"/>
          <w:lang w:val="es-ES_tradnl"/>
        </w:rPr>
        <w:t>núm.</w:t>
      </w:r>
      <w:r>
        <w:t xml:space="preserve"> 001784-2016/IN/DGSD. Fecha: </w:t>
      </w:r>
      <w:r w:rsidRPr="001D1DB6">
        <w:t>03</w:t>
      </w:r>
      <w:r>
        <w:t>.11.</w:t>
      </w:r>
      <w:r w:rsidRPr="001D1DB6">
        <w:t>2016. Página 13.</w:t>
      </w:r>
    </w:p>
  </w:footnote>
  <w:footnote w:id="178">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MINISTERIO PÚBLICO. Informe </w:t>
      </w:r>
      <w:r>
        <w:rPr>
          <w:rFonts w:eastAsia="Calibri"/>
          <w:lang w:val="es-ES_tradnl"/>
        </w:rPr>
        <w:t>núm.</w:t>
      </w:r>
      <w:r w:rsidRPr="001D1DB6">
        <w:t xml:space="preserve"> 13-2016-FSPNC-MP-FN. Óp. Cit. Págs. 6 y 7.</w:t>
      </w:r>
    </w:p>
  </w:footnote>
  <w:footnote w:id="179">
    <w:p w:rsidR="00F046F7" w:rsidRPr="00D503CF" w:rsidRDefault="00F046F7">
      <w:pPr>
        <w:pStyle w:val="Textonotapie"/>
        <w:rPr>
          <w:sz w:val="16"/>
          <w:szCs w:val="16"/>
          <w:lang w:val="pt-PT"/>
        </w:rPr>
      </w:pPr>
      <w:r>
        <w:rPr>
          <w:lang w:val="pt-PT"/>
        </w:rPr>
        <w:tab/>
      </w:r>
      <w:r w:rsidRPr="001D1DB6">
        <w:rPr>
          <w:rStyle w:val="Refdenotaalpie"/>
          <w:sz w:val="16"/>
          <w:szCs w:val="16"/>
        </w:rPr>
        <w:footnoteRef/>
      </w:r>
      <w:r>
        <w:rPr>
          <w:lang w:val="pt-PT"/>
        </w:rPr>
        <w:tab/>
      </w:r>
      <w:r w:rsidRPr="00D503CF">
        <w:rPr>
          <w:lang w:val="pt-PT"/>
        </w:rPr>
        <w:t>Ídem, p. 7.</w:t>
      </w:r>
    </w:p>
  </w:footnote>
  <w:footnote w:id="180">
    <w:p w:rsidR="00F046F7" w:rsidRPr="00D503CF" w:rsidRDefault="00F046F7">
      <w:pPr>
        <w:pStyle w:val="Textonotapie"/>
        <w:rPr>
          <w:sz w:val="16"/>
          <w:szCs w:val="16"/>
          <w:lang w:val="pt-PT"/>
        </w:rPr>
      </w:pPr>
      <w:r>
        <w:rPr>
          <w:lang w:val="pt-PT"/>
        </w:rPr>
        <w:tab/>
      </w:r>
      <w:r w:rsidRPr="001D1DB6">
        <w:rPr>
          <w:rStyle w:val="Refdenotaalpie"/>
          <w:sz w:val="16"/>
          <w:szCs w:val="16"/>
        </w:rPr>
        <w:footnoteRef/>
      </w:r>
      <w:r>
        <w:rPr>
          <w:lang w:val="pt-PT"/>
        </w:rPr>
        <w:tab/>
      </w:r>
      <w:r w:rsidRPr="00D503CF">
        <w:rPr>
          <w:lang w:val="pt-PT"/>
        </w:rPr>
        <w:t>Ídem, p.8.</w:t>
      </w:r>
    </w:p>
  </w:footnote>
  <w:footnote w:id="181">
    <w:p w:rsidR="00F046F7" w:rsidRPr="001D1DB6" w:rsidRDefault="00F046F7">
      <w:pPr>
        <w:pStyle w:val="Textonotapie"/>
      </w:pPr>
      <w:r>
        <w:rPr>
          <w:lang w:val="pt-PT"/>
        </w:rPr>
        <w:tab/>
      </w:r>
      <w:r w:rsidRPr="001D1DB6">
        <w:rPr>
          <w:rStyle w:val="Refdenotaalpie"/>
          <w:sz w:val="16"/>
          <w:szCs w:val="16"/>
        </w:rPr>
        <w:footnoteRef/>
      </w:r>
      <w:r w:rsidRPr="00D503CF">
        <w:rPr>
          <w:lang w:val="pt-PT"/>
        </w:rPr>
        <w:tab/>
        <w:t xml:space="preserve">PODER JUDICIAL DEL PERÚ. Sala Penal Nacional. Oficio </w:t>
      </w:r>
      <w:r>
        <w:rPr>
          <w:rFonts w:eastAsia="Calibri"/>
          <w:lang w:val="es-ES_tradnl"/>
        </w:rPr>
        <w:t>núm.</w:t>
      </w:r>
      <w:r w:rsidRPr="00D503CF">
        <w:rPr>
          <w:lang w:val="pt-PT"/>
        </w:rPr>
        <w:t xml:space="preserve"> 548-2016-MC-SPN-PJ. </w:t>
      </w:r>
      <w:r w:rsidRPr="001D1DB6">
        <w:t>Fecha: 30.09.16. Págs. 16-18.</w:t>
      </w:r>
    </w:p>
  </w:footnote>
  <w:footnote w:id="182">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MINISTERIO PÚBLICO. Informe </w:t>
      </w:r>
      <w:r>
        <w:rPr>
          <w:rFonts w:eastAsia="Calibri"/>
          <w:lang w:val="es-ES_tradnl"/>
        </w:rPr>
        <w:t>núm.</w:t>
      </w:r>
      <w:r w:rsidRPr="001D1DB6">
        <w:t xml:space="preserve"> 13-2016-F</w:t>
      </w:r>
      <w:r>
        <w:t>SPNC-MP-FN. Óp. Cit. Pág</w:t>
      </w:r>
      <w:r w:rsidRPr="001D1DB6">
        <w:t>.</w:t>
      </w:r>
      <w:r>
        <w:t xml:space="preserve"> 12.</w:t>
      </w:r>
    </w:p>
  </w:footnote>
  <w:footnote w:id="183">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MINISTERIO PÚBLICO. Resolución de la Fiscalía de la Nación </w:t>
      </w:r>
      <w:r>
        <w:rPr>
          <w:rFonts w:eastAsia="Calibri"/>
          <w:lang w:val="es-ES_tradnl"/>
        </w:rPr>
        <w:t>núm.</w:t>
      </w:r>
      <w:r w:rsidRPr="001D1DB6">
        <w:t xml:space="preserve"> 5244-2016-MP-FN. Fecha: 30.12.2016. Con</w:t>
      </w:r>
      <w:r>
        <w:t xml:space="preserve">sulta: 02.01.2017. Disponible: </w:t>
      </w:r>
      <w:r w:rsidRPr="001D1DB6">
        <w:t>http://portal.mpfn.gob</w:t>
      </w:r>
      <w:r>
        <w:t>.pe/descargas/normas/</w:t>
      </w:r>
      <w:r>
        <w:br/>
        <w:t>r49508.pdf.</w:t>
      </w:r>
    </w:p>
  </w:footnote>
  <w:footnote w:id="184">
    <w:p w:rsidR="00F046F7" w:rsidRPr="001D1DB6" w:rsidRDefault="00F046F7">
      <w:pPr>
        <w:pStyle w:val="Textonotapie"/>
        <w:rPr>
          <w:sz w:val="16"/>
          <w:szCs w:val="16"/>
        </w:rPr>
      </w:pPr>
      <w:r>
        <w:tab/>
      </w:r>
      <w:r w:rsidRPr="001D1DB6">
        <w:rPr>
          <w:rStyle w:val="Refdenotaalpie"/>
          <w:rFonts w:eastAsiaTheme="minorEastAsia"/>
          <w:sz w:val="16"/>
          <w:szCs w:val="16"/>
        </w:rPr>
        <w:footnoteRef/>
      </w:r>
      <w:r>
        <w:tab/>
      </w:r>
      <w:r w:rsidRPr="001D1DB6">
        <w:t xml:space="preserve">La CMAN fue creada mediante Decreto Supremo </w:t>
      </w:r>
      <w:r>
        <w:t>núm.</w:t>
      </w:r>
      <w:r w:rsidRPr="001D1DB6">
        <w:t xml:space="preserve"> 011-2004-PCM (Publicado en el Diario Oficial </w:t>
      </w:r>
      <w:r w:rsidRPr="00353E55">
        <w:rPr>
          <w:i/>
        </w:rPr>
        <w:t>El Peruano</w:t>
      </w:r>
      <w:r w:rsidRPr="001D1DB6">
        <w:t xml:space="preserve">: 06.02.2004) teniendo, entre otras funciones, diseñar la política nacional de paz, reconciliación y reparación colectiva. Artículos 4° inc. 1 del D. S. </w:t>
      </w:r>
      <w:r>
        <w:rPr>
          <w:rFonts w:eastAsia="Calibri"/>
          <w:lang w:val="es-ES_tradnl"/>
        </w:rPr>
        <w:t>núm.</w:t>
      </w:r>
      <w:r w:rsidRPr="001D1DB6">
        <w:t xml:space="preserve"> 011-2004-PCM y </w:t>
      </w:r>
      <w:r>
        <w:t xml:space="preserve">133° del D. S. </w:t>
      </w:r>
      <w:r>
        <w:rPr>
          <w:rFonts w:eastAsia="Calibri"/>
          <w:lang w:val="es-ES_tradnl"/>
        </w:rPr>
        <w:t>núm.</w:t>
      </w:r>
      <w:r>
        <w:t xml:space="preserve"> 011-2012-JUS.</w:t>
      </w:r>
    </w:p>
  </w:footnote>
  <w:footnote w:id="185">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MINISTERIO DE JUSTICIA Y DERECHOS HUMANOS. CMAN. Informe </w:t>
      </w:r>
      <w:r>
        <w:rPr>
          <w:rFonts w:eastAsia="Calibri"/>
          <w:lang w:val="es-ES_tradnl"/>
        </w:rPr>
        <w:t>núm.</w:t>
      </w:r>
      <w:r>
        <w:t> </w:t>
      </w:r>
      <w:r w:rsidRPr="001D1DB6">
        <w:t>1123</w:t>
      </w:r>
      <w:r>
        <w:noBreakHyphen/>
      </w:r>
      <w:r w:rsidRPr="001D1DB6">
        <w:t>2016/CMAN. Fecha: 09.11.2016. Pág. 5.</w:t>
      </w:r>
    </w:p>
  </w:footnote>
  <w:footnote w:id="186">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CONGRESO DE LA REPÚBLICA. Ley </w:t>
      </w:r>
      <w:r>
        <w:rPr>
          <w:rFonts w:eastAsia="Calibri"/>
          <w:lang w:val="es-ES_tradnl"/>
        </w:rPr>
        <w:t>núm.</w:t>
      </w:r>
      <w:r w:rsidRPr="001D1DB6">
        <w:t xml:space="preserve"> 30470</w:t>
      </w:r>
      <w:r>
        <w:t xml:space="preserve">. </w:t>
      </w:r>
      <w:r w:rsidRPr="001D1DB6">
        <w:t xml:space="preserve">Publicada en el Diario Oficial </w:t>
      </w:r>
      <w:r w:rsidRPr="00353E55">
        <w:rPr>
          <w:i/>
        </w:rPr>
        <w:t>El Peruano</w:t>
      </w:r>
      <w:r w:rsidRPr="001D1DB6">
        <w:t>: 22.06.2016.</w:t>
      </w:r>
    </w:p>
  </w:footnote>
  <w:footnote w:id="187">
    <w:p w:rsidR="00F046F7" w:rsidRPr="001D1DB6" w:rsidRDefault="00F046F7">
      <w:pPr>
        <w:pStyle w:val="Textonotapie"/>
        <w:rPr>
          <w:sz w:val="16"/>
          <w:szCs w:val="16"/>
        </w:rPr>
      </w:pPr>
      <w:r>
        <w:tab/>
      </w:r>
      <w:r w:rsidRPr="001D1DB6">
        <w:rPr>
          <w:rStyle w:val="Refdenotaalpie"/>
          <w:rFonts w:eastAsiaTheme="minorEastAsia"/>
          <w:sz w:val="16"/>
          <w:szCs w:val="16"/>
        </w:rPr>
        <w:footnoteRef/>
      </w:r>
      <w:r>
        <w:tab/>
      </w:r>
      <w:r w:rsidRPr="001D1DB6">
        <w:t xml:space="preserve">MINISTERIO DE JUSTICIA Y DERECHOS HUMANOS. </w:t>
      </w:r>
      <w:r>
        <w:t>R.M.</w:t>
      </w:r>
      <w:r w:rsidRPr="001D1DB6">
        <w:t xml:space="preserve"> </w:t>
      </w:r>
      <w:r>
        <w:rPr>
          <w:rFonts w:eastAsia="Calibri"/>
          <w:lang w:val="es-ES_tradnl"/>
        </w:rPr>
        <w:t>núm.</w:t>
      </w:r>
      <w:r w:rsidRPr="001D1DB6">
        <w:t xml:space="preserve"> 0167-2016-JUS. Publicado en el Diario Oficial </w:t>
      </w:r>
      <w:r w:rsidRPr="00353E55">
        <w:rPr>
          <w:i/>
        </w:rPr>
        <w:t>El Peruano</w:t>
      </w:r>
      <w:r>
        <w:t>: 13.07.2016. Artículo 1.</w:t>
      </w:r>
    </w:p>
  </w:footnote>
  <w:footnote w:id="188">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El Grupo de Trabajo se encuentra integrado por los representantes de entidades públicas e instituciones privadas: MINJUS (quien lo presidirá), MP, DP, MINSA, dos representantes de las Asociaciones de familiares de personas desaparecidas y el Comité Internacional de la Cruz Roja. Artículo 2° de la R. M. </w:t>
      </w:r>
      <w:r>
        <w:rPr>
          <w:rFonts w:eastAsia="Calibri"/>
          <w:lang w:val="es-ES_tradnl"/>
        </w:rPr>
        <w:t>núm.</w:t>
      </w:r>
      <w:r w:rsidRPr="001D1DB6">
        <w:t xml:space="preserve"> 0167-2016-JUS.</w:t>
      </w:r>
    </w:p>
  </w:footnote>
  <w:footnote w:id="189">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MINISTERIO DE JUSTICIA Y DERECHOS HUMANOS. </w:t>
      </w:r>
      <w:r>
        <w:t>R.M.</w:t>
      </w:r>
      <w:r w:rsidRPr="001D1DB6">
        <w:t xml:space="preserve"> </w:t>
      </w:r>
      <w:r>
        <w:rPr>
          <w:rFonts w:eastAsia="Calibri"/>
          <w:lang w:val="es-ES_tradnl"/>
        </w:rPr>
        <w:t>núm.</w:t>
      </w:r>
      <w:r w:rsidRPr="001D1DB6">
        <w:t xml:space="preserve"> 0363-2016-JUS. Publicado en el Diario Oficial </w:t>
      </w:r>
      <w:r w:rsidRPr="00353E55">
        <w:rPr>
          <w:i/>
        </w:rPr>
        <w:t>El Peruano</w:t>
      </w:r>
      <w:r>
        <w:t>: 25.12.2016. Artículo 1.</w:t>
      </w:r>
    </w:p>
  </w:footnote>
  <w:footnote w:id="190">
    <w:p w:rsidR="00F046F7" w:rsidRPr="001D1DB6" w:rsidRDefault="00F046F7">
      <w:pPr>
        <w:pStyle w:val="Textonotapie"/>
        <w:rPr>
          <w:sz w:val="16"/>
          <w:szCs w:val="16"/>
        </w:rPr>
      </w:pPr>
      <w:r>
        <w:tab/>
      </w:r>
      <w:r w:rsidRPr="001D1DB6">
        <w:rPr>
          <w:rStyle w:val="Refdenotaalpie"/>
          <w:sz w:val="16"/>
          <w:szCs w:val="16"/>
        </w:rPr>
        <w:footnoteRef/>
      </w:r>
      <w:r>
        <w:tab/>
      </w:r>
      <w:r w:rsidRPr="001D1DB6">
        <w:t>MINISTERIO DE JUSTICIA Y DERECHOS HUMANOS. Plan Nacional de Búsqueda de Personas Desaparecidas (1980 – 2000). Pág. 9. Con</w:t>
      </w:r>
      <w:r>
        <w:t xml:space="preserve">sulta: 26.12.2016. Disponible: </w:t>
      </w:r>
      <w:r w:rsidRPr="001D1DB6">
        <w:t>http://www.minjus.gob.pe/</w:t>
      </w:r>
      <w:r>
        <w:br/>
      </w:r>
      <w:r w:rsidRPr="001D1DB6">
        <w:t>wp-content/uploads/2016/12/PLAN-NACIONAL-PARA-LA-BU%CC%81SQUEDA-DE-PERSONAS-DE</w:t>
      </w:r>
      <w:r>
        <w:t>SAPARECIDAS.pdf.</w:t>
      </w:r>
    </w:p>
  </w:footnote>
  <w:footnote w:id="191">
    <w:p w:rsidR="00F046F7" w:rsidRPr="00D503CF" w:rsidRDefault="00F046F7">
      <w:pPr>
        <w:pStyle w:val="Textonotapie"/>
        <w:rPr>
          <w:sz w:val="16"/>
          <w:szCs w:val="16"/>
          <w:lang w:val="pt-PT"/>
        </w:rPr>
      </w:pPr>
      <w:r>
        <w:tab/>
      </w:r>
      <w:r w:rsidRPr="001D1DB6">
        <w:rPr>
          <w:rStyle w:val="Refdenotaalpie"/>
          <w:sz w:val="16"/>
          <w:szCs w:val="16"/>
        </w:rPr>
        <w:footnoteRef/>
      </w:r>
      <w:r>
        <w:tab/>
      </w:r>
      <w:r w:rsidRPr="001D1DB6">
        <w:t xml:space="preserve">MINISTERIO PÚBLICO. Unidad Central de Asistencia a Víctimas y Testigos. </w:t>
      </w:r>
      <w:r w:rsidRPr="00D503CF">
        <w:rPr>
          <w:lang w:val="pt-PT"/>
        </w:rPr>
        <w:t xml:space="preserve">Oficio </w:t>
      </w:r>
      <w:r>
        <w:rPr>
          <w:rFonts w:eastAsia="Calibri"/>
          <w:lang w:val="es-ES_tradnl"/>
        </w:rPr>
        <w:t>núm.</w:t>
      </w:r>
      <w:r>
        <w:rPr>
          <w:lang w:val="pt-PT"/>
        </w:rPr>
        <w:t> </w:t>
      </w:r>
      <w:r w:rsidRPr="00D503CF">
        <w:rPr>
          <w:lang w:val="pt-PT"/>
        </w:rPr>
        <w:t>636</w:t>
      </w:r>
      <w:r>
        <w:rPr>
          <w:lang w:val="pt-PT"/>
        </w:rPr>
        <w:noBreakHyphen/>
      </w:r>
      <w:r w:rsidRPr="00D503CF">
        <w:rPr>
          <w:lang w:val="pt-PT"/>
        </w:rPr>
        <w:t>MP</w:t>
      </w:r>
      <w:r>
        <w:rPr>
          <w:lang w:val="pt-PT"/>
        </w:rPr>
        <w:noBreakHyphen/>
      </w:r>
      <w:r w:rsidRPr="00D503CF">
        <w:rPr>
          <w:lang w:val="pt-PT"/>
        </w:rPr>
        <w:t>FN-Fisc.Coordinadora. UCAVT. Páginas 3-4</w:t>
      </w:r>
      <w:r>
        <w:rPr>
          <w:lang w:val="pt-PT"/>
        </w:rPr>
        <w:t>.</w:t>
      </w:r>
    </w:p>
  </w:footnote>
  <w:footnote w:id="192">
    <w:p w:rsidR="00F046F7" w:rsidRPr="00D503CF" w:rsidRDefault="00F046F7">
      <w:pPr>
        <w:pStyle w:val="Textonotapie"/>
        <w:rPr>
          <w:sz w:val="16"/>
          <w:szCs w:val="16"/>
          <w:lang w:val="pt-PT"/>
        </w:rPr>
      </w:pPr>
      <w:r>
        <w:rPr>
          <w:lang w:val="pt-PT"/>
        </w:rPr>
        <w:tab/>
      </w:r>
      <w:r w:rsidRPr="001D1DB6">
        <w:rPr>
          <w:rStyle w:val="Refdenotaalpie"/>
          <w:sz w:val="16"/>
          <w:szCs w:val="16"/>
        </w:rPr>
        <w:footnoteRef/>
      </w:r>
      <w:r>
        <w:rPr>
          <w:lang w:val="pt-PT"/>
        </w:rPr>
        <w:tab/>
      </w:r>
      <w:r w:rsidRPr="00574AEE">
        <w:rPr>
          <w:i/>
          <w:lang w:val="pt-PT"/>
        </w:rPr>
        <w:t>Ib</w:t>
      </w:r>
      <w:r w:rsidR="00AA3175" w:rsidRPr="00574AEE">
        <w:rPr>
          <w:i/>
          <w:lang w:val="pt-PT"/>
        </w:rPr>
        <w:t>i</w:t>
      </w:r>
      <w:r w:rsidRPr="00574AEE">
        <w:rPr>
          <w:i/>
          <w:lang w:val="pt-PT"/>
        </w:rPr>
        <w:t>d</w:t>
      </w:r>
      <w:r w:rsidR="00AA3175" w:rsidRPr="00574AEE">
        <w:rPr>
          <w:i/>
          <w:lang w:val="pt-PT"/>
        </w:rPr>
        <w:t>.</w:t>
      </w:r>
      <w:r w:rsidRPr="00D503CF">
        <w:rPr>
          <w:lang w:val="pt-PT"/>
        </w:rPr>
        <w:t xml:space="preserve"> Página 4.</w:t>
      </w:r>
    </w:p>
  </w:footnote>
  <w:footnote w:id="193">
    <w:p w:rsidR="00F046F7" w:rsidRPr="00D503CF" w:rsidRDefault="00F046F7">
      <w:pPr>
        <w:pStyle w:val="Textonotapie"/>
        <w:rPr>
          <w:sz w:val="16"/>
          <w:szCs w:val="16"/>
          <w:lang w:val="pt-PT"/>
        </w:rPr>
      </w:pPr>
      <w:r>
        <w:rPr>
          <w:lang w:val="pt-PT"/>
        </w:rPr>
        <w:tab/>
      </w:r>
      <w:r w:rsidRPr="001D1DB6">
        <w:rPr>
          <w:rStyle w:val="Refdenotaalpie"/>
          <w:sz w:val="16"/>
          <w:szCs w:val="16"/>
        </w:rPr>
        <w:footnoteRef/>
      </w:r>
      <w:r>
        <w:rPr>
          <w:lang w:val="pt-PT"/>
        </w:rPr>
        <w:tab/>
      </w:r>
      <w:r w:rsidRPr="00574AEE">
        <w:rPr>
          <w:i/>
          <w:lang w:val="pt-PT"/>
        </w:rPr>
        <w:t>Ib</w:t>
      </w:r>
      <w:r w:rsidR="00AA3175">
        <w:rPr>
          <w:i/>
          <w:lang w:val="pt-PT"/>
        </w:rPr>
        <w:t>i</w:t>
      </w:r>
      <w:r w:rsidRPr="00574AEE">
        <w:rPr>
          <w:i/>
          <w:lang w:val="pt-PT"/>
        </w:rPr>
        <w:t>d.</w:t>
      </w:r>
      <w:r w:rsidRPr="00D503CF">
        <w:rPr>
          <w:lang w:val="pt-PT"/>
        </w:rPr>
        <w:t xml:space="preserve"> Página 5-6.</w:t>
      </w:r>
    </w:p>
  </w:footnote>
  <w:footnote w:id="194">
    <w:p w:rsidR="00F046F7" w:rsidRPr="00D503CF" w:rsidRDefault="00F046F7">
      <w:pPr>
        <w:pStyle w:val="Textonotapie"/>
        <w:rPr>
          <w:sz w:val="16"/>
          <w:szCs w:val="16"/>
          <w:lang w:val="pt-PT"/>
        </w:rPr>
      </w:pPr>
      <w:r>
        <w:rPr>
          <w:lang w:val="pt-PT"/>
        </w:rPr>
        <w:tab/>
      </w:r>
      <w:r w:rsidRPr="001D1DB6">
        <w:rPr>
          <w:rStyle w:val="Refdenotaalpie"/>
          <w:sz w:val="16"/>
          <w:szCs w:val="16"/>
        </w:rPr>
        <w:footnoteRef/>
      </w:r>
      <w:r>
        <w:rPr>
          <w:lang w:val="pt-PT"/>
        </w:rPr>
        <w:tab/>
      </w:r>
      <w:r w:rsidRPr="00574AEE">
        <w:rPr>
          <w:i/>
          <w:lang w:val="pt-PT"/>
        </w:rPr>
        <w:t>Ib</w:t>
      </w:r>
      <w:r w:rsidR="00AA3175" w:rsidRPr="00574AEE">
        <w:rPr>
          <w:i/>
          <w:lang w:val="pt-PT"/>
        </w:rPr>
        <w:t>i</w:t>
      </w:r>
      <w:r w:rsidRPr="00574AEE">
        <w:rPr>
          <w:i/>
          <w:lang w:val="pt-PT"/>
        </w:rPr>
        <w:t>d.</w:t>
      </w:r>
      <w:r w:rsidRPr="00D503CF">
        <w:rPr>
          <w:lang w:val="pt-PT"/>
        </w:rPr>
        <w:t xml:space="preserve"> Página 8.</w:t>
      </w:r>
    </w:p>
  </w:footnote>
  <w:footnote w:id="195">
    <w:p w:rsidR="00F046F7" w:rsidRPr="001D1DB6" w:rsidRDefault="00F046F7">
      <w:pPr>
        <w:pStyle w:val="Textonotapie"/>
        <w:rPr>
          <w:sz w:val="16"/>
          <w:szCs w:val="16"/>
        </w:rPr>
      </w:pPr>
      <w:r>
        <w:rPr>
          <w:lang w:val="pt-PT"/>
        </w:rPr>
        <w:tab/>
      </w:r>
      <w:r w:rsidRPr="001D1DB6">
        <w:rPr>
          <w:rStyle w:val="Refdenotaalpie"/>
          <w:sz w:val="16"/>
          <w:szCs w:val="16"/>
        </w:rPr>
        <w:footnoteRef/>
      </w:r>
      <w:r>
        <w:rPr>
          <w:lang w:val="pt-PT"/>
        </w:rPr>
        <w:tab/>
      </w:r>
      <w:r w:rsidRPr="00D503CF">
        <w:rPr>
          <w:lang w:val="pt-PT"/>
        </w:rPr>
        <w:t xml:space="preserve">MINISTERIO PÚBLICO. </w:t>
      </w:r>
      <w:r w:rsidRPr="001D1DB6">
        <w:t xml:space="preserve">Coordinación de la Fiscalía Superior Penal Nacional y Fiscalías Penales Supraprovinciales. </w:t>
      </w:r>
      <w:r w:rsidRPr="00D503CF">
        <w:rPr>
          <w:lang w:val="pt-PT"/>
        </w:rPr>
        <w:t xml:space="preserve">Oficio </w:t>
      </w:r>
      <w:r>
        <w:rPr>
          <w:rFonts w:eastAsia="Calibri"/>
          <w:lang w:val="es-ES_tradnl"/>
        </w:rPr>
        <w:t>núm.</w:t>
      </w:r>
      <w:r w:rsidRPr="00D503CF">
        <w:rPr>
          <w:lang w:val="pt-PT"/>
        </w:rPr>
        <w:t xml:space="preserve"> 1284-2016-2FSPNC-MP-FN. Fecha: 16.09.2016. Informe </w:t>
      </w:r>
      <w:r>
        <w:rPr>
          <w:rFonts w:eastAsia="Calibri"/>
          <w:lang w:val="es-ES_tradnl"/>
        </w:rPr>
        <w:t>núm.</w:t>
      </w:r>
      <w:r>
        <w:rPr>
          <w:lang w:val="pt-PT"/>
        </w:rPr>
        <w:t> </w:t>
      </w:r>
      <w:r w:rsidRPr="00D503CF">
        <w:rPr>
          <w:lang w:val="pt-PT"/>
        </w:rPr>
        <w:t>13</w:t>
      </w:r>
      <w:r>
        <w:rPr>
          <w:lang w:val="pt-PT"/>
        </w:rPr>
        <w:noBreakHyphen/>
      </w:r>
      <w:r w:rsidRPr="00D503CF">
        <w:rPr>
          <w:lang w:val="pt-PT"/>
        </w:rPr>
        <w:t xml:space="preserve">2016-FSPNC-MP-FN. </w:t>
      </w:r>
      <w:r w:rsidRPr="001D1DB6">
        <w:t>Fecha: 15.09.2016. Páginas 25</w:t>
      </w:r>
      <w:r>
        <w:t>-</w:t>
      </w:r>
      <w:r w:rsidRPr="001D1DB6">
        <w:t>27.</w:t>
      </w:r>
    </w:p>
  </w:footnote>
  <w:footnote w:id="196">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MINISTERIO DE JUSTICIA Y DERECHOS HUMANOS. </w:t>
      </w:r>
      <w:r>
        <w:t>D.S.</w:t>
      </w:r>
      <w:r w:rsidRPr="001D1DB6">
        <w:t xml:space="preserve"> </w:t>
      </w:r>
      <w:r>
        <w:rPr>
          <w:rFonts w:eastAsia="Calibri"/>
          <w:lang w:val="es-ES_tradnl"/>
        </w:rPr>
        <w:t>núm.</w:t>
      </w:r>
      <w:r w:rsidRPr="001D1DB6">
        <w:t xml:space="preserve"> 006-2015-JUS. Publicado en el Diario Oficial </w:t>
      </w:r>
      <w:r w:rsidRPr="00353E55">
        <w:rPr>
          <w:i/>
        </w:rPr>
        <w:t>El Peruano</w:t>
      </w:r>
      <w:r w:rsidRPr="001D1DB6">
        <w:t>: 06.11.2015</w:t>
      </w:r>
      <w:r>
        <w:t>.</w:t>
      </w:r>
    </w:p>
  </w:footnote>
  <w:footnote w:id="197">
    <w:p w:rsidR="00F046F7" w:rsidRPr="001D1DB6" w:rsidRDefault="00F046F7">
      <w:pPr>
        <w:pStyle w:val="Textonotapie"/>
      </w:pPr>
      <w:r>
        <w:tab/>
      </w:r>
      <w:r w:rsidRPr="001D1DB6">
        <w:rPr>
          <w:rStyle w:val="Refdenotaalpie"/>
          <w:sz w:val="16"/>
          <w:szCs w:val="16"/>
        </w:rPr>
        <w:footnoteRef/>
      </w:r>
      <w:r>
        <w:tab/>
      </w:r>
      <w:r w:rsidRPr="001D1DB6">
        <w:t>MINISTERIO DE JUSTICIA Y DERECHOS HUMANOS. R</w:t>
      </w:r>
      <w:r>
        <w:t>.M.</w:t>
      </w:r>
      <w:r w:rsidRPr="001D1DB6">
        <w:t xml:space="preserve"> </w:t>
      </w:r>
      <w:r>
        <w:rPr>
          <w:rFonts w:eastAsia="Calibri"/>
          <w:lang w:val="es-ES_tradnl"/>
        </w:rPr>
        <w:t>núm.</w:t>
      </w:r>
      <w:r w:rsidRPr="001D1DB6">
        <w:t xml:space="preserve"> 0319-2015-JUS. Publicada en el Diario Of</w:t>
      </w:r>
      <w:r>
        <w:t xml:space="preserve">icial </w:t>
      </w:r>
      <w:r w:rsidRPr="00353E55">
        <w:rPr>
          <w:i/>
        </w:rPr>
        <w:t>El Peruano</w:t>
      </w:r>
      <w:r>
        <w:t>: 07.12.2015.</w:t>
      </w:r>
    </w:p>
  </w:footnote>
  <w:footnote w:id="198">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MINISTERIO DE JUSTICIA Y DERECHOS HUMANOS. </w:t>
      </w:r>
      <w:r>
        <w:t>R.M.</w:t>
      </w:r>
      <w:r w:rsidRPr="001D1DB6">
        <w:t xml:space="preserve"> </w:t>
      </w:r>
      <w:r>
        <w:rPr>
          <w:rFonts w:eastAsia="Calibri"/>
          <w:lang w:val="es-ES_tradnl"/>
        </w:rPr>
        <w:t>núm.</w:t>
      </w:r>
      <w:r w:rsidRPr="001D1DB6">
        <w:t xml:space="preserve"> 001-2016-JUS. Publicada en el Diario Oficial </w:t>
      </w:r>
      <w:r w:rsidRPr="00353E55">
        <w:rPr>
          <w:i/>
        </w:rPr>
        <w:t>El Peruano</w:t>
      </w:r>
      <w:r w:rsidRPr="001D1DB6">
        <w:t>: 11.01.2016</w:t>
      </w:r>
      <w:r>
        <w:t>.</w:t>
      </w:r>
    </w:p>
  </w:footnote>
  <w:footnote w:id="199">
    <w:p w:rsidR="00F046F7" w:rsidRPr="00D503CF" w:rsidRDefault="00F046F7">
      <w:pPr>
        <w:pStyle w:val="Textonotapie"/>
        <w:rPr>
          <w:sz w:val="16"/>
          <w:szCs w:val="16"/>
          <w:lang w:val="pt-PT"/>
        </w:rPr>
      </w:pPr>
      <w:r>
        <w:tab/>
      </w:r>
      <w:r w:rsidRPr="001D1DB6">
        <w:rPr>
          <w:rStyle w:val="Refdenotaalpie"/>
          <w:sz w:val="16"/>
          <w:szCs w:val="16"/>
        </w:rPr>
        <w:footnoteRef/>
      </w:r>
      <w:r>
        <w:tab/>
      </w:r>
      <w:r w:rsidRPr="001D1DB6">
        <w:t xml:space="preserve">MINISTERIO DE JUSTICIA Y DERECHOS HUMANOS. </w:t>
      </w:r>
      <w:r w:rsidRPr="00D503CF">
        <w:rPr>
          <w:lang w:val="pt-PT"/>
        </w:rPr>
        <w:t xml:space="preserve">DGDPAJ. Informe </w:t>
      </w:r>
      <w:r>
        <w:rPr>
          <w:rFonts w:eastAsia="Calibri"/>
          <w:lang w:val="es-ES_tradnl"/>
        </w:rPr>
        <w:t>núm.</w:t>
      </w:r>
      <w:r w:rsidRPr="00D503CF">
        <w:rPr>
          <w:lang w:val="pt-PT"/>
        </w:rPr>
        <w:t xml:space="preserve"> 3917-2016-DGDPAJ. Fecha: 11.11.2016. Pág. 12.</w:t>
      </w:r>
    </w:p>
  </w:footnote>
  <w:footnote w:id="200">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MINISTERIO DE JUSTICIA Y DERECHOS HUMANOS. </w:t>
      </w:r>
      <w:r>
        <w:t>R.M.</w:t>
      </w:r>
      <w:r w:rsidRPr="001D1DB6">
        <w:t xml:space="preserve"> </w:t>
      </w:r>
      <w:r>
        <w:rPr>
          <w:rFonts w:eastAsia="Calibri"/>
          <w:lang w:val="es-ES_tradnl"/>
        </w:rPr>
        <w:t>núm.</w:t>
      </w:r>
      <w:r w:rsidRPr="001D1DB6">
        <w:t xml:space="preserve"> 262-2015-MIMP. Publicada en el Diario Of</w:t>
      </w:r>
      <w:r>
        <w:t xml:space="preserve">icial </w:t>
      </w:r>
      <w:r w:rsidRPr="00353E55">
        <w:rPr>
          <w:i/>
        </w:rPr>
        <w:t>El Peruano</w:t>
      </w:r>
      <w:r>
        <w:t>: 11.01.2016.</w:t>
      </w:r>
    </w:p>
  </w:footnote>
  <w:footnote w:id="201">
    <w:p w:rsidR="00F046F7" w:rsidRPr="00756371" w:rsidRDefault="00F046F7">
      <w:pPr>
        <w:pStyle w:val="Textonotapie"/>
      </w:pPr>
      <w:r>
        <w:rPr>
          <w:lang w:val="pt-PT"/>
        </w:rPr>
        <w:tab/>
      </w:r>
      <w:r w:rsidRPr="001D1DB6">
        <w:rPr>
          <w:rStyle w:val="Refdenotaalpie"/>
          <w:sz w:val="16"/>
          <w:szCs w:val="16"/>
        </w:rPr>
        <w:footnoteRef/>
      </w:r>
      <w:r>
        <w:rPr>
          <w:lang w:val="pt-PT"/>
        </w:rPr>
        <w:tab/>
      </w:r>
      <w:r w:rsidRPr="00D503CF">
        <w:rPr>
          <w:lang w:val="pt-PT"/>
        </w:rPr>
        <w:t xml:space="preserve">MINISTERIO DE SALUD. Oficio </w:t>
      </w:r>
      <w:r>
        <w:rPr>
          <w:rFonts w:eastAsia="Calibri"/>
          <w:lang w:val="es-ES_tradnl"/>
        </w:rPr>
        <w:t>núm.</w:t>
      </w:r>
      <w:r w:rsidRPr="00D503CF">
        <w:rPr>
          <w:lang w:val="pt-PT"/>
        </w:rPr>
        <w:t xml:space="preserve"> 1652-2016-DGIESP/MINSA. Informe </w:t>
      </w:r>
      <w:r>
        <w:rPr>
          <w:rFonts w:eastAsia="Calibri"/>
          <w:lang w:val="es-ES_tradnl"/>
        </w:rPr>
        <w:t>núm.</w:t>
      </w:r>
      <w:r w:rsidRPr="00D503CF">
        <w:rPr>
          <w:lang w:val="pt-PT"/>
        </w:rPr>
        <w:t xml:space="preserve"> 096-2016-DSM-DGIESP/MINSA. </w:t>
      </w:r>
      <w:r>
        <w:t>Fecha: 12.09.2016. Pág. 2.</w:t>
      </w:r>
    </w:p>
  </w:footnote>
  <w:footnote w:id="202">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TRIBUNAL CONSTITUCIONAL. Ciudadanos C. Congreso de la República y Poder Ejecutivo. Demanda de inconstitucionalidad interpuesta contra el artículo único de la Ley </w:t>
      </w:r>
      <w:r>
        <w:rPr>
          <w:rFonts w:eastAsia="Calibri"/>
          <w:lang w:val="es-ES_tradnl"/>
        </w:rPr>
        <w:t>núm.</w:t>
      </w:r>
      <w:r w:rsidRPr="001D1DB6">
        <w:t xml:space="preserve"> 29548, diversos artículos del Decreto Legislativo </w:t>
      </w:r>
      <w:r>
        <w:rPr>
          <w:rFonts w:eastAsia="Calibri"/>
          <w:lang w:val="es-ES_tradnl"/>
        </w:rPr>
        <w:t>núm.</w:t>
      </w:r>
      <w:r w:rsidRPr="001D1DB6">
        <w:t xml:space="preserve"> 1094 y diversos artículos del Decreto Legislativo </w:t>
      </w:r>
      <w:r>
        <w:rPr>
          <w:rFonts w:eastAsia="Calibri"/>
          <w:lang w:val="es-ES_tradnl"/>
        </w:rPr>
        <w:t>núm.</w:t>
      </w:r>
      <w:r w:rsidRPr="001D1DB6">
        <w:t xml:space="preserve"> 1095. Sentencia recaída en el Expediente </w:t>
      </w:r>
      <w:r>
        <w:rPr>
          <w:rFonts w:eastAsia="Calibri"/>
          <w:lang w:val="es-ES_tradnl"/>
        </w:rPr>
        <w:t>núm.</w:t>
      </w:r>
      <w:r w:rsidRPr="001D1DB6">
        <w:t xml:space="preserve"> 00022-2011-PI/TC. Fecha: 08.07.2015. Punto resolutivo 2.8. Con</w:t>
      </w:r>
      <w:r>
        <w:t xml:space="preserve">sulta: 24.10.2016. Disponible: </w:t>
      </w:r>
      <w:r w:rsidRPr="001D1DB6">
        <w:t>http://tc.gob.pe/jurisp</w:t>
      </w:r>
      <w:r>
        <w:t>rudencia/2015/00022-2011-AI.pdf.</w:t>
      </w:r>
    </w:p>
  </w:footnote>
  <w:footnote w:id="203">
    <w:p w:rsidR="00F046F7" w:rsidRPr="001D1DB6" w:rsidRDefault="00F046F7" w:rsidP="00574AEE">
      <w:pPr>
        <w:pStyle w:val="Textonotapie"/>
        <w:rPr>
          <w:sz w:val="16"/>
          <w:szCs w:val="16"/>
        </w:rPr>
      </w:pPr>
      <w:r>
        <w:tab/>
      </w:r>
      <w:r w:rsidRPr="001D1DB6">
        <w:rPr>
          <w:rStyle w:val="Refdenotaalpie"/>
          <w:sz w:val="16"/>
          <w:szCs w:val="16"/>
        </w:rPr>
        <w:footnoteRef/>
      </w:r>
      <w:r>
        <w:tab/>
      </w:r>
      <w:r w:rsidRPr="009D76DD">
        <w:t xml:space="preserve">TRIBUNAL CONSTITUCIONAL. Sentencia recaída en el expediente </w:t>
      </w:r>
      <w:r>
        <w:rPr>
          <w:rFonts w:eastAsia="Calibri"/>
          <w:lang w:val="es-ES_tradnl"/>
        </w:rPr>
        <w:t>núm.</w:t>
      </w:r>
      <w:r w:rsidRPr="009D76DD">
        <w:t xml:space="preserve"> 05197-2011-PHC/TC (fecha: 10.09.2012). Párr. 8. Consulta: 27.12.2016. Disponible: </w:t>
      </w:r>
      <w:hyperlink r:id="rId8" w:history="1">
        <w:r w:rsidRPr="009D76DD">
          <w:t>http://www.tc.gob.pe/jurisprudencia/</w:t>
        </w:r>
        <w:r>
          <w:br/>
        </w:r>
        <w:r w:rsidRPr="009D76DD">
          <w:t>2012/05197-2011-HC.html</w:t>
        </w:r>
      </w:hyperlink>
      <w:r>
        <w:t>.</w:t>
      </w:r>
    </w:p>
  </w:footnote>
  <w:footnote w:id="204">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PODER JUDICIAL. Oficio </w:t>
      </w:r>
      <w:r>
        <w:rPr>
          <w:rFonts w:eastAsia="Calibri"/>
          <w:lang w:val="es-ES_tradnl"/>
        </w:rPr>
        <w:t>núm.</w:t>
      </w:r>
      <w:r w:rsidRPr="001D1DB6">
        <w:t xml:space="preserve"> 77-2016-DDHH-PJ. Fecha: 29.09.2016. Pág. 11-12. Oficio </w:t>
      </w:r>
      <w:r>
        <w:rPr>
          <w:rFonts w:eastAsia="Calibri"/>
          <w:lang w:val="es-ES_tradnl"/>
        </w:rPr>
        <w:t>núm.</w:t>
      </w:r>
      <w:r>
        <w:t> </w:t>
      </w:r>
      <w:r w:rsidRPr="001D1DB6">
        <w:t>081-2016-DDHH-PJ. Fecha: 23.11.2016. Pág. 3.</w:t>
      </w:r>
    </w:p>
  </w:footnote>
  <w:footnote w:id="205">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MINISTERIO DE JUSTICIA Y DERECHOS HUMANOS. Consejo de Reparaciones. Oficio </w:t>
      </w:r>
      <w:r>
        <w:rPr>
          <w:rFonts w:eastAsia="Calibri"/>
          <w:lang w:val="es-ES_tradnl"/>
        </w:rPr>
        <w:t>núm.</w:t>
      </w:r>
      <w:r>
        <w:t> </w:t>
      </w:r>
      <w:r w:rsidRPr="001D1DB6">
        <w:t>2667-2016-JUS-CR-ST. Fecha: 27.12.2016. Pág. 1</w:t>
      </w:r>
      <w:r>
        <w:t>.</w:t>
      </w:r>
    </w:p>
  </w:footnote>
  <w:footnote w:id="206">
    <w:p w:rsidR="00F046F7" w:rsidRPr="001D1DB6" w:rsidRDefault="00F046F7">
      <w:pPr>
        <w:pStyle w:val="Textonotapie"/>
        <w:rPr>
          <w:sz w:val="16"/>
          <w:szCs w:val="16"/>
        </w:rPr>
      </w:pPr>
      <w:r>
        <w:tab/>
      </w:r>
      <w:r w:rsidRPr="001D1DB6">
        <w:rPr>
          <w:rStyle w:val="Refdenotaalpie"/>
          <w:rFonts w:eastAsiaTheme="minorEastAsia"/>
          <w:sz w:val="16"/>
          <w:szCs w:val="16"/>
        </w:rPr>
        <w:footnoteRef/>
      </w:r>
      <w:r>
        <w:tab/>
      </w:r>
      <w:r w:rsidRPr="001D1DB6">
        <w:t xml:space="preserve">COMISIÓN MULTISECTORIAL DE ALTO NIVEL. Oficio </w:t>
      </w:r>
      <w:r>
        <w:rPr>
          <w:rFonts w:eastAsia="Calibri"/>
          <w:lang w:val="es-ES_tradnl"/>
        </w:rPr>
        <w:t>núm.</w:t>
      </w:r>
      <w:r w:rsidRPr="001D1DB6">
        <w:t xml:space="preserve"> 2266-JUS/CMAN-ST. Fecha:</w:t>
      </w:r>
      <w:r>
        <w:t> </w:t>
      </w:r>
      <w:r w:rsidRPr="001D1DB6">
        <w:t>30.12.2016. Pág. 1</w:t>
      </w:r>
      <w:r>
        <w:t>.</w:t>
      </w:r>
    </w:p>
  </w:footnote>
  <w:footnote w:id="207">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PROGRAMA NACIONAL DE BECAS Y CRÉDITO EDUCATIVO. Convenio </w:t>
      </w:r>
      <w:r>
        <w:rPr>
          <w:rFonts w:eastAsia="Calibri"/>
          <w:lang w:val="es-ES_tradnl"/>
        </w:rPr>
        <w:t>núm.</w:t>
      </w:r>
      <w:r w:rsidRPr="001D1DB6">
        <w:t xml:space="preserve"> 514-2012-MINEDU. Con</w:t>
      </w:r>
      <w:r>
        <w:t xml:space="preserve">sulta: 25.12.2016. Disponible: </w:t>
      </w:r>
      <w:r w:rsidRPr="001D1DB6">
        <w:t>http://www.pronabec.gob.pe/convenios/</w:t>
      </w:r>
      <w:r>
        <w:br/>
        <w:t>Ministerios/Minjus_514-2012.pdf.</w:t>
      </w:r>
    </w:p>
  </w:footnote>
  <w:footnote w:id="208">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COMISIÓN MULTISECTORIAL DE ALTO NIVEL. </w:t>
      </w:r>
      <w:r w:rsidRPr="00D503CF">
        <w:rPr>
          <w:lang w:val="pt-PT"/>
        </w:rPr>
        <w:t xml:space="preserve">Oficio </w:t>
      </w:r>
      <w:r>
        <w:rPr>
          <w:rFonts w:eastAsia="Calibri"/>
          <w:lang w:val="es-ES_tradnl"/>
        </w:rPr>
        <w:t>núm.</w:t>
      </w:r>
      <w:r w:rsidRPr="00D503CF">
        <w:rPr>
          <w:lang w:val="pt-PT"/>
        </w:rPr>
        <w:t xml:space="preserve"> 1951-2016-JUS/CMAN-SE. Informe </w:t>
      </w:r>
      <w:r>
        <w:rPr>
          <w:rFonts w:eastAsia="Calibri"/>
          <w:lang w:val="es-ES_tradnl"/>
        </w:rPr>
        <w:t>núm.</w:t>
      </w:r>
      <w:r w:rsidRPr="00D503CF">
        <w:rPr>
          <w:lang w:val="pt-PT"/>
        </w:rPr>
        <w:t xml:space="preserve"> 1123-2016/CMAN. </w:t>
      </w:r>
      <w:r>
        <w:t>Fecha: 09.11.2016. Página 4.</w:t>
      </w:r>
    </w:p>
  </w:footnote>
  <w:footnote w:id="209">
    <w:p w:rsidR="00F046F7" w:rsidRPr="001D1DB6" w:rsidRDefault="00F046F7">
      <w:pPr>
        <w:pStyle w:val="Textonotapie"/>
        <w:rPr>
          <w:sz w:val="16"/>
          <w:szCs w:val="16"/>
        </w:rPr>
      </w:pPr>
      <w:r>
        <w:tab/>
      </w:r>
      <w:r w:rsidRPr="001D1DB6">
        <w:rPr>
          <w:rStyle w:val="Refdenotaalpie"/>
          <w:rFonts w:eastAsiaTheme="minorEastAsia"/>
          <w:sz w:val="16"/>
          <w:szCs w:val="16"/>
        </w:rPr>
        <w:footnoteRef/>
      </w:r>
      <w:r>
        <w:tab/>
      </w:r>
      <w:r w:rsidRPr="001D1DB6">
        <w:t>MINISTERIO DE EDUCACIÓN. Plan Multianual de Reparaciones en Educación para las Víctimas de la Violencia en el Perú “REPAED</w:t>
      </w:r>
      <w:r>
        <w:t>UCA 2016 – 2021”. Pág. 20-21.</w:t>
      </w:r>
    </w:p>
  </w:footnote>
  <w:footnote w:id="210">
    <w:p w:rsidR="00F046F7" w:rsidRPr="001D1DB6" w:rsidRDefault="00F046F7">
      <w:pPr>
        <w:pStyle w:val="Textonotapie"/>
        <w:rPr>
          <w:sz w:val="16"/>
          <w:szCs w:val="16"/>
        </w:rPr>
      </w:pPr>
      <w:r>
        <w:tab/>
      </w:r>
      <w:r w:rsidRPr="001D1DB6">
        <w:rPr>
          <w:rStyle w:val="Refdenotaalpie"/>
          <w:sz w:val="16"/>
          <w:szCs w:val="16"/>
        </w:rPr>
        <w:footnoteRef/>
      </w:r>
      <w:r>
        <w:tab/>
      </w:r>
      <w:r w:rsidRPr="00574AEE">
        <w:rPr>
          <w:i/>
        </w:rPr>
        <w:t>Ib</w:t>
      </w:r>
      <w:r w:rsidR="00AA3175">
        <w:rPr>
          <w:i/>
        </w:rPr>
        <w:t>id.</w:t>
      </w:r>
    </w:p>
  </w:footnote>
  <w:footnote w:id="211">
    <w:p w:rsidR="00F046F7" w:rsidRPr="001D1DB6" w:rsidRDefault="00F046F7">
      <w:pPr>
        <w:pStyle w:val="Textonotapie"/>
        <w:rPr>
          <w:sz w:val="16"/>
          <w:szCs w:val="16"/>
        </w:rPr>
      </w:pPr>
      <w:r>
        <w:tab/>
      </w:r>
      <w:r w:rsidRPr="001D1DB6">
        <w:rPr>
          <w:rStyle w:val="Refdenotaalpie"/>
          <w:sz w:val="16"/>
          <w:szCs w:val="16"/>
        </w:rPr>
        <w:footnoteRef/>
      </w:r>
      <w:r>
        <w:tab/>
      </w:r>
      <w:r w:rsidRPr="00574AEE">
        <w:rPr>
          <w:i/>
        </w:rPr>
        <w:t>Ib</w:t>
      </w:r>
      <w:r w:rsidR="00AA3175">
        <w:rPr>
          <w:i/>
        </w:rPr>
        <w:t>i</w:t>
      </w:r>
      <w:r w:rsidRPr="00574AEE">
        <w:rPr>
          <w:i/>
        </w:rPr>
        <w:t>d.</w:t>
      </w:r>
    </w:p>
  </w:footnote>
  <w:footnote w:id="212">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MINISTERIO DE JUSTICIA Y DERECHOS HUMANOS. </w:t>
      </w:r>
      <w:r>
        <w:rPr>
          <w:rFonts w:eastAsia="Arial"/>
        </w:rPr>
        <w:t>D.S.</w:t>
      </w:r>
      <w:r w:rsidRPr="001D1DB6">
        <w:rPr>
          <w:rFonts w:eastAsia="Arial"/>
        </w:rPr>
        <w:t xml:space="preserve"> </w:t>
      </w:r>
      <w:r>
        <w:rPr>
          <w:rFonts w:eastAsia="Calibri"/>
          <w:lang w:val="es-ES_tradnl"/>
        </w:rPr>
        <w:t>núm.</w:t>
      </w:r>
      <w:r w:rsidRPr="001D1DB6">
        <w:rPr>
          <w:rFonts w:eastAsia="Arial"/>
        </w:rPr>
        <w:t xml:space="preserve"> 00</w:t>
      </w:r>
      <w:r>
        <w:rPr>
          <w:rFonts w:eastAsia="Arial"/>
        </w:rPr>
        <w:t>8</w:t>
      </w:r>
      <w:r w:rsidRPr="001D1DB6">
        <w:rPr>
          <w:rFonts w:eastAsia="Arial"/>
        </w:rPr>
        <w:t>-201</w:t>
      </w:r>
      <w:r>
        <w:rPr>
          <w:rFonts w:eastAsia="Arial"/>
        </w:rPr>
        <w:t>7</w:t>
      </w:r>
      <w:r w:rsidRPr="001D1DB6">
        <w:rPr>
          <w:rFonts w:eastAsia="Arial"/>
        </w:rPr>
        <w:t>-JUS. Publicado en e</w:t>
      </w:r>
      <w:r>
        <w:rPr>
          <w:rFonts w:eastAsia="Arial"/>
        </w:rPr>
        <w:t xml:space="preserve">l Diario Oficial </w:t>
      </w:r>
      <w:r w:rsidRPr="00353E55">
        <w:rPr>
          <w:i/>
        </w:rPr>
        <w:t>El Peruano</w:t>
      </w:r>
      <w:r>
        <w:rPr>
          <w:rFonts w:eastAsia="Arial"/>
        </w:rPr>
        <w:t>: 31</w:t>
      </w:r>
      <w:r w:rsidRPr="001D1DB6">
        <w:rPr>
          <w:rFonts w:eastAsia="Arial"/>
        </w:rPr>
        <w:t>.0</w:t>
      </w:r>
      <w:r>
        <w:rPr>
          <w:rFonts w:eastAsia="Arial"/>
        </w:rPr>
        <w:t>3</w:t>
      </w:r>
      <w:r w:rsidRPr="001D1DB6">
        <w:rPr>
          <w:rFonts w:eastAsia="Arial"/>
        </w:rPr>
        <w:t>.201</w:t>
      </w:r>
      <w:r>
        <w:rPr>
          <w:rFonts w:eastAsia="Arial"/>
        </w:rPr>
        <w:t>7</w:t>
      </w:r>
      <w:r w:rsidRPr="001D1DB6">
        <w:rPr>
          <w:rFonts w:eastAsia="Arial"/>
        </w:rPr>
        <w:t>.</w:t>
      </w:r>
    </w:p>
  </w:footnote>
  <w:footnote w:id="213">
    <w:p w:rsidR="00F046F7" w:rsidRPr="00DD3DEF" w:rsidRDefault="00F046F7">
      <w:pPr>
        <w:pStyle w:val="Textonotapie"/>
        <w:rPr>
          <w:sz w:val="16"/>
          <w:szCs w:val="16"/>
        </w:rPr>
      </w:pPr>
      <w:r>
        <w:tab/>
      </w:r>
      <w:r w:rsidRPr="001D1DB6">
        <w:rPr>
          <w:rStyle w:val="Refdenotaalpie"/>
          <w:sz w:val="16"/>
          <w:szCs w:val="16"/>
        </w:rPr>
        <w:footnoteRef/>
      </w:r>
      <w:r>
        <w:tab/>
      </w:r>
      <w:r w:rsidRPr="001D1DB6">
        <w:t>MINISTERIO DE JUSTICIA Y DEREC</w:t>
      </w:r>
      <w:r>
        <w:t>H</w:t>
      </w:r>
      <w:r w:rsidRPr="001D1DB6">
        <w:t xml:space="preserve">OS HUMANOS. Consejo de Reparaciones. Oficio </w:t>
      </w:r>
      <w:r>
        <w:rPr>
          <w:rFonts w:eastAsia="Calibri"/>
          <w:lang w:val="es-ES_tradnl"/>
        </w:rPr>
        <w:t>núm.</w:t>
      </w:r>
      <w:r>
        <w:t> </w:t>
      </w:r>
      <w:r w:rsidRPr="001D1DB6">
        <w:t>2667-2016-JUS-CR-ST. Fecha: 27.12.2016. Pág. 1.</w:t>
      </w:r>
    </w:p>
  </w:footnote>
  <w:footnote w:id="214">
    <w:p w:rsidR="00F046F7" w:rsidRPr="00FB4B5B" w:rsidRDefault="00F046F7">
      <w:pPr>
        <w:pStyle w:val="Textonotapie"/>
      </w:pPr>
      <w:r>
        <w:tab/>
      </w:r>
      <w:r w:rsidRPr="00DD3DEF">
        <w:rPr>
          <w:rStyle w:val="Refdenotaalpie"/>
          <w:sz w:val="16"/>
          <w:szCs w:val="16"/>
        </w:rPr>
        <w:footnoteRef/>
      </w:r>
      <w:r>
        <w:tab/>
      </w:r>
      <w:r w:rsidRPr="00DD3DEF">
        <w:t>MINISTERIO</w:t>
      </w:r>
      <w:r w:rsidRPr="001D1DB6">
        <w:t xml:space="preserve"> DE JUSTICIA Y DERECHOS HUMANOS. </w:t>
      </w:r>
      <w:r>
        <w:rPr>
          <w:rFonts w:eastAsia="Arial"/>
        </w:rPr>
        <w:t>D.S.</w:t>
      </w:r>
      <w:r w:rsidRPr="001D1DB6">
        <w:rPr>
          <w:rFonts w:eastAsia="Arial"/>
        </w:rPr>
        <w:t xml:space="preserve"> </w:t>
      </w:r>
      <w:r>
        <w:rPr>
          <w:rFonts w:eastAsia="Calibri"/>
          <w:lang w:val="es-ES_tradnl"/>
        </w:rPr>
        <w:t>núm.</w:t>
      </w:r>
      <w:r w:rsidRPr="001D1DB6">
        <w:rPr>
          <w:rFonts w:eastAsia="Arial"/>
        </w:rPr>
        <w:t xml:space="preserve"> 001-2016-JUS. Publicado en el Diario Oficial </w:t>
      </w:r>
      <w:r w:rsidRPr="00353E55">
        <w:rPr>
          <w:i/>
        </w:rPr>
        <w:t>El Peruano</w:t>
      </w:r>
      <w:r w:rsidRPr="001D1DB6">
        <w:rPr>
          <w:rFonts w:eastAsia="Arial"/>
        </w:rPr>
        <w:t>: 29.01.2016.</w:t>
      </w:r>
    </w:p>
  </w:footnote>
  <w:footnote w:id="215">
    <w:p w:rsidR="00F046F7" w:rsidRPr="001D1DB6" w:rsidRDefault="00F046F7">
      <w:pPr>
        <w:pStyle w:val="Textonotapie"/>
        <w:rPr>
          <w:sz w:val="16"/>
          <w:szCs w:val="16"/>
        </w:rPr>
      </w:pPr>
      <w:r>
        <w:tab/>
      </w:r>
      <w:r w:rsidRPr="001D1DB6">
        <w:rPr>
          <w:rStyle w:val="Refdenotaalpie"/>
          <w:rFonts w:eastAsiaTheme="minorEastAsia"/>
          <w:sz w:val="16"/>
          <w:szCs w:val="16"/>
        </w:rPr>
        <w:footnoteRef/>
      </w:r>
      <w:r>
        <w:tab/>
      </w:r>
      <w:r w:rsidRPr="001D1DB6">
        <w:t xml:space="preserve">MINISTERIO DE EDUCACIÓN. </w:t>
      </w:r>
      <w:r>
        <w:t>R.M.</w:t>
      </w:r>
      <w:r w:rsidRPr="001D1DB6">
        <w:t xml:space="preserve"> </w:t>
      </w:r>
      <w:r>
        <w:rPr>
          <w:rFonts w:eastAsia="Calibri"/>
          <w:lang w:val="es-ES_tradnl"/>
        </w:rPr>
        <w:t>núm.</w:t>
      </w:r>
      <w:r w:rsidRPr="001D1DB6">
        <w:t xml:space="preserve"> 351-2016-MINEDU. Publicado en el Diario Oficial </w:t>
      </w:r>
      <w:r>
        <w:rPr>
          <w:i/>
        </w:rPr>
        <w:t>El </w:t>
      </w:r>
      <w:r w:rsidRPr="00353E55">
        <w:rPr>
          <w:i/>
        </w:rPr>
        <w:t>Peruano</w:t>
      </w:r>
      <w:r w:rsidRPr="001D1DB6">
        <w:t>: 28.07.2016.</w:t>
      </w:r>
    </w:p>
  </w:footnote>
  <w:footnote w:id="216">
    <w:p w:rsidR="00F046F7" w:rsidRPr="00D503CF" w:rsidRDefault="00F046F7">
      <w:pPr>
        <w:pStyle w:val="Textonotapie"/>
        <w:rPr>
          <w:sz w:val="16"/>
          <w:szCs w:val="16"/>
          <w:lang w:val="pt-PT"/>
        </w:rPr>
      </w:pPr>
      <w:r>
        <w:tab/>
      </w:r>
      <w:r w:rsidRPr="001D1DB6">
        <w:rPr>
          <w:rStyle w:val="Refdenotaalpie"/>
          <w:sz w:val="16"/>
          <w:szCs w:val="16"/>
        </w:rPr>
        <w:footnoteRef/>
      </w:r>
      <w:r>
        <w:tab/>
      </w:r>
      <w:r w:rsidRPr="001D1DB6">
        <w:t xml:space="preserve">COMISIÓN MULTISECTORIAL DE ALTO NIVEL. </w:t>
      </w:r>
      <w:r w:rsidRPr="00D503CF">
        <w:rPr>
          <w:lang w:val="pt-PT"/>
        </w:rPr>
        <w:t xml:space="preserve">Informe </w:t>
      </w:r>
      <w:r>
        <w:rPr>
          <w:rFonts w:eastAsia="Calibri"/>
          <w:lang w:val="es-ES_tradnl"/>
        </w:rPr>
        <w:t>núm.</w:t>
      </w:r>
      <w:r w:rsidRPr="00D503CF">
        <w:rPr>
          <w:lang w:val="pt-PT"/>
        </w:rPr>
        <w:t xml:space="preserve"> 1123</w:t>
      </w:r>
      <w:r>
        <w:rPr>
          <w:lang w:val="pt-PT"/>
        </w:rPr>
        <w:t xml:space="preserve">-2016/CMAN. </w:t>
      </w:r>
      <w:r w:rsidRPr="007D4A4A">
        <w:rPr>
          <w:lang w:val="pt-PT"/>
        </w:rPr>
        <w:t>Óp. Cit</w:t>
      </w:r>
      <w:r>
        <w:rPr>
          <w:lang w:val="pt-PT"/>
        </w:rPr>
        <w:t>. Págs. 4-5.</w:t>
      </w:r>
    </w:p>
  </w:footnote>
  <w:footnote w:id="217">
    <w:p w:rsidR="00F046F7" w:rsidRPr="00D503CF" w:rsidRDefault="00F046F7">
      <w:pPr>
        <w:pStyle w:val="Textonotapie"/>
        <w:rPr>
          <w:sz w:val="16"/>
          <w:szCs w:val="16"/>
          <w:lang w:val="pt-PT"/>
        </w:rPr>
      </w:pPr>
      <w:r>
        <w:rPr>
          <w:lang w:val="pt-PT"/>
        </w:rPr>
        <w:tab/>
      </w:r>
      <w:r w:rsidRPr="001D1DB6">
        <w:rPr>
          <w:rStyle w:val="Refdenotaalpie"/>
          <w:sz w:val="16"/>
          <w:szCs w:val="16"/>
        </w:rPr>
        <w:footnoteRef/>
      </w:r>
      <w:r>
        <w:rPr>
          <w:lang w:val="pt-PT"/>
        </w:rPr>
        <w:tab/>
      </w:r>
      <w:r w:rsidRPr="001A6567">
        <w:rPr>
          <w:lang w:val="pt-PT"/>
        </w:rPr>
        <w:t>Ídem</w:t>
      </w:r>
      <w:r w:rsidRPr="00D503CF">
        <w:rPr>
          <w:lang w:val="pt-PT"/>
        </w:rPr>
        <w:t>, p. 5</w:t>
      </w:r>
      <w:r>
        <w:rPr>
          <w:lang w:val="pt-PT"/>
        </w:rPr>
        <w:t>.</w:t>
      </w:r>
    </w:p>
  </w:footnote>
  <w:footnote w:id="218">
    <w:p w:rsidR="00F046F7" w:rsidRPr="00D503CF" w:rsidRDefault="00F046F7">
      <w:pPr>
        <w:pStyle w:val="Textonotapie"/>
        <w:rPr>
          <w:sz w:val="16"/>
          <w:szCs w:val="16"/>
          <w:lang w:val="pt-PT"/>
        </w:rPr>
      </w:pPr>
      <w:r>
        <w:rPr>
          <w:lang w:val="pt-PT"/>
        </w:rPr>
        <w:tab/>
      </w:r>
      <w:r w:rsidRPr="001D1DB6">
        <w:rPr>
          <w:rStyle w:val="Refdenotaalpie"/>
          <w:sz w:val="16"/>
          <w:szCs w:val="16"/>
        </w:rPr>
        <w:footnoteRef/>
      </w:r>
      <w:r>
        <w:rPr>
          <w:lang w:val="pt-PT"/>
        </w:rPr>
        <w:tab/>
      </w:r>
      <w:r w:rsidRPr="00574AEE">
        <w:rPr>
          <w:i/>
          <w:lang w:val="pt-PT"/>
        </w:rPr>
        <w:t>Ib</w:t>
      </w:r>
      <w:r w:rsidR="00AA3175">
        <w:rPr>
          <w:i/>
          <w:lang w:val="pt-PT"/>
        </w:rPr>
        <w:t>i</w:t>
      </w:r>
      <w:r w:rsidRPr="00574AEE">
        <w:rPr>
          <w:i/>
          <w:lang w:val="pt-PT"/>
        </w:rPr>
        <w:t>d.</w:t>
      </w:r>
    </w:p>
  </w:footnote>
  <w:footnote w:id="219">
    <w:p w:rsidR="00F046F7" w:rsidRPr="001D1DB6" w:rsidRDefault="00F046F7">
      <w:pPr>
        <w:pStyle w:val="Textonotapie"/>
        <w:rPr>
          <w:sz w:val="16"/>
          <w:szCs w:val="16"/>
        </w:rPr>
      </w:pPr>
      <w:r>
        <w:rPr>
          <w:lang w:val="pt-PT"/>
        </w:rPr>
        <w:tab/>
      </w:r>
      <w:r w:rsidRPr="001D1DB6">
        <w:rPr>
          <w:rStyle w:val="Refdenotaalpie"/>
          <w:sz w:val="16"/>
          <w:szCs w:val="16"/>
        </w:rPr>
        <w:footnoteRef/>
      </w:r>
      <w:r>
        <w:rPr>
          <w:lang w:val="pt-PT"/>
        </w:rPr>
        <w:tab/>
      </w:r>
      <w:r w:rsidRPr="00D503CF">
        <w:rPr>
          <w:lang w:val="pt-PT"/>
        </w:rPr>
        <w:t xml:space="preserve">MINISTERIO DE SALUD. R.M. </w:t>
      </w:r>
      <w:r>
        <w:rPr>
          <w:rFonts w:eastAsia="Calibri"/>
          <w:lang w:val="es-ES_tradnl"/>
        </w:rPr>
        <w:t>núm.</w:t>
      </w:r>
      <w:r w:rsidRPr="00D503CF">
        <w:rPr>
          <w:lang w:val="pt-PT"/>
        </w:rPr>
        <w:t xml:space="preserve"> 299-2012-MINSA. </w:t>
      </w:r>
      <w:r w:rsidRPr="001D1DB6">
        <w:t xml:space="preserve">Publicado en el Diario Oficial </w:t>
      </w:r>
      <w:r w:rsidRPr="00353E55">
        <w:rPr>
          <w:i/>
        </w:rPr>
        <w:t>E</w:t>
      </w:r>
      <w:r>
        <w:rPr>
          <w:i/>
        </w:rPr>
        <w:t>l </w:t>
      </w:r>
      <w:r w:rsidRPr="00353E55">
        <w:rPr>
          <w:i/>
        </w:rPr>
        <w:t>Peruano</w:t>
      </w:r>
      <w:r w:rsidRPr="001D1DB6">
        <w:t>: 17.04.2012.</w:t>
      </w:r>
    </w:p>
  </w:footnote>
  <w:footnote w:id="220">
    <w:p w:rsidR="00F046F7" w:rsidRPr="00D503CF" w:rsidRDefault="00F046F7">
      <w:pPr>
        <w:pStyle w:val="Textonotapie"/>
        <w:rPr>
          <w:sz w:val="16"/>
          <w:szCs w:val="16"/>
          <w:lang w:val="pt-PT"/>
        </w:rPr>
      </w:pPr>
      <w:r>
        <w:tab/>
      </w:r>
      <w:r w:rsidRPr="001D1DB6">
        <w:rPr>
          <w:rStyle w:val="Refdenotaalpie"/>
          <w:sz w:val="16"/>
          <w:szCs w:val="16"/>
        </w:rPr>
        <w:footnoteRef/>
      </w:r>
      <w:r>
        <w:tab/>
      </w:r>
      <w:r w:rsidRPr="001D1DB6">
        <w:t xml:space="preserve">COMISIÓN MULTISECTORIAL DE ALTO NIVEL. </w:t>
      </w:r>
      <w:r w:rsidRPr="00D503CF">
        <w:rPr>
          <w:lang w:val="pt-PT"/>
        </w:rPr>
        <w:t xml:space="preserve">Informe </w:t>
      </w:r>
      <w:r>
        <w:rPr>
          <w:rFonts w:eastAsia="Calibri"/>
          <w:lang w:val="es-ES_tradnl"/>
        </w:rPr>
        <w:t>núm.</w:t>
      </w:r>
      <w:r w:rsidRPr="00D503CF">
        <w:rPr>
          <w:lang w:val="pt-PT"/>
        </w:rPr>
        <w:t xml:space="preserve"> 11</w:t>
      </w:r>
      <w:r>
        <w:rPr>
          <w:lang w:val="pt-PT"/>
        </w:rPr>
        <w:t>23-2016/CMAN. Óp. Cit. Págs. 6.</w:t>
      </w:r>
    </w:p>
  </w:footnote>
  <w:footnote w:id="221">
    <w:p w:rsidR="00F046F7" w:rsidRPr="00D503CF" w:rsidRDefault="00F046F7">
      <w:pPr>
        <w:pStyle w:val="Textonotapie"/>
        <w:rPr>
          <w:sz w:val="16"/>
          <w:szCs w:val="16"/>
          <w:lang w:val="pt-PT"/>
        </w:rPr>
      </w:pPr>
      <w:r>
        <w:rPr>
          <w:lang w:val="pt-PT"/>
        </w:rPr>
        <w:tab/>
      </w:r>
      <w:r w:rsidRPr="001D1DB6">
        <w:rPr>
          <w:rStyle w:val="Refdenotaalpie"/>
          <w:rFonts w:eastAsiaTheme="majorEastAsia"/>
          <w:sz w:val="16"/>
          <w:szCs w:val="16"/>
        </w:rPr>
        <w:footnoteRef/>
      </w:r>
      <w:r>
        <w:rPr>
          <w:lang w:val="pt-PT"/>
        </w:rPr>
        <w:tab/>
      </w:r>
      <w:r w:rsidRPr="00D503CF">
        <w:rPr>
          <w:lang w:val="pt-PT"/>
        </w:rPr>
        <w:t xml:space="preserve">MINISTERIO DE SALUD. Informe </w:t>
      </w:r>
      <w:r>
        <w:rPr>
          <w:rFonts w:eastAsia="Calibri"/>
          <w:lang w:val="es-ES_tradnl"/>
        </w:rPr>
        <w:t>núm.</w:t>
      </w:r>
      <w:r w:rsidRPr="00D503CF">
        <w:rPr>
          <w:lang w:val="pt-PT"/>
        </w:rPr>
        <w:t xml:space="preserve"> 096-2016-DSM-DGIESP/MINSA. Fecha: 12.09.2016. Pág. 3.</w:t>
      </w:r>
      <w:r w:rsidR="00AA3175">
        <w:rPr>
          <w:lang w:val="pt-PT"/>
        </w:rPr>
        <w:t xml:space="preserve"> </w:t>
      </w:r>
      <w:r w:rsidRPr="00D503CF">
        <w:rPr>
          <w:lang w:val="pt-PT"/>
        </w:rPr>
        <w:t>Ídem, pág. 4.</w:t>
      </w:r>
    </w:p>
  </w:footnote>
  <w:footnote w:id="222">
    <w:p w:rsidR="00F046F7" w:rsidRPr="00D503CF" w:rsidRDefault="00F046F7">
      <w:pPr>
        <w:pStyle w:val="Textonotapie"/>
        <w:rPr>
          <w:sz w:val="16"/>
          <w:szCs w:val="16"/>
          <w:lang w:val="pt-PT"/>
        </w:rPr>
      </w:pPr>
      <w:r>
        <w:rPr>
          <w:lang w:val="pt-PT"/>
        </w:rPr>
        <w:tab/>
      </w:r>
      <w:r w:rsidRPr="001D1DB6">
        <w:rPr>
          <w:rStyle w:val="Refdenotaalpie"/>
          <w:rFonts w:eastAsiaTheme="majorEastAsia"/>
          <w:sz w:val="16"/>
          <w:szCs w:val="16"/>
        </w:rPr>
        <w:footnoteRef/>
      </w:r>
      <w:r>
        <w:rPr>
          <w:lang w:val="pt-PT"/>
        </w:rPr>
        <w:tab/>
      </w:r>
      <w:r w:rsidRPr="00574AEE">
        <w:rPr>
          <w:i/>
          <w:lang w:val="pt-PT"/>
        </w:rPr>
        <w:t>Ib</w:t>
      </w:r>
      <w:r w:rsidR="00AA3175">
        <w:rPr>
          <w:i/>
          <w:lang w:val="pt-PT"/>
        </w:rPr>
        <w:t>i</w:t>
      </w:r>
      <w:r w:rsidRPr="00574AEE">
        <w:rPr>
          <w:i/>
          <w:lang w:val="pt-PT"/>
        </w:rPr>
        <w:t>d.</w:t>
      </w:r>
    </w:p>
  </w:footnote>
  <w:footnote w:id="223">
    <w:p w:rsidR="00F046F7" w:rsidRPr="00D503CF" w:rsidRDefault="00F046F7">
      <w:pPr>
        <w:pStyle w:val="Textonotapie"/>
        <w:rPr>
          <w:sz w:val="16"/>
          <w:szCs w:val="16"/>
          <w:lang w:val="pt-PT"/>
        </w:rPr>
      </w:pPr>
      <w:r>
        <w:rPr>
          <w:lang w:val="pt-PT"/>
        </w:rPr>
        <w:tab/>
      </w:r>
      <w:r w:rsidRPr="001D1DB6">
        <w:rPr>
          <w:rStyle w:val="Refdenotaalpie"/>
          <w:rFonts w:eastAsiaTheme="majorEastAsia"/>
          <w:sz w:val="16"/>
          <w:szCs w:val="16"/>
        </w:rPr>
        <w:footnoteRef/>
      </w:r>
      <w:r>
        <w:rPr>
          <w:lang w:val="pt-PT"/>
        </w:rPr>
        <w:tab/>
      </w:r>
      <w:r w:rsidRPr="00D503CF">
        <w:rPr>
          <w:lang w:val="pt-PT"/>
        </w:rPr>
        <w:t>Ídem, pág. 5.</w:t>
      </w:r>
    </w:p>
  </w:footnote>
  <w:footnote w:id="224">
    <w:p w:rsidR="00F046F7" w:rsidRPr="001D1DB6" w:rsidRDefault="00F046F7">
      <w:pPr>
        <w:pStyle w:val="Textonotapie"/>
        <w:rPr>
          <w:sz w:val="16"/>
          <w:szCs w:val="16"/>
        </w:rPr>
      </w:pPr>
      <w:r>
        <w:rPr>
          <w:lang w:val="pt-PT"/>
        </w:rPr>
        <w:tab/>
      </w:r>
      <w:r w:rsidRPr="001D1DB6">
        <w:rPr>
          <w:rStyle w:val="Refdenotaalpie"/>
          <w:sz w:val="16"/>
          <w:szCs w:val="16"/>
        </w:rPr>
        <w:footnoteRef/>
      </w:r>
      <w:r>
        <w:rPr>
          <w:lang w:val="pt-PT"/>
        </w:rPr>
        <w:tab/>
      </w:r>
      <w:r w:rsidRPr="00D503CF">
        <w:rPr>
          <w:lang w:val="pt-PT"/>
        </w:rPr>
        <w:t xml:space="preserve">MINISTERIO DE SALUD. R.M. </w:t>
      </w:r>
      <w:r>
        <w:rPr>
          <w:rFonts w:eastAsia="Calibri"/>
          <w:lang w:val="es-ES_tradnl"/>
        </w:rPr>
        <w:t>núm.</w:t>
      </w:r>
      <w:r w:rsidRPr="00D503CF">
        <w:rPr>
          <w:lang w:val="pt-PT"/>
        </w:rPr>
        <w:t xml:space="preserve"> 250-2016-MINSA. </w:t>
      </w:r>
      <w:r w:rsidRPr="001D1DB6">
        <w:t xml:space="preserve">Publicado en el Diario Oficial </w:t>
      </w:r>
      <w:r w:rsidRPr="00353E55">
        <w:rPr>
          <w:i/>
        </w:rPr>
        <w:t>E</w:t>
      </w:r>
      <w:r>
        <w:rPr>
          <w:i/>
        </w:rPr>
        <w:t>l </w:t>
      </w:r>
      <w:r w:rsidRPr="00353E55">
        <w:rPr>
          <w:i/>
        </w:rPr>
        <w:t>Peruano</w:t>
      </w:r>
      <w:r w:rsidRPr="001D1DB6">
        <w:t>: 16.04.2016.</w:t>
      </w:r>
    </w:p>
  </w:footnote>
  <w:footnote w:id="225">
    <w:p w:rsidR="00F046F7" w:rsidRPr="00D503CF" w:rsidRDefault="00F046F7">
      <w:pPr>
        <w:pStyle w:val="Textonotapie"/>
        <w:rPr>
          <w:sz w:val="16"/>
          <w:szCs w:val="16"/>
          <w:lang w:val="pt-PT"/>
        </w:rPr>
      </w:pPr>
      <w:r>
        <w:tab/>
      </w:r>
      <w:r w:rsidRPr="001D1DB6">
        <w:rPr>
          <w:rStyle w:val="Refdenotaalpie"/>
          <w:sz w:val="16"/>
          <w:szCs w:val="16"/>
        </w:rPr>
        <w:footnoteRef/>
      </w:r>
      <w:r>
        <w:tab/>
      </w:r>
      <w:r w:rsidRPr="001D1DB6">
        <w:t xml:space="preserve">COMISIÓN MULTISECTORIAL DE ALTO NIVEL. </w:t>
      </w:r>
      <w:r w:rsidRPr="00D503CF">
        <w:rPr>
          <w:lang w:val="pt-PT"/>
        </w:rPr>
        <w:t xml:space="preserve">Informe </w:t>
      </w:r>
      <w:r>
        <w:rPr>
          <w:rFonts w:eastAsia="Calibri"/>
          <w:lang w:val="es-ES_tradnl"/>
        </w:rPr>
        <w:t>núm.</w:t>
      </w:r>
      <w:r w:rsidRPr="00D503CF">
        <w:rPr>
          <w:lang w:val="pt-PT"/>
        </w:rPr>
        <w:t xml:space="preserve"> 1123-2016/CMAN. Óp. Cit. Págs.</w:t>
      </w:r>
      <w:r>
        <w:rPr>
          <w:lang w:val="pt-PT"/>
        </w:rPr>
        <w:t> </w:t>
      </w:r>
      <w:r w:rsidRPr="00D503CF">
        <w:rPr>
          <w:lang w:val="pt-PT"/>
        </w:rPr>
        <w:t xml:space="preserve">7. </w:t>
      </w:r>
    </w:p>
  </w:footnote>
  <w:footnote w:id="226">
    <w:p w:rsidR="00F046F7" w:rsidRPr="00D503CF" w:rsidRDefault="00F046F7">
      <w:pPr>
        <w:pStyle w:val="Textonotapie"/>
        <w:rPr>
          <w:sz w:val="16"/>
          <w:szCs w:val="16"/>
          <w:lang w:val="pt-PT"/>
        </w:rPr>
      </w:pPr>
      <w:r>
        <w:rPr>
          <w:lang w:val="pt-PT"/>
        </w:rPr>
        <w:tab/>
      </w:r>
      <w:r w:rsidRPr="001D1DB6">
        <w:rPr>
          <w:rStyle w:val="Refdenotaalpie"/>
          <w:sz w:val="16"/>
          <w:szCs w:val="16"/>
        </w:rPr>
        <w:footnoteRef/>
      </w:r>
      <w:r>
        <w:rPr>
          <w:lang w:val="pt-PT"/>
        </w:rPr>
        <w:tab/>
      </w:r>
      <w:r w:rsidRPr="00D503CF">
        <w:rPr>
          <w:lang w:val="pt-PT"/>
        </w:rPr>
        <w:t>Ídem, p. 7.</w:t>
      </w:r>
    </w:p>
  </w:footnote>
  <w:footnote w:id="227">
    <w:p w:rsidR="00F046F7" w:rsidRPr="00D503CF" w:rsidRDefault="00F046F7">
      <w:pPr>
        <w:pStyle w:val="Textonotapie"/>
        <w:rPr>
          <w:sz w:val="16"/>
          <w:szCs w:val="16"/>
          <w:lang w:val="pt-PT"/>
        </w:rPr>
      </w:pPr>
      <w:r>
        <w:rPr>
          <w:lang w:val="pt-PT"/>
        </w:rPr>
        <w:tab/>
      </w:r>
      <w:r w:rsidRPr="001D1DB6">
        <w:rPr>
          <w:rStyle w:val="Refdenotaalpie"/>
          <w:sz w:val="16"/>
          <w:szCs w:val="16"/>
        </w:rPr>
        <w:footnoteRef/>
      </w:r>
      <w:r>
        <w:rPr>
          <w:lang w:val="pt-PT"/>
        </w:rPr>
        <w:tab/>
      </w:r>
      <w:r w:rsidRPr="00574AEE">
        <w:rPr>
          <w:i/>
          <w:lang w:val="pt-PT"/>
        </w:rPr>
        <w:t>Ib</w:t>
      </w:r>
      <w:r w:rsidR="00AA3175" w:rsidRPr="00574AEE">
        <w:rPr>
          <w:i/>
          <w:lang w:val="pt-PT"/>
        </w:rPr>
        <w:t>id.</w:t>
      </w:r>
    </w:p>
  </w:footnote>
  <w:footnote w:id="228">
    <w:p w:rsidR="00F046F7" w:rsidRPr="00D503CF" w:rsidRDefault="00F046F7">
      <w:pPr>
        <w:pStyle w:val="Textonotapie"/>
        <w:rPr>
          <w:sz w:val="16"/>
          <w:szCs w:val="16"/>
          <w:lang w:val="pt-PT"/>
        </w:rPr>
      </w:pPr>
      <w:r>
        <w:rPr>
          <w:lang w:val="pt-PT"/>
        </w:rPr>
        <w:tab/>
      </w:r>
      <w:r w:rsidRPr="001D1DB6">
        <w:rPr>
          <w:rStyle w:val="Refdenotaalpie"/>
          <w:sz w:val="16"/>
          <w:szCs w:val="16"/>
        </w:rPr>
        <w:footnoteRef/>
      </w:r>
      <w:r w:rsidRPr="00D503CF">
        <w:rPr>
          <w:lang w:val="pt-PT"/>
        </w:rPr>
        <w:tab/>
      </w:r>
      <w:r w:rsidR="00AA3175" w:rsidRPr="006B39CB">
        <w:rPr>
          <w:i/>
          <w:lang w:val="pt-PT"/>
        </w:rPr>
        <w:t>Ibid.</w:t>
      </w:r>
    </w:p>
  </w:footnote>
  <w:footnote w:id="229">
    <w:p w:rsidR="00F046F7" w:rsidRPr="00D503CF" w:rsidRDefault="00F046F7" w:rsidP="00574AEE">
      <w:pPr>
        <w:pStyle w:val="Textonotapie"/>
        <w:rPr>
          <w:sz w:val="16"/>
          <w:szCs w:val="16"/>
          <w:lang w:val="pt-PT"/>
        </w:rPr>
      </w:pPr>
      <w:r>
        <w:rPr>
          <w:sz w:val="16"/>
          <w:szCs w:val="16"/>
          <w:lang w:val="pt-PT"/>
        </w:rPr>
        <w:tab/>
      </w:r>
      <w:r w:rsidRPr="001D1DB6">
        <w:rPr>
          <w:rStyle w:val="Refdenotaalpie"/>
          <w:sz w:val="16"/>
          <w:szCs w:val="16"/>
        </w:rPr>
        <w:footnoteRef/>
      </w:r>
      <w:r>
        <w:rPr>
          <w:sz w:val="16"/>
          <w:szCs w:val="16"/>
          <w:lang w:val="pt-PT"/>
        </w:rPr>
        <w:tab/>
      </w:r>
      <w:r w:rsidR="00AA3175" w:rsidRPr="006B39CB">
        <w:rPr>
          <w:i/>
          <w:lang w:val="pt-PT"/>
        </w:rPr>
        <w:t>Ibid.</w:t>
      </w:r>
    </w:p>
  </w:footnote>
  <w:footnote w:id="230">
    <w:p w:rsidR="00F046F7" w:rsidRPr="00574AEE" w:rsidRDefault="00F046F7" w:rsidP="00574AEE">
      <w:pPr>
        <w:pStyle w:val="Textonotapie"/>
        <w:rPr>
          <w:lang w:val="pt-PT"/>
        </w:rPr>
      </w:pPr>
      <w:r>
        <w:rPr>
          <w:sz w:val="16"/>
          <w:szCs w:val="16"/>
          <w:lang w:val="pt-PT"/>
        </w:rPr>
        <w:tab/>
      </w:r>
      <w:r w:rsidRPr="001D1DB6">
        <w:rPr>
          <w:rStyle w:val="Refdenotaalpie"/>
          <w:sz w:val="16"/>
          <w:szCs w:val="16"/>
        </w:rPr>
        <w:footnoteRef/>
      </w:r>
      <w:r>
        <w:rPr>
          <w:sz w:val="16"/>
          <w:szCs w:val="16"/>
          <w:lang w:val="pt-PT"/>
        </w:rPr>
        <w:tab/>
      </w:r>
      <w:r w:rsidR="00AA3175" w:rsidRPr="006B39CB">
        <w:rPr>
          <w:i/>
          <w:lang w:val="pt-PT"/>
        </w:rPr>
        <w:t>Ibid.</w:t>
      </w:r>
    </w:p>
  </w:footnote>
  <w:footnote w:id="231">
    <w:p w:rsidR="00F046F7" w:rsidRPr="00574AEE" w:rsidRDefault="00F046F7">
      <w:pPr>
        <w:pStyle w:val="Textonotapie"/>
        <w:rPr>
          <w:sz w:val="16"/>
          <w:szCs w:val="16"/>
          <w:lang w:val="pt-PT"/>
        </w:rPr>
      </w:pPr>
      <w:r w:rsidRPr="00574AEE">
        <w:rPr>
          <w:lang w:val="pt-PT"/>
        </w:rPr>
        <w:tab/>
      </w:r>
      <w:r w:rsidRPr="001D1DB6">
        <w:rPr>
          <w:rStyle w:val="Refdenotaalpie"/>
          <w:sz w:val="16"/>
          <w:szCs w:val="16"/>
        </w:rPr>
        <w:footnoteRef/>
      </w:r>
      <w:r w:rsidRPr="00574AEE">
        <w:rPr>
          <w:lang w:val="pt-PT"/>
        </w:rPr>
        <w:t xml:space="preserve"> </w:t>
      </w:r>
      <w:r w:rsidRPr="00574AEE">
        <w:rPr>
          <w:lang w:val="pt-PT"/>
        </w:rPr>
        <w:tab/>
      </w:r>
      <w:r w:rsidR="00AA3175" w:rsidRPr="006B39CB">
        <w:rPr>
          <w:i/>
          <w:lang w:val="pt-PT"/>
        </w:rPr>
        <w:t>Ibid.</w:t>
      </w:r>
      <w:r w:rsidRPr="00574AEE">
        <w:rPr>
          <w:lang w:val="pt-PT"/>
        </w:rPr>
        <w:t>, p. 8.</w:t>
      </w:r>
    </w:p>
  </w:footnote>
  <w:footnote w:id="232">
    <w:p w:rsidR="00F046F7" w:rsidRPr="001D1DB6" w:rsidRDefault="00F046F7">
      <w:pPr>
        <w:pStyle w:val="Textonotapie"/>
        <w:rPr>
          <w:sz w:val="16"/>
          <w:szCs w:val="16"/>
        </w:rPr>
      </w:pPr>
      <w:r w:rsidRPr="00574AEE">
        <w:rPr>
          <w:lang w:val="pt-PT"/>
        </w:rPr>
        <w:tab/>
      </w:r>
      <w:r w:rsidRPr="001D1DB6">
        <w:rPr>
          <w:rStyle w:val="Refdenotaalpie"/>
          <w:sz w:val="16"/>
          <w:szCs w:val="16"/>
        </w:rPr>
        <w:footnoteRef/>
      </w:r>
      <w:r w:rsidRPr="001D1DB6">
        <w:t xml:space="preserve"> </w:t>
      </w:r>
      <w:r w:rsidRPr="001D1DB6">
        <w:tab/>
      </w:r>
      <w:r w:rsidR="00AA3175" w:rsidRPr="006B39CB">
        <w:rPr>
          <w:i/>
          <w:lang w:val="pt-PT"/>
        </w:rPr>
        <w:t>Ibid.</w:t>
      </w:r>
    </w:p>
  </w:footnote>
  <w:footnote w:id="233">
    <w:p w:rsidR="00F046F7" w:rsidRPr="001D1DB6" w:rsidRDefault="00F046F7">
      <w:pPr>
        <w:pStyle w:val="Textonotapie"/>
        <w:rPr>
          <w:sz w:val="16"/>
          <w:szCs w:val="16"/>
        </w:rPr>
      </w:pPr>
      <w:r>
        <w:tab/>
      </w:r>
      <w:r w:rsidRPr="001D1DB6">
        <w:rPr>
          <w:rStyle w:val="Refdenotaalpie"/>
          <w:sz w:val="16"/>
          <w:szCs w:val="16"/>
        </w:rPr>
        <w:footnoteRef/>
      </w:r>
      <w:r w:rsidRPr="001D1DB6">
        <w:t xml:space="preserve"> </w:t>
      </w:r>
      <w:r w:rsidRPr="001D1DB6">
        <w:tab/>
      </w:r>
      <w:r w:rsidR="00AA3175" w:rsidRPr="006B39CB">
        <w:rPr>
          <w:i/>
          <w:lang w:val="pt-PT"/>
        </w:rPr>
        <w:t>Ibid.</w:t>
      </w:r>
    </w:p>
  </w:footnote>
  <w:footnote w:id="234">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COMISIÓN MULTISECTORIAL DE ALTO NIVEL. Oficio </w:t>
      </w:r>
      <w:r>
        <w:rPr>
          <w:rFonts w:eastAsia="Calibri"/>
          <w:lang w:val="es-ES_tradnl"/>
        </w:rPr>
        <w:t>núm.</w:t>
      </w:r>
      <w:r w:rsidRPr="001D1DB6">
        <w:t xml:space="preserve"> 2266-2016-JUS/CMAN-ST. Fecha: 30.12.2016. Pág. 2.</w:t>
      </w:r>
    </w:p>
  </w:footnote>
  <w:footnote w:id="235">
    <w:p w:rsidR="00F046F7" w:rsidRPr="001D1DB6" w:rsidRDefault="00F046F7">
      <w:pPr>
        <w:pStyle w:val="Textonotapie"/>
        <w:rPr>
          <w:sz w:val="16"/>
          <w:szCs w:val="16"/>
        </w:rPr>
      </w:pPr>
      <w:r>
        <w:tab/>
      </w:r>
      <w:r w:rsidRPr="001D1DB6">
        <w:rPr>
          <w:rStyle w:val="Refdenotaalpie"/>
          <w:sz w:val="16"/>
          <w:szCs w:val="16"/>
        </w:rPr>
        <w:footnoteRef/>
      </w:r>
      <w:r>
        <w:tab/>
      </w:r>
      <w:r w:rsidR="00AA3175" w:rsidRPr="006B39CB">
        <w:rPr>
          <w:i/>
          <w:lang w:val="pt-PT"/>
        </w:rPr>
        <w:t>Ibid.</w:t>
      </w:r>
    </w:p>
  </w:footnote>
  <w:footnote w:id="236">
    <w:p w:rsidR="00F046F7" w:rsidRPr="00EA4A0D" w:rsidRDefault="00F046F7">
      <w:pPr>
        <w:pStyle w:val="Textonotapie"/>
        <w:rPr>
          <w:sz w:val="16"/>
          <w:szCs w:val="16"/>
        </w:rPr>
      </w:pPr>
      <w:r>
        <w:rPr>
          <w:rStyle w:val="TextonotapieCar"/>
        </w:rPr>
        <w:tab/>
      </w:r>
      <w:r w:rsidRPr="001D1DB6">
        <w:rPr>
          <w:rStyle w:val="Refdenotaalpie"/>
          <w:sz w:val="16"/>
          <w:szCs w:val="16"/>
        </w:rPr>
        <w:footnoteRef/>
      </w:r>
      <w:r>
        <w:rPr>
          <w:rStyle w:val="TextonotapieCar"/>
        </w:rPr>
        <w:tab/>
      </w:r>
      <w:r w:rsidRPr="000F5DFF">
        <w:rPr>
          <w:rStyle w:val="TextonotapieCar"/>
        </w:rPr>
        <w:t xml:space="preserve">MINISTERIO DE JUSTICIA Y DERECHOS HUMANOS. D.S. </w:t>
      </w:r>
      <w:r>
        <w:rPr>
          <w:rFonts w:eastAsia="Calibri"/>
          <w:lang w:val="es-ES_tradnl"/>
        </w:rPr>
        <w:t>núm.</w:t>
      </w:r>
      <w:r w:rsidRPr="000F5DFF">
        <w:rPr>
          <w:rStyle w:val="TextonotapieCar"/>
        </w:rPr>
        <w:t xml:space="preserve"> 012-2016-JUS. Publicado en el Diario Oficial </w:t>
      </w:r>
      <w:r w:rsidRPr="00353E55">
        <w:rPr>
          <w:i/>
        </w:rPr>
        <w:t>El Peruano</w:t>
      </w:r>
      <w:r w:rsidRPr="000F5DFF">
        <w:rPr>
          <w:rStyle w:val="TextonotapieCar"/>
        </w:rPr>
        <w:t>: 08.09.2016.</w:t>
      </w:r>
    </w:p>
  </w:footnote>
  <w:footnote w:id="237">
    <w:p w:rsidR="00F046F7" w:rsidRPr="00EA4A0D" w:rsidRDefault="00F046F7">
      <w:pPr>
        <w:pStyle w:val="Textonotapie"/>
        <w:rPr>
          <w:sz w:val="16"/>
          <w:szCs w:val="16"/>
        </w:rPr>
      </w:pPr>
      <w:r>
        <w:tab/>
      </w:r>
      <w:r w:rsidRPr="00EA4A0D">
        <w:rPr>
          <w:rStyle w:val="Refdenotaalpie"/>
          <w:sz w:val="16"/>
          <w:szCs w:val="16"/>
        </w:rPr>
        <w:footnoteRef/>
      </w:r>
      <w:r>
        <w:tab/>
      </w:r>
      <w:r w:rsidRPr="00EA4A0D">
        <w:t xml:space="preserve">MINISTERIO DE JUSTICIA Y DERECHOS HUMANOS. </w:t>
      </w:r>
      <w:r>
        <w:t>R.M.</w:t>
      </w:r>
      <w:r w:rsidRPr="00EA4A0D">
        <w:t xml:space="preserve"> </w:t>
      </w:r>
      <w:r>
        <w:rPr>
          <w:rFonts w:eastAsia="Calibri"/>
          <w:lang w:val="es-ES_tradnl"/>
        </w:rPr>
        <w:t>núm.</w:t>
      </w:r>
      <w:r w:rsidRPr="00EA4A0D">
        <w:t xml:space="preserve"> 0063-2017-JUS. Publicado en el Diario Oficial </w:t>
      </w:r>
      <w:r w:rsidRPr="00353E55">
        <w:rPr>
          <w:i/>
        </w:rPr>
        <w:t>El Peruano</w:t>
      </w:r>
      <w:r>
        <w:t>: 10.03.2017. Artículo 2.</w:t>
      </w:r>
    </w:p>
  </w:footnote>
  <w:footnote w:id="238">
    <w:p w:rsidR="00F046F7" w:rsidRPr="00430F6C" w:rsidRDefault="00F046F7">
      <w:pPr>
        <w:pStyle w:val="Textonotapie"/>
        <w:rPr>
          <w:rFonts w:ascii="Arial" w:hAnsi="Arial" w:cs="Arial"/>
          <w:sz w:val="16"/>
          <w:szCs w:val="16"/>
        </w:rPr>
      </w:pPr>
      <w:r>
        <w:tab/>
      </w:r>
      <w:r w:rsidRPr="00EA4A0D">
        <w:rPr>
          <w:rStyle w:val="Refdenotaalpie"/>
          <w:sz w:val="16"/>
          <w:szCs w:val="16"/>
        </w:rPr>
        <w:footnoteRef/>
      </w:r>
      <w:r>
        <w:tab/>
      </w:r>
      <w:r w:rsidRPr="00EA4A0D">
        <w:t xml:space="preserve">JUSTICIA Y DERECHOS HUMANOS. Decreto Supremo que modifica el artículo 2° del Decreto Supremo </w:t>
      </w:r>
      <w:r>
        <w:rPr>
          <w:rFonts w:eastAsia="Calibri"/>
          <w:lang w:val="es-ES_tradnl"/>
        </w:rPr>
        <w:t>núm.</w:t>
      </w:r>
      <w:r w:rsidRPr="00EA4A0D">
        <w:t xml:space="preserve"> 011-2012-PCM. Publicado en el Diario Oficial </w:t>
      </w:r>
      <w:r w:rsidRPr="00353E55">
        <w:rPr>
          <w:i/>
        </w:rPr>
        <w:t>El Peruano</w:t>
      </w:r>
      <w:r>
        <w:t>: 19.03.2017. Artículo 1.</w:t>
      </w:r>
    </w:p>
  </w:footnote>
  <w:footnote w:id="239">
    <w:p w:rsidR="00F046F7" w:rsidRPr="001D1DB6" w:rsidRDefault="00F046F7">
      <w:pPr>
        <w:pStyle w:val="Textonotapie"/>
        <w:rPr>
          <w:color w:val="000000" w:themeColor="text1"/>
          <w:sz w:val="16"/>
          <w:szCs w:val="16"/>
          <w:lang w:val="es-ES_tradnl"/>
        </w:rPr>
      </w:pPr>
      <w:r>
        <w:tab/>
      </w:r>
      <w:r w:rsidRPr="001D1DB6">
        <w:rPr>
          <w:rStyle w:val="Refdenotaalpie"/>
          <w:color w:val="000000" w:themeColor="text1"/>
          <w:sz w:val="16"/>
          <w:szCs w:val="16"/>
        </w:rPr>
        <w:footnoteRef/>
      </w:r>
      <w:r>
        <w:tab/>
      </w:r>
      <w:r w:rsidRPr="001D1DB6">
        <w:t xml:space="preserve">CONGRESO DE LA REPÚBLICA. </w:t>
      </w:r>
      <w:r>
        <w:t>P</w:t>
      </w:r>
      <w:r w:rsidRPr="001D1DB6">
        <w:rPr>
          <w:lang w:val="es-ES_tradnl"/>
        </w:rPr>
        <w:t>e</w:t>
      </w:r>
      <w:r>
        <w:rPr>
          <w:lang w:val="es-ES_tradnl"/>
        </w:rPr>
        <w:t xml:space="preserve">ríodo parlamentario 2011-2016. </w:t>
      </w:r>
      <w:r w:rsidRPr="001D1DB6">
        <w:t xml:space="preserve">Expediente del Proyecto de Ley </w:t>
      </w:r>
      <w:r>
        <w:rPr>
          <w:rFonts w:eastAsia="Calibri"/>
          <w:lang w:val="es-ES_tradnl"/>
        </w:rPr>
        <w:t>núm.</w:t>
      </w:r>
      <w:r>
        <w:t xml:space="preserve"> </w:t>
      </w:r>
      <w:r w:rsidRPr="001D1DB6">
        <w:t xml:space="preserve">03491 “Ley del Nuevo Código Penal”. </w:t>
      </w:r>
      <w:r w:rsidRPr="001D1DB6">
        <w:rPr>
          <w:lang w:val="es-ES_tradnl"/>
        </w:rPr>
        <w:t>Artículo 162°. Pág. 89. Con</w:t>
      </w:r>
      <w:r>
        <w:rPr>
          <w:lang w:val="es-ES_tradnl"/>
        </w:rPr>
        <w:t xml:space="preserve">sulta: 14.10.2016. Disponible: </w:t>
      </w:r>
      <w:r w:rsidRPr="001D1DB6">
        <w:rPr>
          <w:lang w:val="es-ES_tradnl"/>
        </w:rPr>
        <w:t>http://www2.congreso.gob.pe/sicr/tradocestproc/Expvirt_2011.nsf/vis</w:t>
      </w:r>
      <w:r>
        <w:rPr>
          <w:lang w:val="es-ES_tradnl"/>
        </w:rPr>
        <w:t>busqptramdoc/</w:t>
      </w:r>
      <w:r>
        <w:rPr>
          <w:lang w:val="es-ES_tradnl"/>
        </w:rPr>
        <w:br/>
        <w:t>03491?opendocument</w:t>
      </w:r>
      <w:r w:rsidR="00D17826">
        <w:rPr>
          <w:lang w:val="es-ES_tradnl"/>
        </w:rPr>
        <w:t>.</w:t>
      </w:r>
    </w:p>
  </w:footnote>
  <w:footnote w:id="240">
    <w:p w:rsidR="00F046F7" w:rsidRPr="00D503CF" w:rsidRDefault="00F046F7">
      <w:pPr>
        <w:pStyle w:val="Textonotapie"/>
        <w:rPr>
          <w:sz w:val="16"/>
          <w:szCs w:val="16"/>
          <w:lang w:val="pt-PT"/>
        </w:rPr>
      </w:pPr>
      <w:r>
        <w:tab/>
      </w:r>
      <w:r w:rsidRPr="001D1DB6">
        <w:rPr>
          <w:rStyle w:val="Refdenotaalpie"/>
          <w:sz w:val="16"/>
          <w:szCs w:val="16"/>
        </w:rPr>
        <w:footnoteRef/>
      </w:r>
      <w:r>
        <w:tab/>
      </w:r>
      <w:r w:rsidRPr="001D1DB6">
        <w:t xml:space="preserve">COMISIÓN INTERAMERICANA DE DERECHOS HUMANOS. </w:t>
      </w:r>
      <w:r w:rsidRPr="00D503CF">
        <w:rPr>
          <w:lang w:val="pt-PT"/>
        </w:rPr>
        <w:t xml:space="preserve">Medida cautelar </w:t>
      </w:r>
      <w:r>
        <w:rPr>
          <w:rFonts w:eastAsia="Calibri"/>
          <w:lang w:val="es-ES_tradnl"/>
        </w:rPr>
        <w:t>núm.</w:t>
      </w:r>
      <w:r w:rsidRPr="00D503CF">
        <w:rPr>
          <w:lang w:val="pt-PT"/>
        </w:rPr>
        <w:t xml:space="preserve"> 452-11. Consulta: 27.12.2016. Disponible: https://www.oas.org/es/cidh/decisiones/pdf/2014/MC452-11-ES.pdf</w:t>
      </w:r>
      <w:r w:rsidR="00D17826">
        <w:rPr>
          <w:lang w:val="pt-PT"/>
        </w:rPr>
        <w:t>.</w:t>
      </w:r>
    </w:p>
  </w:footnote>
  <w:footnote w:id="241">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División de Orden Público y Seguridad de Cajamarca nos envía el Informe </w:t>
      </w:r>
      <w:r>
        <w:rPr>
          <w:rFonts w:eastAsia="Calibri"/>
          <w:lang w:val="es-ES_tradnl"/>
        </w:rPr>
        <w:t>núm.</w:t>
      </w:r>
      <w:r w:rsidRPr="001D1DB6">
        <w:t xml:space="preserve"> 155-2016-REGPOL-CAJAMARCA/DEPSEEST</w:t>
      </w:r>
      <w:r>
        <w:t>.</w:t>
      </w:r>
    </w:p>
  </w:footnote>
  <w:footnote w:id="242">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MINISTERIO DEL INTERIOR. Oficio </w:t>
      </w:r>
      <w:r>
        <w:rPr>
          <w:rFonts w:eastAsia="Calibri"/>
          <w:lang w:val="es-ES_tradnl"/>
        </w:rPr>
        <w:t>núm.</w:t>
      </w:r>
      <w:r w:rsidRPr="001D1DB6">
        <w:t xml:space="preserve"> 001784-2016/IN/DGSD</w:t>
      </w:r>
      <w:r>
        <w:t xml:space="preserve">. Fecha: </w:t>
      </w:r>
      <w:r w:rsidRPr="001D1DB6">
        <w:t>3</w:t>
      </w:r>
      <w:r>
        <w:t>.11.</w:t>
      </w:r>
      <w:r w:rsidRPr="001D1DB6">
        <w:t>2016. Página 14.</w:t>
      </w:r>
    </w:p>
  </w:footnote>
  <w:footnote w:id="243">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 xml:space="preserve">CONGRESO DE LA REPÚBLICA. Ley </w:t>
      </w:r>
      <w:r>
        <w:rPr>
          <w:rFonts w:eastAsia="Calibri"/>
          <w:lang w:val="es-ES_tradnl"/>
        </w:rPr>
        <w:t>núm.</w:t>
      </w:r>
      <w:r w:rsidRPr="001D1DB6">
        <w:t xml:space="preserve"> 30403. Publicada en el Diario Oficial </w:t>
      </w:r>
      <w:r w:rsidRPr="00353E55">
        <w:rPr>
          <w:i/>
        </w:rPr>
        <w:t>El Peruano</w:t>
      </w:r>
      <w:r w:rsidRPr="001D1DB6">
        <w:t>: 30.12.2015.</w:t>
      </w:r>
    </w:p>
  </w:footnote>
  <w:footnote w:id="244">
    <w:p w:rsidR="00F046F7" w:rsidRPr="001D1DB6" w:rsidRDefault="00F046F7">
      <w:pPr>
        <w:pStyle w:val="Textonotapie"/>
        <w:rPr>
          <w:sz w:val="16"/>
          <w:szCs w:val="16"/>
        </w:rPr>
      </w:pPr>
      <w:r>
        <w:tab/>
      </w:r>
      <w:r w:rsidRPr="001D1DB6">
        <w:rPr>
          <w:rStyle w:val="Refdenotaalpie"/>
          <w:rFonts w:eastAsiaTheme="majorEastAsia"/>
          <w:sz w:val="16"/>
          <w:szCs w:val="16"/>
        </w:rPr>
        <w:footnoteRef/>
      </w:r>
      <w:r>
        <w:t xml:space="preserve"> </w:t>
      </w:r>
      <w:r w:rsidRPr="001D1DB6">
        <w:tab/>
        <w:t xml:space="preserve">MINISTERIO DE LA MUJER Y POBLACIONES VULNERABLES. </w:t>
      </w:r>
      <w:r w:rsidRPr="00D503CF">
        <w:rPr>
          <w:lang w:val="pt-PT"/>
        </w:rPr>
        <w:t xml:space="preserve">DGNNA. Oficio </w:t>
      </w:r>
      <w:r>
        <w:rPr>
          <w:rFonts w:eastAsia="Calibri"/>
          <w:lang w:val="es-ES_tradnl"/>
        </w:rPr>
        <w:t>núm.</w:t>
      </w:r>
      <w:r>
        <w:rPr>
          <w:lang w:val="pt-PT"/>
        </w:rPr>
        <w:t> </w:t>
      </w:r>
      <w:r w:rsidRPr="00D503CF">
        <w:rPr>
          <w:lang w:val="pt-PT"/>
        </w:rPr>
        <w:t>507</w:t>
      </w:r>
      <w:r>
        <w:rPr>
          <w:lang w:val="pt-PT"/>
        </w:rPr>
        <w:noBreakHyphen/>
      </w:r>
      <w:r w:rsidRPr="00D503CF">
        <w:rPr>
          <w:lang w:val="pt-PT"/>
        </w:rPr>
        <w:t xml:space="preserve">2016-MIMP/DGNNA. </w:t>
      </w:r>
      <w:r w:rsidRPr="001D1DB6">
        <w:t>Fecha: 19.10.16.</w:t>
      </w:r>
      <w:r>
        <w:t xml:space="preserve"> </w:t>
      </w:r>
      <w:r w:rsidRPr="001D1DB6">
        <w:t xml:space="preserve">Informe </w:t>
      </w:r>
      <w:r>
        <w:rPr>
          <w:rFonts w:eastAsia="Calibri"/>
          <w:lang w:val="es-ES_tradnl"/>
        </w:rPr>
        <w:t>núm.</w:t>
      </w:r>
      <w:r w:rsidRPr="001D1DB6">
        <w:t xml:space="preserve"> 063-2016-MIMP-DGNNA-OAAA. Fecha: 17.10.16. Página 2.</w:t>
      </w:r>
    </w:p>
  </w:footnote>
  <w:footnote w:id="245">
    <w:p w:rsidR="00F046F7" w:rsidRPr="001D1DB6" w:rsidRDefault="00F046F7">
      <w:pPr>
        <w:pStyle w:val="Textonotapie"/>
        <w:rPr>
          <w:sz w:val="16"/>
          <w:szCs w:val="16"/>
        </w:rPr>
      </w:pPr>
      <w:r>
        <w:rPr>
          <w:rFonts w:eastAsiaTheme="majorEastAsia"/>
          <w:sz w:val="16"/>
          <w:szCs w:val="16"/>
        </w:rPr>
        <w:tab/>
      </w:r>
      <w:r w:rsidRPr="001D1DB6">
        <w:rPr>
          <w:rStyle w:val="Refdenotaalpie"/>
          <w:rFonts w:eastAsiaTheme="majorEastAsia"/>
          <w:sz w:val="16"/>
          <w:szCs w:val="16"/>
        </w:rPr>
        <w:footnoteRef/>
      </w:r>
      <w:r w:rsidRPr="001D1DB6">
        <w:rPr>
          <w:rStyle w:val="Refdenotaalpie"/>
          <w:rFonts w:eastAsiaTheme="majorEastAsia"/>
          <w:sz w:val="16"/>
          <w:szCs w:val="16"/>
        </w:rPr>
        <w:t xml:space="preserve"> </w:t>
      </w:r>
      <w:r w:rsidRPr="001D1DB6">
        <w:rPr>
          <w:rFonts w:eastAsiaTheme="majorEastAsia"/>
        </w:rPr>
        <w:tab/>
      </w:r>
      <w:r w:rsidRPr="001D1DB6">
        <w:t xml:space="preserve">MINISTERIO DE LA MUJER Y POBLACIONES VULNERABLES. </w:t>
      </w:r>
      <w:r w:rsidRPr="00D503CF">
        <w:rPr>
          <w:lang w:val="pt-PT"/>
        </w:rPr>
        <w:t xml:space="preserve">DGNNA. Oficio </w:t>
      </w:r>
      <w:r>
        <w:rPr>
          <w:rFonts w:eastAsia="Calibri"/>
          <w:lang w:val="es-ES_tradnl"/>
        </w:rPr>
        <w:t>núm.</w:t>
      </w:r>
      <w:r>
        <w:rPr>
          <w:lang w:val="pt-PT"/>
        </w:rPr>
        <w:t> </w:t>
      </w:r>
      <w:r w:rsidRPr="00D503CF">
        <w:rPr>
          <w:lang w:val="pt-PT"/>
        </w:rPr>
        <w:t>541</w:t>
      </w:r>
      <w:r>
        <w:rPr>
          <w:lang w:val="pt-PT"/>
        </w:rPr>
        <w:t> </w:t>
      </w:r>
      <w:r w:rsidRPr="00D503CF">
        <w:rPr>
          <w:lang w:val="pt-PT"/>
        </w:rPr>
        <w:t xml:space="preserve">2016-MIMP/DGNNA. </w:t>
      </w:r>
      <w:r w:rsidRPr="001D1DB6">
        <w:t>Fecha: 10.11.16.</w:t>
      </w:r>
      <w:r>
        <w:t xml:space="preserve"> </w:t>
      </w:r>
      <w:r w:rsidRPr="001D1DB6">
        <w:t xml:space="preserve">Informe </w:t>
      </w:r>
      <w:r>
        <w:rPr>
          <w:rFonts w:eastAsia="Calibri"/>
          <w:lang w:val="es-ES_tradnl"/>
        </w:rPr>
        <w:t>núm.</w:t>
      </w:r>
      <w:r w:rsidRPr="001D1DB6">
        <w:t xml:space="preserve"> 072-2016-MIMP-DGNNA-OAAA. Fecha: 07.11.16. Página 2.</w:t>
      </w:r>
    </w:p>
  </w:footnote>
  <w:footnote w:id="246">
    <w:p w:rsidR="00F046F7" w:rsidRPr="001D1DB6" w:rsidRDefault="00F046F7">
      <w:pPr>
        <w:pStyle w:val="Textonotapie"/>
        <w:rPr>
          <w:sz w:val="16"/>
          <w:szCs w:val="16"/>
        </w:rPr>
      </w:pPr>
      <w:r>
        <w:tab/>
      </w:r>
      <w:r w:rsidRPr="001D1DB6">
        <w:rPr>
          <w:rStyle w:val="Refdenotaalpie"/>
          <w:sz w:val="16"/>
          <w:szCs w:val="16"/>
        </w:rPr>
        <w:footnoteRef/>
      </w:r>
      <w:r>
        <w:tab/>
      </w:r>
      <w:r w:rsidRPr="001D1DB6">
        <w:t>MINISTERIO DE TRABAJO Y PROMOCIÓN DEL EMPLEO – ORGANIZACIÓN INTERNACIONAL DE TRABAJO. Magnitud y características del trabajo infantil en Perú – Informe 2015. Análisis de la Encuesta Nacional de Hogares (ENAHO) y de la Encuesta sobre Trabajo Infantil (ETI). Lima, noviembre de 2016. Pág. 82.</w:t>
      </w:r>
    </w:p>
  </w:footnote>
  <w:footnote w:id="247">
    <w:p w:rsidR="00F046F7" w:rsidRPr="001D1DB6" w:rsidRDefault="00F046F7">
      <w:pPr>
        <w:pStyle w:val="Textonotapie"/>
        <w:rPr>
          <w:sz w:val="16"/>
          <w:szCs w:val="16"/>
        </w:rPr>
      </w:pPr>
      <w:r>
        <w:tab/>
      </w:r>
      <w:r w:rsidRPr="001D1DB6">
        <w:rPr>
          <w:rStyle w:val="Refdenotaalpie"/>
          <w:sz w:val="16"/>
          <w:szCs w:val="16"/>
        </w:rPr>
        <w:footnoteRef/>
      </w:r>
      <w:r>
        <w:tab/>
      </w:r>
      <w:r w:rsidR="00AA3175" w:rsidRPr="006B39CB">
        <w:rPr>
          <w:i/>
          <w:lang w:val="pt-PT"/>
        </w:rPr>
        <w:t>Ibid.</w:t>
      </w:r>
    </w:p>
  </w:footnote>
  <w:footnote w:id="248">
    <w:p w:rsidR="00F046F7" w:rsidRPr="001D1DB6" w:rsidRDefault="00F046F7">
      <w:pPr>
        <w:pStyle w:val="Textonotapie"/>
      </w:pPr>
      <w:r>
        <w:tab/>
      </w:r>
      <w:r w:rsidRPr="001D1DB6">
        <w:rPr>
          <w:rStyle w:val="Refdenotaalpie"/>
          <w:rFonts w:eastAsiaTheme="majorEastAsia"/>
          <w:sz w:val="16"/>
          <w:szCs w:val="16"/>
        </w:rPr>
        <w:footnoteRef/>
      </w:r>
      <w:r>
        <w:tab/>
      </w:r>
      <w:r w:rsidRPr="001D1DB6">
        <w:t xml:space="preserve">MINISTERIO DE LA MUJER Y POBLACIONES VULNERABLES. </w:t>
      </w:r>
      <w:r w:rsidRPr="00D503CF">
        <w:rPr>
          <w:lang w:val="pt-PT"/>
        </w:rPr>
        <w:t xml:space="preserve">DGNNA. Oficio </w:t>
      </w:r>
      <w:r>
        <w:rPr>
          <w:rFonts w:eastAsia="Calibri"/>
          <w:lang w:val="es-ES_tradnl"/>
        </w:rPr>
        <w:t>núm.</w:t>
      </w:r>
      <w:r>
        <w:rPr>
          <w:lang w:val="pt-PT"/>
        </w:rPr>
        <w:t> </w:t>
      </w:r>
      <w:r w:rsidRPr="00D503CF">
        <w:rPr>
          <w:lang w:val="pt-PT"/>
        </w:rPr>
        <w:t>507</w:t>
      </w:r>
      <w:r>
        <w:rPr>
          <w:lang w:val="pt-PT"/>
        </w:rPr>
        <w:noBreakHyphen/>
      </w:r>
      <w:r w:rsidRPr="00D503CF">
        <w:rPr>
          <w:lang w:val="pt-PT"/>
        </w:rPr>
        <w:t xml:space="preserve">2016-MIMP/DGNNA. </w:t>
      </w:r>
      <w:r w:rsidRPr="001D1DB6">
        <w:t xml:space="preserve">Informe </w:t>
      </w:r>
      <w:r>
        <w:rPr>
          <w:rFonts w:eastAsia="Calibri"/>
          <w:lang w:val="es-ES_tradnl"/>
        </w:rPr>
        <w:t>núm.</w:t>
      </w:r>
      <w:r w:rsidRPr="001D1DB6">
        <w:t xml:space="preserve"> 063-2016-MIMP-DGNNA-OAAA. Fecha: 17.10.16. Página</w:t>
      </w:r>
      <w:r>
        <w:t>s</w:t>
      </w:r>
      <w:r w:rsidRPr="001D1DB6">
        <w:t xml:space="preserve"> 3 y 4.</w:t>
      </w:r>
    </w:p>
  </w:footnote>
  <w:footnote w:id="249">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 xml:space="preserve">MINISTERIO DE TRABAJO Y PROMOCIÓN DEL EMPLEO. Oficio </w:t>
      </w:r>
      <w:r>
        <w:rPr>
          <w:rFonts w:eastAsia="Calibri"/>
          <w:lang w:val="es-ES_tradnl"/>
        </w:rPr>
        <w:t>núm.</w:t>
      </w:r>
      <w:r w:rsidRPr="001D1DB6">
        <w:t xml:space="preserve"> 846-2016-MTPE, de fecha 13 de octubre de 2016. Páginas 2 y 3.</w:t>
      </w:r>
    </w:p>
  </w:footnote>
  <w:footnote w:id="250">
    <w:p w:rsidR="00F046F7" w:rsidRPr="001D1DB6" w:rsidRDefault="00F046F7">
      <w:pPr>
        <w:pStyle w:val="Textonotapie"/>
        <w:rPr>
          <w:sz w:val="16"/>
          <w:szCs w:val="16"/>
        </w:rPr>
      </w:pPr>
      <w:r>
        <w:tab/>
      </w:r>
      <w:r w:rsidRPr="001D1DB6">
        <w:rPr>
          <w:rStyle w:val="Refdenotaalpie"/>
          <w:sz w:val="16"/>
          <w:szCs w:val="16"/>
        </w:rPr>
        <w:footnoteRef/>
      </w:r>
      <w:r>
        <w:tab/>
      </w:r>
      <w:r w:rsidRPr="001D1DB6">
        <w:t>Conjuntamente con el MINTRA, MIDIS, MINEDU, Gobierno Regional de Huánuco y doce Gobiernos Locales se han promovido acciones para reducir el trabajo infantil.</w:t>
      </w:r>
    </w:p>
  </w:footnote>
  <w:footnote w:id="251">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 xml:space="preserve">MUNICIPALIDAD DE CARABAYLLO. Ordenanza </w:t>
      </w:r>
      <w:r>
        <w:rPr>
          <w:rFonts w:eastAsia="Calibri"/>
          <w:lang w:val="es-ES_tradnl"/>
        </w:rPr>
        <w:t>núm.</w:t>
      </w:r>
      <w:r w:rsidRPr="001D1DB6">
        <w:t xml:space="preserve"> 250-2011/MDC. Creación del Programa Municipal de Prevención y Erradicación del Trabajo Infantil. Publicado en el Diario Oficial </w:t>
      </w:r>
      <w:r w:rsidRPr="00353E55">
        <w:rPr>
          <w:i/>
        </w:rPr>
        <w:t>E</w:t>
      </w:r>
      <w:r>
        <w:rPr>
          <w:i/>
        </w:rPr>
        <w:t>l </w:t>
      </w:r>
      <w:r w:rsidRPr="00353E55">
        <w:rPr>
          <w:i/>
        </w:rPr>
        <w:t>Peruano</w:t>
      </w:r>
      <w:r w:rsidRPr="001D1DB6">
        <w:t>: 04.01.2012.</w:t>
      </w:r>
    </w:p>
  </w:footnote>
  <w:footnote w:id="252">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 xml:space="preserve">MINISTERIO DE TRABAJO Y PROMOCIÓN DEL EMPLEO. Oficio </w:t>
      </w:r>
      <w:r>
        <w:rPr>
          <w:rFonts w:eastAsia="Calibri"/>
          <w:lang w:val="es-ES_tradnl"/>
        </w:rPr>
        <w:t>núm.</w:t>
      </w:r>
      <w:r w:rsidRPr="001D1DB6">
        <w:t xml:space="preserve"> 846-2016-MTPE, de fecha 13 de octubre de 2016. Páginas 8,</w:t>
      </w:r>
      <w:r>
        <w:t xml:space="preserve"> </w:t>
      </w:r>
      <w:r w:rsidRPr="001D1DB6">
        <w:t>9 y 10.</w:t>
      </w:r>
    </w:p>
  </w:footnote>
  <w:footnote w:id="253">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PODER EJECUTIVO. Decreto Legislativo </w:t>
      </w:r>
      <w:r>
        <w:rPr>
          <w:rFonts w:eastAsia="Calibri"/>
          <w:lang w:val="es-ES_tradnl"/>
        </w:rPr>
        <w:t>núm.</w:t>
      </w:r>
      <w:r w:rsidRPr="001D1DB6">
        <w:t xml:space="preserve"> </w:t>
      </w:r>
      <w:r>
        <w:t>1323. Art. 3°. “Artículo 168°”.</w:t>
      </w:r>
    </w:p>
  </w:footnote>
  <w:footnote w:id="254">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 xml:space="preserve">MINISTERIO DE SALUD. </w:t>
      </w:r>
      <w:r>
        <w:t>R.M.</w:t>
      </w:r>
      <w:r w:rsidRPr="001D1DB6">
        <w:t xml:space="preserve"> </w:t>
      </w:r>
      <w:r>
        <w:rPr>
          <w:rFonts w:eastAsia="Calibri"/>
          <w:lang w:val="es-ES_tradnl"/>
        </w:rPr>
        <w:t>núm.</w:t>
      </w:r>
      <w:r w:rsidRPr="001D1DB6">
        <w:t xml:space="preserve"> 486-2014-MINSA. Publicado en el Diario Oficial </w:t>
      </w:r>
      <w:r w:rsidRPr="00353E55">
        <w:rPr>
          <w:i/>
        </w:rPr>
        <w:t>E</w:t>
      </w:r>
      <w:r>
        <w:rPr>
          <w:i/>
        </w:rPr>
        <w:t>l </w:t>
      </w:r>
      <w:r w:rsidRPr="00353E55">
        <w:rPr>
          <w:i/>
        </w:rPr>
        <w:t>Peruano</w:t>
      </w:r>
      <w:r w:rsidRPr="001D1DB6">
        <w:t>: 28.06.2014.</w:t>
      </w:r>
    </w:p>
  </w:footnote>
  <w:footnote w:id="255">
    <w:p w:rsidR="00F046F7" w:rsidRPr="00574AEE" w:rsidRDefault="00F046F7">
      <w:pPr>
        <w:pStyle w:val="Textonotapie"/>
      </w:pPr>
      <w:r>
        <w:tab/>
      </w:r>
      <w:r w:rsidRPr="001D1DB6">
        <w:rPr>
          <w:rStyle w:val="Refdenotaalpie"/>
          <w:rFonts w:eastAsiaTheme="majorEastAsia"/>
          <w:sz w:val="16"/>
          <w:szCs w:val="16"/>
        </w:rPr>
        <w:footnoteRef/>
      </w:r>
      <w:r>
        <w:tab/>
      </w:r>
      <w:r w:rsidRPr="001D1DB6">
        <w:t xml:space="preserve">MINISTERIO DE LA MUJER Y POBLACIONES VULNERABLES. VIII Informe de Avances en el Cumplimiento de la Ley </w:t>
      </w:r>
      <w:r>
        <w:rPr>
          <w:rFonts w:eastAsia="Calibri"/>
          <w:lang w:val="es-ES_tradnl"/>
        </w:rPr>
        <w:t>núm.</w:t>
      </w:r>
      <w:r w:rsidRPr="001D1DB6">
        <w:t xml:space="preserve"> 28983</w:t>
      </w:r>
      <w:r>
        <w:t xml:space="preserve">. </w:t>
      </w:r>
      <w:r w:rsidRPr="001D1DB6">
        <w:t>Per</w:t>
      </w:r>
      <w:r>
        <w:t>í</w:t>
      </w:r>
      <w:r w:rsidRPr="001D1DB6">
        <w:t>o</w:t>
      </w:r>
      <w:r>
        <w:t xml:space="preserve">do 2014. Pág. 157. Disponible: </w:t>
      </w:r>
      <w:hyperlink r:id="rId9" w:history="1">
        <w:r w:rsidRPr="00574AEE">
          <w:t>http://www.mimp.gob.pe/</w:t>
        </w:r>
        <w:r w:rsidRPr="00574AEE">
          <w:br/>
          <w:t>files/direcciones/dgignd/informes/2014-Informe_LIO.pdf</w:t>
        </w:r>
      </w:hyperlink>
      <w:r w:rsidRPr="001D1DB6">
        <w:t>. Consulta: 19.10.16.</w:t>
      </w:r>
    </w:p>
  </w:footnote>
  <w:footnote w:id="256">
    <w:p w:rsidR="00F046F7" w:rsidRPr="00574AEE" w:rsidRDefault="00F046F7">
      <w:pPr>
        <w:pStyle w:val="Textonotapie"/>
        <w:rPr>
          <w:rStyle w:val="TextonotapieCar"/>
        </w:rPr>
      </w:pPr>
      <w:r w:rsidRPr="00574AEE">
        <w:tab/>
      </w:r>
      <w:r w:rsidRPr="007D4A4A">
        <w:rPr>
          <w:rStyle w:val="Refdenotaalpie"/>
          <w:rFonts w:eastAsiaTheme="majorEastAsia"/>
          <w:sz w:val="16"/>
          <w:szCs w:val="16"/>
        </w:rPr>
        <w:footnoteRef/>
      </w:r>
      <w:r w:rsidRPr="00574AEE">
        <w:rPr>
          <w:rStyle w:val="Refdenotaalpie"/>
          <w:rFonts w:eastAsiaTheme="majorEastAsia"/>
          <w:sz w:val="16"/>
        </w:rPr>
        <w:tab/>
      </w:r>
      <w:r w:rsidRPr="00574AEE">
        <w:t>MINISTERIO DE LA MUJER Y POBLACIONES VULNERABLES. IX Informe</w:t>
      </w:r>
      <w:r w:rsidRPr="00942CBF">
        <w:rPr>
          <w:rStyle w:val="TextonotapieCar"/>
        </w:rPr>
        <w:t xml:space="preserve"> de Avances en el Cumplimiento de la Ley </w:t>
      </w:r>
      <w:r>
        <w:rPr>
          <w:rFonts w:eastAsia="Calibri"/>
          <w:lang w:val="es-ES_tradnl"/>
        </w:rPr>
        <w:t>núm.</w:t>
      </w:r>
      <w:r w:rsidRPr="00942CBF">
        <w:rPr>
          <w:rStyle w:val="TextonotapieCar"/>
        </w:rPr>
        <w:t xml:space="preserve"> 28983. Per</w:t>
      </w:r>
      <w:r>
        <w:rPr>
          <w:rStyle w:val="TextonotapieCar"/>
        </w:rPr>
        <w:t>í</w:t>
      </w:r>
      <w:r w:rsidRPr="00942CBF">
        <w:rPr>
          <w:rStyle w:val="TextonotapieCar"/>
        </w:rPr>
        <w:t xml:space="preserve">odo 2015. Pág. 157-158. Disponible: </w:t>
      </w:r>
      <w:hyperlink r:id="rId10" w:history="1">
        <w:r w:rsidRPr="00942CBF">
          <w:rPr>
            <w:rStyle w:val="TextonotapieCar"/>
          </w:rPr>
          <w:t>http://www.mimp.gob.pe/files/direcciones/dgignd/informes/2015-Informe_LIO.pdf</w:t>
        </w:r>
      </w:hyperlink>
      <w:r w:rsidRPr="00574AEE">
        <w:rPr>
          <w:rStyle w:val="TextonotapieCar"/>
        </w:rPr>
        <w:t>. Consulta: 19.10.16.</w:t>
      </w:r>
    </w:p>
  </w:footnote>
  <w:footnote w:id="257">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00AA3175" w:rsidRPr="006B39CB">
        <w:rPr>
          <w:i/>
          <w:lang w:val="pt-PT"/>
        </w:rPr>
        <w:t>Ibid.</w:t>
      </w:r>
    </w:p>
  </w:footnote>
  <w:footnote w:id="258">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 xml:space="preserve">Reglamento de la Ley </w:t>
      </w:r>
      <w:r>
        <w:rPr>
          <w:rFonts w:eastAsia="Calibri"/>
          <w:lang w:val="es-ES_tradnl"/>
        </w:rPr>
        <w:t>núm.</w:t>
      </w:r>
      <w:r w:rsidRPr="001D1DB6">
        <w:t xml:space="preserve"> 30364. Artículo 76.3.</w:t>
      </w:r>
    </w:p>
  </w:footnote>
  <w:footnote w:id="259">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MINISTERIO DE LA MUJER Y POBLACIONES VULNERABLES. </w:t>
      </w:r>
      <w:r w:rsidRPr="00D503CF">
        <w:rPr>
          <w:lang w:val="pt-PT"/>
        </w:rPr>
        <w:t xml:space="preserve">DGCVG. Oficio </w:t>
      </w:r>
      <w:r>
        <w:rPr>
          <w:rFonts w:eastAsia="Calibri"/>
          <w:lang w:val="es-ES_tradnl"/>
        </w:rPr>
        <w:t>núm.</w:t>
      </w:r>
      <w:r>
        <w:rPr>
          <w:lang w:val="pt-PT"/>
        </w:rPr>
        <w:t> </w:t>
      </w:r>
      <w:r w:rsidRPr="00D503CF">
        <w:rPr>
          <w:lang w:val="pt-PT"/>
        </w:rPr>
        <w:t>288</w:t>
      </w:r>
      <w:r>
        <w:rPr>
          <w:lang w:val="pt-PT"/>
        </w:rPr>
        <w:noBreakHyphen/>
      </w:r>
      <w:r w:rsidRPr="00D503CF">
        <w:rPr>
          <w:lang w:val="pt-PT"/>
        </w:rPr>
        <w:t xml:space="preserve">2016-MIMP/DGCVG. </w:t>
      </w:r>
      <w:r w:rsidRPr="001D1DB6">
        <w:t>Fecha: 14.09.2016. Pág. 7.</w:t>
      </w:r>
    </w:p>
  </w:footnote>
  <w:footnote w:id="260">
    <w:p w:rsidR="00F046F7" w:rsidRPr="001D1DB6" w:rsidRDefault="00F046F7">
      <w:pPr>
        <w:pStyle w:val="Textonotapie"/>
        <w:rPr>
          <w:sz w:val="16"/>
          <w:szCs w:val="16"/>
        </w:rPr>
      </w:pPr>
      <w:r>
        <w:tab/>
      </w:r>
      <w:r w:rsidRPr="001D1DB6">
        <w:rPr>
          <w:rStyle w:val="Refdenotaalpie"/>
          <w:sz w:val="16"/>
          <w:szCs w:val="16"/>
        </w:rPr>
        <w:footnoteRef/>
      </w:r>
      <w:r>
        <w:tab/>
      </w:r>
      <w:r w:rsidRPr="001D1DB6">
        <w:t>MINISTERIO DEL</w:t>
      </w:r>
      <w:r>
        <w:t xml:space="preserve"> INTERIOR</w:t>
      </w:r>
      <w:r w:rsidRPr="001D1DB6">
        <w:t xml:space="preserve">. Oficio </w:t>
      </w:r>
      <w:r>
        <w:rPr>
          <w:rFonts w:eastAsia="Calibri"/>
          <w:lang w:val="es-ES_tradnl"/>
        </w:rPr>
        <w:t>núm.</w:t>
      </w:r>
      <w:r w:rsidRPr="001D1DB6">
        <w:t xml:space="preserve"> 001784-2016/IN/DGSD, de fecha 3 de noviembre de</w:t>
      </w:r>
      <w:r>
        <w:t> </w:t>
      </w:r>
      <w:r w:rsidRPr="001D1DB6">
        <w:t>2016. Página 14.</w:t>
      </w:r>
    </w:p>
  </w:footnote>
  <w:footnote w:id="261">
    <w:p w:rsidR="00F046F7" w:rsidRPr="001D1DB6" w:rsidRDefault="00F046F7">
      <w:pPr>
        <w:pStyle w:val="Textonotapie"/>
        <w:rPr>
          <w:sz w:val="16"/>
          <w:szCs w:val="16"/>
        </w:rPr>
      </w:pPr>
      <w:r>
        <w:tab/>
      </w:r>
      <w:r w:rsidRPr="001D1DB6">
        <w:rPr>
          <w:rStyle w:val="Refdenotaalpie"/>
          <w:sz w:val="16"/>
          <w:szCs w:val="16"/>
        </w:rPr>
        <w:footnoteRef/>
      </w:r>
      <w:r>
        <w:tab/>
      </w:r>
      <w:r w:rsidR="00AA3175" w:rsidRPr="006B39CB">
        <w:rPr>
          <w:i/>
          <w:lang w:val="pt-PT"/>
        </w:rPr>
        <w:t>Ibid.</w:t>
      </w:r>
    </w:p>
  </w:footnote>
  <w:footnote w:id="262">
    <w:p w:rsidR="00F046F7" w:rsidRPr="001D1DB6" w:rsidRDefault="00F046F7">
      <w:pPr>
        <w:pStyle w:val="Textonotapie"/>
      </w:pPr>
      <w:r>
        <w:tab/>
      </w:r>
      <w:r w:rsidRPr="001D1DB6">
        <w:rPr>
          <w:rStyle w:val="Refdenotaalpie"/>
          <w:sz w:val="16"/>
          <w:szCs w:val="16"/>
        </w:rPr>
        <w:footnoteRef/>
      </w:r>
      <w:r>
        <w:tab/>
      </w:r>
      <w:r w:rsidRPr="001D1DB6">
        <w:t xml:space="preserve">MINISTERIO DE LA MUJER Y POBLACIONES VULNERABLES. </w:t>
      </w:r>
      <w:r>
        <w:t xml:space="preserve">D.S. </w:t>
      </w:r>
      <w:r>
        <w:rPr>
          <w:rFonts w:eastAsia="Calibri"/>
          <w:lang w:val="es-ES_tradnl"/>
        </w:rPr>
        <w:t>núm.</w:t>
      </w:r>
      <w:r w:rsidRPr="001D1DB6">
        <w:t xml:space="preserve"> 010-2016-MIMP. Publicado en el Diario Oficial </w:t>
      </w:r>
      <w:r w:rsidRPr="00353E55">
        <w:rPr>
          <w:i/>
        </w:rPr>
        <w:t>El Peruano</w:t>
      </w:r>
      <w:r w:rsidRPr="001D1DB6">
        <w:t>: 28.07.2016.</w:t>
      </w:r>
    </w:p>
  </w:footnote>
  <w:footnote w:id="263">
    <w:p w:rsidR="00F046F7" w:rsidRPr="001D1DB6" w:rsidRDefault="00F046F7">
      <w:pPr>
        <w:pStyle w:val="Textonotapie"/>
      </w:pPr>
      <w:r>
        <w:tab/>
      </w:r>
      <w:r w:rsidRPr="001D1DB6">
        <w:rPr>
          <w:rStyle w:val="Refdenotaalpie"/>
          <w:sz w:val="16"/>
          <w:szCs w:val="16"/>
        </w:rPr>
        <w:footnoteRef/>
      </w:r>
      <w:r>
        <w:tab/>
      </w:r>
      <w:r w:rsidRPr="001D1DB6">
        <w:t xml:space="preserve">CONGRESO DE LA REPÚBLICA. Resolución Legislativa </w:t>
      </w:r>
      <w:r>
        <w:rPr>
          <w:rFonts w:eastAsia="Calibri"/>
          <w:lang w:val="es-ES_tradnl"/>
        </w:rPr>
        <w:t>núm.</w:t>
      </w:r>
      <w:r w:rsidRPr="001D1DB6">
        <w:t xml:space="preserve"> 30266</w:t>
      </w:r>
      <w:r>
        <w:t xml:space="preserve">. Publicada en el Diario Oficial </w:t>
      </w:r>
      <w:r w:rsidRPr="00353E55">
        <w:rPr>
          <w:i/>
        </w:rPr>
        <w:t>El Peruano</w:t>
      </w:r>
      <w:r w:rsidRPr="001D1DB6">
        <w:t>: 20.11.2014.</w:t>
      </w:r>
    </w:p>
    <w:p w:rsidR="00F046F7" w:rsidRPr="001D1DB6" w:rsidRDefault="00F046F7">
      <w:pPr>
        <w:pStyle w:val="Textonotapie"/>
        <w:rPr>
          <w:sz w:val="16"/>
          <w:szCs w:val="16"/>
        </w:rPr>
      </w:pPr>
      <w:r>
        <w:tab/>
      </w:r>
      <w:r>
        <w:tab/>
      </w:r>
      <w:r w:rsidRPr="001D1DB6">
        <w:t xml:space="preserve">MINISTERIO DE RELACIONES EXTERIORES. Decreto Supremo </w:t>
      </w:r>
      <w:r>
        <w:rPr>
          <w:rFonts w:eastAsia="Calibri"/>
          <w:lang w:val="es-ES_tradnl"/>
        </w:rPr>
        <w:t>núm.</w:t>
      </w:r>
      <w:r w:rsidRPr="001D1DB6">
        <w:t xml:space="preserve"> 070-2016-RE. Publicado en el Diario Oficial </w:t>
      </w:r>
      <w:r w:rsidRPr="00353E55">
        <w:rPr>
          <w:i/>
        </w:rPr>
        <w:t>El Peruano</w:t>
      </w:r>
      <w:r w:rsidRPr="001D1DB6">
        <w:t>: 07.09.2016.</w:t>
      </w:r>
      <w:r w:rsidRPr="001D1DB6">
        <w:rPr>
          <w:sz w:val="16"/>
          <w:szCs w:val="16"/>
        </w:rPr>
        <w:t xml:space="preserve"> </w:t>
      </w:r>
    </w:p>
  </w:footnote>
  <w:footnote w:id="264">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CONGRESO DE LA REPÚBLICA. Resolución Legislativa </w:t>
      </w:r>
      <w:r>
        <w:rPr>
          <w:rFonts w:eastAsia="Calibri"/>
          <w:lang w:val="es-ES_tradnl"/>
        </w:rPr>
        <w:t>núm.</w:t>
      </w:r>
      <w:r w:rsidRPr="001D1DB6">
        <w:t xml:space="preserve"> 30434. Publicada en el Diario Oficial </w:t>
      </w:r>
      <w:r w:rsidRPr="00353E55">
        <w:rPr>
          <w:i/>
        </w:rPr>
        <w:t>El Peruano</w:t>
      </w:r>
      <w:r w:rsidRPr="001D1DB6">
        <w:t>: 14.05.2016.</w:t>
      </w:r>
    </w:p>
  </w:footnote>
  <w:footnote w:id="265">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MINISTERIO DE RELACIONES EXTERIORES. </w:t>
      </w:r>
      <w:r>
        <w:t>D.S.</w:t>
      </w:r>
      <w:r w:rsidRPr="001D1DB6">
        <w:t xml:space="preserve"> </w:t>
      </w:r>
      <w:r>
        <w:rPr>
          <w:rFonts w:eastAsia="Calibri"/>
          <w:lang w:val="es-ES_tradnl"/>
        </w:rPr>
        <w:t>núm.</w:t>
      </w:r>
      <w:r w:rsidRPr="001D1DB6">
        <w:t xml:space="preserve"> 068-2015-RE</w:t>
      </w:r>
      <w:r>
        <w:t>.</w:t>
      </w:r>
      <w:r w:rsidRPr="001D1DB6">
        <w:t xml:space="preserve"> Publicado en el Diario Oficial </w:t>
      </w:r>
      <w:r w:rsidRPr="00353E55">
        <w:rPr>
          <w:i/>
        </w:rPr>
        <w:t>El Peruano</w:t>
      </w:r>
      <w:r w:rsidRPr="001D1DB6">
        <w:t>: 05.12.2015.</w:t>
      </w:r>
    </w:p>
  </w:footnote>
  <w:footnote w:id="266">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CONGRESO DE LA REPÚBLICA. Resolución Legislativa </w:t>
      </w:r>
      <w:r>
        <w:rPr>
          <w:rFonts w:eastAsia="Calibri"/>
          <w:lang w:val="es-ES_tradnl"/>
        </w:rPr>
        <w:t>núm.</w:t>
      </w:r>
      <w:r w:rsidRPr="001D1DB6">
        <w:t xml:space="preserve"> 25278. Publicada en el Diario Oficial </w:t>
      </w:r>
      <w:r w:rsidRPr="00353E55">
        <w:rPr>
          <w:i/>
        </w:rPr>
        <w:t>El Peruano</w:t>
      </w:r>
      <w:r w:rsidRPr="001D1DB6">
        <w:t>: 04.08.1990.</w:t>
      </w:r>
    </w:p>
  </w:footnote>
  <w:footnote w:id="267">
    <w:p w:rsidR="00F046F7" w:rsidRPr="001D1DB6" w:rsidRDefault="00F046F7">
      <w:pPr>
        <w:pStyle w:val="Textonotapie"/>
        <w:rPr>
          <w:sz w:val="16"/>
          <w:szCs w:val="16"/>
        </w:rPr>
      </w:pPr>
      <w:r>
        <w:tab/>
      </w:r>
      <w:r w:rsidRPr="001D1DB6">
        <w:rPr>
          <w:rStyle w:val="Refdenotaalpie"/>
          <w:sz w:val="16"/>
          <w:szCs w:val="16"/>
        </w:rPr>
        <w:footnoteRef/>
      </w:r>
      <w:r>
        <w:tab/>
      </w:r>
      <w:r w:rsidRPr="001D1DB6">
        <w:t xml:space="preserve">MINISTERIO DE RELACIONES EXTERIORES. </w:t>
      </w:r>
      <w:r>
        <w:t>D.S.</w:t>
      </w:r>
      <w:r w:rsidRPr="001D1DB6">
        <w:t xml:space="preserve"> </w:t>
      </w:r>
      <w:r>
        <w:rPr>
          <w:rFonts w:eastAsia="Calibri"/>
          <w:lang w:val="es-ES_tradnl"/>
        </w:rPr>
        <w:t>núm.</w:t>
      </w:r>
      <w:r w:rsidRPr="001D1DB6">
        <w:t xml:space="preserve"> 078-2001-RE. Publicado en el Diario Oficial </w:t>
      </w:r>
      <w:r w:rsidRPr="00353E55">
        <w:rPr>
          <w:i/>
        </w:rPr>
        <w:t>El Peruano</w:t>
      </w:r>
      <w:r w:rsidRPr="001D1DB6">
        <w:t>: 06.10.2001.</w:t>
      </w:r>
    </w:p>
  </w:footnote>
  <w:footnote w:id="268">
    <w:p w:rsidR="00F046F7" w:rsidRPr="001D1DB6" w:rsidRDefault="00F046F7">
      <w:pPr>
        <w:pStyle w:val="Textonotapie"/>
        <w:rPr>
          <w:sz w:val="16"/>
          <w:szCs w:val="16"/>
        </w:rPr>
      </w:pPr>
      <w:r>
        <w:tab/>
      </w:r>
      <w:r w:rsidRPr="001D1DB6">
        <w:rPr>
          <w:rStyle w:val="Refdenotaalpie"/>
          <w:rFonts w:eastAsiaTheme="majorEastAsia"/>
          <w:sz w:val="16"/>
          <w:szCs w:val="16"/>
        </w:rPr>
        <w:footnoteRef/>
      </w:r>
      <w:r>
        <w:tab/>
      </w:r>
      <w:r w:rsidRPr="001D1DB6">
        <w:t xml:space="preserve">CONGRESO DE LA REPÚBLICA. Ley </w:t>
      </w:r>
      <w:r>
        <w:rPr>
          <w:rFonts w:eastAsia="Calibri"/>
          <w:lang w:val="es-ES_tradnl"/>
        </w:rPr>
        <w:t>núm.</w:t>
      </w:r>
      <w:r w:rsidRPr="001D1DB6">
        <w:t xml:space="preserve"> 30466. Publicado en el Diario Oficial </w:t>
      </w:r>
      <w:r w:rsidRPr="00353E55">
        <w:rPr>
          <w:i/>
        </w:rPr>
        <w:t>El Peruano</w:t>
      </w:r>
      <w:r>
        <w:t>. 17.06.2016. Art. 1</w:t>
      </w:r>
      <w:r w:rsidRPr="001D1DB6">
        <w:t>.</w:t>
      </w:r>
    </w:p>
  </w:footnote>
  <w:footnote w:id="269">
    <w:p w:rsidR="00F046F7" w:rsidRPr="001D1DB6" w:rsidRDefault="00F046F7">
      <w:pPr>
        <w:pStyle w:val="Textonotapie"/>
      </w:pPr>
      <w:r>
        <w:tab/>
      </w:r>
      <w:r w:rsidRPr="001D1DB6">
        <w:rPr>
          <w:rStyle w:val="Refdenotaalpie"/>
          <w:sz w:val="16"/>
          <w:szCs w:val="16"/>
        </w:rPr>
        <w:footnoteRef/>
      </w:r>
      <w:r>
        <w:tab/>
      </w:r>
      <w:r w:rsidRPr="001D1DB6">
        <w:t xml:space="preserve">MINISTERIO DE DEFENSA. </w:t>
      </w:r>
      <w:r>
        <w:t>D.S.</w:t>
      </w:r>
      <w:r w:rsidRPr="001D1DB6">
        <w:t xml:space="preserve"> </w:t>
      </w:r>
      <w:r>
        <w:rPr>
          <w:rFonts w:eastAsia="Calibri"/>
          <w:lang w:val="es-ES_tradnl"/>
        </w:rPr>
        <w:t>núm.</w:t>
      </w:r>
      <w:r w:rsidRPr="001D1DB6">
        <w:t xml:space="preserve"> 06-2016-DE. Publicado en el Diario Oficial </w:t>
      </w:r>
      <w:r w:rsidRPr="00353E55">
        <w:rPr>
          <w:i/>
        </w:rPr>
        <w:t>E</w:t>
      </w:r>
      <w:r>
        <w:rPr>
          <w:i/>
        </w:rPr>
        <w:t>l </w:t>
      </w:r>
      <w:r w:rsidRPr="00353E55">
        <w:rPr>
          <w:i/>
        </w:rPr>
        <w:t>Peruano</w:t>
      </w:r>
      <w:r w:rsidRPr="001D1DB6">
        <w:t>:</w:t>
      </w:r>
      <w:r>
        <w:t xml:space="preserve"> </w:t>
      </w:r>
      <w:r w:rsidRPr="001D1DB6">
        <w:t xml:space="preserve">07.06.2016. Artículo 17° inc. (t).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6F7" w:rsidRPr="009E6FF1" w:rsidRDefault="001338F6">
    <w:pPr>
      <w:pStyle w:val="Encabezado"/>
    </w:pPr>
    <w:r>
      <w:fldChar w:fldCharType="begin"/>
    </w:r>
    <w:r>
      <w:instrText xml:space="preserve"> TITLE  \* MERGEFORMAT </w:instrText>
    </w:r>
    <w:r>
      <w:fldChar w:fldCharType="separate"/>
    </w:r>
    <w:r>
      <w:t>CAT/C/PER/7</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6F7" w:rsidRPr="009E6FF1" w:rsidRDefault="001338F6" w:rsidP="009E6FF1">
    <w:pPr>
      <w:pStyle w:val="Encabezado"/>
      <w:jc w:val="right"/>
    </w:pPr>
    <w:r>
      <w:fldChar w:fldCharType="begin"/>
    </w:r>
    <w:r>
      <w:instrText xml:space="preserve"> TITLE  \* MERGEFORMAT </w:instrText>
    </w:r>
    <w:r>
      <w:fldChar w:fldCharType="separate"/>
    </w:r>
    <w:r>
      <w:t>CAT/C/PER/7</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AC428CC"/>
    <w:multiLevelType w:val="hybridMultilevel"/>
    <w:tmpl w:val="081C7160"/>
    <w:lvl w:ilvl="0" w:tplc="05B06A4E">
      <w:start w:val="1"/>
      <w:numFmt w:val="decimal"/>
      <w:lvlText w:val="%1."/>
      <w:lvlJc w:val="left"/>
      <w:pPr>
        <w:ind w:left="1495" w:hanging="360"/>
      </w:pPr>
      <w:rPr>
        <w:rFonts w:ascii="Times New Roman" w:hAnsi="Times New Roman" w:cs="Times New Roman" w:hint="default"/>
        <w:b w:val="0"/>
        <w:i w:val="0"/>
        <w:strike w:val="0"/>
        <w:color w:val="auto"/>
        <w:sz w:val="22"/>
        <w:szCs w:val="22"/>
      </w:rPr>
    </w:lvl>
    <w:lvl w:ilvl="1" w:tplc="280A0019">
      <w:start w:val="1"/>
      <w:numFmt w:val="lowerLetter"/>
      <w:lvlText w:val="%2."/>
      <w:lvlJc w:val="left"/>
      <w:pPr>
        <w:ind w:left="2160" w:hanging="360"/>
      </w:pPr>
    </w:lvl>
    <w:lvl w:ilvl="2" w:tplc="280A001B">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 w15:restartNumberingAfterBreak="0">
    <w:nsid w:val="1CAF2E61"/>
    <w:multiLevelType w:val="hybridMultilevel"/>
    <w:tmpl w:val="2D02EDF8"/>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C01E1F"/>
    <w:multiLevelType w:val="hybridMultilevel"/>
    <w:tmpl w:val="278EECF6"/>
    <w:lvl w:ilvl="0" w:tplc="5D3E9156">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4" w15:restartNumberingAfterBreak="0">
    <w:nsid w:val="42DE700E"/>
    <w:multiLevelType w:val="multilevel"/>
    <w:tmpl w:val="D9982846"/>
    <w:lvl w:ilvl="0">
      <w:start w:val="2"/>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b/>
        <w:color w:val="auto"/>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5" w15:restartNumberingAfterBreak="0">
    <w:nsid w:val="43B82E52"/>
    <w:multiLevelType w:val="hybridMultilevel"/>
    <w:tmpl w:val="5B1466CC"/>
    <w:lvl w:ilvl="0" w:tplc="0809000F">
      <w:start w:val="1"/>
      <w:numFmt w:val="decimal"/>
      <w:lvlText w:val="%1."/>
      <w:lvlJc w:val="left"/>
      <w:pPr>
        <w:ind w:left="2132" w:hanging="855"/>
      </w:pPr>
      <w:rPr>
        <w:rFonts w:hint="default"/>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20C8197A">
      <w:start w:val="1"/>
      <w:numFmt w:val="decimal"/>
      <w:lvlText w:val="%4."/>
      <w:lvlJc w:val="left"/>
      <w:pPr>
        <w:ind w:left="4014" w:hanging="360"/>
      </w:pPr>
      <w:rPr>
        <w:b w:val="0"/>
        <w:strike w:val="0"/>
        <w:sz w:val="20"/>
        <w:szCs w:val="20"/>
      </w:r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4815013C"/>
    <w:multiLevelType w:val="multilevel"/>
    <w:tmpl w:val="0C1872B4"/>
    <w:lvl w:ilvl="0">
      <w:start w:val="1"/>
      <w:numFmt w:val="upperRoman"/>
      <w:lvlText w:val="%1."/>
      <w:lvlJc w:val="left"/>
      <w:pPr>
        <w:ind w:left="360" w:hanging="360"/>
      </w:pPr>
      <w:rPr>
        <w:rFonts w:ascii="Times New Roman" w:eastAsiaTheme="minorHAnsi" w:hAnsi="Times New Roman" w:cs="Times New Roman"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0AB6C9A"/>
    <w:multiLevelType w:val="hybridMultilevel"/>
    <w:tmpl w:val="0AB8704A"/>
    <w:lvl w:ilvl="0" w:tplc="7D0EF274">
      <w:start w:val="1"/>
      <w:numFmt w:val="low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AD471C"/>
    <w:multiLevelType w:val="hybridMultilevel"/>
    <w:tmpl w:val="2438CBA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9FC54BD"/>
    <w:multiLevelType w:val="multilevel"/>
    <w:tmpl w:val="38E03A0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2"/>
  </w:num>
  <w:num w:numId="3">
    <w:abstractNumId w:val="23"/>
  </w:num>
  <w:num w:numId="4">
    <w:abstractNumId w:val="22"/>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4"/>
  </w:num>
  <w:num w:numId="18">
    <w:abstractNumId w:val="10"/>
  </w:num>
  <w:num w:numId="19">
    <w:abstractNumId w:val="11"/>
  </w:num>
  <w:num w:numId="20">
    <w:abstractNumId w:val="19"/>
  </w:num>
  <w:num w:numId="21">
    <w:abstractNumId w:val="18"/>
  </w:num>
  <w:num w:numId="22">
    <w:abstractNumId w:val="15"/>
  </w:num>
  <w:num w:numId="23">
    <w:abstractNumId w:val="17"/>
  </w:num>
  <w:num w:numId="24">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6FF1"/>
    <w:rsid w:val="000060A3"/>
    <w:rsid w:val="00006678"/>
    <w:rsid w:val="000117AC"/>
    <w:rsid w:val="00033EE1"/>
    <w:rsid w:val="00042B72"/>
    <w:rsid w:val="000558BD"/>
    <w:rsid w:val="000900D3"/>
    <w:rsid w:val="00092053"/>
    <w:rsid w:val="000B57E7"/>
    <w:rsid w:val="000B5E7A"/>
    <w:rsid w:val="000F09DF"/>
    <w:rsid w:val="000F5DFF"/>
    <w:rsid w:val="000F61B2"/>
    <w:rsid w:val="000F7BDB"/>
    <w:rsid w:val="001069B7"/>
    <w:rsid w:val="001075E9"/>
    <w:rsid w:val="001338F6"/>
    <w:rsid w:val="001527A9"/>
    <w:rsid w:val="00180183"/>
    <w:rsid w:val="0018649F"/>
    <w:rsid w:val="00196389"/>
    <w:rsid w:val="001A6567"/>
    <w:rsid w:val="001B1322"/>
    <w:rsid w:val="001B3EF6"/>
    <w:rsid w:val="001C7A89"/>
    <w:rsid w:val="0020561B"/>
    <w:rsid w:val="00234021"/>
    <w:rsid w:val="00262349"/>
    <w:rsid w:val="0027660F"/>
    <w:rsid w:val="002A208C"/>
    <w:rsid w:val="002A2EFC"/>
    <w:rsid w:val="002A59BF"/>
    <w:rsid w:val="002C0E18"/>
    <w:rsid w:val="002C565A"/>
    <w:rsid w:val="002D58DE"/>
    <w:rsid w:val="002D5AAC"/>
    <w:rsid w:val="002E09A1"/>
    <w:rsid w:val="00301299"/>
    <w:rsid w:val="00307FB6"/>
    <w:rsid w:val="00317339"/>
    <w:rsid w:val="00322004"/>
    <w:rsid w:val="003402C2"/>
    <w:rsid w:val="003461EA"/>
    <w:rsid w:val="00381C24"/>
    <w:rsid w:val="003958D0"/>
    <w:rsid w:val="003B00E5"/>
    <w:rsid w:val="00407B78"/>
    <w:rsid w:val="00424203"/>
    <w:rsid w:val="0042499A"/>
    <w:rsid w:val="00454E07"/>
    <w:rsid w:val="004A6C8D"/>
    <w:rsid w:val="004E0651"/>
    <w:rsid w:val="004F7B54"/>
    <w:rsid w:val="0050108D"/>
    <w:rsid w:val="00513081"/>
    <w:rsid w:val="00517901"/>
    <w:rsid w:val="00526683"/>
    <w:rsid w:val="005709E0"/>
    <w:rsid w:val="00572E19"/>
    <w:rsid w:val="00574AEE"/>
    <w:rsid w:val="00581583"/>
    <w:rsid w:val="005818E0"/>
    <w:rsid w:val="005961C8"/>
    <w:rsid w:val="005A644E"/>
    <w:rsid w:val="005D7914"/>
    <w:rsid w:val="005F0B42"/>
    <w:rsid w:val="005F13B0"/>
    <w:rsid w:val="00645CBC"/>
    <w:rsid w:val="006476B0"/>
    <w:rsid w:val="00671C38"/>
    <w:rsid w:val="00681A10"/>
    <w:rsid w:val="006A49E6"/>
    <w:rsid w:val="006C0309"/>
    <w:rsid w:val="006C0519"/>
    <w:rsid w:val="006C2031"/>
    <w:rsid w:val="006C55AC"/>
    <w:rsid w:val="006D461A"/>
    <w:rsid w:val="006F35EE"/>
    <w:rsid w:val="007021FF"/>
    <w:rsid w:val="00704713"/>
    <w:rsid w:val="00756371"/>
    <w:rsid w:val="00757357"/>
    <w:rsid w:val="00785954"/>
    <w:rsid w:val="007B4624"/>
    <w:rsid w:val="007B52C2"/>
    <w:rsid w:val="007D4A4A"/>
    <w:rsid w:val="007D7433"/>
    <w:rsid w:val="007E21B8"/>
    <w:rsid w:val="0080718F"/>
    <w:rsid w:val="00817016"/>
    <w:rsid w:val="00825F8D"/>
    <w:rsid w:val="00834B71"/>
    <w:rsid w:val="008405C9"/>
    <w:rsid w:val="008422FC"/>
    <w:rsid w:val="008628E0"/>
    <w:rsid w:val="0086445C"/>
    <w:rsid w:val="008841E9"/>
    <w:rsid w:val="00894693"/>
    <w:rsid w:val="008A08D7"/>
    <w:rsid w:val="008A68A0"/>
    <w:rsid w:val="008B6909"/>
    <w:rsid w:val="008D0161"/>
    <w:rsid w:val="008D7A8B"/>
    <w:rsid w:val="00906890"/>
    <w:rsid w:val="00911BE4"/>
    <w:rsid w:val="00916DB3"/>
    <w:rsid w:val="00942CBF"/>
    <w:rsid w:val="00951972"/>
    <w:rsid w:val="009614E6"/>
    <w:rsid w:val="00976B47"/>
    <w:rsid w:val="0098296F"/>
    <w:rsid w:val="009C06A6"/>
    <w:rsid w:val="009D76DD"/>
    <w:rsid w:val="009E6FF1"/>
    <w:rsid w:val="00A07931"/>
    <w:rsid w:val="00A84021"/>
    <w:rsid w:val="00A917B3"/>
    <w:rsid w:val="00AA3175"/>
    <w:rsid w:val="00AB3C05"/>
    <w:rsid w:val="00AB4B51"/>
    <w:rsid w:val="00AC6999"/>
    <w:rsid w:val="00AE2D52"/>
    <w:rsid w:val="00AF2E0E"/>
    <w:rsid w:val="00AF5AC8"/>
    <w:rsid w:val="00B10CC7"/>
    <w:rsid w:val="00B213D2"/>
    <w:rsid w:val="00B2241F"/>
    <w:rsid w:val="00B35887"/>
    <w:rsid w:val="00B524E4"/>
    <w:rsid w:val="00B539E7"/>
    <w:rsid w:val="00B62458"/>
    <w:rsid w:val="00B97333"/>
    <w:rsid w:val="00B975CB"/>
    <w:rsid w:val="00BB3C20"/>
    <w:rsid w:val="00BD33EE"/>
    <w:rsid w:val="00BE545A"/>
    <w:rsid w:val="00C03E98"/>
    <w:rsid w:val="00C60F0C"/>
    <w:rsid w:val="00C74CF8"/>
    <w:rsid w:val="00C805C9"/>
    <w:rsid w:val="00C8443F"/>
    <w:rsid w:val="00C92939"/>
    <w:rsid w:val="00CA1679"/>
    <w:rsid w:val="00CB07F5"/>
    <w:rsid w:val="00CD156B"/>
    <w:rsid w:val="00CD52E7"/>
    <w:rsid w:val="00CE5A1A"/>
    <w:rsid w:val="00CF55F6"/>
    <w:rsid w:val="00D06FC9"/>
    <w:rsid w:val="00D17826"/>
    <w:rsid w:val="00D20B36"/>
    <w:rsid w:val="00D33D63"/>
    <w:rsid w:val="00D747DA"/>
    <w:rsid w:val="00D7600F"/>
    <w:rsid w:val="00D90138"/>
    <w:rsid w:val="00E2576D"/>
    <w:rsid w:val="00E64CD9"/>
    <w:rsid w:val="00E73F76"/>
    <w:rsid w:val="00E740D4"/>
    <w:rsid w:val="00E76412"/>
    <w:rsid w:val="00E76C78"/>
    <w:rsid w:val="00EE13CD"/>
    <w:rsid w:val="00EF1360"/>
    <w:rsid w:val="00EF3220"/>
    <w:rsid w:val="00F046F7"/>
    <w:rsid w:val="00F14ECC"/>
    <w:rsid w:val="00F44089"/>
    <w:rsid w:val="00F6214C"/>
    <w:rsid w:val="00F94155"/>
    <w:rsid w:val="00FA45BC"/>
    <w:rsid w:val="00FC3ED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3CA50B49"/>
  <w15:docId w15:val="{EE0114AF-C071-4E81-A7A5-EE9D8956B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4713"/>
    <w:pPr>
      <w:spacing w:line="240" w:lineRule="atLeast"/>
    </w:pPr>
    <w:rPr>
      <w:lang w:val="es-ES" w:eastAsia="es-ES"/>
    </w:rPr>
  </w:style>
  <w:style w:type="paragraph" w:styleId="Ttulo1">
    <w:name w:val="heading 1"/>
    <w:aliases w:val="Table_G"/>
    <w:basedOn w:val="SingleTxtG"/>
    <w:next w:val="SingleTxtG"/>
    <w:link w:val="Ttulo1Car"/>
    <w:uiPriority w:val="9"/>
    <w:qFormat/>
    <w:rsid w:val="001B3EF6"/>
    <w:pPr>
      <w:keepNext/>
      <w:spacing w:after="0" w:line="240" w:lineRule="auto"/>
      <w:outlineLvl w:val="0"/>
    </w:pPr>
    <w:rPr>
      <w:rFonts w:cs="Arial"/>
      <w:bCs/>
      <w:szCs w:val="32"/>
    </w:rPr>
  </w:style>
  <w:style w:type="paragraph" w:styleId="Ttulo2">
    <w:name w:val="heading 2"/>
    <w:basedOn w:val="Normal"/>
    <w:next w:val="Normal"/>
    <w:semiHidden/>
    <w:qFormat/>
    <w:rsid w:val="00681A10"/>
    <w:pPr>
      <w:keepNext/>
      <w:outlineLvl w:val="1"/>
    </w:pPr>
    <w:rPr>
      <w:rFonts w:cs="Arial"/>
      <w:bCs/>
      <w:iCs/>
      <w:szCs w:val="28"/>
    </w:rPr>
  </w:style>
  <w:style w:type="paragraph" w:styleId="Ttulo3">
    <w:name w:val="heading 3"/>
    <w:basedOn w:val="Normal"/>
    <w:next w:val="Normal"/>
    <w:semiHidden/>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qFormat/>
    <w:rsid w:val="00681A10"/>
    <w:pPr>
      <w:keepNext/>
      <w:spacing w:before="240" w:after="60"/>
      <w:outlineLvl w:val="3"/>
    </w:pPr>
    <w:rPr>
      <w:b/>
      <w:bCs/>
      <w:sz w:val="28"/>
      <w:szCs w:val="28"/>
    </w:rPr>
  </w:style>
  <w:style w:type="paragraph" w:styleId="Ttulo5">
    <w:name w:val="heading 5"/>
    <w:basedOn w:val="Normal"/>
    <w:next w:val="Normal"/>
    <w:semiHidden/>
    <w:qFormat/>
    <w:rsid w:val="00681A10"/>
    <w:pPr>
      <w:spacing w:before="240" w:after="60"/>
      <w:outlineLvl w:val="4"/>
    </w:pPr>
    <w:rPr>
      <w:b/>
      <w:bCs/>
      <w:i/>
      <w:iCs/>
      <w:sz w:val="26"/>
      <w:szCs w:val="26"/>
    </w:rPr>
  </w:style>
  <w:style w:type="paragraph" w:styleId="Ttulo6">
    <w:name w:val="heading 6"/>
    <w:basedOn w:val="Normal"/>
    <w:next w:val="Normal"/>
    <w:semiHidden/>
    <w:qFormat/>
    <w:rsid w:val="00681A10"/>
    <w:pPr>
      <w:spacing w:before="240" w:after="60"/>
      <w:outlineLvl w:val="5"/>
    </w:pPr>
    <w:rPr>
      <w:b/>
      <w:bCs/>
      <w:sz w:val="22"/>
      <w:szCs w:val="22"/>
    </w:rPr>
  </w:style>
  <w:style w:type="paragraph" w:styleId="Ttulo7">
    <w:name w:val="heading 7"/>
    <w:basedOn w:val="Normal"/>
    <w:next w:val="Normal"/>
    <w:semiHidden/>
    <w:qFormat/>
    <w:rsid w:val="00681A10"/>
    <w:pPr>
      <w:spacing w:before="240" w:after="60"/>
      <w:outlineLvl w:val="6"/>
    </w:pPr>
    <w:rPr>
      <w:sz w:val="24"/>
      <w:szCs w:val="24"/>
    </w:rPr>
  </w:style>
  <w:style w:type="paragraph" w:styleId="Ttulo8">
    <w:name w:val="heading 8"/>
    <w:basedOn w:val="Normal"/>
    <w:next w:val="Normal"/>
    <w:semiHidden/>
    <w:qFormat/>
    <w:rsid w:val="00681A10"/>
    <w:pPr>
      <w:spacing w:before="240" w:after="60"/>
      <w:outlineLvl w:val="7"/>
    </w:pPr>
    <w:rPr>
      <w:i/>
      <w:iCs/>
      <w:sz w:val="24"/>
      <w:szCs w:val="24"/>
    </w:rPr>
  </w:style>
  <w:style w:type="paragraph" w:styleId="Ttulo9">
    <w:name w:val="heading 9"/>
    <w:basedOn w:val="Normal"/>
    <w:next w:val="Normal"/>
    <w:semiHidden/>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Texto de nota al pie,Appel note de bas de page,Footnotes refss,f,Footnote number,referencia nota al pie,BVI fnr,16 Point,Superscript 6 Point,Texto nota al pie,Footnote Reference Char3,Footnote Reference Char1 Char,Ref"/>
    <w:basedOn w:val="Fuentedeprrafopredeter"/>
    <w:link w:val="BVIfnrCar1CarCarCarCarCarCarCarCar"/>
    <w:uiPriority w:val="99"/>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styleId="Textodeglobo">
    <w:name w:val="Balloon Text"/>
    <w:basedOn w:val="Normal"/>
    <w:link w:val="TextodegloboCar"/>
    <w:uiPriority w:val="99"/>
    <w:semiHidden/>
    <w:rsid w:val="005818E0"/>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818E0"/>
    <w:rPr>
      <w:rFonts w:ascii="Tahoma" w:hAnsi="Tahoma" w:cs="Tahoma"/>
      <w:sz w:val="16"/>
      <w:szCs w:val="16"/>
      <w:lang w:val="es-ES" w:eastAsia="es-ES"/>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ft,single space,fn,FOOTNOTES,Texto nota pie Car Car Car Car Car Car,Texto nota pie Car Car Car Car Car Car Car,Texto nota pie Car Car Car Car Car Car Ca,Char,Footnote Text Char2,Footnote Text Char1 Char1,Texto nota pie-MDTA,Car"/>
    <w:basedOn w:val="Normal"/>
    <w:link w:val="TextonotapieCar"/>
    <w:uiPriority w:val="99"/>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C74CF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qFormat/>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uiPriority w:val="99"/>
    <w:rsid w:val="00C74CF8"/>
    <w:rPr>
      <w:color w:val="auto"/>
      <w:u w:val="none"/>
    </w:rPr>
  </w:style>
  <w:style w:type="character" w:styleId="Hipervnculovisitado">
    <w:name w:val="FollowedHyperlink"/>
    <w:basedOn w:val="Fuentedeprrafopredeter"/>
    <w:semiHidden/>
    <w:rsid w:val="00C74CF8"/>
    <w:rPr>
      <w:color w:val="auto"/>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uiPriority w:val="99"/>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uiPriority w:val="99"/>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qFormat/>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qFormat/>
    <w:rsid w:val="00681A10"/>
    <w:rPr>
      <w:b/>
      <w:bCs/>
    </w:rPr>
  </w:style>
  <w:style w:type="paragraph" w:styleId="Textoindependiente">
    <w:name w:val="Body Text"/>
    <w:basedOn w:val="Normal"/>
    <w:link w:val="TextoindependienteCar"/>
    <w:uiPriority w:val="99"/>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link w:val="TextonotaalfinalCar"/>
    <w:uiPriority w:val="99"/>
    <w:qFormat/>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qFormat/>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character" w:customStyle="1" w:styleId="TextonotapieCar">
    <w:name w:val="Texto nota pie Car"/>
    <w:aliases w:val="5_G Car,ft Car,single space Car,fn Car,FOOTNOTES Car,Texto nota pie Car Car Car Car Car Car Car1,Texto nota pie Car Car Car Car Car Car Car Car,Texto nota pie Car Car Car Car Car Car Ca Car,Char Car,Footnote Text Char2 Car,Car Car"/>
    <w:basedOn w:val="Fuentedeprrafopredeter"/>
    <w:link w:val="Textonotapie"/>
    <w:uiPriority w:val="99"/>
    <w:rsid w:val="009614E6"/>
    <w:rPr>
      <w:sz w:val="18"/>
      <w:lang w:val="es-ES" w:eastAsia="es-ES"/>
    </w:rPr>
  </w:style>
  <w:style w:type="numbering" w:customStyle="1" w:styleId="NoList1">
    <w:name w:val="No List1"/>
    <w:next w:val="Sinlista"/>
    <w:uiPriority w:val="99"/>
    <w:semiHidden/>
    <w:unhideWhenUsed/>
    <w:rsid w:val="008841E9"/>
  </w:style>
  <w:style w:type="table" w:customStyle="1" w:styleId="TableGrid1">
    <w:name w:val="Table Grid1"/>
    <w:basedOn w:val="Tablanormal"/>
    <w:next w:val="Tablaconcuadrcula"/>
    <w:uiPriority w:val="39"/>
    <w:rsid w:val="008841E9"/>
    <w:rPr>
      <w:rFonts w:ascii="Calibri" w:eastAsia="Calibri" w:hAnsi="Calibri"/>
      <w:sz w:val="22"/>
      <w:szCs w:val="22"/>
      <w:lang w:val="es-PE"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undamentacion,List Paragraph1,NUMBERED PARAGRAPH,List Paragraph 1,References,ReferencesCxSpLast,lp1,NIVEL ONE"/>
    <w:basedOn w:val="Normal"/>
    <w:link w:val="PrrafodelistaCar"/>
    <w:uiPriority w:val="34"/>
    <w:qFormat/>
    <w:rsid w:val="008841E9"/>
    <w:pPr>
      <w:spacing w:after="160" w:line="259" w:lineRule="auto"/>
      <w:ind w:left="720"/>
      <w:contextualSpacing/>
    </w:pPr>
    <w:rPr>
      <w:rFonts w:ascii="Calibri" w:eastAsia="Calibri" w:hAnsi="Calibri"/>
      <w:sz w:val="22"/>
      <w:szCs w:val="22"/>
      <w:lang w:val="es-PE" w:eastAsia="en-US"/>
    </w:rPr>
  </w:style>
  <w:style w:type="character" w:customStyle="1" w:styleId="Ttulo1Car">
    <w:name w:val="Título 1 Car"/>
    <w:aliases w:val="Table_G Car"/>
    <w:basedOn w:val="Fuentedeprrafopredeter"/>
    <w:link w:val="Ttulo1"/>
    <w:uiPriority w:val="9"/>
    <w:rsid w:val="008841E9"/>
    <w:rPr>
      <w:rFonts w:cs="Arial"/>
      <w:bCs/>
      <w:szCs w:val="32"/>
      <w:lang w:val="es-ES" w:eastAsia="es-ES"/>
    </w:rPr>
  </w:style>
  <w:style w:type="paragraph" w:styleId="TtuloTDC">
    <w:name w:val="TOC Heading"/>
    <w:basedOn w:val="Ttulo1"/>
    <w:next w:val="Normal"/>
    <w:uiPriority w:val="39"/>
    <w:unhideWhenUsed/>
    <w:qFormat/>
    <w:rsid w:val="008841E9"/>
    <w:pPr>
      <w:keepLines/>
      <w:spacing w:before="240" w:line="259" w:lineRule="auto"/>
      <w:ind w:left="0" w:right="0"/>
      <w:jc w:val="left"/>
      <w:outlineLvl w:val="9"/>
    </w:pPr>
    <w:rPr>
      <w:rFonts w:ascii="Calibri Light" w:hAnsi="Calibri Light" w:cs="Times New Roman"/>
      <w:bCs w:val="0"/>
      <w:color w:val="2E74B5"/>
      <w:sz w:val="32"/>
      <w:lang w:val="es-PE" w:eastAsia="es-PE"/>
    </w:rPr>
  </w:style>
  <w:style w:type="paragraph" w:styleId="TDC1">
    <w:name w:val="toc 1"/>
    <w:basedOn w:val="Normal"/>
    <w:next w:val="Normal"/>
    <w:autoRedefine/>
    <w:uiPriority w:val="39"/>
    <w:unhideWhenUsed/>
    <w:rsid w:val="008841E9"/>
    <w:pPr>
      <w:tabs>
        <w:tab w:val="left" w:pos="660"/>
        <w:tab w:val="right" w:leader="dot" w:pos="8494"/>
      </w:tabs>
      <w:spacing w:after="100" w:line="259" w:lineRule="auto"/>
      <w:ind w:left="426" w:hanging="426"/>
    </w:pPr>
    <w:rPr>
      <w:rFonts w:eastAsia="Calibri"/>
      <w:bCs/>
      <w:noProof/>
      <w:sz w:val="22"/>
      <w:szCs w:val="22"/>
      <w:lang w:val="es-PE" w:eastAsia="en-US"/>
    </w:rPr>
  </w:style>
  <w:style w:type="paragraph" w:styleId="TDC2">
    <w:name w:val="toc 2"/>
    <w:basedOn w:val="Normal"/>
    <w:next w:val="Normal"/>
    <w:autoRedefine/>
    <w:uiPriority w:val="39"/>
    <w:unhideWhenUsed/>
    <w:rsid w:val="008841E9"/>
    <w:pPr>
      <w:tabs>
        <w:tab w:val="left" w:pos="709"/>
        <w:tab w:val="left" w:pos="993"/>
        <w:tab w:val="left" w:pos="1418"/>
        <w:tab w:val="left" w:pos="1701"/>
        <w:tab w:val="left" w:pos="1985"/>
        <w:tab w:val="right" w:leader="dot" w:pos="8494"/>
      </w:tabs>
      <w:spacing w:after="100" w:line="259" w:lineRule="auto"/>
      <w:ind w:left="1276" w:hanging="709"/>
    </w:pPr>
    <w:rPr>
      <w:rFonts w:eastAsia="Calibri"/>
      <w:noProof/>
      <w:sz w:val="22"/>
      <w:szCs w:val="22"/>
      <w:lang w:val="es-PE" w:eastAsia="en-US"/>
    </w:rPr>
  </w:style>
  <w:style w:type="character" w:customStyle="1" w:styleId="PrrafodelistaCar">
    <w:name w:val="Párrafo de lista Car"/>
    <w:aliases w:val="Fundamentacion Car,List Paragraph1 Car,NUMBERED PARAGRAPH Car,List Paragraph 1 Car,References Car,ReferencesCxSpLast Car,lp1 Car,NIVEL ONE Car"/>
    <w:link w:val="Prrafodelista"/>
    <w:uiPriority w:val="34"/>
    <w:locked/>
    <w:rsid w:val="008841E9"/>
    <w:rPr>
      <w:rFonts w:ascii="Calibri" w:eastAsia="Calibri" w:hAnsi="Calibri"/>
      <w:sz w:val="22"/>
      <w:szCs w:val="22"/>
      <w:lang w:val="es-PE" w:eastAsia="en-US"/>
    </w:rPr>
  </w:style>
  <w:style w:type="character" w:customStyle="1" w:styleId="FootnoteTextChar1">
    <w:name w:val="Footnote Text Char1"/>
    <w:aliases w:val="Footnote Text Char Char Char Char Char Char,Footnote Text Char Char Char Char Char1,Footnote reference Char,FA Fu Char,Footnote Text Char Char Char Char1,Texto Char,nota Char,pie Char,Ref. Char,al Char,Footnote Text Char Char"/>
    <w:basedOn w:val="Fuentedeprrafopredeter"/>
    <w:uiPriority w:val="99"/>
    <w:rsid w:val="008841E9"/>
    <w:rPr>
      <w:rFonts w:ascii="Calibri" w:eastAsia="Times New Roman" w:hAnsi="Calibri" w:cs="Times New Roman"/>
      <w:sz w:val="20"/>
      <w:szCs w:val="20"/>
      <w:lang w:val="es-ES" w:eastAsia="es-ES"/>
    </w:rPr>
  </w:style>
  <w:style w:type="paragraph" w:customStyle="1" w:styleId="BVIfnrCar1CarCarCarCarCarCarCarCar">
    <w:name w:val="BVI fnr Car1 Car Car Car Car Car Car Car Car"/>
    <w:aliases w:val="ftref Car Car Car Car Car Car Car Car Car Car Car Car Car Car, BVI fnr"/>
    <w:basedOn w:val="Normal"/>
    <w:link w:val="Refdenotaalpie"/>
    <w:uiPriority w:val="99"/>
    <w:rsid w:val="008841E9"/>
    <w:pPr>
      <w:spacing w:before="200" w:after="160" w:line="240" w:lineRule="exact"/>
    </w:pPr>
    <w:rPr>
      <w:sz w:val="18"/>
      <w:vertAlign w:val="superscript"/>
      <w:lang w:val="fr-FR" w:eastAsia="fr-FR"/>
    </w:rPr>
  </w:style>
  <w:style w:type="character" w:styleId="Refdecomentario">
    <w:name w:val="annotation reference"/>
    <w:basedOn w:val="Fuentedeprrafopredeter"/>
    <w:uiPriority w:val="99"/>
    <w:unhideWhenUsed/>
    <w:rsid w:val="008841E9"/>
    <w:rPr>
      <w:sz w:val="16"/>
      <w:szCs w:val="16"/>
    </w:rPr>
  </w:style>
  <w:style w:type="paragraph" w:styleId="Textocomentario">
    <w:name w:val="annotation text"/>
    <w:basedOn w:val="Normal"/>
    <w:link w:val="TextocomentarioCar"/>
    <w:uiPriority w:val="99"/>
    <w:unhideWhenUsed/>
    <w:rsid w:val="008841E9"/>
    <w:pPr>
      <w:spacing w:after="160" w:line="240" w:lineRule="auto"/>
    </w:pPr>
    <w:rPr>
      <w:rFonts w:ascii="Calibri" w:eastAsia="Calibri" w:hAnsi="Calibri"/>
      <w:lang w:val="es-PE" w:eastAsia="en-US"/>
    </w:rPr>
  </w:style>
  <w:style w:type="character" w:customStyle="1" w:styleId="TextocomentarioCar">
    <w:name w:val="Texto comentario Car"/>
    <w:basedOn w:val="Fuentedeprrafopredeter"/>
    <w:link w:val="Textocomentario"/>
    <w:uiPriority w:val="99"/>
    <w:rsid w:val="008841E9"/>
    <w:rPr>
      <w:rFonts w:ascii="Calibri" w:eastAsia="Calibri" w:hAnsi="Calibri"/>
      <w:lang w:val="es-PE" w:eastAsia="en-US"/>
    </w:rPr>
  </w:style>
  <w:style w:type="paragraph" w:styleId="Asuntodelcomentario">
    <w:name w:val="annotation subject"/>
    <w:basedOn w:val="Textocomentario"/>
    <w:next w:val="Textocomentario"/>
    <w:link w:val="AsuntodelcomentarioCar"/>
    <w:uiPriority w:val="99"/>
    <w:unhideWhenUsed/>
    <w:rsid w:val="008841E9"/>
    <w:rPr>
      <w:b/>
      <w:bCs/>
    </w:rPr>
  </w:style>
  <w:style w:type="character" w:customStyle="1" w:styleId="AsuntodelcomentarioCar">
    <w:name w:val="Asunto del comentario Car"/>
    <w:basedOn w:val="TextocomentarioCar"/>
    <w:link w:val="Asuntodelcomentario"/>
    <w:uiPriority w:val="99"/>
    <w:rsid w:val="008841E9"/>
    <w:rPr>
      <w:rFonts w:ascii="Calibri" w:eastAsia="Calibri" w:hAnsi="Calibri"/>
      <w:b/>
      <w:bCs/>
      <w:lang w:val="es-PE" w:eastAsia="en-US"/>
    </w:rPr>
  </w:style>
  <w:style w:type="character" w:customStyle="1" w:styleId="EncabezadoCar">
    <w:name w:val="Encabezado Car"/>
    <w:aliases w:val="6_G Car"/>
    <w:basedOn w:val="Fuentedeprrafopredeter"/>
    <w:link w:val="Encabezado"/>
    <w:uiPriority w:val="99"/>
    <w:rsid w:val="008841E9"/>
    <w:rPr>
      <w:b/>
      <w:sz w:val="18"/>
      <w:lang w:val="es-ES" w:eastAsia="es-ES"/>
    </w:rPr>
  </w:style>
  <w:style w:type="character" w:customStyle="1" w:styleId="PiedepginaCar">
    <w:name w:val="Pie de página Car"/>
    <w:aliases w:val="3_G Car"/>
    <w:basedOn w:val="Fuentedeprrafopredeter"/>
    <w:link w:val="Piedepgina"/>
    <w:uiPriority w:val="99"/>
    <w:rsid w:val="008841E9"/>
    <w:rPr>
      <w:sz w:val="16"/>
      <w:lang w:val="es-ES" w:eastAsia="es-ES"/>
    </w:rPr>
  </w:style>
  <w:style w:type="character" w:customStyle="1" w:styleId="TextoindependienteCar">
    <w:name w:val="Texto independiente Car"/>
    <w:basedOn w:val="Fuentedeprrafopredeter"/>
    <w:link w:val="Textoindependiente"/>
    <w:uiPriority w:val="99"/>
    <w:rsid w:val="008841E9"/>
    <w:rPr>
      <w:lang w:val="es-ES" w:eastAsia="es-ES"/>
    </w:rPr>
  </w:style>
  <w:style w:type="paragraph" w:styleId="Sinespaciado">
    <w:name w:val="No Spacing"/>
    <w:link w:val="SinespaciadoCar"/>
    <w:uiPriority w:val="1"/>
    <w:qFormat/>
    <w:rsid w:val="008841E9"/>
    <w:rPr>
      <w:rFonts w:ascii="Arial" w:hAnsi="Arial" w:cs="Calibri"/>
      <w:sz w:val="22"/>
      <w:szCs w:val="22"/>
      <w:lang w:val="es-PE" w:eastAsia="es-PE"/>
    </w:rPr>
  </w:style>
  <w:style w:type="character" w:customStyle="1" w:styleId="SinespaciadoCar">
    <w:name w:val="Sin espaciado Car"/>
    <w:basedOn w:val="Fuentedeprrafopredeter"/>
    <w:link w:val="Sinespaciado"/>
    <w:uiPriority w:val="1"/>
    <w:rsid w:val="008841E9"/>
    <w:rPr>
      <w:rFonts w:ascii="Arial" w:hAnsi="Arial" w:cs="Calibri"/>
      <w:sz w:val="22"/>
      <w:szCs w:val="22"/>
      <w:lang w:val="es-PE" w:eastAsia="es-PE"/>
    </w:rPr>
  </w:style>
  <w:style w:type="character" w:customStyle="1" w:styleId="TextonotaalfinalCar">
    <w:name w:val="Texto nota al final Car"/>
    <w:aliases w:val="2_G Car"/>
    <w:basedOn w:val="Fuentedeprrafopredeter"/>
    <w:link w:val="Textonotaalfinal"/>
    <w:uiPriority w:val="99"/>
    <w:rsid w:val="008841E9"/>
    <w:rPr>
      <w:sz w:val="18"/>
      <w:lang w:val="es-ES" w:eastAsia="es-ES"/>
    </w:rPr>
  </w:style>
  <w:style w:type="paragraph" w:styleId="Revisin">
    <w:name w:val="Revision"/>
    <w:hidden/>
    <w:uiPriority w:val="99"/>
    <w:semiHidden/>
    <w:rsid w:val="008841E9"/>
    <w:rPr>
      <w:rFonts w:ascii="Calibri" w:eastAsia="Calibri" w:hAnsi="Calibri"/>
      <w:sz w:val="22"/>
      <w:szCs w:val="22"/>
      <w:lang w:val="es-PE" w:eastAsia="en-US"/>
    </w:rPr>
  </w:style>
  <w:style w:type="paragraph" w:customStyle="1" w:styleId="TOC31">
    <w:name w:val="TOC 31"/>
    <w:basedOn w:val="Normal"/>
    <w:next w:val="Normal"/>
    <w:autoRedefine/>
    <w:uiPriority w:val="39"/>
    <w:unhideWhenUsed/>
    <w:rsid w:val="008841E9"/>
    <w:pPr>
      <w:spacing w:after="100" w:line="259" w:lineRule="auto"/>
      <w:ind w:left="440"/>
    </w:pPr>
    <w:rPr>
      <w:rFonts w:ascii="Calibri" w:hAnsi="Calibri"/>
      <w:sz w:val="22"/>
      <w:szCs w:val="22"/>
      <w:lang w:val="es-PE" w:eastAsia="es-PE"/>
    </w:rPr>
  </w:style>
  <w:style w:type="paragraph" w:styleId="TDC3">
    <w:name w:val="toc 3"/>
    <w:basedOn w:val="Normal"/>
    <w:next w:val="Normal"/>
    <w:autoRedefine/>
    <w:uiPriority w:val="39"/>
    <w:rsid w:val="00704713"/>
    <w:pPr>
      <w:spacing w:after="100"/>
      <w:ind w:left="400"/>
    </w:pPr>
  </w:style>
  <w:style w:type="numbering" w:customStyle="1" w:styleId="NoList2">
    <w:name w:val="No List2"/>
    <w:next w:val="Sinlista"/>
    <w:uiPriority w:val="99"/>
    <w:semiHidden/>
    <w:unhideWhenUsed/>
    <w:rsid w:val="00C8443F"/>
  </w:style>
  <w:style w:type="table" w:customStyle="1" w:styleId="TableGrid2">
    <w:name w:val="Table Grid2"/>
    <w:basedOn w:val="Tablanormal"/>
    <w:next w:val="Tablaconcuadrcula"/>
    <w:uiPriority w:val="39"/>
    <w:rsid w:val="00C8443F"/>
    <w:rPr>
      <w:rFonts w:ascii="Calibri" w:eastAsia="Calibri" w:hAnsi="Calibri"/>
      <w:sz w:val="22"/>
      <w:szCs w:val="22"/>
      <w:lang w:val="es-PE"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ww.tc.gob.pe/jurisprudencia/2012/05197-2011-HC.html" TargetMode="External"/><Relationship Id="rId3" Type="http://schemas.openxmlformats.org/officeDocument/2006/relationships/hyperlink" Target="https://www.inei.gob.pe/media/MenuRecursivo/publicaciones_digitales/Est/Lib1364/libro.pdf" TargetMode="External"/><Relationship Id="rId7" Type="http://schemas.openxmlformats.org/officeDocument/2006/relationships/hyperlink" Target="http://app2.inpe.gob.pe/resolucion/cache/Gestion/2016/Directiva/DI012-INPE-2016-DTP.pdf" TargetMode="External"/><Relationship Id="rId2" Type="http://schemas.openxmlformats.org/officeDocument/2006/relationships/hyperlink" Target="http://www.mimp.gob.pe/files/direcciones/dgignd/informes/2015-Informe_LIO.pdf" TargetMode="External"/><Relationship Id="rId1" Type="http://schemas.openxmlformats.org/officeDocument/2006/relationships/hyperlink" Target="http://www.mimp.gob.pe/contigo/contenidos/pncontigo-articulos.php?codigo=36" TargetMode="External"/><Relationship Id="rId6" Type="http://schemas.openxmlformats.org/officeDocument/2006/relationships/hyperlink" Target="http://app2.inpe.gob.pe/resolucion/cache/2013/Resolucion%20Presidencial/RP%20320%202013.pdf" TargetMode="External"/><Relationship Id="rId5" Type="http://schemas.openxmlformats.org/officeDocument/2006/relationships/hyperlink" Target="http://app2.inpe.gob.pe/resolucion/cache/2013/Resolucion%20Presidencial/RP%20320%202013.pdf" TargetMode="External"/><Relationship Id="rId10" Type="http://schemas.openxmlformats.org/officeDocument/2006/relationships/hyperlink" Target="http://www.mimp.gob.pe/files/direcciones/dgignd/informes/2015-Informe_LIO.pdf" TargetMode="External"/><Relationship Id="rId4" Type="http://schemas.openxmlformats.org/officeDocument/2006/relationships/hyperlink" Target="http://www.inpe.gob.pe/pdf/julio_2016.pdf" TargetMode="External"/><Relationship Id="rId9" Type="http://schemas.openxmlformats.org/officeDocument/2006/relationships/hyperlink" Target="http://www.mimp.gob.pe/files/direcciones/dgignd/informes/2014-Informe_LIO.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655F1-2D96-42AE-90BC-27D8CC4BB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CAT_S.dotm</Template>
  <TotalTime>0</TotalTime>
  <Pages>42</Pages>
  <Words>16714</Words>
  <Characters>91927</Characters>
  <Application>Microsoft Office Word</Application>
  <DocSecurity>0</DocSecurity>
  <Lines>766</Lines>
  <Paragraphs>216</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CAT/C/PER/7</vt:lpstr>
      <vt:lpstr>CAT/C/PER/7</vt:lpstr>
      <vt:lpstr>CAT/C/PER/7</vt:lpstr>
    </vt:vector>
  </TitlesOfParts>
  <Company>DCM</Company>
  <LinksUpToDate>false</LinksUpToDate>
  <CharactersWithSpaces>108425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CAT/C/PER/7</dc:title>
  <dc:subject>CAT/C/PER/7</dc:subject>
  <dc:creator>Maria Luisa ZEBALLOS MORENO</dc:creator>
  <cp:keywords/>
  <dc:description/>
  <cp:lastModifiedBy>Maria Luisa ZEBALLOS MORENO</cp:lastModifiedBy>
  <cp:revision>3</cp:revision>
  <cp:lastPrinted>2017-07-19T08:28:00Z</cp:lastPrinted>
  <dcterms:created xsi:type="dcterms:W3CDTF">2017-07-19T08:28:00Z</dcterms:created>
  <dcterms:modified xsi:type="dcterms:W3CDTF">2017-07-19T08:28:00Z</dcterms:modified>
</cp:coreProperties>
</file>