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6C7" w:rsidRDefault="007646C7" w:rsidP="007646C7">
      <w:pPr>
        <w:spacing w:line="240" w:lineRule="auto"/>
        <w:jc w:val="left"/>
        <w:rPr>
          <w:szCs w:val="6"/>
        </w:rPr>
        <w:sectPr w:rsidR="007646C7" w:rsidSect="007646C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C3E74" w:rsidRPr="00BC3E74" w:rsidRDefault="00BC3E74" w:rsidP="00135E1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C3E74">
        <w:rPr>
          <w:rtl/>
        </w:rPr>
        <w:t>اللجنة المعنية بالقضاء على التمييز ضد المرأة</w:t>
      </w:r>
    </w:p>
    <w:p w:rsidR="00BC3E74" w:rsidRPr="00BC3E74" w:rsidRDefault="00BC3E74" w:rsidP="00135E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tl/>
        </w:rPr>
        <w:t>الفريق العامل لما قبل الدور</w:t>
      </w:r>
      <w:r>
        <w:rPr>
          <w:rFonts w:hint="cs"/>
          <w:rtl/>
        </w:rPr>
        <w:t>ة</w:t>
      </w:r>
    </w:p>
    <w:p w:rsidR="00BC3E74" w:rsidRPr="00BC3E74" w:rsidRDefault="00BC3E74" w:rsidP="00135E1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BC3E74">
        <w:rPr>
          <w:rtl/>
        </w:rPr>
        <w:t>الدورة الثانية والأربعون</w:t>
      </w:r>
    </w:p>
    <w:p w:rsidR="00BC3E74" w:rsidRPr="00BC3E74" w:rsidRDefault="00BC3E74" w:rsidP="00135E15">
      <w:pPr>
        <w:tabs>
          <w:tab w:val="left" w:pos="662"/>
          <w:tab w:val="left" w:pos="1267"/>
          <w:tab w:val="left" w:pos="1987"/>
          <w:tab w:val="left" w:pos="2650"/>
        </w:tabs>
        <w:rPr>
          <w:rtl/>
        </w:rPr>
      </w:pPr>
      <w:r w:rsidRPr="00BC3E74">
        <w:rPr>
          <w:rtl/>
        </w:rPr>
        <w:t>20 تشرين الأول/أكتوبر - 7 تشرين الثاني/نوفمبر 2008</w:t>
      </w:r>
    </w:p>
    <w:p w:rsidR="00BC3E74" w:rsidRPr="00BC3E74" w:rsidRDefault="00BC3E74" w:rsidP="00BC3E74">
      <w:pPr>
        <w:pStyle w:val="SingleTxt"/>
        <w:spacing w:after="0" w:line="120" w:lineRule="exact"/>
        <w:rPr>
          <w:rFonts w:hint="cs"/>
          <w:sz w:val="10"/>
          <w:rtl/>
          <w:lang w:val="en-GB"/>
        </w:rPr>
      </w:pPr>
    </w:p>
    <w:p w:rsidR="00BC3E74" w:rsidRPr="00BC3E74" w:rsidRDefault="00BC3E74" w:rsidP="00BC3E74">
      <w:pPr>
        <w:pStyle w:val="SingleTxt"/>
        <w:spacing w:after="0" w:line="120" w:lineRule="exact"/>
        <w:rPr>
          <w:b/>
          <w:bCs/>
          <w:sz w:val="10"/>
          <w:rtl/>
        </w:rPr>
      </w:pPr>
    </w:p>
    <w:p w:rsidR="00BC3E74" w:rsidRPr="00BC3E74" w:rsidRDefault="00BC3E74" w:rsidP="00BC3E7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BC3E74">
        <w:rPr>
          <w:rtl/>
        </w:rPr>
        <w:t>قائمة القضايا والأسئلة المطروحة فيما يتعلق بالنظر في التقارير الدورية</w:t>
      </w:r>
      <w:r w:rsidR="00135E15" w:rsidRPr="00132B88">
        <w:rPr>
          <w:rFonts w:hint="cs"/>
          <w:b w:val="0"/>
          <w:bCs w:val="0"/>
          <w:sz w:val="20"/>
          <w:szCs w:val="30"/>
          <w:rtl/>
        </w:rPr>
        <w:t>*</w:t>
      </w:r>
    </w:p>
    <w:p w:rsidR="00BC3E74" w:rsidRPr="00BC3E74" w:rsidRDefault="00BC3E74" w:rsidP="00BC3E74">
      <w:pPr>
        <w:pStyle w:val="SingleTxt"/>
        <w:spacing w:after="0" w:line="120" w:lineRule="exact"/>
        <w:rPr>
          <w:sz w:val="10"/>
          <w:rtl/>
          <w:lang w:val="en-GB"/>
        </w:rPr>
      </w:pPr>
    </w:p>
    <w:p w:rsidR="00BC3E74" w:rsidRPr="00BC3E74" w:rsidRDefault="00132B88" w:rsidP="00132B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C3E74" w:rsidRPr="00BC3E74">
        <w:rPr>
          <w:rtl/>
        </w:rPr>
        <w:t>بلجيكا</w:t>
      </w:r>
      <w:r w:rsidR="000726F6" w:rsidRPr="00132B88">
        <w:rPr>
          <w:rFonts w:hint="cs"/>
          <w:b w:val="0"/>
          <w:bCs w:val="0"/>
          <w:sz w:val="20"/>
          <w:szCs w:val="30"/>
          <w:rtl/>
        </w:rPr>
        <w:t>**</w:t>
      </w:r>
    </w:p>
    <w:p w:rsidR="00BC3E74" w:rsidRPr="00BC3E74" w:rsidRDefault="00BC3E74" w:rsidP="00BC3E74">
      <w:pPr>
        <w:pStyle w:val="SingleTxt"/>
        <w:spacing w:after="0" w:line="120" w:lineRule="exact"/>
        <w:rPr>
          <w:rFonts w:hint="cs"/>
          <w:sz w:val="10"/>
          <w:rtl/>
          <w:lang w:val="en-GB"/>
        </w:rPr>
      </w:pPr>
    </w:p>
    <w:p w:rsidR="00BC3E74" w:rsidRPr="00BC3E74" w:rsidRDefault="00BC3E74" w:rsidP="00BC3E74">
      <w:pPr>
        <w:pStyle w:val="SingleTxt"/>
        <w:rPr>
          <w:rFonts w:hint="cs"/>
          <w:rtl/>
        </w:rPr>
      </w:pPr>
      <w:r w:rsidRPr="00BC3E74">
        <w:rPr>
          <w:lang w:val="en-GB"/>
        </w:rPr>
        <w:tab/>
      </w:r>
      <w:r w:rsidRPr="00BC3E74">
        <w:rPr>
          <w:rtl/>
        </w:rPr>
        <w:t xml:space="preserve">نظر الفريق العامل لما </w:t>
      </w:r>
      <w:r>
        <w:rPr>
          <w:rtl/>
        </w:rPr>
        <w:t>قبل الدور</w:t>
      </w:r>
      <w:r>
        <w:rPr>
          <w:rFonts w:hint="cs"/>
          <w:rtl/>
        </w:rPr>
        <w:t>ة</w:t>
      </w:r>
      <w:r w:rsidRPr="00BC3E74">
        <w:rPr>
          <w:rtl/>
        </w:rPr>
        <w:t xml:space="preserve"> في التقرير الجامع للتقريرين الدوريين الخامس والسادس لبلجيكا (</w:t>
      </w:r>
      <w:r w:rsidRPr="00BC3E74">
        <w:t>CEDAW/C/BEL/6</w:t>
      </w:r>
      <w:r>
        <w:rPr>
          <w:rtl/>
        </w:rPr>
        <w:t>).</w:t>
      </w:r>
    </w:p>
    <w:p w:rsidR="00BC3E74" w:rsidRPr="00BC3E74" w:rsidRDefault="00BC3E74" w:rsidP="00BC3E74">
      <w:pPr>
        <w:pStyle w:val="SingleTxt"/>
        <w:spacing w:after="0" w:line="120" w:lineRule="exact"/>
        <w:rPr>
          <w:sz w:val="10"/>
          <w:rtl/>
          <w:lang w:val="en-GB"/>
        </w:rPr>
      </w:pPr>
    </w:p>
    <w:p w:rsidR="00BC3E74" w:rsidRPr="00BC3E74" w:rsidRDefault="00BC3E74" w:rsidP="00BC3E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BC3E74">
        <w:rPr>
          <w:rtl/>
        </w:rPr>
        <w:t>نظرة عامة</w:t>
      </w:r>
    </w:p>
    <w:p w:rsidR="00BC3E74" w:rsidRPr="00BC3E74" w:rsidRDefault="00BC3E74" w:rsidP="00BC3E74">
      <w:pPr>
        <w:pStyle w:val="SingleTxt"/>
        <w:rPr>
          <w:rFonts w:hint="cs"/>
          <w:rtl/>
        </w:rPr>
      </w:pPr>
      <w:r w:rsidRPr="00BC3E74">
        <w:rPr>
          <w:rFonts w:hint="cs"/>
          <w:rtl/>
        </w:rPr>
        <w:t>1</w:t>
      </w:r>
      <w:r>
        <w:rPr>
          <w:rFonts w:hint="cs"/>
          <w:rtl/>
        </w:rPr>
        <w:t xml:space="preserve"> </w:t>
      </w:r>
      <w:r w:rsidRPr="00BC3E74">
        <w:rPr>
          <w:rFonts w:hint="cs"/>
          <w:rtl/>
        </w:rPr>
        <w:t>-</w:t>
      </w:r>
      <w:r>
        <w:rPr>
          <w:rFonts w:hint="cs"/>
          <w:rtl/>
        </w:rPr>
        <w:tab/>
      </w:r>
      <w:r w:rsidRPr="00BC3E74">
        <w:rPr>
          <w:rtl/>
        </w:rPr>
        <w:t>أعربت اللجنة في ملاحظاتها الختامية السابقة</w:t>
      </w:r>
      <w:r w:rsidRPr="00BC3E74">
        <w:rPr>
          <w:vertAlign w:val="superscript"/>
          <w:rtl/>
        </w:rPr>
        <w:t>(</w:t>
      </w:r>
      <w:r>
        <w:rPr>
          <w:rStyle w:val="FootnoteReference"/>
          <w:rtl/>
        </w:rPr>
        <w:footnoteReference w:id="1"/>
      </w:r>
      <w:r w:rsidRPr="00BC3E74">
        <w:rPr>
          <w:vertAlign w:val="superscript"/>
          <w:rtl/>
        </w:rPr>
        <w:t>)</w:t>
      </w:r>
      <w:r w:rsidRPr="00BC3E74">
        <w:rPr>
          <w:rtl/>
        </w:rPr>
        <w:t xml:space="preserve"> عن قلقها </w:t>
      </w:r>
      <w:r>
        <w:rPr>
          <w:rFonts w:hint="cs"/>
          <w:rtl/>
        </w:rPr>
        <w:t xml:space="preserve">إزاء </w:t>
      </w:r>
      <w:r>
        <w:rPr>
          <w:rtl/>
        </w:rPr>
        <w:t>عدم كفاية البيانات الإحصائي</w:t>
      </w:r>
      <w:r>
        <w:rPr>
          <w:rFonts w:hint="cs"/>
          <w:rtl/>
        </w:rPr>
        <w:t>ة</w:t>
      </w:r>
      <w:r w:rsidRPr="00BC3E74">
        <w:rPr>
          <w:rtl/>
        </w:rPr>
        <w:t xml:space="preserve"> </w:t>
      </w:r>
      <w:r>
        <w:rPr>
          <w:rFonts w:hint="cs"/>
          <w:rtl/>
        </w:rPr>
        <w:t xml:space="preserve">المفصلة </w:t>
      </w:r>
      <w:r w:rsidRPr="00BC3E74">
        <w:rPr>
          <w:rtl/>
        </w:rPr>
        <w:t xml:space="preserve">بحسب الجنس الواردة في التقرير، وأوصت بإجراء </w:t>
      </w:r>
      <w:r>
        <w:rPr>
          <w:rFonts w:hint="cs"/>
          <w:rtl/>
        </w:rPr>
        <w:t xml:space="preserve">تصنيف </w:t>
      </w:r>
      <w:r w:rsidRPr="00BC3E74">
        <w:rPr>
          <w:rtl/>
        </w:rPr>
        <w:t>وتحليل شاملين للبيانات الإحصائية الموزعة بحسب الجنس، وضمها إلى التقرير التالي.</w:t>
      </w:r>
      <w:r w:rsidRPr="00BC3E74">
        <w:rPr>
          <w:lang w:val="en-GB"/>
        </w:rPr>
        <w:t xml:space="preserve"> </w:t>
      </w:r>
      <w:r w:rsidRPr="00BC3E74">
        <w:rPr>
          <w:rtl/>
        </w:rPr>
        <w:t xml:space="preserve">وعلى الرغم من تقديم بعض البيانات الإحصائية </w:t>
      </w:r>
      <w:r>
        <w:rPr>
          <w:rFonts w:hint="cs"/>
          <w:rtl/>
        </w:rPr>
        <w:t xml:space="preserve">المفصلة </w:t>
      </w:r>
      <w:r w:rsidRPr="00BC3E74">
        <w:rPr>
          <w:rtl/>
        </w:rPr>
        <w:t xml:space="preserve">حسب </w:t>
      </w:r>
      <w:r>
        <w:rPr>
          <w:rFonts w:hint="cs"/>
          <w:rtl/>
        </w:rPr>
        <w:t xml:space="preserve">نوع </w:t>
      </w:r>
      <w:r w:rsidRPr="00BC3E74">
        <w:rPr>
          <w:rtl/>
        </w:rPr>
        <w:t>الجنس في إطار بعض مواد الاتفاقية، فإن بعضها الآخر ما زال غير ملائم.</w:t>
      </w:r>
      <w:r w:rsidRPr="00BC3E74">
        <w:rPr>
          <w:lang w:val="en-GB"/>
        </w:rPr>
        <w:t xml:space="preserve"> </w:t>
      </w:r>
      <w:r w:rsidRPr="00BC3E74">
        <w:rPr>
          <w:rtl/>
        </w:rPr>
        <w:t xml:space="preserve">يرجى تقديم بيانات إحصائية مناسبة </w:t>
      </w:r>
      <w:r>
        <w:rPr>
          <w:rFonts w:hint="cs"/>
          <w:rtl/>
        </w:rPr>
        <w:t>مفصلة ب</w:t>
      </w:r>
      <w:r w:rsidRPr="00BC3E74">
        <w:rPr>
          <w:rtl/>
        </w:rPr>
        <w:t xml:space="preserve">حسب </w:t>
      </w:r>
      <w:r>
        <w:rPr>
          <w:rFonts w:hint="cs"/>
          <w:rtl/>
        </w:rPr>
        <w:t xml:space="preserve">نوع </w:t>
      </w:r>
      <w:r w:rsidRPr="00BC3E74">
        <w:rPr>
          <w:rtl/>
        </w:rPr>
        <w:t xml:space="preserve">الجنس وفقا لكل مادة مواضيعية من مواد المعاهدة، وعلى مستوى كل </w:t>
      </w:r>
      <w:r>
        <w:rPr>
          <w:rFonts w:hint="cs"/>
          <w:rtl/>
        </w:rPr>
        <w:t xml:space="preserve">كيان </w:t>
      </w:r>
      <w:r w:rsidRPr="00BC3E74">
        <w:rPr>
          <w:rtl/>
        </w:rPr>
        <w:t>من الكيانات الاتحادية.</w:t>
      </w:r>
    </w:p>
    <w:p w:rsidR="00BC3E74" w:rsidRPr="00BC3E74" w:rsidRDefault="00BC3E74" w:rsidP="00BC3E74">
      <w:pPr>
        <w:pStyle w:val="SingleTxt"/>
        <w:rPr>
          <w:rtl/>
        </w:rPr>
      </w:pPr>
      <w:r w:rsidRPr="00BC3E74">
        <w:rPr>
          <w:rtl/>
        </w:rPr>
        <w:t>2</w:t>
      </w:r>
      <w:r>
        <w:rPr>
          <w:rFonts w:hint="cs"/>
          <w:rtl/>
        </w:rPr>
        <w:t xml:space="preserve"> </w:t>
      </w:r>
      <w:r w:rsidRPr="00BC3E74">
        <w:rPr>
          <w:rtl/>
        </w:rPr>
        <w:t>-</w:t>
      </w:r>
      <w:r>
        <w:rPr>
          <w:rFonts w:hint="cs"/>
          <w:rtl/>
        </w:rPr>
        <w:tab/>
      </w:r>
      <w:r w:rsidRPr="00BC3E74">
        <w:rPr>
          <w:rtl/>
        </w:rPr>
        <w:t xml:space="preserve">يرجى تقديم معلومات عن عملية إعداد التقرير الجامع للتقريرين الخامس والسادس، بما في ذلك تفاصيل عن مشاركة مختلف مستويات السلطة في الدولة الطرف، ومساهمات المؤسسات العامة على المستوى </w:t>
      </w:r>
      <w:r>
        <w:rPr>
          <w:rFonts w:hint="cs"/>
          <w:rtl/>
        </w:rPr>
        <w:t xml:space="preserve">الاتحادي </w:t>
      </w:r>
      <w:r w:rsidRPr="00BC3E74">
        <w:rPr>
          <w:rtl/>
        </w:rPr>
        <w:t>وعلى مستوى الكيانات الاتحادية، بالإضافة إلى تفاصيل عن المشاورات مع المنظمات غير الحكومية.</w:t>
      </w:r>
    </w:p>
    <w:p w:rsidR="00BC3E74" w:rsidRPr="00BC3E74" w:rsidRDefault="00BC3E74" w:rsidP="00BC3E74">
      <w:pPr>
        <w:pStyle w:val="SingleTxt"/>
        <w:rPr>
          <w:lang w:val="en-GB"/>
        </w:rPr>
      </w:pPr>
      <w:r>
        <w:rPr>
          <w:rFonts w:hint="cs"/>
          <w:rtl/>
        </w:rPr>
        <w:t>3 -</w:t>
      </w:r>
      <w:r>
        <w:rPr>
          <w:rFonts w:hint="cs"/>
          <w:rtl/>
        </w:rPr>
        <w:tab/>
        <w:t>و</w:t>
      </w:r>
      <w:r w:rsidRPr="00BC3E74">
        <w:rPr>
          <w:rtl/>
        </w:rPr>
        <w:t xml:space="preserve">لا يقدم التقرير المتعلق بالمادة 2 من المعاهدة أي معلومات عما اتخذته </w:t>
      </w:r>
      <w:r>
        <w:rPr>
          <w:rFonts w:hint="cs"/>
          <w:rtl/>
        </w:rPr>
        <w:t xml:space="preserve">الطائفة </w:t>
      </w:r>
      <w:r w:rsidRPr="00BC3E74">
        <w:rPr>
          <w:rtl/>
        </w:rPr>
        <w:t>الناطقة باللغة الألمانية من تدابير لتنفيذ المعاهدة وتوصيات اللجنة الواردة في ملاحظاتها الختامية السابقة.</w:t>
      </w:r>
      <w:r w:rsidRPr="00BC3E74">
        <w:rPr>
          <w:lang w:val="en-GB"/>
        </w:rPr>
        <w:t xml:space="preserve"> </w:t>
      </w:r>
      <w:r w:rsidRPr="00BC3E74">
        <w:rPr>
          <w:rtl/>
        </w:rPr>
        <w:t>يرجى تقديم معلومات بهذا الشأن.</w:t>
      </w:r>
      <w:r w:rsidRPr="00BC3E74">
        <w:rPr>
          <w:lang w:val="en-GB"/>
        </w:rPr>
        <w:t xml:space="preserve"> </w:t>
      </w:r>
      <w:r w:rsidRPr="00BC3E74">
        <w:rPr>
          <w:rtl/>
        </w:rPr>
        <w:t xml:space="preserve">فيما يتعلق </w:t>
      </w:r>
      <w:r>
        <w:rPr>
          <w:rFonts w:hint="cs"/>
          <w:rtl/>
        </w:rPr>
        <w:t xml:space="preserve">بالطائفة </w:t>
      </w:r>
      <w:r>
        <w:rPr>
          <w:rtl/>
        </w:rPr>
        <w:t>والإقليم الفلمنديين</w:t>
      </w:r>
      <w:r w:rsidRPr="00BC3E74">
        <w:rPr>
          <w:rtl/>
        </w:rPr>
        <w:t xml:space="preserve">، يرجى </w:t>
      </w:r>
      <w:r>
        <w:rPr>
          <w:rFonts w:hint="cs"/>
          <w:rtl/>
        </w:rPr>
        <w:t xml:space="preserve">الإفادة </w:t>
      </w:r>
      <w:r w:rsidRPr="00BC3E74">
        <w:rPr>
          <w:rtl/>
        </w:rPr>
        <w:t xml:space="preserve">عما إذا كان مشروع القرار الرامي إلى إقرار المرسومين المتعلقين بالحصص قد اعتمد، وما إذا </w:t>
      </w:r>
      <w:r>
        <w:rPr>
          <w:rFonts w:hint="cs"/>
          <w:rtl/>
        </w:rPr>
        <w:t xml:space="preserve">كان قد </w:t>
      </w:r>
      <w:r w:rsidRPr="00BC3E74">
        <w:rPr>
          <w:rtl/>
        </w:rPr>
        <w:t>تم الانتهاء من صياغة قانون البرلمان الفلمندي بشأن المساواة في المعاملة، ومتى يتوقع دخوله حيز التنفيذ.</w:t>
      </w:r>
      <w:r w:rsidRPr="00BC3E74">
        <w:rPr>
          <w:lang w:val="en-GB"/>
        </w:rPr>
        <w:t xml:space="preserve"> </w:t>
      </w:r>
      <w:r w:rsidRPr="00BC3E74">
        <w:rPr>
          <w:rtl/>
        </w:rPr>
        <w:t xml:space="preserve">وهل تم تعديل مرسوم </w:t>
      </w:r>
      <w:r>
        <w:rPr>
          <w:rFonts w:hint="cs"/>
          <w:rtl/>
        </w:rPr>
        <w:t xml:space="preserve">الطائفة </w:t>
      </w:r>
      <w:r w:rsidR="00363CA3">
        <w:rPr>
          <w:rtl/>
        </w:rPr>
        <w:t>الفرنسية المؤرخ 19</w:t>
      </w:r>
      <w:r w:rsidR="00363CA3">
        <w:rPr>
          <w:rFonts w:hint="cs"/>
          <w:rtl/>
        </w:rPr>
        <w:t> </w:t>
      </w:r>
      <w:r w:rsidRPr="00BC3E74">
        <w:rPr>
          <w:rtl/>
        </w:rPr>
        <w:t>أيار/مايو 2004 بحيث يوفر حماية أفضل من التمييز المباشر وغير المباشر؟</w:t>
      </w:r>
    </w:p>
    <w:p w:rsidR="00BC3E74" w:rsidRPr="00363CA3" w:rsidRDefault="00BC3E74" w:rsidP="00BC3E74">
      <w:pPr>
        <w:pStyle w:val="SingleTxt"/>
        <w:spacing w:after="0" w:line="120" w:lineRule="exact"/>
        <w:rPr>
          <w:sz w:val="10"/>
          <w:rtl/>
          <w:lang w:val="en-GB"/>
        </w:rPr>
      </w:pPr>
    </w:p>
    <w:p w:rsidR="00BC3E74" w:rsidRPr="00BC3E74" w:rsidRDefault="00BC3E74" w:rsidP="00BC3E74">
      <w:pPr>
        <w:pStyle w:val="SingleTxt"/>
        <w:rPr>
          <w:bCs/>
          <w:rtl/>
        </w:rPr>
      </w:pPr>
      <w:r w:rsidRPr="00BC3E74">
        <w:rPr>
          <w:bCs/>
          <w:rtl/>
        </w:rPr>
        <w:t>الإطار التشريعي والمؤسسي</w:t>
      </w:r>
    </w:p>
    <w:p w:rsidR="00BC3E74" w:rsidRPr="00BC3E74" w:rsidRDefault="00BC3E74" w:rsidP="00A61905">
      <w:pPr>
        <w:pStyle w:val="SingleTxt"/>
        <w:rPr>
          <w:rtl/>
        </w:rPr>
      </w:pPr>
      <w:r w:rsidRPr="00BC3E74">
        <w:rPr>
          <w:rtl/>
        </w:rPr>
        <w:t>4</w:t>
      </w:r>
      <w:r>
        <w:rPr>
          <w:rFonts w:hint="cs"/>
          <w:rtl/>
        </w:rPr>
        <w:t xml:space="preserve"> </w:t>
      </w:r>
      <w:r w:rsidRPr="00BC3E74">
        <w:rPr>
          <w:rtl/>
        </w:rPr>
        <w:t>-</w:t>
      </w:r>
      <w:r>
        <w:rPr>
          <w:rFonts w:hint="cs"/>
          <w:rtl/>
        </w:rPr>
        <w:tab/>
      </w:r>
      <w:r w:rsidRPr="00BC3E74">
        <w:rPr>
          <w:rtl/>
        </w:rPr>
        <w:t xml:space="preserve">فيما يتعلق بوضع الاتفاقية في النظام القانوني المحلي للدولة الطرف، يرجى </w:t>
      </w:r>
      <w:r>
        <w:rPr>
          <w:rFonts w:hint="cs"/>
          <w:rtl/>
        </w:rPr>
        <w:t xml:space="preserve">بيان </w:t>
      </w:r>
      <w:r w:rsidRPr="00BC3E74">
        <w:rPr>
          <w:rtl/>
        </w:rPr>
        <w:t>ما إذا كان تم دمجها ضمن القانون الوطني من خلال إقرار المحاكم التشريعية لذلك، ومصادقة الملك عليه ونشره في الجريد</w:t>
      </w:r>
      <w:r w:rsidR="000726F6">
        <w:rPr>
          <w:rFonts w:hint="cs"/>
          <w:rtl/>
        </w:rPr>
        <w:t>ة</w:t>
      </w:r>
      <w:r w:rsidRPr="00BC3E74">
        <w:rPr>
          <w:rtl/>
        </w:rPr>
        <w:t xml:space="preserve"> الرسمية البلجيكية، عملا بالمادة 68 من الدستور؟</w:t>
      </w:r>
      <w:r w:rsidRPr="00BC3E74">
        <w:rPr>
          <w:lang w:val="en-GB"/>
        </w:rPr>
        <w:t xml:space="preserve"> </w:t>
      </w:r>
      <w:r w:rsidRPr="00BC3E74">
        <w:rPr>
          <w:rtl/>
        </w:rPr>
        <w:t xml:space="preserve">وإذا كانت الإجابة بالنفي، يرجى </w:t>
      </w:r>
      <w:r>
        <w:rPr>
          <w:rFonts w:hint="cs"/>
          <w:rtl/>
        </w:rPr>
        <w:t xml:space="preserve">بيان ما إذا كان قد صدر </w:t>
      </w:r>
      <w:r w:rsidRPr="00BC3E74">
        <w:rPr>
          <w:rtl/>
        </w:rPr>
        <w:t>أي قرار عن المحاكم بشأن التطبيق المباشر لأي من مواد الاتفاقية.</w:t>
      </w:r>
      <w:r w:rsidRPr="00BC3E74">
        <w:rPr>
          <w:lang w:val="en-GB"/>
        </w:rPr>
        <w:t xml:space="preserve"> </w:t>
      </w:r>
      <w:r w:rsidRPr="00BC3E74">
        <w:rPr>
          <w:rtl/>
        </w:rPr>
        <w:t xml:space="preserve">وهل هناك حالات تم فيها الاحتجاج مباشرة بأي من مواد الاتفاقية أمام المحاكم، حيث أن من المسلم به عموما في بلجيكا أن يؤدي </w:t>
      </w:r>
      <w:r>
        <w:rPr>
          <w:rFonts w:hint="cs"/>
          <w:rtl/>
        </w:rPr>
        <w:t xml:space="preserve">أي نص </w:t>
      </w:r>
      <w:r w:rsidRPr="00BC3E74">
        <w:rPr>
          <w:rtl/>
        </w:rPr>
        <w:t>دولي إلى آثار مباشرة؟</w:t>
      </w:r>
      <w:r>
        <w:rPr>
          <w:rFonts w:hint="cs"/>
          <w:rtl/>
        </w:rPr>
        <w:t xml:space="preserve">. </w:t>
      </w:r>
      <w:r w:rsidRPr="00BC3E74">
        <w:rPr>
          <w:rtl/>
        </w:rPr>
        <w:t xml:space="preserve">يرجى تقديم أمثلة عن أي سوابق قضائية </w:t>
      </w:r>
      <w:r w:rsidR="00A61905">
        <w:rPr>
          <w:rFonts w:hint="cs"/>
          <w:rtl/>
        </w:rPr>
        <w:t xml:space="preserve">متصلة </w:t>
      </w:r>
      <w:r w:rsidRPr="00BC3E74">
        <w:rPr>
          <w:rtl/>
        </w:rPr>
        <w:t>بذلك.</w:t>
      </w:r>
    </w:p>
    <w:p w:rsidR="00BC3E74" w:rsidRPr="00BC3E74" w:rsidRDefault="00BC3E74" w:rsidP="00A61905">
      <w:pPr>
        <w:pStyle w:val="SingleTxt"/>
        <w:rPr>
          <w:rtl/>
        </w:rPr>
      </w:pPr>
      <w:r w:rsidRPr="00BC3E74">
        <w:rPr>
          <w:rtl/>
        </w:rPr>
        <w:t>5</w:t>
      </w:r>
      <w:r w:rsidR="00A61905">
        <w:rPr>
          <w:rFonts w:hint="cs"/>
          <w:rtl/>
        </w:rPr>
        <w:t xml:space="preserve"> </w:t>
      </w:r>
      <w:r w:rsidRPr="00BC3E74">
        <w:rPr>
          <w:rtl/>
        </w:rPr>
        <w:t>-</w:t>
      </w:r>
      <w:r w:rsidR="00A61905">
        <w:rPr>
          <w:rFonts w:hint="cs"/>
          <w:rtl/>
        </w:rPr>
        <w:tab/>
      </w:r>
      <w:r w:rsidRPr="00BC3E74">
        <w:rPr>
          <w:rtl/>
        </w:rPr>
        <w:t xml:space="preserve">يرجى </w:t>
      </w:r>
      <w:r w:rsidR="00A61905">
        <w:rPr>
          <w:rFonts w:hint="cs"/>
          <w:rtl/>
        </w:rPr>
        <w:t xml:space="preserve">بيان </w:t>
      </w:r>
      <w:r w:rsidRPr="00BC3E74">
        <w:rPr>
          <w:rtl/>
        </w:rPr>
        <w:t xml:space="preserve">عدد الشكاوى المتعلقة بالتمييز بين الجنسين التي تقدمت بها نساء، بما في ذلك </w:t>
      </w:r>
      <w:r w:rsidR="00A61905">
        <w:rPr>
          <w:rFonts w:hint="cs"/>
          <w:rtl/>
        </w:rPr>
        <w:t>ال</w:t>
      </w:r>
      <w:r w:rsidRPr="00BC3E74">
        <w:rPr>
          <w:rtl/>
        </w:rPr>
        <w:t xml:space="preserve">نساء </w:t>
      </w:r>
      <w:r w:rsidR="00A61905">
        <w:rPr>
          <w:rFonts w:hint="cs"/>
          <w:rtl/>
        </w:rPr>
        <w:t>ال</w:t>
      </w:r>
      <w:r w:rsidRPr="00BC3E74">
        <w:rPr>
          <w:rtl/>
        </w:rPr>
        <w:t>متحدرات من أص</w:t>
      </w:r>
      <w:r w:rsidR="00A61905">
        <w:rPr>
          <w:rFonts w:hint="cs"/>
          <w:rtl/>
        </w:rPr>
        <w:t>و</w:t>
      </w:r>
      <w:r w:rsidRPr="00BC3E74">
        <w:rPr>
          <w:rtl/>
        </w:rPr>
        <w:t>ل أجنبي</w:t>
      </w:r>
      <w:r w:rsidR="00A61905">
        <w:rPr>
          <w:rFonts w:hint="cs"/>
          <w:rtl/>
        </w:rPr>
        <w:t>ة</w:t>
      </w:r>
      <w:r w:rsidRPr="00BC3E74">
        <w:rPr>
          <w:rtl/>
        </w:rPr>
        <w:t>، وذلك منذ إنشاء معهد المساواة بين الرجل والمرأة.</w:t>
      </w:r>
      <w:r w:rsidRPr="00BC3E74">
        <w:rPr>
          <w:lang w:val="en-GB"/>
        </w:rPr>
        <w:t xml:space="preserve"> </w:t>
      </w:r>
      <w:r w:rsidRPr="00BC3E74">
        <w:rPr>
          <w:rtl/>
        </w:rPr>
        <w:t xml:space="preserve">وما هي التدابير التي تتخذها الدولة الطرف </w:t>
      </w:r>
      <w:r w:rsidR="00A61905">
        <w:rPr>
          <w:rFonts w:hint="cs"/>
          <w:rtl/>
        </w:rPr>
        <w:t xml:space="preserve">لتوجيه </w:t>
      </w:r>
      <w:r w:rsidRPr="00BC3E74">
        <w:rPr>
          <w:rtl/>
        </w:rPr>
        <w:t>انتباه الجمهور عامة، والنساء خاصة، إلى وجود مثل هذه الآلية؟</w:t>
      </w:r>
      <w:r w:rsidRPr="00BC3E74">
        <w:rPr>
          <w:lang w:val="en-GB"/>
        </w:rPr>
        <w:t xml:space="preserve"> </w:t>
      </w:r>
      <w:r w:rsidRPr="00BC3E74">
        <w:rPr>
          <w:rtl/>
        </w:rPr>
        <w:t xml:space="preserve">يدرج التقرير في الصفحات </w:t>
      </w:r>
      <w:r w:rsidR="00A61905">
        <w:rPr>
          <w:rFonts w:hint="cs"/>
          <w:rtl/>
        </w:rPr>
        <w:t xml:space="preserve">من </w:t>
      </w:r>
      <w:r w:rsidRPr="00BC3E74">
        <w:rPr>
          <w:rtl/>
        </w:rPr>
        <w:t>16 إلى 18 عددا من المشاريع، والبحوث وخطط العمل التي وضعها معهد المساواة بين الرجل والمرأة منذ إنشائه.</w:t>
      </w:r>
      <w:r w:rsidRPr="00BC3E74">
        <w:rPr>
          <w:lang w:val="en-GB"/>
        </w:rPr>
        <w:t xml:space="preserve"> </w:t>
      </w:r>
      <w:r w:rsidRPr="00BC3E74">
        <w:rPr>
          <w:rtl/>
        </w:rPr>
        <w:t xml:space="preserve">يرجى </w:t>
      </w:r>
      <w:r w:rsidR="00A61905">
        <w:rPr>
          <w:rFonts w:hint="cs"/>
          <w:rtl/>
        </w:rPr>
        <w:t xml:space="preserve">بيان ما إذا كان أي </w:t>
      </w:r>
      <w:r w:rsidRPr="00BC3E74">
        <w:rPr>
          <w:rtl/>
        </w:rPr>
        <w:t xml:space="preserve">إجراء </w:t>
      </w:r>
      <w:r w:rsidR="00A61905">
        <w:rPr>
          <w:rFonts w:hint="cs"/>
          <w:rtl/>
        </w:rPr>
        <w:t xml:space="preserve">من هذا النوع إلى </w:t>
      </w:r>
      <w:r w:rsidRPr="00BC3E74">
        <w:rPr>
          <w:rtl/>
        </w:rPr>
        <w:t>أي تقييم لهذه المشاريع والبحوث وخطط العمل، كما يرجى تقديم تفاصيل عن الاستنتاجات التي تم التوصل إليها، بالإضافة إلى الأثر والنتائج الناجمة عن هذه التدابير.</w:t>
      </w:r>
    </w:p>
    <w:p w:rsidR="00BC3E74" w:rsidRPr="00BC3E74" w:rsidRDefault="00BC3E74" w:rsidP="000726F6">
      <w:pPr>
        <w:pStyle w:val="SingleTxt"/>
        <w:rPr>
          <w:rtl/>
        </w:rPr>
      </w:pPr>
      <w:r w:rsidRPr="00BC3E74">
        <w:rPr>
          <w:rFonts w:hint="cs"/>
          <w:rtl/>
        </w:rPr>
        <w:t>6</w:t>
      </w:r>
      <w:r w:rsidR="00A61905">
        <w:rPr>
          <w:rFonts w:hint="cs"/>
          <w:rtl/>
        </w:rPr>
        <w:t xml:space="preserve"> </w:t>
      </w:r>
      <w:r w:rsidRPr="00BC3E74">
        <w:rPr>
          <w:rFonts w:hint="cs"/>
          <w:rtl/>
        </w:rPr>
        <w:t>-</w:t>
      </w:r>
      <w:r w:rsidR="00A61905">
        <w:rPr>
          <w:rFonts w:hint="cs"/>
          <w:rtl/>
        </w:rPr>
        <w:tab/>
      </w:r>
      <w:r w:rsidRPr="00BC3E74">
        <w:rPr>
          <w:rtl/>
        </w:rPr>
        <w:t xml:space="preserve">يرجى تقديم بيانات إحصائية </w:t>
      </w:r>
      <w:r w:rsidR="00A61905">
        <w:rPr>
          <w:rFonts w:hint="cs"/>
          <w:rtl/>
        </w:rPr>
        <w:t xml:space="preserve">مفصلة </w:t>
      </w:r>
      <w:r w:rsidRPr="00BC3E74">
        <w:rPr>
          <w:rtl/>
        </w:rPr>
        <w:t xml:space="preserve">بحسب </w:t>
      </w:r>
      <w:r w:rsidR="00A61905">
        <w:rPr>
          <w:rFonts w:hint="cs"/>
          <w:rtl/>
        </w:rPr>
        <w:t xml:space="preserve">نوع </w:t>
      </w:r>
      <w:r w:rsidRPr="00BC3E74">
        <w:rPr>
          <w:rtl/>
        </w:rPr>
        <w:t xml:space="preserve">الجنس عن عدد الدعاوى المدنية والجنائية </w:t>
      </w:r>
      <w:r w:rsidR="00A61905">
        <w:rPr>
          <w:rFonts w:hint="cs"/>
          <w:rtl/>
        </w:rPr>
        <w:t xml:space="preserve">المتصلة </w:t>
      </w:r>
      <w:r w:rsidRPr="00BC3E74">
        <w:rPr>
          <w:rtl/>
        </w:rPr>
        <w:t>بالاتفاقية والمسجلة منذ بدء العمل بقانون 25 شباط/فبراير 2003.</w:t>
      </w:r>
      <w:r w:rsidRPr="00BC3E74">
        <w:rPr>
          <w:lang w:val="en-GB"/>
        </w:rPr>
        <w:t xml:space="preserve"> </w:t>
      </w:r>
      <w:r w:rsidRPr="00BC3E74">
        <w:rPr>
          <w:rtl/>
        </w:rPr>
        <w:t>كما يرجى الإشارة إلى عدد القضايا المدنية والجنائية الناجحة والجزاءات الصادرة بشأنها.</w:t>
      </w:r>
      <w:r w:rsidR="00CE7614">
        <w:rPr>
          <w:rtl/>
          <w:lang w:val="en-GB"/>
        </w:rPr>
        <w:t xml:space="preserve"> </w:t>
      </w:r>
      <w:r w:rsidRPr="00BC3E74">
        <w:rPr>
          <w:rtl/>
        </w:rPr>
        <w:t>ما هو عدد قضايا التمييز ضد المرأة في مجال العمل التي سجلتها هيئة التفتيش المعنية بالقوانين الاجتماعية دون تقديم شكوى رسمية بشأنها، كما يرجى تقديم تفاصيل عما آلت إليه.</w:t>
      </w:r>
      <w:r w:rsidR="000726F6">
        <w:rPr>
          <w:rFonts w:hint="cs"/>
          <w:rtl/>
        </w:rPr>
        <w:t xml:space="preserve"> </w:t>
      </w:r>
      <w:r w:rsidRPr="00BC3E74">
        <w:rPr>
          <w:rtl/>
        </w:rPr>
        <w:t>سجلت نسبة منخفضة للغاية (5 في المائة) من الشكاوى المتعلقة بالتمييز بين الجنسين والمقدمة إلى مكتب مكافحة التمييز لدى مكتب بروكسل الإقليمي للتوظيف (الصفحة 15 من التقرير).</w:t>
      </w:r>
      <w:r w:rsidRPr="00BC3E74">
        <w:rPr>
          <w:lang w:val="en-GB"/>
        </w:rPr>
        <w:t xml:space="preserve"> </w:t>
      </w:r>
      <w:r w:rsidRPr="00BC3E74">
        <w:rPr>
          <w:rtl/>
        </w:rPr>
        <w:t>يرجى تقديم بيانات حديثة عن عدد القضايا المسجلة سنويا بعد مبادرات التوعية التي جرت منذ عام 2002 في منطقة بروكسل العاصمة.</w:t>
      </w:r>
    </w:p>
    <w:p w:rsidR="00BC3E74" w:rsidRPr="00BC3E74" w:rsidRDefault="00BC3E74" w:rsidP="00A61905">
      <w:pPr>
        <w:pStyle w:val="SingleTxt"/>
        <w:rPr>
          <w:rtl/>
        </w:rPr>
      </w:pPr>
      <w:r w:rsidRPr="00BC3E74">
        <w:rPr>
          <w:rFonts w:hint="cs"/>
          <w:rtl/>
        </w:rPr>
        <w:t>7</w:t>
      </w:r>
      <w:r w:rsidR="00A61905">
        <w:rPr>
          <w:rFonts w:hint="cs"/>
          <w:rtl/>
        </w:rPr>
        <w:t xml:space="preserve"> </w:t>
      </w:r>
      <w:r w:rsidRPr="00BC3E74">
        <w:rPr>
          <w:rFonts w:hint="cs"/>
          <w:rtl/>
        </w:rPr>
        <w:t>-</w:t>
      </w:r>
      <w:r w:rsidR="00A61905">
        <w:rPr>
          <w:rFonts w:hint="cs"/>
          <w:rtl/>
        </w:rPr>
        <w:tab/>
      </w:r>
      <w:r w:rsidRPr="00BC3E74">
        <w:rPr>
          <w:rtl/>
        </w:rPr>
        <w:t xml:space="preserve">ويرجى </w:t>
      </w:r>
      <w:r w:rsidR="00A61905">
        <w:rPr>
          <w:rFonts w:hint="cs"/>
          <w:rtl/>
        </w:rPr>
        <w:t xml:space="preserve">الإفادة </w:t>
      </w:r>
      <w:r w:rsidRPr="00BC3E74">
        <w:rPr>
          <w:rtl/>
        </w:rPr>
        <w:t>عما إذا كانت بلجيكا تنظر في إنشاء مؤسسة وطنية لحقوق الإنسان عملا بمبادئ باريس (قرار الجمعية العامة 48/134 المؤرخ 20 كانون الأول/ديسمبر 1993).</w:t>
      </w:r>
    </w:p>
    <w:p w:rsidR="00A61905" w:rsidRPr="00A61905" w:rsidRDefault="00A61905" w:rsidP="00A61905">
      <w:pPr>
        <w:pStyle w:val="SingleTxt"/>
        <w:spacing w:after="0" w:line="120" w:lineRule="exact"/>
        <w:rPr>
          <w:sz w:val="10"/>
          <w:rtl/>
          <w:lang w:val="en-GB"/>
        </w:rPr>
      </w:pPr>
    </w:p>
    <w:p w:rsidR="00BC3E74" w:rsidRPr="00BC3E74" w:rsidRDefault="00BC3E74" w:rsidP="00BC3E74">
      <w:pPr>
        <w:pStyle w:val="SingleTxt"/>
        <w:rPr>
          <w:bCs/>
          <w:rtl/>
        </w:rPr>
      </w:pPr>
      <w:r w:rsidRPr="00BC3E74">
        <w:rPr>
          <w:bCs/>
          <w:rtl/>
        </w:rPr>
        <w:t>القوالب النمطية والتعليم</w:t>
      </w:r>
    </w:p>
    <w:p w:rsidR="00BC3E74" w:rsidRPr="00BC3E74" w:rsidRDefault="00BC3E74" w:rsidP="00A61905">
      <w:pPr>
        <w:pStyle w:val="SingleTxt"/>
        <w:rPr>
          <w:rtl/>
        </w:rPr>
      </w:pPr>
      <w:r w:rsidRPr="00BC3E74">
        <w:rPr>
          <w:rFonts w:hint="cs"/>
          <w:b/>
          <w:rtl/>
        </w:rPr>
        <w:t>8</w:t>
      </w:r>
      <w:r w:rsidR="00A61905">
        <w:rPr>
          <w:rFonts w:hint="cs"/>
          <w:b/>
          <w:rtl/>
        </w:rPr>
        <w:t xml:space="preserve"> </w:t>
      </w:r>
      <w:r w:rsidRPr="00BC3E74">
        <w:rPr>
          <w:rFonts w:hint="cs"/>
          <w:b/>
          <w:rtl/>
        </w:rPr>
        <w:t>-</w:t>
      </w:r>
      <w:r w:rsidR="00A61905">
        <w:rPr>
          <w:rFonts w:hint="cs"/>
          <w:rtl/>
        </w:rPr>
        <w:tab/>
      </w:r>
      <w:r w:rsidRPr="00BC3E74">
        <w:rPr>
          <w:rtl/>
        </w:rPr>
        <w:t>يشير التقرير إلى اتخاذ الدولة الطرف لمبادرات متنوعة، من بينها اتخاذ مجلس الشيوخ قرار</w:t>
      </w:r>
      <w:r w:rsidR="00A61905">
        <w:rPr>
          <w:rFonts w:hint="cs"/>
          <w:rtl/>
        </w:rPr>
        <w:t>ا</w:t>
      </w:r>
      <w:r w:rsidRPr="00BC3E74">
        <w:rPr>
          <w:rtl/>
        </w:rPr>
        <w:t xml:space="preserve"> بشأن صورة المرأة والرجل في الإعلانات، وذلك بهدف القضاء على بعض مظاهر السلوك الاجتماعي</w:t>
      </w:r>
      <w:r w:rsidR="00A61905">
        <w:rPr>
          <w:rFonts w:hint="cs"/>
          <w:rtl/>
        </w:rPr>
        <w:t xml:space="preserve"> </w:t>
      </w:r>
      <w:r w:rsidRPr="00BC3E74">
        <w:rPr>
          <w:rtl/>
        </w:rPr>
        <w:t>-</w:t>
      </w:r>
      <w:r w:rsidR="00A61905">
        <w:rPr>
          <w:rFonts w:hint="cs"/>
          <w:rtl/>
        </w:rPr>
        <w:t xml:space="preserve"> </w:t>
      </w:r>
      <w:r w:rsidRPr="00BC3E74">
        <w:rPr>
          <w:rtl/>
        </w:rPr>
        <w:t>الثقافي، والأحكام المسبقة والقوالب النمطية التقليدية المتعلقة بالأدوار والمسؤوليات التي يضطلع بها الرجل والمرأة ضمن الأسرة وفي المجتمع عموما (</w:t>
      </w:r>
      <w:r w:rsidR="00A61905">
        <w:rPr>
          <w:rFonts w:hint="cs"/>
          <w:rtl/>
        </w:rPr>
        <w:t xml:space="preserve">الصفحات من </w:t>
      </w:r>
      <w:r w:rsidRPr="00BC3E74">
        <w:rPr>
          <w:rtl/>
        </w:rPr>
        <w:t>49</w:t>
      </w:r>
      <w:r w:rsidR="00A61905">
        <w:rPr>
          <w:rFonts w:hint="cs"/>
          <w:rtl/>
        </w:rPr>
        <w:t xml:space="preserve"> إلى </w:t>
      </w:r>
      <w:r w:rsidRPr="00BC3E74">
        <w:rPr>
          <w:rtl/>
        </w:rPr>
        <w:t>55).</w:t>
      </w:r>
      <w:r w:rsidRPr="00BC3E74">
        <w:rPr>
          <w:lang w:val="en-GB"/>
        </w:rPr>
        <w:t xml:space="preserve"> </w:t>
      </w:r>
      <w:r w:rsidRPr="00BC3E74">
        <w:rPr>
          <w:rtl/>
        </w:rPr>
        <w:t xml:space="preserve">يرجى </w:t>
      </w:r>
      <w:r w:rsidR="00A61905">
        <w:rPr>
          <w:rFonts w:hint="cs"/>
          <w:rtl/>
        </w:rPr>
        <w:t xml:space="preserve">الإفادة </w:t>
      </w:r>
      <w:r w:rsidRPr="00BC3E74">
        <w:rPr>
          <w:rtl/>
        </w:rPr>
        <w:t>عن إجراء أي تقييم للآثار بغرض تحديد أهم إنجازات هذه البرامج والصعوبات التي تواجهها، وهل اتخذت أي خطوات علاجية بهذا الشأن.</w:t>
      </w:r>
    </w:p>
    <w:p w:rsidR="00BC3E74" w:rsidRPr="00BC3E74" w:rsidRDefault="00BC3E74" w:rsidP="00A61905">
      <w:pPr>
        <w:pStyle w:val="SingleTxt"/>
        <w:rPr>
          <w:rtl/>
        </w:rPr>
      </w:pPr>
      <w:r w:rsidRPr="00BC3E74">
        <w:rPr>
          <w:rFonts w:hint="cs"/>
          <w:rtl/>
        </w:rPr>
        <w:t>9</w:t>
      </w:r>
      <w:r w:rsidR="00A61905">
        <w:rPr>
          <w:rFonts w:hint="cs"/>
          <w:rtl/>
        </w:rPr>
        <w:t xml:space="preserve"> </w:t>
      </w:r>
      <w:r w:rsidRPr="00BC3E74">
        <w:rPr>
          <w:rFonts w:hint="cs"/>
          <w:rtl/>
        </w:rPr>
        <w:t>-</w:t>
      </w:r>
      <w:r w:rsidR="00A61905">
        <w:rPr>
          <w:rFonts w:hint="cs"/>
          <w:rtl/>
        </w:rPr>
        <w:tab/>
      </w:r>
      <w:r w:rsidRPr="00BC3E74">
        <w:rPr>
          <w:rtl/>
        </w:rPr>
        <w:t xml:space="preserve">يرجى تقديم معلومات عما اتخذ من خطوات لإدماج معايير المساواة بين الجنسين وغيرها من </w:t>
      </w:r>
      <w:r w:rsidR="00A61905">
        <w:rPr>
          <w:rFonts w:hint="cs"/>
          <w:rtl/>
        </w:rPr>
        <w:t xml:space="preserve">معايير </w:t>
      </w:r>
      <w:r w:rsidRPr="00BC3E74">
        <w:rPr>
          <w:rtl/>
        </w:rPr>
        <w:t xml:space="preserve">حقوق الإنسان ضمن مناهج المدارس الابتدائية والثانوية في مختلف مناطق </w:t>
      </w:r>
      <w:r w:rsidR="00A61905">
        <w:rPr>
          <w:rFonts w:hint="cs"/>
          <w:rtl/>
        </w:rPr>
        <w:t xml:space="preserve">المجتمعات المحلية في </w:t>
      </w:r>
      <w:r w:rsidRPr="00BC3E74">
        <w:rPr>
          <w:rtl/>
        </w:rPr>
        <w:t>الدولة الطرف.</w:t>
      </w:r>
    </w:p>
    <w:p w:rsidR="00BC3E74" w:rsidRPr="00BC3E74" w:rsidRDefault="00BC3E74" w:rsidP="000726F6">
      <w:pPr>
        <w:pStyle w:val="SingleTxt"/>
        <w:rPr>
          <w:rtl/>
        </w:rPr>
      </w:pPr>
      <w:r w:rsidRPr="00BC3E74">
        <w:rPr>
          <w:rFonts w:hint="cs"/>
          <w:rtl/>
        </w:rPr>
        <w:t>10</w:t>
      </w:r>
      <w:r w:rsidR="00A61905">
        <w:rPr>
          <w:rFonts w:hint="cs"/>
          <w:rtl/>
        </w:rPr>
        <w:t xml:space="preserve"> </w:t>
      </w:r>
      <w:r w:rsidRPr="00BC3E74">
        <w:rPr>
          <w:rFonts w:hint="cs"/>
          <w:rtl/>
        </w:rPr>
        <w:t>-</w:t>
      </w:r>
      <w:r w:rsidR="00A61905">
        <w:rPr>
          <w:rFonts w:hint="cs"/>
          <w:rtl/>
        </w:rPr>
        <w:tab/>
      </w:r>
      <w:r w:rsidRPr="00BC3E74">
        <w:rPr>
          <w:rtl/>
        </w:rPr>
        <w:t>تمشيا مع ما طلبته اللجنة في ملاحظاتها الختامية السابقة</w:t>
      </w:r>
      <w:r w:rsidR="00103F61" w:rsidRPr="00103F61">
        <w:rPr>
          <w:vertAlign w:val="superscript"/>
          <w:rtl/>
        </w:rPr>
        <w:t>(</w:t>
      </w:r>
      <w:r w:rsidR="00103F61">
        <w:rPr>
          <w:rStyle w:val="FootnoteReference"/>
          <w:rtl/>
        </w:rPr>
        <w:footnoteReference w:id="2"/>
      </w:r>
      <w:r w:rsidR="00103F61" w:rsidRPr="00103F61">
        <w:rPr>
          <w:vertAlign w:val="superscript"/>
          <w:rtl/>
        </w:rPr>
        <w:t>)</w:t>
      </w:r>
      <w:r w:rsidR="00103F61">
        <w:rPr>
          <w:rFonts w:hint="cs"/>
          <w:rtl/>
        </w:rPr>
        <w:t xml:space="preserve">، </w:t>
      </w:r>
      <w:r w:rsidRPr="00BC3E74">
        <w:rPr>
          <w:rtl/>
        </w:rPr>
        <w:t xml:space="preserve">يرجى تقديم معلومات عن حالة النساء والفتيات </w:t>
      </w:r>
      <w:r w:rsidR="00103F61">
        <w:rPr>
          <w:rFonts w:hint="cs"/>
          <w:rtl/>
        </w:rPr>
        <w:t>الم</w:t>
      </w:r>
      <w:r w:rsidR="000726F6">
        <w:rPr>
          <w:rFonts w:hint="cs"/>
          <w:rtl/>
        </w:rPr>
        <w:t>ت</w:t>
      </w:r>
      <w:r w:rsidR="00103F61">
        <w:rPr>
          <w:rFonts w:hint="cs"/>
          <w:rtl/>
        </w:rPr>
        <w:t xml:space="preserve">حدرات </w:t>
      </w:r>
      <w:r w:rsidRPr="00BC3E74">
        <w:rPr>
          <w:rtl/>
        </w:rPr>
        <w:t>من أص</w:t>
      </w:r>
      <w:r w:rsidR="00103F61">
        <w:rPr>
          <w:rFonts w:hint="cs"/>
          <w:rtl/>
        </w:rPr>
        <w:t>و</w:t>
      </w:r>
      <w:r w:rsidRPr="00BC3E74">
        <w:rPr>
          <w:rtl/>
        </w:rPr>
        <w:t>ل أجنبي</w:t>
      </w:r>
      <w:r w:rsidR="00103F61">
        <w:rPr>
          <w:rFonts w:hint="cs"/>
          <w:rtl/>
        </w:rPr>
        <w:t>ة</w:t>
      </w:r>
      <w:r w:rsidRPr="00BC3E74">
        <w:rPr>
          <w:rtl/>
        </w:rPr>
        <w:t>، ومن الأقليات الإثنية، لا</w:t>
      </w:r>
      <w:r w:rsidR="00103F61">
        <w:rPr>
          <w:rFonts w:hint="cs"/>
          <w:rtl/>
        </w:rPr>
        <w:t xml:space="preserve"> </w:t>
      </w:r>
      <w:r w:rsidRPr="00BC3E74">
        <w:rPr>
          <w:rtl/>
        </w:rPr>
        <w:t xml:space="preserve">سيما </w:t>
      </w:r>
      <w:r w:rsidR="00103F61">
        <w:rPr>
          <w:rFonts w:hint="cs"/>
          <w:rtl/>
        </w:rPr>
        <w:t xml:space="preserve">طائفة </w:t>
      </w:r>
      <w:r w:rsidRPr="00BC3E74">
        <w:rPr>
          <w:rtl/>
        </w:rPr>
        <w:t xml:space="preserve">الروما والمهاجرات، </w:t>
      </w:r>
      <w:r w:rsidR="00103F61">
        <w:rPr>
          <w:rFonts w:hint="cs"/>
          <w:rtl/>
        </w:rPr>
        <w:t xml:space="preserve">بما في ذلك </w:t>
      </w:r>
      <w:r w:rsidRPr="00BC3E74">
        <w:rPr>
          <w:rtl/>
        </w:rPr>
        <w:t>طالبات اللجوء السياسي واللاجئات.</w:t>
      </w:r>
      <w:r w:rsidRPr="00BC3E74">
        <w:rPr>
          <w:lang w:val="en-GB"/>
        </w:rPr>
        <w:t xml:space="preserve"> </w:t>
      </w:r>
      <w:r w:rsidRPr="00BC3E74">
        <w:rPr>
          <w:rtl/>
        </w:rPr>
        <w:t xml:space="preserve">ويرجى تقديم معلومات مفصلة عما يتوفر لهن من تأهيل في مجال حقوق الإنسان عامة، والمساواة بين الجنسين خاصة، وعن أي تدابير محددة تم اتخاذها لمصلحتهن </w:t>
      </w:r>
      <w:r w:rsidR="00103F61">
        <w:rPr>
          <w:rFonts w:hint="cs"/>
          <w:rtl/>
        </w:rPr>
        <w:t xml:space="preserve">في ضوء ما </w:t>
      </w:r>
      <w:r w:rsidRPr="00BC3E74">
        <w:rPr>
          <w:rtl/>
        </w:rPr>
        <w:t>أجري من دراسات عن الصعوبات التي تواجهها النساء والفتيات الأجنبيات تحديدا (الصفحة 5 من تقرير الدولة).</w:t>
      </w:r>
    </w:p>
    <w:p w:rsidR="00BC3E74" w:rsidRPr="00BC3E74" w:rsidRDefault="00BC3E74" w:rsidP="00BC3E74">
      <w:pPr>
        <w:pStyle w:val="SingleTxt"/>
        <w:rPr>
          <w:b/>
          <w:rtl/>
        </w:rPr>
      </w:pPr>
      <w:r w:rsidRPr="00BC3E74">
        <w:rPr>
          <w:b/>
          <w:bCs/>
          <w:rtl/>
        </w:rPr>
        <w:t>العنف ضد المرأة</w:t>
      </w:r>
    </w:p>
    <w:p w:rsidR="00BC3E74" w:rsidRPr="00BC3E74" w:rsidRDefault="00BC3E74" w:rsidP="00103F61">
      <w:pPr>
        <w:pStyle w:val="SingleTxt"/>
        <w:rPr>
          <w:rtl/>
        </w:rPr>
      </w:pPr>
      <w:r w:rsidRPr="00BC3E74">
        <w:rPr>
          <w:rFonts w:hint="cs"/>
          <w:rtl/>
        </w:rPr>
        <w:t>11</w:t>
      </w:r>
      <w:r w:rsidR="00103F61">
        <w:rPr>
          <w:rFonts w:hint="cs"/>
          <w:rtl/>
        </w:rPr>
        <w:t xml:space="preserve"> </w:t>
      </w:r>
      <w:r w:rsidRPr="00BC3E74">
        <w:rPr>
          <w:rFonts w:hint="cs"/>
          <w:rtl/>
        </w:rPr>
        <w:t>-</w:t>
      </w:r>
      <w:r w:rsidR="00103F61">
        <w:rPr>
          <w:rFonts w:hint="cs"/>
          <w:rtl/>
        </w:rPr>
        <w:tab/>
      </w:r>
      <w:r w:rsidRPr="00BC3E74">
        <w:rPr>
          <w:rtl/>
        </w:rPr>
        <w:t>أعربت كل من اللجنة، في ملاحظاتها الختامية</w:t>
      </w:r>
      <w:r w:rsidR="00103F61">
        <w:rPr>
          <w:rFonts w:hint="cs"/>
          <w:rtl/>
        </w:rPr>
        <w:t>،</w:t>
      </w:r>
      <w:r w:rsidRPr="00BC3E74">
        <w:rPr>
          <w:rtl/>
        </w:rPr>
        <w:t xml:space="preserve"> والمقررة الخاصة المعنية بمسألة العنف ضد المرأة</w:t>
      </w:r>
      <w:r w:rsidR="00103F61" w:rsidRPr="00103F61">
        <w:rPr>
          <w:vertAlign w:val="superscript"/>
          <w:rtl/>
        </w:rPr>
        <w:t>(</w:t>
      </w:r>
      <w:r w:rsidR="00103F61">
        <w:rPr>
          <w:rStyle w:val="FootnoteReference"/>
          <w:rtl/>
        </w:rPr>
        <w:footnoteReference w:id="3"/>
      </w:r>
      <w:r w:rsidR="00103F61" w:rsidRPr="00103F61">
        <w:rPr>
          <w:vertAlign w:val="superscript"/>
          <w:rtl/>
        </w:rPr>
        <w:t>)</w:t>
      </w:r>
      <w:r w:rsidR="00103F61">
        <w:rPr>
          <w:rFonts w:hint="cs"/>
          <w:rtl/>
        </w:rPr>
        <w:t xml:space="preserve">، </w:t>
      </w:r>
      <w:r w:rsidRPr="00BC3E74">
        <w:rPr>
          <w:rtl/>
        </w:rPr>
        <w:t xml:space="preserve">عن قلقهما </w:t>
      </w:r>
      <w:r w:rsidR="00103F61">
        <w:rPr>
          <w:rFonts w:hint="cs"/>
          <w:rtl/>
        </w:rPr>
        <w:t xml:space="preserve">إزاء </w:t>
      </w:r>
      <w:r w:rsidRPr="00BC3E74">
        <w:rPr>
          <w:rtl/>
        </w:rPr>
        <w:t>القانون الذي يصنف أعمال العنف الجنسي بوصفها جرائم ضد نظام الأسرة والأخلاق العامة في الدولة الطرف</w:t>
      </w:r>
      <w:r w:rsidR="00103F61">
        <w:rPr>
          <w:rFonts w:hint="cs"/>
          <w:rtl/>
        </w:rPr>
        <w:t xml:space="preserve">. </w:t>
      </w:r>
      <w:r w:rsidRPr="00BC3E74">
        <w:rPr>
          <w:rtl/>
        </w:rPr>
        <w:t>يرجى تقديم تفسير للمنطق الذي استند إليه في الإبقاء على هذا المفهوم والمصطلحات، ومقاومة البرلمان للتغ</w:t>
      </w:r>
      <w:r w:rsidR="00103F61">
        <w:rPr>
          <w:rFonts w:hint="cs"/>
          <w:rtl/>
        </w:rPr>
        <w:t>ي</w:t>
      </w:r>
      <w:r w:rsidRPr="00BC3E74">
        <w:rPr>
          <w:rtl/>
        </w:rPr>
        <w:t>ير.</w:t>
      </w:r>
      <w:r w:rsidRPr="00BC3E74">
        <w:rPr>
          <w:lang w:val="en-GB"/>
        </w:rPr>
        <w:t xml:space="preserve"> </w:t>
      </w:r>
      <w:r w:rsidRPr="00BC3E74">
        <w:rPr>
          <w:rtl/>
        </w:rPr>
        <w:t>كما يرجى تقديم بيانات إحصائية ومعلومات عن أعمال العنف الجنسي والأسري، بما في ذلك اغتصاب الزوج لزوجته، وبخاصة عدد الشكاوى والتحقيقات والملاحقات والإدانات والعقوبات الموقعة بالمرتكبين، وأي تعويضات تقرر منحها للضحايا وعائلاتهم.</w:t>
      </w:r>
    </w:p>
    <w:p w:rsidR="00BC3E74" w:rsidRPr="00BC3E74" w:rsidRDefault="00BC3E74" w:rsidP="000726F6">
      <w:pPr>
        <w:pStyle w:val="SingleTxt"/>
        <w:rPr>
          <w:rtl/>
        </w:rPr>
      </w:pPr>
      <w:r w:rsidRPr="00BC3E74">
        <w:rPr>
          <w:rFonts w:hint="cs"/>
          <w:rtl/>
        </w:rPr>
        <w:t>12</w:t>
      </w:r>
      <w:r w:rsidR="00103F61">
        <w:rPr>
          <w:rFonts w:hint="cs"/>
          <w:rtl/>
        </w:rPr>
        <w:t xml:space="preserve"> </w:t>
      </w:r>
      <w:r w:rsidRPr="00BC3E74">
        <w:rPr>
          <w:rFonts w:hint="cs"/>
          <w:rtl/>
        </w:rPr>
        <w:t>-</w:t>
      </w:r>
      <w:r w:rsidR="00103F61">
        <w:rPr>
          <w:rFonts w:hint="cs"/>
          <w:rtl/>
        </w:rPr>
        <w:tab/>
        <w:t>ووفقا ل</w:t>
      </w:r>
      <w:r w:rsidRPr="00BC3E74">
        <w:rPr>
          <w:rtl/>
        </w:rPr>
        <w:t>لتقرير (الفقرة 21)</w:t>
      </w:r>
      <w:r w:rsidR="00103F61">
        <w:rPr>
          <w:rFonts w:hint="cs"/>
          <w:rtl/>
        </w:rPr>
        <w:t xml:space="preserve">، تم </w:t>
      </w:r>
      <w:r w:rsidRPr="00BC3E74">
        <w:rPr>
          <w:rtl/>
        </w:rPr>
        <w:t>وضع خطة عمل جديدة للقضاء على العنف الزوجي في الفترة 2004-2007 وتطبيقها في المجتمعات المحلية والأقاليم.</w:t>
      </w:r>
      <w:r w:rsidRPr="00BC3E74">
        <w:rPr>
          <w:lang w:val="en-GB"/>
        </w:rPr>
        <w:t xml:space="preserve"> </w:t>
      </w:r>
      <w:r w:rsidRPr="00BC3E74">
        <w:rPr>
          <w:rtl/>
        </w:rPr>
        <w:t xml:space="preserve">يرجى تقديم معلومات مفصلة عن تنفيذها، بما في ذلك الموارد المخصصة من ميزانية الحكومة للأنشطة المتعلقة بالقضاء على العنف ضد المرأة، </w:t>
      </w:r>
      <w:r w:rsidR="00103F61">
        <w:rPr>
          <w:rFonts w:hint="cs"/>
          <w:rtl/>
        </w:rPr>
        <w:t xml:space="preserve">بما في ذلك </w:t>
      </w:r>
      <w:r w:rsidRPr="00BC3E74">
        <w:rPr>
          <w:rtl/>
        </w:rPr>
        <w:t>الموارد المخصصة لتنفيذ خطة العمل على جميع المستويات الملائمة.</w:t>
      </w:r>
      <w:r w:rsidRPr="00BC3E74">
        <w:rPr>
          <w:lang w:val="en-GB"/>
        </w:rPr>
        <w:t xml:space="preserve"> </w:t>
      </w:r>
    </w:p>
    <w:p w:rsidR="00BC3E74" w:rsidRPr="00BC3E74" w:rsidRDefault="00BC3E74" w:rsidP="00103F61">
      <w:pPr>
        <w:pStyle w:val="SingleTxt"/>
        <w:rPr>
          <w:rtl/>
        </w:rPr>
      </w:pPr>
      <w:r w:rsidRPr="00BC3E74">
        <w:rPr>
          <w:rFonts w:hint="cs"/>
          <w:rtl/>
        </w:rPr>
        <w:t>13</w:t>
      </w:r>
      <w:r w:rsidR="00103F61">
        <w:rPr>
          <w:rFonts w:hint="cs"/>
          <w:rtl/>
        </w:rPr>
        <w:t xml:space="preserve"> </w:t>
      </w:r>
      <w:r w:rsidRPr="00BC3E74">
        <w:rPr>
          <w:rFonts w:hint="cs"/>
          <w:rtl/>
        </w:rPr>
        <w:t>-</w:t>
      </w:r>
      <w:r w:rsidR="00103F61">
        <w:rPr>
          <w:rFonts w:hint="cs"/>
          <w:rtl/>
        </w:rPr>
        <w:tab/>
      </w:r>
      <w:r w:rsidRPr="00BC3E74">
        <w:rPr>
          <w:rtl/>
        </w:rPr>
        <w:t>كيف تعالج الدولة الطرف مسألة ضعف المهاجرات والمعاقات في مواجهة العنف وغيره من أشكال الاعتداء على المهاجرات والمعاقات؟</w:t>
      </w:r>
      <w:r w:rsidRPr="00BC3E74">
        <w:rPr>
          <w:lang w:val="en-GB"/>
        </w:rPr>
        <w:t xml:space="preserve"> </w:t>
      </w:r>
      <w:r w:rsidRPr="00BC3E74">
        <w:rPr>
          <w:rtl/>
        </w:rPr>
        <w:t>وهل تتوفر خدمات يسهل وصول النساء والفتيات المهاجرات من ضحايا العنف القائم على الجنس إليها من الناحية اللغوية والثقافية؟</w:t>
      </w:r>
      <w:r w:rsidRPr="00BC3E74">
        <w:rPr>
          <w:lang w:val="en-GB"/>
        </w:rPr>
        <w:t xml:space="preserve"> </w:t>
      </w:r>
      <w:r w:rsidRPr="00BC3E74">
        <w:rPr>
          <w:rtl/>
        </w:rPr>
        <w:t>وما هي التدابير الخاصة المتاحة لحماية المعاقات من جميع أشكال العنف؟</w:t>
      </w:r>
    </w:p>
    <w:p w:rsidR="00103F61" w:rsidRPr="00103F61" w:rsidRDefault="00103F61" w:rsidP="00103F61">
      <w:pPr>
        <w:pStyle w:val="SingleTxt"/>
        <w:spacing w:after="0" w:line="120" w:lineRule="exact"/>
        <w:rPr>
          <w:sz w:val="10"/>
          <w:rtl/>
          <w:lang w:val="en-GB"/>
        </w:rPr>
      </w:pPr>
    </w:p>
    <w:p w:rsidR="00BC3E74" w:rsidRPr="00BC3E74" w:rsidRDefault="00BC3E74" w:rsidP="00BC3E74">
      <w:pPr>
        <w:pStyle w:val="SingleTxt"/>
        <w:rPr>
          <w:b/>
          <w:rtl/>
        </w:rPr>
      </w:pPr>
      <w:r w:rsidRPr="00BC3E74">
        <w:rPr>
          <w:b/>
          <w:bCs/>
          <w:rtl/>
        </w:rPr>
        <w:t>الاتجار بالنساء واستغلالهن في أعمال البغاء</w:t>
      </w:r>
    </w:p>
    <w:p w:rsidR="00BC3E74" w:rsidRPr="00BC3E74" w:rsidRDefault="00BC3E74" w:rsidP="00103F61">
      <w:pPr>
        <w:pStyle w:val="SingleTxt"/>
        <w:rPr>
          <w:rtl/>
        </w:rPr>
      </w:pPr>
      <w:r w:rsidRPr="00BC3E74">
        <w:rPr>
          <w:rFonts w:hint="cs"/>
          <w:rtl/>
        </w:rPr>
        <w:t>14</w:t>
      </w:r>
      <w:r w:rsidR="00103F61">
        <w:rPr>
          <w:rFonts w:hint="cs"/>
          <w:rtl/>
        </w:rPr>
        <w:t xml:space="preserve"> </w:t>
      </w:r>
      <w:r w:rsidRPr="00BC3E74">
        <w:rPr>
          <w:rFonts w:hint="cs"/>
          <w:rtl/>
        </w:rPr>
        <w:t>-</w:t>
      </w:r>
      <w:r w:rsidR="00103F61">
        <w:rPr>
          <w:rFonts w:hint="cs"/>
          <w:rtl/>
        </w:rPr>
        <w:tab/>
      </w:r>
      <w:r w:rsidRPr="00BC3E74">
        <w:rPr>
          <w:rtl/>
        </w:rPr>
        <w:t>يشير التقرير إلى مجموعة كبيرة من التدابير الرامية إلى منع الاتجار بالنساء والفتيات ومكافحته ومعاقبته، لكنه لا يقدم أي بيانات عن ذلك، باستثناء البيانات الواردة من مراكز الرعاية.</w:t>
      </w:r>
      <w:r w:rsidRPr="00BC3E74">
        <w:rPr>
          <w:lang w:val="en-GB"/>
        </w:rPr>
        <w:t xml:space="preserve"> </w:t>
      </w:r>
      <w:r w:rsidRPr="00BC3E74">
        <w:rPr>
          <w:rtl/>
        </w:rPr>
        <w:t xml:space="preserve">يرجى تقديم بيانات ومعلومات عن عدد الضحايا، وعن الشكاوى والتحقيقات والملاحقات </w:t>
      </w:r>
      <w:r w:rsidR="00103F61">
        <w:rPr>
          <w:rFonts w:hint="cs"/>
          <w:rtl/>
        </w:rPr>
        <w:t xml:space="preserve">القضائية </w:t>
      </w:r>
      <w:r w:rsidRPr="00BC3E74">
        <w:rPr>
          <w:rtl/>
        </w:rPr>
        <w:t>والإدانات والعقوبات الموقعة بمرتكبي هذه الجرائم.</w:t>
      </w:r>
      <w:r w:rsidRPr="00BC3E74">
        <w:rPr>
          <w:lang w:val="en-GB"/>
        </w:rPr>
        <w:t xml:space="preserve"> </w:t>
      </w:r>
    </w:p>
    <w:p w:rsidR="00BC3E74" w:rsidRPr="00BC3E74" w:rsidRDefault="00BC3E74" w:rsidP="00103F61">
      <w:pPr>
        <w:pStyle w:val="SingleTxt"/>
        <w:rPr>
          <w:rFonts w:hint="cs"/>
          <w:rtl/>
        </w:rPr>
      </w:pPr>
      <w:r w:rsidRPr="00BC3E74">
        <w:rPr>
          <w:rFonts w:hint="cs"/>
          <w:rtl/>
        </w:rPr>
        <w:t>15</w:t>
      </w:r>
      <w:r w:rsidR="00103F61">
        <w:rPr>
          <w:rFonts w:hint="cs"/>
          <w:rtl/>
        </w:rPr>
        <w:t xml:space="preserve"> </w:t>
      </w:r>
      <w:r w:rsidRPr="00BC3E74">
        <w:rPr>
          <w:rFonts w:hint="cs"/>
          <w:rtl/>
        </w:rPr>
        <w:t>-</w:t>
      </w:r>
      <w:r w:rsidR="00103F61">
        <w:rPr>
          <w:rFonts w:hint="cs"/>
          <w:rtl/>
        </w:rPr>
        <w:tab/>
      </w:r>
      <w:r w:rsidRPr="00BC3E74">
        <w:rPr>
          <w:rtl/>
        </w:rPr>
        <w:t>يرجى أيضا تقديم معلومات عن التدابير المتخذة لمنع استغلال الأطفال في إنتاج المواد الإباحية على ا</w:t>
      </w:r>
      <w:r w:rsidR="00103F61">
        <w:rPr>
          <w:rFonts w:hint="cs"/>
          <w:rtl/>
        </w:rPr>
        <w:t>لإ</w:t>
      </w:r>
      <w:r w:rsidRPr="00BC3E74">
        <w:rPr>
          <w:rtl/>
        </w:rPr>
        <w:t>نترنت، لا</w:t>
      </w:r>
      <w:r w:rsidR="00103F61">
        <w:rPr>
          <w:rFonts w:hint="cs"/>
          <w:rtl/>
        </w:rPr>
        <w:t xml:space="preserve"> </w:t>
      </w:r>
      <w:r w:rsidRPr="00BC3E74">
        <w:rPr>
          <w:rtl/>
        </w:rPr>
        <w:t xml:space="preserve">سيما أن الفتيات ضعيفات على نحو خاص في هذا المجال، كما يرجى تقديم معلومات عن قضايا المواطنين البلجيكيين الملاحقين </w:t>
      </w:r>
      <w:r w:rsidR="00103F61">
        <w:rPr>
          <w:rFonts w:hint="cs"/>
          <w:rtl/>
        </w:rPr>
        <w:t xml:space="preserve">قضائيا </w:t>
      </w:r>
      <w:r w:rsidRPr="00BC3E74">
        <w:rPr>
          <w:rtl/>
        </w:rPr>
        <w:t>داخل الدولة الطرف أو خارجها لارتكابهم جرائم جنسية في الخارج، لا</w:t>
      </w:r>
      <w:r w:rsidR="000726F6">
        <w:rPr>
          <w:rFonts w:hint="cs"/>
          <w:rtl/>
        </w:rPr>
        <w:t xml:space="preserve"> </w:t>
      </w:r>
      <w:r w:rsidRPr="00BC3E74">
        <w:rPr>
          <w:rtl/>
        </w:rPr>
        <w:t xml:space="preserve">سيما الجرائم </w:t>
      </w:r>
      <w:r w:rsidR="00103F61">
        <w:rPr>
          <w:rFonts w:hint="cs"/>
          <w:rtl/>
        </w:rPr>
        <w:t>المتعلقة ب</w:t>
      </w:r>
      <w:r w:rsidRPr="00BC3E74">
        <w:rPr>
          <w:rtl/>
        </w:rPr>
        <w:t>الأطفال</w:t>
      </w:r>
      <w:r w:rsidR="00103F61" w:rsidRPr="00103F61">
        <w:rPr>
          <w:vertAlign w:val="superscript"/>
          <w:rtl/>
        </w:rPr>
        <w:t>(</w:t>
      </w:r>
      <w:r w:rsidR="00103F61">
        <w:rPr>
          <w:rStyle w:val="FootnoteReference"/>
          <w:rtl/>
        </w:rPr>
        <w:footnoteReference w:id="4"/>
      </w:r>
      <w:r w:rsidR="00103F61" w:rsidRPr="00103F61">
        <w:rPr>
          <w:vertAlign w:val="superscript"/>
          <w:rtl/>
        </w:rPr>
        <w:t>)</w:t>
      </w:r>
      <w:r w:rsidR="00103F61">
        <w:rPr>
          <w:rFonts w:hint="cs"/>
          <w:rtl/>
        </w:rPr>
        <w:t>.</w:t>
      </w:r>
    </w:p>
    <w:p w:rsidR="00BC3E74" w:rsidRPr="00BC3E74" w:rsidRDefault="00BC3E74" w:rsidP="00103F61">
      <w:pPr>
        <w:pStyle w:val="SingleTxt"/>
        <w:rPr>
          <w:rtl/>
        </w:rPr>
      </w:pPr>
      <w:r w:rsidRPr="00BC3E74">
        <w:rPr>
          <w:rFonts w:hint="cs"/>
          <w:rtl/>
        </w:rPr>
        <w:t>16</w:t>
      </w:r>
      <w:r w:rsidR="00103F61">
        <w:rPr>
          <w:rFonts w:hint="cs"/>
          <w:rtl/>
        </w:rPr>
        <w:t xml:space="preserve"> </w:t>
      </w:r>
      <w:r w:rsidRPr="00BC3E74">
        <w:rPr>
          <w:rFonts w:hint="cs"/>
          <w:rtl/>
        </w:rPr>
        <w:t>-</w:t>
      </w:r>
      <w:r w:rsidR="00103F61">
        <w:rPr>
          <w:rFonts w:hint="cs"/>
          <w:rtl/>
        </w:rPr>
        <w:tab/>
      </w:r>
      <w:r w:rsidRPr="00BC3E74">
        <w:rPr>
          <w:rtl/>
        </w:rPr>
        <w:t>يرجى الإشارة إلى البرامج المتوفرة لإعادة تأهيل وإدماج النساء والفتيات من ضحايا الاتجار بغرض البغاء، بما في ذلك الراغبات منهن في الخروج من مهنة البغاء.</w:t>
      </w:r>
      <w:r w:rsidRPr="00BC3E74">
        <w:rPr>
          <w:lang w:val="en-GB"/>
        </w:rPr>
        <w:t xml:space="preserve"> </w:t>
      </w:r>
      <w:r w:rsidRPr="00BC3E74">
        <w:rPr>
          <w:rtl/>
        </w:rPr>
        <w:t>كما يرجى تقديم تفاصيل عن الموارد المخصصة للبرامج المصممة لمداواتهن وإعادة دمجهن في المجتمع، بما في ذلك التدريب المهني والمساعدة القانونية والرعاية الصحية المحاطة بالسرية.</w:t>
      </w:r>
      <w:r w:rsidRPr="00BC3E74">
        <w:rPr>
          <w:lang w:val="en-GB"/>
        </w:rPr>
        <w:t xml:space="preserve"> </w:t>
      </w:r>
      <w:r w:rsidRPr="00BC3E74">
        <w:rPr>
          <w:rtl/>
        </w:rPr>
        <w:t>وفيما يتعلق بتجريم معاشرة البغى (</w:t>
      </w:r>
      <w:r w:rsidR="00103F61">
        <w:rPr>
          <w:rFonts w:hint="cs"/>
          <w:rtl/>
        </w:rPr>
        <w:t xml:space="preserve">الصفحة </w:t>
      </w:r>
      <w:r w:rsidRPr="00BC3E74">
        <w:rPr>
          <w:rtl/>
        </w:rPr>
        <w:t xml:space="preserve">60)، يرجى الإشارة إلى قضايا الاجتهادات القضائية التي حكم القضاة فيها بوجود استغلال للبغاء. </w:t>
      </w:r>
    </w:p>
    <w:p w:rsidR="00103F61" w:rsidRPr="00103F61" w:rsidRDefault="00103F61" w:rsidP="00103F61">
      <w:pPr>
        <w:pStyle w:val="SingleTxt"/>
        <w:spacing w:after="0" w:line="120" w:lineRule="exact"/>
        <w:rPr>
          <w:i/>
          <w:sz w:val="10"/>
          <w:rtl/>
          <w:lang w:val="en-GB"/>
        </w:rPr>
      </w:pPr>
    </w:p>
    <w:p w:rsidR="00BC3E74" w:rsidRPr="00BC3E74" w:rsidRDefault="00BC3E74" w:rsidP="00BC3E74">
      <w:pPr>
        <w:pStyle w:val="SingleTxt"/>
        <w:rPr>
          <w:b/>
          <w:rtl/>
        </w:rPr>
      </w:pPr>
      <w:r w:rsidRPr="00BC3E74">
        <w:rPr>
          <w:b/>
          <w:bCs/>
          <w:rtl/>
        </w:rPr>
        <w:t>المشاركة في الحياة السياسية والعامة وعملية صنع القرار</w:t>
      </w:r>
    </w:p>
    <w:p w:rsidR="00BC3E74" w:rsidRPr="00BC3E74" w:rsidRDefault="00BC3E74" w:rsidP="00103F61">
      <w:pPr>
        <w:pStyle w:val="SingleTxt"/>
        <w:rPr>
          <w:rtl/>
        </w:rPr>
      </w:pPr>
      <w:r w:rsidRPr="00BC3E74">
        <w:rPr>
          <w:rFonts w:hint="cs"/>
          <w:rtl/>
        </w:rPr>
        <w:t>17</w:t>
      </w:r>
      <w:r w:rsidR="00103F61">
        <w:rPr>
          <w:rFonts w:hint="cs"/>
          <w:rtl/>
        </w:rPr>
        <w:t xml:space="preserve"> </w:t>
      </w:r>
      <w:r w:rsidRPr="00BC3E74">
        <w:rPr>
          <w:rFonts w:hint="cs"/>
          <w:rtl/>
        </w:rPr>
        <w:t>-</w:t>
      </w:r>
      <w:r w:rsidR="00103F61">
        <w:rPr>
          <w:rFonts w:hint="cs"/>
          <w:rtl/>
        </w:rPr>
        <w:tab/>
      </w:r>
      <w:r w:rsidRPr="00BC3E74">
        <w:rPr>
          <w:rtl/>
        </w:rPr>
        <w:t>يشير التقرير (</w:t>
      </w:r>
      <w:r w:rsidR="00103F61">
        <w:rPr>
          <w:rFonts w:hint="cs"/>
          <w:rtl/>
        </w:rPr>
        <w:t xml:space="preserve">الصفحة </w:t>
      </w:r>
      <w:r w:rsidRPr="00BC3E74">
        <w:rPr>
          <w:rtl/>
        </w:rPr>
        <w:t>13) إلى مبادرة قام بها الوزير الفلمندي المعني بالمساواة في الفرص في عام 2005 للجمع بين مرسومي الحصص الساريين والمتعلقين بالهيئات الاستشارية وهيئات الإدارة.</w:t>
      </w:r>
      <w:r w:rsidRPr="00BC3E74">
        <w:rPr>
          <w:lang w:val="en-GB"/>
        </w:rPr>
        <w:t xml:space="preserve"> </w:t>
      </w:r>
      <w:r w:rsidRPr="00BC3E74">
        <w:rPr>
          <w:rtl/>
        </w:rPr>
        <w:t>يرجى الإعلام عن نتائج هذه المبادرة وتقديم بيانات إحصائية عن مشاركة النساء في الهيئات الاستشارية وهيئات الإدارة التابعة للحكومة الفلمندية.</w:t>
      </w:r>
      <w:r w:rsidRPr="00BC3E74">
        <w:rPr>
          <w:lang w:val="en-GB"/>
        </w:rPr>
        <w:t xml:space="preserve"> </w:t>
      </w:r>
      <w:r w:rsidRPr="00BC3E74">
        <w:rPr>
          <w:rtl/>
        </w:rPr>
        <w:t>كما يرجى تقديم معلومات بشأن الحصص أو أي تدابير خاصة مؤقتة أخرى لدى الكيانات الفدرالية الأخرى.</w:t>
      </w:r>
    </w:p>
    <w:p w:rsidR="00BC3E74" w:rsidRPr="00BC3E74" w:rsidRDefault="00BC3E74" w:rsidP="00C957F7">
      <w:pPr>
        <w:pStyle w:val="SingleTxt"/>
        <w:rPr>
          <w:rtl/>
        </w:rPr>
      </w:pPr>
      <w:r w:rsidRPr="00BC3E74">
        <w:rPr>
          <w:rFonts w:hint="cs"/>
          <w:rtl/>
        </w:rPr>
        <w:t>18</w:t>
      </w:r>
      <w:r w:rsidR="00C957F7">
        <w:rPr>
          <w:rFonts w:hint="cs"/>
          <w:rtl/>
        </w:rPr>
        <w:t xml:space="preserve"> </w:t>
      </w:r>
      <w:r w:rsidRPr="00BC3E74">
        <w:rPr>
          <w:rFonts w:hint="cs"/>
          <w:rtl/>
        </w:rPr>
        <w:t>-</w:t>
      </w:r>
      <w:r w:rsidR="00C957F7">
        <w:rPr>
          <w:rFonts w:hint="cs"/>
          <w:rtl/>
        </w:rPr>
        <w:tab/>
      </w:r>
      <w:r w:rsidRPr="00BC3E74">
        <w:rPr>
          <w:rtl/>
        </w:rPr>
        <w:t xml:space="preserve">تكشف البيانات المتعلقة بتمثيل النساء في السلك الدبلوماسي </w:t>
      </w:r>
      <w:r w:rsidR="00C957F7">
        <w:rPr>
          <w:rFonts w:hint="cs"/>
          <w:rtl/>
        </w:rPr>
        <w:t xml:space="preserve">الاتحادي </w:t>
      </w:r>
      <w:r w:rsidRPr="00BC3E74">
        <w:rPr>
          <w:rtl/>
        </w:rPr>
        <w:t>(الصفحتان 70 و</w:t>
      </w:r>
      <w:r w:rsidR="00C957F7">
        <w:rPr>
          <w:rFonts w:hint="cs"/>
          <w:rtl/>
        </w:rPr>
        <w:t xml:space="preserve"> </w:t>
      </w:r>
      <w:r w:rsidRPr="00BC3E74">
        <w:rPr>
          <w:rtl/>
        </w:rPr>
        <w:t xml:space="preserve">71)، </w:t>
      </w:r>
      <w:r w:rsidR="00C957F7">
        <w:rPr>
          <w:rFonts w:hint="cs"/>
          <w:rtl/>
        </w:rPr>
        <w:t>و</w:t>
      </w:r>
      <w:r w:rsidRPr="00BC3E74">
        <w:rPr>
          <w:rtl/>
        </w:rPr>
        <w:t>مشاركتهن في المنافسة على الوظائف الدبلوماسية (الصفحتان 72 و</w:t>
      </w:r>
      <w:r w:rsidR="00C957F7">
        <w:rPr>
          <w:rFonts w:hint="cs"/>
          <w:rtl/>
        </w:rPr>
        <w:t xml:space="preserve"> </w:t>
      </w:r>
      <w:r w:rsidRPr="00BC3E74">
        <w:rPr>
          <w:rtl/>
        </w:rPr>
        <w:t>73) عن أن مشاركة المرأة في هذا المجال ما زالت ضعيفة.</w:t>
      </w:r>
      <w:r w:rsidRPr="00BC3E74">
        <w:rPr>
          <w:lang w:val="en-GB"/>
        </w:rPr>
        <w:t xml:space="preserve"> </w:t>
      </w:r>
      <w:r w:rsidRPr="00BC3E74">
        <w:rPr>
          <w:rtl/>
        </w:rPr>
        <w:t>يرجى الإشارة إلى التدابير المتخذة، إن وجدت، عملا بتوصيات اللجنة الواردة في ملاحظاتها الختامية السابقة</w:t>
      </w:r>
      <w:r w:rsidR="00C957F7" w:rsidRPr="00C957F7">
        <w:rPr>
          <w:vertAlign w:val="superscript"/>
          <w:rtl/>
        </w:rPr>
        <w:t>(</w:t>
      </w:r>
      <w:r w:rsidR="00C957F7">
        <w:rPr>
          <w:rStyle w:val="FootnoteReference"/>
          <w:rtl/>
        </w:rPr>
        <w:footnoteReference w:id="5"/>
      </w:r>
      <w:r w:rsidR="00C957F7" w:rsidRPr="00C957F7">
        <w:rPr>
          <w:vertAlign w:val="superscript"/>
          <w:rtl/>
        </w:rPr>
        <w:t>)</w:t>
      </w:r>
      <w:r w:rsidRPr="00BC3E74">
        <w:rPr>
          <w:rtl/>
        </w:rPr>
        <w:t xml:space="preserve">، لزيادة </w:t>
      </w:r>
      <w:r w:rsidR="00C957F7">
        <w:rPr>
          <w:rFonts w:hint="cs"/>
          <w:rtl/>
        </w:rPr>
        <w:t xml:space="preserve">تمثيل </w:t>
      </w:r>
      <w:r w:rsidRPr="00BC3E74">
        <w:rPr>
          <w:rtl/>
        </w:rPr>
        <w:t>النساء في السلك الدبلوماسي.</w:t>
      </w:r>
      <w:r w:rsidRPr="00BC3E74">
        <w:rPr>
          <w:lang w:val="en-GB"/>
        </w:rPr>
        <w:t xml:space="preserve"> </w:t>
      </w:r>
    </w:p>
    <w:p w:rsidR="00BC3E74" w:rsidRPr="00BC3E74" w:rsidRDefault="00BC3E74" w:rsidP="00C957F7">
      <w:pPr>
        <w:pStyle w:val="SingleTxt"/>
        <w:rPr>
          <w:rtl/>
        </w:rPr>
      </w:pPr>
      <w:r w:rsidRPr="00BC3E74">
        <w:rPr>
          <w:rFonts w:hint="cs"/>
          <w:rtl/>
        </w:rPr>
        <w:t>19</w:t>
      </w:r>
      <w:r w:rsidR="00C957F7">
        <w:rPr>
          <w:rFonts w:hint="cs"/>
          <w:rtl/>
        </w:rPr>
        <w:t xml:space="preserve"> </w:t>
      </w:r>
      <w:r w:rsidRPr="00BC3E74">
        <w:rPr>
          <w:rFonts w:hint="cs"/>
          <w:rtl/>
        </w:rPr>
        <w:t>-</w:t>
      </w:r>
      <w:r w:rsidR="00C957F7">
        <w:rPr>
          <w:rFonts w:hint="cs"/>
          <w:rtl/>
        </w:rPr>
        <w:tab/>
      </w:r>
      <w:r w:rsidRPr="00BC3E74">
        <w:rPr>
          <w:rtl/>
        </w:rPr>
        <w:t xml:space="preserve">ويرجى </w:t>
      </w:r>
      <w:r w:rsidR="00C957F7">
        <w:rPr>
          <w:rFonts w:hint="cs"/>
          <w:rtl/>
        </w:rPr>
        <w:t xml:space="preserve">تبيان </w:t>
      </w:r>
      <w:r w:rsidRPr="00BC3E74">
        <w:rPr>
          <w:rtl/>
        </w:rPr>
        <w:t>أي تدابير خاصة مؤقتة تم اتخاذها في هذا الصدد، أو في أي مجال آخر، بشأن مشاركة النساء في الحياة العامة، بما يتماشى والمادة 4، الفقرة 1 من الاتفاقية والتوصيتان العامتان 23 و</w:t>
      </w:r>
      <w:r w:rsidR="00C957F7">
        <w:rPr>
          <w:rFonts w:hint="cs"/>
          <w:rtl/>
        </w:rPr>
        <w:t xml:space="preserve"> </w:t>
      </w:r>
      <w:r w:rsidRPr="00BC3E74">
        <w:rPr>
          <w:rtl/>
        </w:rPr>
        <w:t>25 الصادرتان عن اللجنة.</w:t>
      </w:r>
    </w:p>
    <w:p w:rsidR="00BC3E74" w:rsidRPr="00BC3E74" w:rsidRDefault="000726F6" w:rsidP="000726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C3E74" w:rsidRPr="00BC3E74">
        <w:rPr>
          <w:rtl/>
        </w:rPr>
        <w:t>العمل والفقر</w:t>
      </w:r>
    </w:p>
    <w:p w:rsidR="00BC3E74" w:rsidRPr="00BC3E74" w:rsidRDefault="00BC3E74" w:rsidP="00C957F7">
      <w:pPr>
        <w:pStyle w:val="SingleTxt"/>
        <w:rPr>
          <w:rtl/>
        </w:rPr>
      </w:pPr>
      <w:r w:rsidRPr="00BC3E74">
        <w:rPr>
          <w:rFonts w:hint="cs"/>
          <w:rtl/>
        </w:rPr>
        <w:t>20</w:t>
      </w:r>
      <w:r w:rsidR="00C957F7">
        <w:rPr>
          <w:rFonts w:hint="cs"/>
          <w:rtl/>
        </w:rPr>
        <w:t xml:space="preserve"> </w:t>
      </w:r>
      <w:r w:rsidRPr="00BC3E74">
        <w:rPr>
          <w:rFonts w:hint="cs"/>
          <w:rtl/>
        </w:rPr>
        <w:t>-</w:t>
      </w:r>
      <w:r w:rsidR="00C957F7">
        <w:rPr>
          <w:rFonts w:hint="cs"/>
          <w:rtl/>
        </w:rPr>
        <w:tab/>
      </w:r>
      <w:r w:rsidRPr="00BC3E74">
        <w:rPr>
          <w:rtl/>
        </w:rPr>
        <w:t xml:space="preserve">يشير التقرير (الصفحة 41) إلى أن معدل الفقر في شريحة النساء في والونيا يبلغ 18 في المائة، </w:t>
      </w:r>
      <w:r w:rsidR="00C957F7">
        <w:rPr>
          <w:rFonts w:hint="cs"/>
          <w:rtl/>
        </w:rPr>
        <w:t xml:space="preserve">مقابل </w:t>
      </w:r>
      <w:r w:rsidRPr="00BC3E74">
        <w:rPr>
          <w:rtl/>
        </w:rPr>
        <w:t>14 في المائة بين الرجال.</w:t>
      </w:r>
      <w:r w:rsidRPr="00BC3E74">
        <w:rPr>
          <w:lang w:val="en-GB"/>
        </w:rPr>
        <w:t xml:space="preserve"> </w:t>
      </w:r>
      <w:r w:rsidRPr="00BC3E74">
        <w:rPr>
          <w:rtl/>
        </w:rPr>
        <w:t>ويرتبط فقر المرأة ارتباطا مباشرا بانعدام الفرص الاقتصادية.</w:t>
      </w:r>
      <w:r w:rsidRPr="00BC3E74">
        <w:rPr>
          <w:lang w:val="en-GB"/>
        </w:rPr>
        <w:t xml:space="preserve"> </w:t>
      </w:r>
      <w:r w:rsidRPr="00BC3E74">
        <w:rPr>
          <w:rtl/>
        </w:rPr>
        <w:t>في هذا الصدد، يرجى تقديم معلومات مفصلة عن التدابير المحددة التي اتخذت لتحسين حالة النساء الفقيرات.</w:t>
      </w:r>
      <w:r w:rsidRPr="00BC3E74">
        <w:rPr>
          <w:lang w:val="en-GB"/>
        </w:rPr>
        <w:t xml:space="preserve"> </w:t>
      </w:r>
      <w:r w:rsidRPr="00BC3E74">
        <w:rPr>
          <w:rtl/>
        </w:rPr>
        <w:t xml:space="preserve">وما هي برامج مكافحة الفقر التي جرى وضعها، بما فيها مخططات توفير فرص العمل الرامية إلى القضاء على الفقر والحد من عدم المساواة بين الجنسين ضمن الإطار العام لتحقيق التنمية المستدامة التي </w:t>
      </w:r>
      <w:r w:rsidR="00C957F7">
        <w:rPr>
          <w:rFonts w:hint="cs"/>
          <w:rtl/>
        </w:rPr>
        <w:t xml:space="preserve">تتمحور حول </w:t>
      </w:r>
      <w:r w:rsidRPr="00BC3E74">
        <w:rPr>
          <w:rtl/>
        </w:rPr>
        <w:t>البشر.</w:t>
      </w:r>
    </w:p>
    <w:p w:rsidR="00BC3E74" w:rsidRPr="00BC3E74" w:rsidRDefault="00BC3E74" w:rsidP="00C957F7">
      <w:pPr>
        <w:pStyle w:val="SingleTxt"/>
        <w:rPr>
          <w:rtl/>
        </w:rPr>
      </w:pPr>
      <w:r w:rsidRPr="00BC3E74">
        <w:rPr>
          <w:rFonts w:hint="cs"/>
          <w:rtl/>
        </w:rPr>
        <w:t>21</w:t>
      </w:r>
      <w:r w:rsidR="00C957F7">
        <w:rPr>
          <w:rFonts w:hint="cs"/>
          <w:rtl/>
        </w:rPr>
        <w:t xml:space="preserve"> </w:t>
      </w:r>
      <w:r w:rsidRPr="00BC3E74">
        <w:rPr>
          <w:rFonts w:hint="cs"/>
          <w:rtl/>
        </w:rPr>
        <w:t>-</w:t>
      </w:r>
      <w:r w:rsidR="00C957F7">
        <w:rPr>
          <w:rFonts w:hint="cs"/>
          <w:rtl/>
        </w:rPr>
        <w:tab/>
      </w:r>
      <w:r w:rsidRPr="00BC3E74">
        <w:rPr>
          <w:rtl/>
        </w:rPr>
        <w:t>يشير التقرير (الصفحة 95) إلى وجود فرق ملموس بين المرتبات الإجمالية للرجال والنساء يصل إلى 30 في المائة.</w:t>
      </w:r>
      <w:r w:rsidRPr="00BC3E74">
        <w:rPr>
          <w:lang w:val="en-GB"/>
        </w:rPr>
        <w:t xml:space="preserve"> </w:t>
      </w:r>
      <w:r w:rsidRPr="00BC3E74">
        <w:rPr>
          <w:rtl/>
        </w:rPr>
        <w:t xml:space="preserve">يرجى الإشارة إلى ما اتخذ من تدابير لتقليص </w:t>
      </w:r>
      <w:r w:rsidR="00C957F7">
        <w:rPr>
          <w:rFonts w:hint="cs"/>
          <w:rtl/>
        </w:rPr>
        <w:t xml:space="preserve">الفجوة في </w:t>
      </w:r>
      <w:r w:rsidRPr="00BC3E74">
        <w:rPr>
          <w:rtl/>
        </w:rPr>
        <w:t xml:space="preserve">المرتبات بين الرجال والنساء في كل من القطاعين الخاص والعام، كما يرجى شرح سبب وجود هذه </w:t>
      </w:r>
      <w:r w:rsidR="00C957F7">
        <w:rPr>
          <w:rFonts w:hint="cs"/>
          <w:rtl/>
        </w:rPr>
        <w:t xml:space="preserve">الفجوة </w:t>
      </w:r>
      <w:r w:rsidRPr="00BC3E74">
        <w:rPr>
          <w:rtl/>
        </w:rPr>
        <w:t>في ميدان الخدمة المدنية.</w:t>
      </w:r>
    </w:p>
    <w:p w:rsidR="00BC3E74" w:rsidRPr="00BC3E74" w:rsidRDefault="00BC3E74" w:rsidP="00C957F7">
      <w:pPr>
        <w:pStyle w:val="SingleTxt"/>
        <w:rPr>
          <w:rtl/>
        </w:rPr>
      </w:pPr>
      <w:r w:rsidRPr="00BC3E74">
        <w:rPr>
          <w:rFonts w:hint="cs"/>
          <w:rtl/>
        </w:rPr>
        <w:t>22</w:t>
      </w:r>
      <w:r w:rsidR="00C957F7">
        <w:rPr>
          <w:rFonts w:hint="cs"/>
          <w:rtl/>
        </w:rPr>
        <w:t xml:space="preserve"> </w:t>
      </w:r>
      <w:r w:rsidRPr="00BC3E74">
        <w:rPr>
          <w:rFonts w:hint="cs"/>
          <w:rtl/>
        </w:rPr>
        <w:t>-</w:t>
      </w:r>
      <w:r w:rsidR="00C957F7">
        <w:rPr>
          <w:rFonts w:hint="cs"/>
          <w:rtl/>
        </w:rPr>
        <w:tab/>
      </w:r>
      <w:r w:rsidRPr="00BC3E74">
        <w:rPr>
          <w:rtl/>
        </w:rPr>
        <w:t xml:space="preserve">يشير التقرير إلى أن النساء </w:t>
      </w:r>
      <w:r w:rsidR="00C957F7">
        <w:rPr>
          <w:rFonts w:hint="cs"/>
          <w:rtl/>
        </w:rPr>
        <w:t>ي</w:t>
      </w:r>
      <w:r w:rsidRPr="00BC3E74">
        <w:rPr>
          <w:rtl/>
        </w:rPr>
        <w:t>عانين من البطالة الطويلة الأجل أكثر من الرجال (الصفحة 94) وأن نسبة النساء اللاتي يعملن بدوام جزئي أعلى من نسبة الرجال.</w:t>
      </w:r>
      <w:r w:rsidR="00CE7614">
        <w:rPr>
          <w:rtl/>
        </w:rPr>
        <w:t xml:space="preserve"> </w:t>
      </w:r>
      <w:r w:rsidRPr="00BC3E74">
        <w:rPr>
          <w:rtl/>
        </w:rPr>
        <w:t>يرجى الإشارة إلى ما اتخذ من تدابير لمعالجة هذه الظاهرة المتأصلة ولضمان وصول النساء إلى الوظائف ذات الدوام الكامل والوظائف الدائمة.</w:t>
      </w:r>
    </w:p>
    <w:p w:rsidR="00BC3E74" w:rsidRPr="00BC3E74" w:rsidRDefault="00BC3E74" w:rsidP="00C957F7">
      <w:pPr>
        <w:pStyle w:val="SingleTxt"/>
        <w:rPr>
          <w:rtl/>
        </w:rPr>
      </w:pPr>
      <w:r w:rsidRPr="00BC3E74">
        <w:rPr>
          <w:rFonts w:hint="cs"/>
          <w:rtl/>
        </w:rPr>
        <w:t>23</w:t>
      </w:r>
      <w:r w:rsidR="00C957F7">
        <w:rPr>
          <w:rFonts w:hint="cs"/>
          <w:rtl/>
        </w:rPr>
        <w:t xml:space="preserve"> </w:t>
      </w:r>
      <w:r w:rsidRPr="00BC3E74">
        <w:rPr>
          <w:rFonts w:hint="cs"/>
          <w:rtl/>
        </w:rPr>
        <w:t>-</w:t>
      </w:r>
      <w:r w:rsidR="00C957F7">
        <w:rPr>
          <w:rFonts w:hint="cs"/>
          <w:rtl/>
        </w:rPr>
        <w:tab/>
      </w:r>
      <w:r w:rsidRPr="00BC3E74">
        <w:rPr>
          <w:rtl/>
        </w:rPr>
        <w:t>يبرز التقرير الوضع غير المستقر للمهاجرات في المجموعة الفلمندية فيما يتعلق بالتفاوت في الأجر (الصفحة 100)</w:t>
      </w:r>
      <w:r w:rsidR="00C957F7">
        <w:rPr>
          <w:rFonts w:hint="cs"/>
          <w:rtl/>
        </w:rPr>
        <w:t xml:space="preserve">. </w:t>
      </w:r>
      <w:r w:rsidRPr="00BC3E74">
        <w:rPr>
          <w:rtl/>
        </w:rPr>
        <w:t xml:space="preserve">مشيرا إلى أن </w:t>
      </w:r>
      <w:r w:rsidR="00C957F7">
        <w:rPr>
          <w:rFonts w:hint="cs"/>
          <w:rtl/>
        </w:rPr>
        <w:t>”</w:t>
      </w:r>
      <w:r w:rsidRPr="00BC3E74">
        <w:rPr>
          <w:rtl/>
        </w:rPr>
        <w:t xml:space="preserve">أجر المرأة يقل </w:t>
      </w:r>
      <w:r w:rsidR="00C957F7">
        <w:rPr>
          <w:rFonts w:hint="cs"/>
          <w:rtl/>
        </w:rPr>
        <w:t xml:space="preserve">في المتوسط </w:t>
      </w:r>
      <w:r w:rsidRPr="00BC3E74">
        <w:rPr>
          <w:rtl/>
        </w:rPr>
        <w:t>بنسبة 12 في المائة عن أجر الرجل</w:t>
      </w:r>
      <w:r w:rsidR="00C957F7">
        <w:rPr>
          <w:rFonts w:hint="cs"/>
          <w:rtl/>
        </w:rPr>
        <w:t xml:space="preserve">. </w:t>
      </w:r>
      <w:r w:rsidRPr="00BC3E74">
        <w:rPr>
          <w:rtl/>
        </w:rPr>
        <w:t>يضاف إلى ذلك أن المهاجرات يحصلن على أجر يقل بنسبة 10 في المائة عن أجر النساء ’الغربيات‘</w:t>
      </w:r>
      <w:r w:rsidR="00C957F7">
        <w:rPr>
          <w:rFonts w:hint="cs"/>
          <w:rtl/>
        </w:rPr>
        <w:t xml:space="preserve">“. </w:t>
      </w:r>
      <w:r w:rsidRPr="00BC3E74">
        <w:rPr>
          <w:rtl/>
        </w:rPr>
        <w:t xml:space="preserve">ما هي الجهود التي تبذل حاليا لسد </w:t>
      </w:r>
      <w:r w:rsidR="00C957F7">
        <w:rPr>
          <w:rFonts w:hint="cs"/>
          <w:rtl/>
        </w:rPr>
        <w:t xml:space="preserve">الفجوة </w:t>
      </w:r>
      <w:r w:rsidRPr="00BC3E74">
        <w:rPr>
          <w:rtl/>
        </w:rPr>
        <w:t xml:space="preserve">بين أجر المرأة والرجل وبين أجر المهاجرات والنساء </w:t>
      </w:r>
      <w:r w:rsidR="00C957F7">
        <w:rPr>
          <w:rFonts w:hint="cs"/>
          <w:rtl/>
        </w:rPr>
        <w:t>”</w:t>
      </w:r>
      <w:r w:rsidRPr="00BC3E74">
        <w:rPr>
          <w:rtl/>
        </w:rPr>
        <w:t>الغربيات</w:t>
      </w:r>
      <w:r w:rsidR="00C957F7">
        <w:rPr>
          <w:rFonts w:hint="cs"/>
          <w:rtl/>
        </w:rPr>
        <w:t>“</w:t>
      </w:r>
      <w:r w:rsidRPr="00BC3E74">
        <w:rPr>
          <w:rtl/>
        </w:rPr>
        <w:t>؟</w:t>
      </w:r>
      <w:r w:rsidRPr="00BC3E74">
        <w:rPr>
          <w:lang w:val="en-GB"/>
        </w:rPr>
        <w:t xml:space="preserve"> </w:t>
      </w:r>
      <w:r w:rsidRPr="00BC3E74">
        <w:rPr>
          <w:rtl/>
        </w:rPr>
        <w:t xml:space="preserve">وهل يعار اهتمام خاص للمهاجرات اللاتي </w:t>
      </w:r>
      <w:r w:rsidR="00C957F7">
        <w:rPr>
          <w:rFonts w:hint="cs"/>
          <w:rtl/>
        </w:rPr>
        <w:t>ي</w:t>
      </w:r>
      <w:r w:rsidRPr="00BC3E74">
        <w:rPr>
          <w:rtl/>
        </w:rPr>
        <w:t>عانين من تمييز متفاقم في توفر فرص العمل؟</w:t>
      </w:r>
      <w:r w:rsidRPr="00BC3E74">
        <w:rPr>
          <w:lang w:val="en-GB"/>
        </w:rPr>
        <w:t xml:space="preserve"> </w:t>
      </w:r>
      <w:r w:rsidRPr="00BC3E74">
        <w:rPr>
          <w:rtl/>
        </w:rPr>
        <w:t>يرجى تقديم تفاصيل عن التمييز في العمل ضد المهاجرات اللاتي يعشن ضمن المجموعة الفرنسية وإقليم والون.</w:t>
      </w:r>
    </w:p>
    <w:p w:rsidR="00BC3E74" w:rsidRDefault="00BC3E74" w:rsidP="00C957F7">
      <w:pPr>
        <w:pStyle w:val="SingleTxt"/>
        <w:rPr>
          <w:rFonts w:hint="cs"/>
          <w:rtl/>
        </w:rPr>
      </w:pPr>
      <w:r w:rsidRPr="00BC3E74">
        <w:rPr>
          <w:rFonts w:hint="cs"/>
          <w:rtl/>
        </w:rPr>
        <w:t>24</w:t>
      </w:r>
      <w:r w:rsidR="00C957F7">
        <w:rPr>
          <w:rFonts w:hint="cs"/>
          <w:rtl/>
        </w:rPr>
        <w:t xml:space="preserve"> </w:t>
      </w:r>
      <w:r w:rsidRPr="00BC3E74">
        <w:rPr>
          <w:rFonts w:hint="cs"/>
          <w:rtl/>
        </w:rPr>
        <w:t>-</w:t>
      </w:r>
      <w:r w:rsidR="00C957F7">
        <w:rPr>
          <w:rFonts w:hint="cs"/>
          <w:rtl/>
        </w:rPr>
        <w:tab/>
      </w:r>
      <w:r w:rsidRPr="00BC3E74">
        <w:rPr>
          <w:rtl/>
        </w:rPr>
        <w:t xml:space="preserve">يرجى تقديم معلومات مفصلة عن تنفيذ </w:t>
      </w:r>
      <w:r w:rsidR="00C957F7">
        <w:rPr>
          <w:rFonts w:hint="cs"/>
          <w:rtl/>
        </w:rPr>
        <w:t>ال</w:t>
      </w:r>
      <w:r w:rsidRPr="00BC3E74">
        <w:rPr>
          <w:rtl/>
        </w:rPr>
        <w:t xml:space="preserve">قانون </w:t>
      </w:r>
      <w:r w:rsidR="00C957F7">
        <w:rPr>
          <w:rFonts w:hint="cs"/>
          <w:rtl/>
        </w:rPr>
        <w:t xml:space="preserve">الصادر في </w:t>
      </w:r>
      <w:r w:rsidRPr="00BC3E74">
        <w:rPr>
          <w:rtl/>
        </w:rPr>
        <w:t xml:space="preserve">11 حزيران/يونيه 2002 </w:t>
      </w:r>
      <w:r w:rsidR="00C957F7">
        <w:rPr>
          <w:rFonts w:hint="cs"/>
          <w:rtl/>
        </w:rPr>
        <w:t xml:space="preserve">بشأن </w:t>
      </w:r>
      <w:r w:rsidRPr="00BC3E74">
        <w:rPr>
          <w:rtl/>
        </w:rPr>
        <w:t>الحماية من العنف والتحرش السيكولوجي والجنسي في مكان العمل.</w:t>
      </w:r>
      <w:r w:rsidRPr="00BC3E74">
        <w:rPr>
          <w:lang w:val="en-GB"/>
        </w:rPr>
        <w:t xml:space="preserve"> </w:t>
      </w:r>
      <w:r w:rsidRPr="00BC3E74">
        <w:rPr>
          <w:rtl/>
        </w:rPr>
        <w:t>كما يرجى تقديم بيانات عن عدد الشكاوى التي تقدمت بها نساء في القطاعين العام والخاص، وعما آلت إليه هذه الشكاوى</w:t>
      </w:r>
      <w:r w:rsidR="00C957F7">
        <w:rPr>
          <w:rFonts w:hint="cs"/>
          <w:rtl/>
        </w:rPr>
        <w:t xml:space="preserve">. </w:t>
      </w:r>
      <w:r w:rsidRPr="00BC3E74">
        <w:rPr>
          <w:rtl/>
        </w:rPr>
        <w:t>يرجى أيضا تقديم تفاصيل عن نتائج تقييم القانون الذي أجري في عام 2004، وما هو وضع التعديلات المقترحة.</w:t>
      </w:r>
    </w:p>
    <w:p w:rsidR="000726F6" w:rsidRPr="000726F6" w:rsidRDefault="000726F6" w:rsidP="000726F6">
      <w:pPr>
        <w:pStyle w:val="SingleTxt"/>
        <w:spacing w:after="0" w:line="120" w:lineRule="exact"/>
        <w:rPr>
          <w:rFonts w:hint="cs"/>
          <w:sz w:val="10"/>
          <w:rtl/>
        </w:rPr>
      </w:pPr>
    </w:p>
    <w:p w:rsidR="00BC3E74" w:rsidRPr="00BC3E74" w:rsidRDefault="000726F6" w:rsidP="000726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BC3E74" w:rsidRPr="00BC3E74">
        <w:rPr>
          <w:rtl/>
        </w:rPr>
        <w:t>الصحة</w:t>
      </w:r>
    </w:p>
    <w:p w:rsidR="00BC3E74" w:rsidRPr="00BC3E74" w:rsidRDefault="00BC3E74" w:rsidP="00C957F7">
      <w:pPr>
        <w:pStyle w:val="SingleTxt"/>
        <w:rPr>
          <w:rtl/>
        </w:rPr>
      </w:pPr>
      <w:r w:rsidRPr="00BC3E74">
        <w:rPr>
          <w:rFonts w:hint="cs"/>
          <w:rtl/>
        </w:rPr>
        <w:t>25</w:t>
      </w:r>
      <w:r w:rsidR="00C957F7">
        <w:rPr>
          <w:rFonts w:hint="cs"/>
          <w:rtl/>
        </w:rPr>
        <w:t xml:space="preserve"> </w:t>
      </w:r>
      <w:r w:rsidRPr="00BC3E74">
        <w:rPr>
          <w:rFonts w:hint="cs"/>
          <w:rtl/>
        </w:rPr>
        <w:t>-</w:t>
      </w:r>
      <w:r w:rsidR="00C957F7">
        <w:rPr>
          <w:rFonts w:hint="cs"/>
          <w:rtl/>
        </w:rPr>
        <w:tab/>
      </w:r>
      <w:r w:rsidRPr="00BC3E74">
        <w:rPr>
          <w:rtl/>
        </w:rPr>
        <w:t>يقدم التقرير معلومات عن عدد حالات الإجهاض موزعة حسب السن، والتي تشير إلى ارتفاع عدد حالات الإجهاض نسبة إلى حالات الحمل لدى النساء اللاتي تقل أعمارهن عن 19 عاما (الصفحة 112).</w:t>
      </w:r>
      <w:r w:rsidRPr="00BC3E74">
        <w:rPr>
          <w:i/>
          <w:lang w:val="en-GB"/>
        </w:rPr>
        <w:t xml:space="preserve"> </w:t>
      </w:r>
      <w:r w:rsidRPr="00BC3E74">
        <w:rPr>
          <w:rtl/>
        </w:rPr>
        <w:t>يرجى تقديم معلومات عما اتخذ من تدابير لتنفيذ الملاحظات الختامية السابقة الصادرة عن اللجنة والمتعلقة بمنع حالات الحمل في سن مبكرة وتوافر وسائل منع الحمل</w:t>
      </w:r>
      <w:r w:rsidR="00C957F7" w:rsidRPr="00C957F7">
        <w:rPr>
          <w:vertAlign w:val="superscript"/>
          <w:rtl/>
        </w:rPr>
        <w:t>(</w:t>
      </w:r>
      <w:r w:rsidR="00C957F7">
        <w:rPr>
          <w:rStyle w:val="FootnoteReference"/>
          <w:rtl/>
        </w:rPr>
        <w:footnoteReference w:id="6"/>
      </w:r>
      <w:r w:rsidR="00C957F7" w:rsidRPr="00C957F7">
        <w:rPr>
          <w:vertAlign w:val="superscript"/>
          <w:rtl/>
        </w:rPr>
        <w:t>)</w:t>
      </w:r>
      <w:r w:rsidRPr="00BC3E74">
        <w:rPr>
          <w:rtl/>
        </w:rPr>
        <w:t>.</w:t>
      </w:r>
      <w:r w:rsidRPr="00BC3E74">
        <w:rPr>
          <w:lang w:val="en-GB"/>
        </w:rPr>
        <w:t xml:space="preserve"> </w:t>
      </w:r>
      <w:r w:rsidRPr="00BC3E74">
        <w:rPr>
          <w:rtl/>
        </w:rPr>
        <w:t>كما يرجى تقديم معلومات عن حملات التربية والتوعية الجنسية الهادفة إلى منع الحمل في سن مبكرة والموجهة إلى الفتيات والشابات على وجه التحديد.</w:t>
      </w:r>
      <w:r w:rsidRPr="00BC3E74">
        <w:rPr>
          <w:lang w:val="en-GB"/>
        </w:rPr>
        <w:t xml:space="preserve"> </w:t>
      </w:r>
      <w:r w:rsidRPr="00BC3E74">
        <w:rPr>
          <w:rtl/>
        </w:rPr>
        <w:t>يرجى الإشارة إلى ما يوجّه من اهتمام لاحتياجات المراهقين الخاصة، وما ينفذ من برامج خاصة بهم، كتوفير التعليم والمعلومات عن مسائل الصحة الجنسية والإنجابية، وعن</w:t>
      </w:r>
      <w:r w:rsidR="00C957F7">
        <w:rPr>
          <w:rtl/>
        </w:rPr>
        <w:t xml:space="preserve"> الأمراض المنتقلة جنسيا، بما</w:t>
      </w:r>
      <w:r w:rsidR="00C957F7">
        <w:rPr>
          <w:rFonts w:hint="cs"/>
          <w:rtl/>
        </w:rPr>
        <w:t> </w:t>
      </w:r>
      <w:r w:rsidRPr="00BC3E74">
        <w:rPr>
          <w:rtl/>
        </w:rPr>
        <w:t>فيها فيروس نقص المناعة البشرية/الإيدز.</w:t>
      </w:r>
      <w:r w:rsidRPr="00BC3E74">
        <w:rPr>
          <w:lang w:val="en-GB"/>
        </w:rPr>
        <w:t xml:space="preserve"> </w:t>
      </w:r>
    </w:p>
    <w:p w:rsidR="00BC3E74" w:rsidRPr="00BC3E74" w:rsidRDefault="00C957F7" w:rsidP="00C957F7">
      <w:pPr>
        <w:pStyle w:val="SingleTxt"/>
        <w:rPr>
          <w:rtl/>
        </w:rPr>
      </w:pPr>
      <w:r>
        <w:rPr>
          <w:rFonts w:hint="cs"/>
          <w:rtl/>
          <w:lang w:val="en-GB"/>
        </w:rPr>
        <w:t>26 -</w:t>
      </w:r>
      <w:r>
        <w:rPr>
          <w:rFonts w:hint="cs"/>
          <w:rtl/>
          <w:lang w:val="en-GB"/>
        </w:rPr>
        <w:tab/>
      </w:r>
      <w:r w:rsidR="00BC3E74" w:rsidRPr="00BC3E74">
        <w:rPr>
          <w:rtl/>
        </w:rPr>
        <w:t>يتطرق التقرير إلى تشويه الأعضاء الجنسية للفتيات (الصفحات 6 و</w:t>
      </w:r>
      <w:r>
        <w:rPr>
          <w:rFonts w:hint="cs"/>
          <w:rtl/>
        </w:rPr>
        <w:t xml:space="preserve"> </w:t>
      </w:r>
      <w:r w:rsidR="00BC3E74" w:rsidRPr="00BC3E74">
        <w:rPr>
          <w:rtl/>
        </w:rPr>
        <w:t>24 و</w:t>
      </w:r>
      <w:r>
        <w:rPr>
          <w:rFonts w:hint="cs"/>
          <w:rtl/>
        </w:rPr>
        <w:t xml:space="preserve"> </w:t>
      </w:r>
      <w:r w:rsidR="00BC3E74" w:rsidRPr="00BC3E74">
        <w:rPr>
          <w:rtl/>
        </w:rPr>
        <w:t>25 و</w:t>
      </w:r>
      <w:r>
        <w:rPr>
          <w:rFonts w:hint="eastAsia"/>
          <w:rtl/>
        </w:rPr>
        <w:t> </w:t>
      </w:r>
      <w:r w:rsidR="00BC3E74" w:rsidRPr="00BC3E74">
        <w:rPr>
          <w:rtl/>
        </w:rPr>
        <w:t>40 و</w:t>
      </w:r>
      <w:r>
        <w:rPr>
          <w:rFonts w:hint="cs"/>
          <w:rtl/>
        </w:rPr>
        <w:t xml:space="preserve"> </w:t>
      </w:r>
      <w:r w:rsidR="00BC3E74" w:rsidRPr="00BC3E74">
        <w:rPr>
          <w:rtl/>
        </w:rPr>
        <w:t>83).</w:t>
      </w:r>
      <w:r w:rsidR="00BC3E74" w:rsidRPr="00BC3E74">
        <w:rPr>
          <w:lang w:val="en-GB"/>
        </w:rPr>
        <w:t xml:space="preserve"> </w:t>
      </w:r>
      <w:r w:rsidR="00BC3E74" w:rsidRPr="00BC3E74">
        <w:rPr>
          <w:rtl/>
        </w:rPr>
        <w:t xml:space="preserve">يرجى تقديم بيانات إحصائية عن حدوث هذه الظاهرة </w:t>
      </w:r>
      <w:r>
        <w:rPr>
          <w:rFonts w:hint="cs"/>
          <w:rtl/>
        </w:rPr>
        <w:t xml:space="preserve">وعما تم </w:t>
      </w:r>
      <w:r w:rsidR="00BC3E74" w:rsidRPr="00BC3E74">
        <w:rPr>
          <w:rtl/>
        </w:rPr>
        <w:t xml:space="preserve">اتخاذه من تدابير لمنعها ومكافحتها ضمن </w:t>
      </w:r>
      <w:r>
        <w:rPr>
          <w:rFonts w:hint="cs"/>
          <w:rtl/>
        </w:rPr>
        <w:t xml:space="preserve">طوائف </w:t>
      </w:r>
      <w:r w:rsidR="00BC3E74" w:rsidRPr="00BC3E74">
        <w:rPr>
          <w:rtl/>
        </w:rPr>
        <w:t>المهاجرين، وما أسفرت عنه هذه التدابير من نتائج.</w:t>
      </w:r>
    </w:p>
    <w:p w:rsidR="00C957F7" w:rsidRPr="00C957F7" w:rsidRDefault="00C957F7" w:rsidP="00C957F7">
      <w:pPr>
        <w:pStyle w:val="SingleTxt"/>
        <w:spacing w:after="0" w:line="120" w:lineRule="exact"/>
        <w:rPr>
          <w:sz w:val="10"/>
          <w:rtl/>
          <w:lang w:val="en-GB"/>
        </w:rPr>
      </w:pPr>
    </w:p>
    <w:p w:rsidR="00BC3E74" w:rsidRPr="00BC3E74" w:rsidRDefault="00BC3E74" w:rsidP="00BC3E74">
      <w:pPr>
        <w:pStyle w:val="SingleTxt"/>
        <w:rPr>
          <w:b/>
          <w:rtl/>
        </w:rPr>
      </w:pPr>
      <w:r w:rsidRPr="00BC3E74">
        <w:rPr>
          <w:b/>
          <w:bCs/>
          <w:rtl/>
        </w:rPr>
        <w:t>الزواج والأسرة</w:t>
      </w:r>
    </w:p>
    <w:p w:rsidR="00BC3E74" w:rsidRPr="00BC3E74" w:rsidRDefault="00BC3E74" w:rsidP="00C957F7">
      <w:pPr>
        <w:pStyle w:val="SingleTxt"/>
        <w:rPr>
          <w:rtl/>
        </w:rPr>
      </w:pPr>
      <w:r w:rsidRPr="00BC3E74">
        <w:rPr>
          <w:rFonts w:hint="cs"/>
          <w:rtl/>
        </w:rPr>
        <w:t>27</w:t>
      </w:r>
      <w:r w:rsidR="00C957F7">
        <w:rPr>
          <w:rFonts w:hint="cs"/>
          <w:rtl/>
        </w:rPr>
        <w:t xml:space="preserve"> </w:t>
      </w:r>
      <w:r w:rsidRPr="00BC3E74">
        <w:rPr>
          <w:rFonts w:hint="cs"/>
          <w:rtl/>
        </w:rPr>
        <w:t>-</w:t>
      </w:r>
      <w:r w:rsidR="00C957F7">
        <w:rPr>
          <w:rFonts w:hint="cs"/>
          <w:rtl/>
        </w:rPr>
        <w:tab/>
      </w:r>
      <w:r w:rsidRPr="00BC3E74">
        <w:rPr>
          <w:rtl/>
        </w:rPr>
        <w:t xml:space="preserve">يرجى تقديم آخر </w:t>
      </w:r>
      <w:r w:rsidRPr="00BC3E74">
        <w:rPr>
          <w:rFonts w:hint="cs"/>
          <w:rtl/>
        </w:rPr>
        <w:t xml:space="preserve">ما يتوفر من </w:t>
      </w:r>
      <w:r w:rsidRPr="00BC3E74">
        <w:rPr>
          <w:rtl/>
        </w:rPr>
        <w:t>معلومات (الصفحة 123) عن مشروع القانون الذي أقرّه مجلس الوزراء في 10 آذار/مارس 2006 والمتعلق بالتهديد أو العنف الراميين إلى الإرغام على إبرام عقد زواج.</w:t>
      </w:r>
      <w:r w:rsidRPr="00BC3E74">
        <w:rPr>
          <w:lang w:val="en-GB"/>
        </w:rPr>
        <w:t xml:space="preserve"> </w:t>
      </w:r>
      <w:r w:rsidRPr="00BC3E74">
        <w:rPr>
          <w:rtl/>
        </w:rPr>
        <w:t>كما يرجى تقديم بيانات إحصائية عن هذه الظاهرة.</w:t>
      </w:r>
    </w:p>
    <w:p w:rsidR="00BC3E74" w:rsidRPr="00BC3E74" w:rsidRDefault="00BC3E74" w:rsidP="009C4F06">
      <w:pPr>
        <w:pStyle w:val="SingleTxt"/>
        <w:rPr>
          <w:rFonts w:hint="cs"/>
          <w:rtl/>
        </w:rPr>
      </w:pPr>
      <w:r w:rsidRPr="00BC3E74">
        <w:rPr>
          <w:rFonts w:hint="cs"/>
          <w:rtl/>
        </w:rPr>
        <w:t>28</w:t>
      </w:r>
      <w:r w:rsidR="00C957F7">
        <w:rPr>
          <w:rFonts w:hint="cs"/>
          <w:rtl/>
        </w:rPr>
        <w:t xml:space="preserve"> </w:t>
      </w:r>
      <w:r w:rsidRPr="00BC3E74">
        <w:rPr>
          <w:rFonts w:hint="cs"/>
          <w:rtl/>
        </w:rPr>
        <w:t>-</w:t>
      </w:r>
      <w:r w:rsidR="00C957F7">
        <w:rPr>
          <w:rFonts w:hint="cs"/>
          <w:rtl/>
        </w:rPr>
        <w:tab/>
      </w:r>
      <w:r w:rsidRPr="00BC3E74">
        <w:rPr>
          <w:rtl/>
        </w:rPr>
        <w:t>أعربت اللجنة في ملاحظاتها الختامية السابقة</w:t>
      </w:r>
      <w:r w:rsidR="009C4F06" w:rsidRPr="009C4F06">
        <w:rPr>
          <w:vertAlign w:val="superscript"/>
          <w:rtl/>
        </w:rPr>
        <w:t>(</w:t>
      </w:r>
      <w:r w:rsidR="009C4F06">
        <w:rPr>
          <w:rStyle w:val="FootnoteReference"/>
          <w:rtl/>
        </w:rPr>
        <w:footnoteReference w:id="7"/>
      </w:r>
      <w:r w:rsidR="009C4F06" w:rsidRPr="009C4F06">
        <w:rPr>
          <w:vertAlign w:val="superscript"/>
          <w:rtl/>
        </w:rPr>
        <w:t>)</w:t>
      </w:r>
      <w:r w:rsidR="009C4F06">
        <w:rPr>
          <w:rFonts w:hint="cs"/>
          <w:rtl/>
        </w:rPr>
        <w:t xml:space="preserve"> </w:t>
      </w:r>
      <w:r w:rsidRPr="00BC3E74">
        <w:rPr>
          <w:rtl/>
        </w:rPr>
        <w:t xml:space="preserve">عن قلقها </w:t>
      </w:r>
      <w:r w:rsidR="009C4F06">
        <w:rPr>
          <w:rFonts w:hint="cs"/>
          <w:rtl/>
        </w:rPr>
        <w:t xml:space="preserve">إزاء </w:t>
      </w:r>
      <w:r w:rsidRPr="00BC3E74">
        <w:rPr>
          <w:rtl/>
        </w:rPr>
        <w:t>الطبيعة التمييزية للأحكام القانونية المتعلقة بانتقال اسم العائلة.</w:t>
      </w:r>
      <w:r w:rsidRPr="00BC3E74">
        <w:rPr>
          <w:lang w:val="en-GB"/>
        </w:rPr>
        <w:t xml:space="preserve"> </w:t>
      </w:r>
      <w:r w:rsidRPr="00BC3E74">
        <w:rPr>
          <w:rtl/>
        </w:rPr>
        <w:t xml:space="preserve">يرجى الإشارة إلى ما اتخذ من تدابير لكفالة المساواة بين </w:t>
      </w:r>
      <w:r w:rsidR="009C4F06">
        <w:rPr>
          <w:rFonts w:hint="cs"/>
          <w:rtl/>
        </w:rPr>
        <w:t xml:space="preserve">الوالدين </w:t>
      </w:r>
      <w:r w:rsidRPr="00BC3E74">
        <w:rPr>
          <w:rtl/>
        </w:rPr>
        <w:t>فيما يتعلق بنقل اسم العائلة إلى الأطفال.</w:t>
      </w:r>
      <w:r w:rsidRPr="00BC3E74">
        <w:rPr>
          <w:lang w:val="en-GB"/>
        </w:rPr>
        <w:t xml:space="preserve"> </w:t>
      </w:r>
      <w:r w:rsidRPr="00BC3E74">
        <w:rPr>
          <w:rtl/>
        </w:rPr>
        <w:t>وما هو الوضع الحالي لجميع مشاريع القوانين المدرجة في الصفحة 125 من التقرير؟</w:t>
      </w:r>
      <w:r w:rsidRPr="00BC3E74">
        <w:rPr>
          <w:lang w:val="en-GB"/>
        </w:rPr>
        <w:t xml:space="preserve"> </w:t>
      </w:r>
      <w:r w:rsidRPr="00BC3E74">
        <w:rPr>
          <w:rtl/>
        </w:rPr>
        <w:t xml:space="preserve">وهل تم تحديد إطار زمني لدخولها حيز </w:t>
      </w:r>
      <w:r w:rsidR="000726F6">
        <w:rPr>
          <w:rFonts w:hint="cs"/>
          <w:rtl/>
        </w:rPr>
        <w:t>النفاذ؟</w:t>
      </w:r>
    </w:p>
    <w:p w:rsidR="00BC3E74" w:rsidRPr="00BC3E74" w:rsidRDefault="00BC3E74" w:rsidP="009C4F06">
      <w:pPr>
        <w:pStyle w:val="SingleTxt"/>
        <w:rPr>
          <w:rtl/>
        </w:rPr>
      </w:pPr>
      <w:r w:rsidRPr="00BC3E74">
        <w:rPr>
          <w:rFonts w:hint="cs"/>
          <w:rtl/>
        </w:rPr>
        <w:t>29</w:t>
      </w:r>
      <w:r w:rsidR="009C4F06">
        <w:rPr>
          <w:rFonts w:hint="cs"/>
          <w:rtl/>
        </w:rPr>
        <w:t xml:space="preserve"> </w:t>
      </w:r>
      <w:r w:rsidRPr="00BC3E74">
        <w:rPr>
          <w:rFonts w:hint="cs"/>
          <w:rtl/>
        </w:rPr>
        <w:t>-</w:t>
      </w:r>
      <w:r w:rsidR="009C4F06">
        <w:rPr>
          <w:rFonts w:hint="cs"/>
          <w:rtl/>
        </w:rPr>
        <w:tab/>
      </w:r>
      <w:r w:rsidRPr="00BC3E74">
        <w:rPr>
          <w:rtl/>
        </w:rPr>
        <w:t xml:space="preserve">يرجى تقديم معلومات عن البحوث </w:t>
      </w:r>
      <w:r w:rsidR="009C4F06">
        <w:rPr>
          <w:rFonts w:hint="cs"/>
          <w:rtl/>
        </w:rPr>
        <w:t xml:space="preserve">التي أجريت والاستنتاجات التي تم </w:t>
      </w:r>
      <w:r w:rsidR="000726F6">
        <w:rPr>
          <w:rFonts w:hint="cs"/>
          <w:rtl/>
        </w:rPr>
        <w:t xml:space="preserve">التوصل إليها </w:t>
      </w:r>
      <w:r w:rsidRPr="00BC3E74">
        <w:rPr>
          <w:rtl/>
        </w:rPr>
        <w:t>فيما يتعلق بالفروق بين الجنسين في التعامل مع النتائج الاقتصادية المتأتية عن فسخ العلاقة.</w:t>
      </w:r>
      <w:r w:rsidRPr="00BC3E74">
        <w:rPr>
          <w:lang w:val="en-GB"/>
        </w:rPr>
        <w:t xml:space="preserve"> </w:t>
      </w:r>
      <w:r w:rsidRPr="00BC3E74">
        <w:rPr>
          <w:rtl/>
        </w:rPr>
        <w:t>يرجى تقديم معلومات عن نوع الممتلكات الموزعة عند فسخ العلاقة، والإشارة بصورة خاصة إلى ما إذا كان القانون يعترف بالممتلكات غير المنظورة (أي المعاشات التقاعدية ومستحقات انتهاء الخدمة والتأمين) كجزء من الممتلكات التي يتعين توزيعها.</w:t>
      </w:r>
      <w:r w:rsidRPr="00BC3E74">
        <w:rPr>
          <w:lang w:val="en-GB"/>
        </w:rPr>
        <w:t xml:space="preserve"> </w:t>
      </w:r>
      <w:r w:rsidRPr="00BC3E74">
        <w:rPr>
          <w:rtl/>
        </w:rPr>
        <w:t xml:space="preserve">ويرجى أيضاً </w:t>
      </w:r>
      <w:r w:rsidR="009C4F06">
        <w:rPr>
          <w:rFonts w:hint="cs"/>
          <w:rtl/>
        </w:rPr>
        <w:t xml:space="preserve">تبيان </w:t>
      </w:r>
      <w:r w:rsidRPr="00BC3E74">
        <w:rPr>
          <w:rtl/>
        </w:rPr>
        <w:t xml:space="preserve">ما إذا كان القانون ينص على توزيع إمكانيات الكسب في المستقبل ورأس المال البشري، أو ما إذا كان يأخذ في الاعتبار تحسُّن إمكانيات الكسب ورأس المال البشري عند توزيع الممتلكات (مثلاً عن طريق منح مبلغ مقطوع يمثل الحصة المقدرة لأحد الزوجين في هذا النوع من الأصول، أو عن طريق السماح بمنح مبلغ تعويضي لأحد الزوجين). </w:t>
      </w:r>
    </w:p>
    <w:p w:rsidR="009C4F06" w:rsidRPr="009C4F06" w:rsidRDefault="009C4F06" w:rsidP="009C4F06">
      <w:pPr>
        <w:pStyle w:val="SingleTxt"/>
        <w:spacing w:after="0" w:line="120" w:lineRule="exact"/>
        <w:rPr>
          <w:b/>
          <w:sz w:val="10"/>
          <w:lang w:val="en-GB"/>
        </w:rPr>
      </w:pPr>
    </w:p>
    <w:p w:rsidR="00BC3E74" w:rsidRPr="00BC3E74" w:rsidRDefault="00BC3E74" w:rsidP="00BC3E74">
      <w:pPr>
        <w:pStyle w:val="SingleTxt"/>
        <w:rPr>
          <w:b/>
          <w:rtl/>
        </w:rPr>
      </w:pPr>
      <w:r w:rsidRPr="00BC3E74">
        <w:rPr>
          <w:b/>
          <w:bCs/>
          <w:rtl/>
        </w:rPr>
        <w:t>تعديل المادة 20، الفقرة 1 من الاتفاقية</w:t>
      </w:r>
    </w:p>
    <w:p w:rsidR="00CD3849" w:rsidRDefault="00BC3E74" w:rsidP="009C4F06">
      <w:pPr>
        <w:pStyle w:val="SingleTxt"/>
        <w:rPr>
          <w:rFonts w:hint="cs"/>
          <w:rtl/>
        </w:rPr>
      </w:pPr>
      <w:r w:rsidRPr="00BC3E74">
        <w:rPr>
          <w:rFonts w:hint="cs"/>
          <w:rtl/>
        </w:rPr>
        <w:t>30</w:t>
      </w:r>
      <w:r w:rsidR="009C4F06">
        <w:rPr>
          <w:rFonts w:hint="cs"/>
          <w:rtl/>
        </w:rPr>
        <w:t xml:space="preserve"> </w:t>
      </w:r>
      <w:r w:rsidRPr="00BC3E74">
        <w:rPr>
          <w:rFonts w:hint="cs"/>
          <w:rtl/>
        </w:rPr>
        <w:t>-</w:t>
      </w:r>
      <w:r w:rsidR="009C4F06">
        <w:rPr>
          <w:rFonts w:hint="cs"/>
          <w:rtl/>
        </w:rPr>
        <w:tab/>
      </w:r>
      <w:r w:rsidRPr="00BC3E74">
        <w:rPr>
          <w:rtl/>
        </w:rPr>
        <w:t xml:space="preserve">يرجى </w:t>
      </w:r>
      <w:r w:rsidR="009C4F06">
        <w:rPr>
          <w:rFonts w:hint="cs"/>
          <w:rtl/>
        </w:rPr>
        <w:t xml:space="preserve">الإفادة عما </w:t>
      </w:r>
      <w:r w:rsidRPr="00BC3E74">
        <w:rPr>
          <w:rtl/>
        </w:rPr>
        <w:t>إذا كانت الدولة الطرف تنظر في قبول التعديل على المادة 20، الفقرة 1 من الاتفاقية</w:t>
      </w:r>
      <w:r w:rsidR="009C4F06">
        <w:rPr>
          <w:rFonts w:hint="cs"/>
          <w:rtl/>
        </w:rPr>
        <w:t>.</w:t>
      </w:r>
    </w:p>
    <w:p w:rsidR="009C4F06" w:rsidRPr="009C4F06" w:rsidRDefault="009C4F06" w:rsidP="009C4F06">
      <w:pPr>
        <w:pStyle w:val="SingleTxt"/>
        <w:spacing w:after="0" w:line="240" w:lineRule="auto"/>
        <w:rPr>
          <w:rFonts w:hint="cs"/>
          <w:rtl/>
        </w:rPr>
      </w:pPr>
      <w:r>
        <w:rPr>
          <w:rFonts w:hint="cs"/>
          <w:noProof/>
          <w:w w:val="100"/>
          <w:rtl/>
        </w:rPr>
        <w:pict>
          <v:line id="_x0000_s1028" style="position:absolute;left:0;text-align:left;z-index:1" from="206.6pt,24pt" to="278.6pt,24pt" strokeweight=".25pt">
            <w10:wrap anchorx="page"/>
          </v:line>
        </w:pict>
      </w:r>
    </w:p>
    <w:sectPr w:rsidR="009C4F06" w:rsidRPr="009C4F06" w:rsidSect="007646C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6:10:00Z" w:initials="Start">
    <w:p w:rsidR="00015046" w:rsidRDefault="0001504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NO&gt;&gt;N0826223A&lt;&lt;ODS JOB NO</w:t>
      </w:r>
      <w:r>
        <w:rPr>
          <w:rtl/>
        </w:rPr>
        <w:t>&gt;&gt;</w:t>
      </w:r>
    </w:p>
    <w:p w:rsidR="00015046" w:rsidRDefault="00015046">
      <w:pPr>
        <w:pStyle w:val="CommentText"/>
        <w:rPr>
          <w:rtl/>
        </w:rPr>
      </w:pPr>
      <w:r>
        <w:rPr>
          <w:rtl/>
        </w:rPr>
        <w:t>&lt;&lt;</w:t>
      </w:r>
      <w:r>
        <w:t>ODS DOC SYMBOL1&gt;&gt;CEDAW/C/BEL/Q/6&lt;&lt;ODS DOC SYMBOL1</w:t>
      </w:r>
      <w:r>
        <w:rPr>
          <w:rtl/>
        </w:rPr>
        <w:t>&gt;&gt;</w:t>
      </w:r>
    </w:p>
    <w:p w:rsidR="00015046" w:rsidRDefault="0001504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046" w:rsidRPr="00BC3E74" w:rsidRDefault="00015046" w:rsidP="00BC3E74">
      <w:pPr>
        <w:pStyle w:val="Footer"/>
        <w:bidi/>
        <w:spacing w:before="240" w:after="120"/>
        <w:ind w:firstLine="720"/>
        <w:rPr>
          <w:bCs w:val="0"/>
          <w:iCs/>
          <w:szCs w:val="30"/>
        </w:rPr>
      </w:pPr>
      <w:r w:rsidRPr="00BC3E74">
        <w:rPr>
          <w:bCs w:val="0"/>
          <w:iCs/>
          <w:szCs w:val="30"/>
          <w:rtl/>
        </w:rPr>
        <w:t>الحواشي</w:t>
      </w:r>
    </w:p>
  </w:endnote>
  <w:endnote w:type="continuationSeparator" w:id="0">
    <w:p w:rsidR="00015046" w:rsidRPr="00BC3E74" w:rsidRDefault="00015046" w:rsidP="00BC3E74">
      <w:pPr>
        <w:pStyle w:val="Footer"/>
        <w:spacing w:line="14" w:lineRule="exac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5046">
      <w:tblPrEx>
        <w:tblCellMar>
          <w:top w:w="0" w:type="dxa"/>
          <w:bottom w:w="0" w:type="dxa"/>
        </w:tblCellMar>
      </w:tblPrEx>
      <w:tc>
        <w:tcPr>
          <w:tcW w:w="5033" w:type="dxa"/>
          <w:shd w:val="clear" w:color="auto" w:fill="auto"/>
        </w:tcPr>
        <w:p w:rsidR="00015046" w:rsidRPr="007646C7" w:rsidRDefault="00015046" w:rsidP="007646C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015046" w:rsidRPr="007646C7" w:rsidRDefault="00015046" w:rsidP="007646C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08-26223</w:t>
          </w:r>
          <w:r>
            <w:rPr>
              <w:b w:val="0"/>
              <w:w w:val="103"/>
            </w:rPr>
            <w:fldChar w:fldCharType="end"/>
          </w:r>
        </w:p>
      </w:tc>
    </w:tr>
  </w:tbl>
  <w:p w:rsidR="00015046" w:rsidRPr="007646C7" w:rsidRDefault="00015046" w:rsidP="007646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5046">
      <w:tblPrEx>
        <w:tblCellMar>
          <w:top w:w="0" w:type="dxa"/>
          <w:bottom w:w="0" w:type="dxa"/>
        </w:tblCellMar>
      </w:tblPrEx>
      <w:tc>
        <w:tcPr>
          <w:tcW w:w="5033" w:type="dxa"/>
          <w:shd w:val="clear" w:color="auto" w:fill="auto"/>
        </w:tcPr>
        <w:p w:rsidR="00015046" w:rsidRPr="007646C7" w:rsidRDefault="00015046" w:rsidP="007646C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08-26223</w:t>
          </w:r>
          <w:r>
            <w:rPr>
              <w:b w:val="0"/>
              <w:w w:val="103"/>
            </w:rPr>
            <w:fldChar w:fldCharType="end"/>
          </w:r>
        </w:p>
      </w:tc>
      <w:tc>
        <w:tcPr>
          <w:tcW w:w="5033" w:type="dxa"/>
          <w:shd w:val="clear" w:color="auto" w:fill="auto"/>
        </w:tcPr>
        <w:p w:rsidR="00015046" w:rsidRPr="007646C7" w:rsidRDefault="00015046" w:rsidP="007646C7">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015046" w:rsidRPr="007646C7" w:rsidRDefault="00015046" w:rsidP="007646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5046" w:rsidRDefault="00015046">
    <w:pPr>
      <w:pStyle w:val="Footer"/>
    </w:pPr>
  </w:p>
  <w:p w:rsidR="00015046" w:rsidRDefault="00015046" w:rsidP="00015046">
    <w:pPr>
      <w:pStyle w:val="Footer"/>
      <w:jc w:val="right"/>
      <w:rPr>
        <w:rFonts w:cs="Times New Roman"/>
        <w:b w:val="0"/>
        <w:w w:val="103"/>
        <w:sz w:val="20"/>
      </w:rPr>
    </w:pPr>
    <w:r>
      <w:rPr>
        <w:rFonts w:cs="Times New Roman"/>
        <w:b w:val="0"/>
        <w:w w:val="103"/>
        <w:sz w:val="20"/>
      </w:rPr>
      <w:t xml:space="preserve">260308    250308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08-26223 (A)</w:t>
    </w:r>
    <w:r>
      <w:rPr>
        <w:rFonts w:cs="Times New Roman"/>
        <w:b w:val="0"/>
        <w:w w:val="103"/>
        <w:sz w:val="20"/>
      </w:rPr>
      <w:fldChar w:fldCharType="end"/>
    </w:r>
  </w:p>
  <w:p w:rsidR="00015046" w:rsidRPr="007646C7" w:rsidRDefault="00015046" w:rsidP="007646C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*0826223*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046" w:rsidRPr="009C4F06" w:rsidRDefault="00015046" w:rsidP="009C4F06">
      <w:pPr>
        <w:pStyle w:val="Footer"/>
        <w:bidi/>
        <w:spacing w:after="80"/>
        <w:ind w:left="792"/>
        <w:rPr>
          <w:sz w:val="16"/>
        </w:rPr>
      </w:pPr>
      <w:r w:rsidRPr="009C4F06">
        <w:rPr>
          <w:sz w:val="16"/>
          <w:rtl/>
        </w:rPr>
        <w:t>__________</w:t>
      </w:r>
    </w:p>
  </w:footnote>
  <w:footnote w:type="continuationSeparator" w:id="0">
    <w:p w:rsidR="00015046" w:rsidRPr="009C4F06" w:rsidRDefault="00015046" w:rsidP="009C4F06">
      <w:pPr>
        <w:pStyle w:val="Footer"/>
        <w:spacing w:after="80"/>
        <w:ind w:left="792"/>
        <w:rPr>
          <w:sz w:val="16"/>
        </w:rPr>
      </w:pPr>
      <w:r w:rsidRPr="009C4F06">
        <w:rPr>
          <w:sz w:val="16"/>
        </w:rPr>
        <w:t>__________</w:t>
      </w:r>
    </w:p>
  </w:footnote>
  <w:footnote w:id="1">
    <w:p w:rsidR="00015046" w:rsidRDefault="00015046" w:rsidP="00BC3E74">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يشير ترقيم الصفحات في قائمة القضايا والأسئلة هذه إلى النسخة الانكليزية من التقرير.</w:t>
      </w:r>
    </w:p>
    <w:p w:rsidR="00015046" w:rsidRDefault="00015046" w:rsidP="00BC3E74">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t>صدرت دون تحرير رسمي.</w:t>
      </w:r>
    </w:p>
    <w:p w:rsidR="00015046" w:rsidRPr="00BC3E74" w:rsidRDefault="00015046" w:rsidP="00BC3E7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C3E74">
        <w:rPr>
          <w:w w:val="103"/>
          <w:rtl/>
        </w:rPr>
        <w:t>(</w:t>
      </w:r>
      <w:r w:rsidRPr="00BC3E74">
        <w:rPr>
          <w:rStyle w:val="FootnoteReference"/>
          <w:spacing w:val="0"/>
          <w:w w:val="103"/>
          <w:vertAlign w:val="baseline"/>
          <w:rtl/>
        </w:rPr>
        <w:footnoteRef/>
      </w:r>
      <w:r w:rsidRPr="00BC3E74">
        <w:rPr>
          <w:w w:val="103"/>
          <w:rtl/>
        </w:rPr>
        <w:t>)</w:t>
      </w:r>
      <w:r w:rsidRPr="00BC3E74">
        <w:rPr>
          <w:w w:val="103"/>
          <w:rtl/>
        </w:rPr>
        <w:tab/>
      </w:r>
      <w:r>
        <w:rPr>
          <w:rFonts w:hint="cs"/>
          <w:w w:val="103"/>
          <w:rtl/>
        </w:rPr>
        <w:t xml:space="preserve">انظر </w:t>
      </w:r>
      <w:r w:rsidRPr="000726F6">
        <w:rPr>
          <w:rFonts w:hint="cs"/>
          <w:i/>
          <w:iCs/>
          <w:w w:val="103"/>
          <w:rtl/>
        </w:rPr>
        <w:t>الوثائق الرسمية للجمعية العامة، الدورة السابعة والخمسون، الملحق رقم 38</w:t>
      </w:r>
      <w:r>
        <w:rPr>
          <w:rFonts w:hint="cs"/>
          <w:w w:val="103"/>
          <w:rtl/>
        </w:rPr>
        <w:t xml:space="preserve"> </w:t>
      </w:r>
      <w:r>
        <w:rPr>
          <w:w w:val="103"/>
        </w:rPr>
        <w:t>(A/57/38)</w:t>
      </w:r>
      <w:r>
        <w:rPr>
          <w:rFonts w:hint="cs"/>
          <w:w w:val="103"/>
          <w:rtl/>
        </w:rPr>
        <w:t>، الجزء الثاني، الفقرتان 159 و 160.</w:t>
      </w:r>
    </w:p>
  </w:footnote>
  <w:footnote w:id="2">
    <w:p w:rsidR="00015046" w:rsidRPr="00103F61" w:rsidRDefault="00015046" w:rsidP="00103F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03F61">
        <w:rPr>
          <w:w w:val="103"/>
          <w:rtl/>
        </w:rPr>
        <w:t>(</w:t>
      </w:r>
      <w:r w:rsidRPr="00103F61">
        <w:rPr>
          <w:rStyle w:val="FootnoteReference"/>
          <w:spacing w:val="0"/>
          <w:w w:val="103"/>
          <w:vertAlign w:val="baseline"/>
          <w:rtl/>
        </w:rPr>
        <w:footnoteRef/>
      </w:r>
      <w:r w:rsidRPr="00103F61">
        <w:rPr>
          <w:w w:val="103"/>
          <w:rtl/>
        </w:rPr>
        <w:t>)</w:t>
      </w:r>
      <w:r w:rsidRPr="00103F61">
        <w:rPr>
          <w:w w:val="103"/>
          <w:rtl/>
        </w:rPr>
        <w:tab/>
      </w:r>
      <w:r>
        <w:rPr>
          <w:rFonts w:hint="cs"/>
          <w:w w:val="103"/>
          <w:rtl/>
        </w:rPr>
        <w:t>المرجع نفسه، الفقرتان 155 و 156.</w:t>
      </w:r>
    </w:p>
  </w:footnote>
  <w:footnote w:id="3">
    <w:p w:rsidR="00015046" w:rsidRPr="00103F61" w:rsidRDefault="00015046" w:rsidP="00103F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03F61">
        <w:rPr>
          <w:w w:val="103"/>
          <w:rtl/>
        </w:rPr>
        <w:t>(</w:t>
      </w:r>
      <w:r w:rsidRPr="00103F61">
        <w:rPr>
          <w:rStyle w:val="FootnoteReference"/>
          <w:spacing w:val="0"/>
          <w:w w:val="103"/>
          <w:vertAlign w:val="baseline"/>
          <w:rtl/>
        </w:rPr>
        <w:footnoteRef/>
      </w:r>
      <w:r w:rsidRPr="00103F61">
        <w:rPr>
          <w:w w:val="103"/>
          <w:rtl/>
        </w:rPr>
        <w:t>)</w:t>
      </w:r>
      <w:r w:rsidRPr="00103F61">
        <w:rPr>
          <w:w w:val="103"/>
          <w:rtl/>
        </w:rPr>
        <w:tab/>
      </w:r>
      <w:r>
        <w:rPr>
          <w:rFonts w:hint="cs"/>
          <w:w w:val="103"/>
          <w:rtl/>
        </w:rPr>
        <w:t xml:space="preserve">انظر </w:t>
      </w:r>
      <w:r>
        <w:rPr>
          <w:w w:val="103"/>
        </w:rPr>
        <w:t>E/CN.4/2003/Add.1</w:t>
      </w:r>
      <w:r>
        <w:rPr>
          <w:rFonts w:hint="cs"/>
          <w:w w:val="103"/>
          <w:rtl/>
        </w:rPr>
        <w:t xml:space="preserve"> (الفقرتان 151 و 152).</w:t>
      </w:r>
    </w:p>
  </w:footnote>
  <w:footnote w:id="4">
    <w:p w:rsidR="00015046" w:rsidRPr="00103F61" w:rsidRDefault="00015046" w:rsidP="00103F6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03F61">
        <w:rPr>
          <w:w w:val="103"/>
          <w:rtl/>
        </w:rPr>
        <w:t>(</w:t>
      </w:r>
      <w:r w:rsidRPr="00103F61">
        <w:rPr>
          <w:rStyle w:val="FootnoteReference"/>
          <w:spacing w:val="0"/>
          <w:w w:val="103"/>
          <w:vertAlign w:val="baseline"/>
          <w:rtl/>
        </w:rPr>
        <w:footnoteRef/>
      </w:r>
      <w:r w:rsidRPr="00103F61">
        <w:rPr>
          <w:w w:val="103"/>
          <w:rtl/>
        </w:rPr>
        <w:t>)</w:t>
      </w:r>
      <w:r w:rsidRPr="00103F61">
        <w:rPr>
          <w:w w:val="103"/>
          <w:rtl/>
        </w:rPr>
        <w:tab/>
      </w:r>
      <w:r w:rsidRPr="000726F6">
        <w:rPr>
          <w:rFonts w:hint="cs"/>
          <w:w w:val="103"/>
          <w:rtl/>
        </w:rPr>
        <w:t>ت</w:t>
      </w:r>
      <w:r w:rsidRPr="000726F6">
        <w:rPr>
          <w:w w:val="103"/>
          <w:rtl/>
        </w:rPr>
        <w:t>قرير المقررة الخاصة المعنية بمسألة العنف ضد المرأة</w:t>
      </w:r>
      <w:r w:rsidRPr="00452B6D">
        <w:rPr>
          <w:sz w:val="22"/>
          <w:szCs w:val="22"/>
          <w:rtl/>
        </w:rPr>
        <w:t xml:space="preserve"> </w:t>
      </w:r>
      <w:r w:rsidRPr="00103F61">
        <w:rPr>
          <w:sz w:val="16"/>
          <w:szCs w:val="16"/>
        </w:rPr>
        <w:t>(E/CN.4/2003/Add.1)</w:t>
      </w:r>
      <w:r>
        <w:rPr>
          <w:rFonts w:hint="cs"/>
          <w:sz w:val="22"/>
          <w:szCs w:val="22"/>
          <w:rtl/>
        </w:rPr>
        <w:t xml:space="preserve"> </w:t>
      </w:r>
      <w:r w:rsidRPr="000726F6">
        <w:rPr>
          <w:w w:val="103"/>
          <w:rtl/>
        </w:rPr>
        <w:t>وتقرير المقررة الخاصة المعنية بمسألة بيع الأطفال واستغلالهم في البغاء وفي إنتاج المواد الإباحية عن زيارتها إلى بلجيكا وهولندا، الذي تناولت خلالها مسألة استغلال الأطفال جنسيا لأغراض تجارية، وذلك من 30 تشرين الثاني/نوفمبر إلى 4 كانون الأول/ديسمبر 1998</w:t>
      </w:r>
      <w:r>
        <w:rPr>
          <w:szCs w:val="17"/>
          <w:rtl/>
        </w:rPr>
        <w:t xml:space="preserve"> </w:t>
      </w:r>
      <w:r>
        <w:rPr>
          <w:w w:val="103"/>
        </w:rPr>
        <w:t>(</w:t>
      </w:r>
      <w:r w:rsidRPr="00103F61">
        <w:rPr>
          <w:sz w:val="16"/>
          <w:szCs w:val="16"/>
        </w:rPr>
        <w:t>E/CN.4/2000/73/Add.1</w:t>
      </w:r>
      <w:r>
        <w:rPr>
          <w:w w:val="103"/>
        </w:rPr>
        <w:t>)</w:t>
      </w:r>
      <w:r>
        <w:rPr>
          <w:rFonts w:hint="cs"/>
          <w:w w:val="103"/>
          <w:rtl/>
        </w:rPr>
        <w:t>.</w:t>
      </w:r>
    </w:p>
  </w:footnote>
  <w:footnote w:id="5">
    <w:p w:rsidR="00015046" w:rsidRPr="00C957F7" w:rsidRDefault="00015046" w:rsidP="00C957F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957F7">
        <w:rPr>
          <w:w w:val="103"/>
          <w:rtl/>
        </w:rPr>
        <w:t>(</w:t>
      </w:r>
      <w:r w:rsidRPr="00C957F7">
        <w:rPr>
          <w:rStyle w:val="FootnoteReference"/>
          <w:spacing w:val="0"/>
          <w:w w:val="103"/>
          <w:vertAlign w:val="baseline"/>
          <w:rtl/>
        </w:rPr>
        <w:footnoteRef/>
      </w:r>
      <w:r w:rsidRPr="00C957F7">
        <w:rPr>
          <w:w w:val="103"/>
          <w:rtl/>
        </w:rPr>
        <w:t>)</w:t>
      </w:r>
      <w:r w:rsidRPr="00C957F7">
        <w:rPr>
          <w:w w:val="103"/>
          <w:rtl/>
        </w:rPr>
        <w:tab/>
      </w:r>
      <w:r>
        <w:rPr>
          <w:rFonts w:hint="cs"/>
          <w:w w:val="103"/>
          <w:rtl/>
        </w:rPr>
        <w:t>المرجع نفسه، الفقرة 149.</w:t>
      </w:r>
    </w:p>
  </w:footnote>
  <w:footnote w:id="6">
    <w:p w:rsidR="00015046" w:rsidRPr="00C957F7" w:rsidRDefault="00015046" w:rsidP="00C957F7">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957F7">
        <w:rPr>
          <w:w w:val="103"/>
          <w:rtl/>
        </w:rPr>
        <w:t>(</w:t>
      </w:r>
      <w:r w:rsidRPr="00C957F7">
        <w:rPr>
          <w:rStyle w:val="FootnoteReference"/>
          <w:spacing w:val="0"/>
          <w:w w:val="103"/>
          <w:vertAlign w:val="baseline"/>
          <w:rtl/>
        </w:rPr>
        <w:footnoteRef/>
      </w:r>
      <w:r w:rsidRPr="00C957F7">
        <w:rPr>
          <w:w w:val="103"/>
          <w:rtl/>
        </w:rPr>
        <w:t>)</w:t>
      </w:r>
      <w:r w:rsidRPr="00C957F7">
        <w:rPr>
          <w:w w:val="103"/>
          <w:rtl/>
        </w:rPr>
        <w:tab/>
      </w:r>
      <w:r>
        <w:rPr>
          <w:rFonts w:hint="cs"/>
          <w:w w:val="103"/>
          <w:rtl/>
        </w:rPr>
        <w:t>المرجع نفسه، الفقرة 158.</w:t>
      </w:r>
    </w:p>
  </w:footnote>
  <w:footnote w:id="7">
    <w:p w:rsidR="00015046" w:rsidRPr="009C4F06" w:rsidRDefault="00015046" w:rsidP="009C4F0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C4F06">
        <w:rPr>
          <w:w w:val="103"/>
          <w:rtl/>
        </w:rPr>
        <w:t>(</w:t>
      </w:r>
      <w:r w:rsidRPr="009C4F06">
        <w:rPr>
          <w:rStyle w:val="FootnoteReference"/>
          <w:spacing w:val="0"/>
          <w:w w:val="103"/>
          <w:vertAlign w:val="baseline"/>
          <w:rtl/>
        </w:rPr>
        <w:footnoteRef/>
      </w:r>
      <w:r w:rsidRPr="009C4F06">
        <w:rPr>
          <w:w w:val="103"/>
          <w:rtl/>
        </w:rPr>
        <w:t>)</w:t>
      </w:r>
      <w:r w:rsidRPr="009C4F06">
        <w:rPr>
          <w:w w:val="103"/>
          <w:rtl/>
        </w:rPr>
        <w:tab/>
      </w:r>
      <w:r>
        <w:rPr>
          <w:rFonts w:hint="cs"/>
          <w:w w:val="103"/>
          <w:rtl/>
        </w:rPr>
        <w:t>المرجع نفسه، الفقرتان 165 و 166.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015046">
      <w:tblPrEx>
        <w:tblCellMar>
          <w:top w:w="0" w:type="dxa"/>
          <w:bottom w:w="0" w:type="dxa"/>
        </w:tblCellMar>
      </w:tblPrEx>
      <w:trPr>
        <w:trHeight w:hRule="exact" w:val="864"/>
        <w:jc w:val="center"/>
      </w:trPr>
      <w:tc>
        <w:tcPr>
          <w:tcW w:w="5033" w:type="dxa"/>
          <w:shd w:val="clear" w:color="auto" w:fill="auto"/>
          <w:vAlign w:val="bottom"/>
        </w:tcPr>
        <w:p w:rsidR="00015046" w:rsidRDefault="00015046" w:rsidP="007646C7">
          <w:pPr>
            <w:pStyle w:val="Header"/>
            <w:bidi/>
            <w:jc w:val="right"/>
          </w:pPr>
        </w:p>
      </w:tc>
      <w:tc>
        <w:tcPr>
          <w:tcW w:w="5033" w:type="dxa"/>
          <w:shd w:val="clear" w:color="auto" w:fill="auto"/>
          <w:vAlign w:val="bottom"/>
        </w:tcPr>
        <w:p w:rsidR="00015046" w:rsidRPr="007646C7" w:rsidRDefault="00015046" w:rsidP="007646C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CEDAW/C/BEL/Q/6</w:t>
          </w:r>
          <w:r>
            <w:rPr>
              <w:w w:val="103"/>
            </w:rPr>
            <w:fldChar w:fldCharType="end"/>
          </w:r>
        </w:p>
      </w:tc>
    </w:tr>
  </w:tbl>
  <w:p w:rsidR="00015046" w:rsidRPr="007646C7" w:rsidRDefault="00015046" w:rsidP="007646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015046">
      <w:tblPrEx>
        <w:tblCellMar>
          <w:top w:w="0" w:type="dxa"/>
          <w:bottom w:w="0" w:type="dxa"/>
        </w:tblCellMar>
      </w:tblPrEx>
      <w:trPr>
        <w:trHeight w:hRule="exact" w:val="864"/>
        <w:jc w:val="center"/>
      </w:trPr>
      <w:tc>
        <w:tcPr>
          <w:tcW w:w="5033" w:type="dxa"/>
          <w:shd w:val="clear" w:color="auto" w:fill="auto"/>
          <w:vAlign w:val="bottom"/>
        </w:tcPr>
        <w:p w:rsidR="00015046" w:rsidRPr="007646C7" w:rsidRDefault="00015046" w:rsidP="007646C7">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CEDAW/C/BEL/Q/6</w:t>
          </w:r>
          <w:r>
            <w:rPr>
              <w:w w:val="103"/>
              <w:rtl/>
            </w:rPr>
            <w:fldChar w:fldCharType="end"/>
          </w:r>
        </w:p>
      </w:tc>
      <w:tc>
        <w:tcPr>
          <w:tcW w:w="5033" w:type="dxa"/>
          <w:shd w:val="clear" w:color="auto" w:fill="auto"/>
          <w:vAlign w:val="bottom"/>
        </w:tcPr>
        <w:p w:rsidR="00015046" w:rsidRDefault="00015046" w:rsidP="007646C7">
          <w:pPr>
            <w:pStyle w:val="Header"/>
          </w:pPr>
        </w:p>
      </w:tc>
    </w:tr>
  </w:tbl>
  <w:p w:rsidR="00015046" w:rsidRPr="007646C7" w:rsidRDefault="00015046" w:rsidP="007646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1504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15046" w:rsidRDefault="00015046" w:rsidP="007646C7">
          <w:pPr>
            <w:pStyle w:val="Header"/>
            <w:spacing w:after="120"/>
          </w:pPr>
        </w:p>
      </w:tc>
      <w:tc>
        <w:tcPr>
          <w:tcW w:w="1786" w:type="dxa"/>
          <w:tcBorders>
            <w:bottom w:val="single" w:sz="4" w:space="0" w:color="auto"/>
          </w:tcBorders>
          <w:shd w:val="clear" w:color="auto" w:fill="auto"/>
          <w:vAlign w:val="bottom"/>
        </w:tcPr>
        <w:p w:rsidR="00015046" w:rsidRPr="007646C7" w:rsidRDefault="00015046" w:rsidP="007646C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15046" w:rsidRDefault="00015046" w:rsidP="007646C7">
          <w:pPr>
            <w:pStyle w:val="Header"/>
            <w:spacing w:after="120"/>
          </w:pPr>
        </w:p>
      </w:tc>
      <w:tc>
        <w:tcPr>
          <w:tcW w:w="6523" w:type="dxa"/>
          <w:gridSpan w:val="3"/>
          <w:tcBorders>
            <w:bottom w:val="single" w:sz="4" w:space="0" w:color="auto"/>
          </w:tcBorders>
          <w:shd w:val="clear" w:color="auto" w:fill="auto"/>
          <w:vAlign w:val="bottom"/>
        </w:tcPr>
        <w:p w:rsidR="00015046" w:rsidRPr="007646C7" w:rsidRDefault="00015046" w:rsidP="007646C7">
          <w:pPr>
            <w:spacing w:line="380" w:lineRule="exact"/>
            <w:jc w:val="right"/>
          </w:pPr>
          <w:r>
            <w:rPr>
              <w:sz w:val="40"/>
            </w:rPr>
            <w:t>CEDAW</w:t>
          </w:r>
          <w:r>
            <w:t>/C/BEL/Q/6</w:t>
          </w:r>
        </w:p>
      </w:tc>
    </w:tr>
    <w:tr w:rsidR="00015046" w:rsidRPr="007646C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15046" w:rsidRDefault="00015046" w:rsidP="007646C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5046" w:rsidRPr="007646C7" w:rsidRDefault="00015046" w:rsidP="007646C7">
          <w:pPr>
            <w:pStyle w:val="Header"/>
            <w:spacing w:before="109"/>
            <w:jc w:val="right"/>
          </w:pPr>
        </w:p>
      </w:tc>
      <w:tc>
        <w:tcPr>
          <w:tcW w:w="5227" w:type="dxa"/>
          <w:gridSpan w:val="3"/>
          <w:tcBorders>
            <w:top w:val="single" w:sz="4" w:space="0" w:color="auto"/>
            <w:bottom w:val="single" w:sz="12" w:space="0" w:color="auto"/>
          </w:tcBorders>
          <w:shd w:val="clear" w:color="auto" w:fill="auto"/>
        </w:tcPr>
        <w:p w:rsidR="00015046" w:rsidRPr="007646C7" w:rsidRDefault="00015046" w:rsidP="007646C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15046" w:rsidRPr="007646C7" w:rsidRDefault="00015046" w:rsidP="007646C7">
          <w:pPr>
            <w:pStyle w:val="Header"/>
            <w:spacing w:before="109"/>
          </w:pPr>
        </w:p>
      </w:tc>
      <w:tc>
        <w:tcPr>
          <w:tcW w:w="3100" w:type="dxa"/>
          <w:gridSpan w:val="2"/>
          <w:tcBorders>
            <w:top w:val="single" w:sz="4" w:space="0" w:color="auto"/>
            <w:bottom w:val="single" w:sz="12" w:space="0" w:color="auto"/>
          </w:tcBorders>
          <w:shd w:val="clear" w:color="auto" w:fill="auto"/>
        </w:tcPr>
        <w:p w:rsidR="00015046" w:rsidRDefault="00015046" w:rsidP="007646C7">
          <w:pPr>
            <w:bidi w:val="0"/>
            <w:spacing w:before="240" w:line="240" w:lineRule="exact"/>
          </w:pPr>
          <w:r>
            <w:t>Distr.: General</w:t>
          </w:r>
        </w:p>
        <w:p w:rsidR="00015046" w:rsidRDefault="00015046" w:rsidP="007646C7">
          <w:pPr>
            <w:bidi w:val="0"/>
            <w:spacing w:line="240" w:lineRule="exact"/>
            <w:jc w:val="left"/>
          </w:pPr>
          <w:r>
            <w:t>6 March 2008</w:t>
          </w:r>
        </w:p>
        <w:p w:rsidR="00015046" w:rsidRDefault="00015046" w:rsidP="007646C7">
          <w:pPr>
            <w:bidi w:val="0"/>
            <w:spacing w:line="240" w:lineRule="exact"/>
            <w:jc w:val="left"/>
          </w:pPr>
          <w:r>
            <w:t>Arabic</w:t>
          </w:r>
        </w:p>
        <w:p w:rsidR="00015046" w:rsidRPr="007646C7" w:rsidRDefault="00015046" w:rsidP="007646C7">
          <w:pPr>
            <w:bidi w:val="0"/>
            <w:spacing w:line="240" w:lineRule="exact"/>
            <w:jc w:val="left"/>
          </w:pPr>
          <w:r>
            <w:t>Original: English</w:t>
          </w:r>
        </w:p>
      </w:tc>
    </w:tr>
  </w:tbl>
  <w:p w:rsidR="00015046" w:rsidRPr="007646C7" w:rsidRDefault="00015046" w:rsidP="007646C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692186"/>
    <w:multiLevelType w:val="hybridMultilevel"/>
    <w:tmpl w:val="E63E7334"/>
    <w:lvl w:ilvl="0" w:tplc="5FC20FA0">
      <w:start w:val="3"/>
      <w:numFmt w:val="decimal"/>
      <w:lvlText w:val="%1."/>
      <w:lvlJc w:val="left"/>
      <w:pPr>
        <w:tabs>
          <w:tab w:val="num" w:pos="1140"/>
        </w:tabs>
        <w:ind w:left="1140" w:hanging="540"/>
      </w:pPr>
      <w:rPr>
        <w:rFonts w:cs="Times New Roman" w:hint="default"/>
      </w:rPr>
    </w:lvl>
    <w:lvl w:ilvl="1" w:tplc="04090019" w:tentative="1">
      <w:start w:val="1"/>
      <w:numFmt w:val="lowerLetter"/>
      <w:lvlText w:val="%2."/>
      <w:lvlJc w:val="left"/>
      <w:pPr>
        <w:tabs>
          <w:tab w:val="num" w:pos="1680"/>
        </w:tabs>
        <w:ind w:left="1680" w:hanging="360"/>
      </w:pPr>
      <w:rPr>
        <w:rFonts w:cs="Times New Roman"/>
      </w:rPr>
    </w:lvl>
    <w:lvl w:ilvl="2" w:tplc="0409001B" w:tentative="1">
      <w:start w:val="1"/>
      <w:numFmt w:val="lowerRoman"/>
      <w:lvlText w:val="%3."/>
      <w:lvlJc w:val="right"/>
      <w:pPr>
        <w:tabs>
          <w:tab w:val="num" w:pos="2400"/>
        </w:tabs>
        <w:ind w:left="2400" w:hanging="180"/>
      </w:pPr>
      <w:rPr>
        <w:rFonts w:cs="Times New Roman"/>
      </w:rPr>
    </w:lvl>
    <w:lvl w:ilvl="3" w:tplc="0409000F" w:tentative="1">
      <w:start w:val="1"/>
      <w:numFmt w:val="decimal"/>
      <w:lvlText w:val="%4."/>
      <w:lvlJc w:val="left"/>
      <w:pPr>
        <w:tabs>
          <w:tab w:val="num" w:pos="3120"/>
        </w:tabs>
        <w:ind w:left="3120" w:hanging="360"/>
      </w:pPr>
      <w:rPr>
        <w:rFonts w:cs="Times New Roman"/>
      </w:rPr>
    </w:lvl>
    <w:lvl w:ilvl="4" w:tplc="04090019" w:tentative="1">
      <w:start w:val="1"/>
      <w:numFmt w:val="lowerLetter"/>
      <w:lvlText w:val="%5."/>
      <w:lvlJc w:val="left"/>
      <w:pPr>
        <w:tabs>
          <w:tab w:val="num" w:pos="3840"/>
        </w:tabs>
        <w:ind w:left="3840" w:hanging="360"/>
      </w:pPr>
      <w:rPr>
        <w:rFonts w:cs="Times New Roman"/>
      </w:rPr>
    </w:lvl>
    <w:lvl w:ilvl="5" w:tplc="0409001B" w:tentative="1">
      <w:start w:val="1"/>
      <w:numFmt w:val="lowerRoman"/>
      <w:lvlText w:val="%6."/>
      <w:lvlJc w:val="right"/>
      <w:pPr>
        <w:tabs>
          <w:tab w:val="num" w:pos="4560"/>
        </w:tabs>
        <w:ind w:left="4560" w:hanging="180"/>
      </w:pPr>
      <w:rPr>
        <w:rFonts w:cs="Times New Roman"/>
      </w:rPr>
    </w:lvl>
    <w:lvl w:ilvl="6" w:tplc="0409000F" w:tentative="1">
      <w:start w:val="1"/>
      <w:numFmt w:val="decimal"/>
      <w:lvlText w:val="%7."/>
      <w:lvlJc w:val="left"/>
      <w:pPr>
        <w:tabs>
          <w:tab w:val="num" w:pos="5280"/>
        </w:tabs>
        <w:ind w:left="5280" w:hanging="360"/>
      </w:pPr>
      <w:rPr>
        <w:rFonts w:cs="Times New Roman"/>
      </w:rPr>
    </w:lvl>
    <w:lvl w:ilvl="7" w:tplc="04090019" w:tentative="1">
      <w:start w:val="1"/>
      <w:numFmt w:val="lowerLetter"/>
      <w:lvlText w:val="%8."/>
      <w:lvlJc w:val="left"/>
      <w:pPr>
        <w:tabs>
          <w:tab w:val="num" w:pos="6000"/>
        </w:tabs>
        <w:ind w:left="6000" w:hanging="360"/>
      </w:pPr>
      <w:rPr>
        <w:rFonts w:cs="Times New Roman"/>
      </w:rPr>
    </w:lvl>
    <w:lvl w:ilvl="8" w:tplc="0409001B" w:tentative="1">
      <w:start w:val="1"/>
      <w:numFmt w:val="lowerRoman"/>
      <w:lvlText w:val="%9."/>
      <w:lvlJc w:val="right"/>
      <w:pPr>
        <w:tabs>
          <w:tab w:val="num" w:pos="6720"/>
        </w:tabs>
        <w:ind w:left="67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23*"/>
    <w:docVar w:name="CreationDt" w:val="25/03/2008 04:105 م"/>
    <w:docVar w:name="DocCategory" w:val="Doc"/>
    <w:docVar w:name="DocType" w:val="Final"/>
    <w:docVar w:name="FooterJN" w:val="08-26223"/>
    <w:docVar w:name="jobn" w:val="08-26223 (A)"/>
    <w:docVar w:name="jobnDT" w:val="08-26223 (A)   250308"/>
    <w:docVar w:name="jobnDTDT" w:val="08-26223 (A)   250308   250308"/>
    <w:docVar w:name="JobNo" w:val="0826223A"/>
    <w:docVar w:name="OandT" w:val=" "/>
    <w:docVar w:name="sss1" w:val="CEDAW/C/BEL/Q/6"/>
    <w:docVar w:name="sss2" w:val="-"/>
    <w:docVar w:name="Symbol1" w:val="CEDAW/C/BEL/Q/6"/>
    <w:docVar w:name="Symbol2" w:val="-"/>
  </w:docVars>
  <w:rsids>
    <w:rsidRoot w:val="001963CC"/>
    <w:rsid w:val="00015046"/>
    <w:rsid w:val="00042425"/>
    <w:rsid w:val="0006648F"/>
    <w:rsid w:val="000726F6"/>
    <w:rsid w:val="00087310"/>
    <w:rsid w:val="0009732C"/>
    <w:rsid w:val="000C4EED"/>
    <w:rsid w:val="000D2CEC"/>
    <w:rsid w:val="00101EE8"/>
    <w:rsid w:val="00103F61"/>
    <w:rsid w:val="00113349"/>
    <w:rsid w:val="00132B88"/>
    <w:rsid w:val="00135E15"/>
    <w:rsid w:val="001519A9"/>
    <w:rsid w:val="001737F8"/>
    <w:rsid w:val="00187870"/>
    <w:rsid w:val="001963CC"/>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63CA3"/>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3639D"/>
    <w:rsid w:val="006564CE"/>
    <w:rsid w:val="00663F64"/>
    <w:rsid w:val="00696B7A"/>
    <w:rsid w:val="006C38EE"/>
    <w:rsid w:val="00700F06"/>
    <w:rsid w:val="0071531E"/>
    <w:rsid w:val="0071645B"/>
    <w:rsid w:val="00716E9D"/>
    <w:rsid w:val="00747B61"/>
    <w:rsid w:val="00747B9E"/>
    <w:rsid w:val="007524BE"/>
    <w:rsid w:val="007525FA"/>
    <w:rsid w:val="007646C7"/>
    <w:rsid w:val="00774FF0"/>
    <w:rsid w:val="0079046D"/>
    <w:rsid w:val="0079753A"/>
    <w:rsid w:val="007A6DD9"/>
    <w:rsid w:val="007D60E0"/>
    <w:rsid w:val="007D6B8D"/>
    <w:rsid w:val="007E32B9"/>
    <w:rsid w:val="0081284F"/>
    <w:rsid w:val="00814843"/>
    <w:rsid w:val="008170DE"/>
    <w:rsid w:val="00830E32"/>
    <w:rsid w:val="00873A11"/>
    <w:rsid w:val="00873AF9"/>
    <w:rsid w:val="008926C7"/>
    <w:rsid w:val="008D1C04"/>
    <w:rsid w:val="008F04A0"/>
    <w:rsid w:val="008F64A7"/>
    <w:rsid w:val="0090012B"/>
    <w:rsid w:val="0090351F"/>
    <w:rsid w:val="00970BAD"/>
    <w:rsid w:val="009768D1"/>
    <w:rsid w:val="009829B7"/>
    <w:rsid w:val="009927C0"/>
    <w:rsid w:val="009961E6"/>
    <w:rsid w:val="009B6C65"/>
    <w:rsid w:val="009C0017"/>
    <w:rsid w:val="009C15F4"/>
    <w:rsid w:val="009C4F06"/>
    <w:rsid w:val="009D62A3"/>
    <w:rsid w:val="009E2A1F"/>
    <w:rsid w:val="00A33CDA"/>
    <w:rsid w:val="00A37C4B"/>
    <w:rsid w:val="00A61905"/>
    <w:rsid w:val="00A66F66"/>
    <w:rsid w:val="00A71AE5"/>
    <w:rsid w:val="00AA151E"/>
    <w:rsid w:val="00AA1E16"/>
    <w:rsid w:val="00AC002C"/>
    <w:rsid w:val="00AC6CDD"/>
    <w:rsid w:val="00AD38D0"/>
    <w:rsid w:val="00AE108C"/>
    <w:rsid w:val="00AF1A53"/>
    <w:rsid w:val="00AF7AC7"/>
    <w:rsid w:val="00B05ADC"/>
    <w:rsid w:val="00B272BE"/>
    <w:rsid w:val="00B42B71"/>
    <w:rsid w:val="00B9542C"/>
    <w:rsid w:val="00B95560"/>
    <w:rsid w:val="00BA7FAB"/>
    <w:rsid w:val="00BB6F6A"/>
    <w:rsid w:val="00BC2F4C"/>
    <w:rsid w:val="00BC3E74"/>
    <w:rsid w:val="00BC4A05"/>
    <w:rsid w:val="00BD1B26"/>
    <w:rsid w:val="00BF0B15"/>
    <w:rsid w:val="00C12CBB"/>
    <w:rsid w:val="00C25A2D"/>
    <w:rsid w:val="00C260F8"/>
    <w:rsid w:val="00C43FBE"/>
    <w:rsid w:val="00C449C6"/>
    <w:rsid w:val="00C564B0"/>
    <w:rsid w:val="00C6283F"/>
    <w:rsid w:val="00C77DBD"/>
    <w:rsid w:val="00C814A5"/>
    <w:rsid w:val="00C957F7"/>
    <w:rsid w:val="00C96573"/>
    <w:rsid w:val="00CD0BB8"/>
    <w:rsid w:val="00CD3849"/>
    <w:rsid w:val="00CE7614"/>
    <w:rsid w:val="00CF7384"/>
    <w:rsid w:val="00D2343D"/>
    <w:rsid w:val="00D30EAE"/>
    <w:rsid w:val="00D318F1"/>
    <w:rsid w:val="00D40B0E"/>
    <w:rsid w:val="00D44FE0"/>
    <w:rsid w:val="00D53344"/>
    <w:rsid w:val="00DA66B7"/>
    <w:rsid w:val="00DB0865"/>
    <w:rsid w:val="00DE5433"/>
    <w:rsid w:val="00DE68A7"/>
    <w:rsid w:val="00DF5BCE"/>
    <w:rsid w:val="00DF5F38"/>
    <w:rsid w:val="00E23336"/>
    <w:rsid w:val="00E31661"/>
    <w:rsid w:val="00E32B52"/>
    <w:rsid w:val="00E47EB8"/>
    <w:rsid w:val="00E750E1"/>
    <w:rsid w:val="00E9114A"/>
    <w:rsid w:val="00E92185"/>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646C7"/>
    <w:rPr>
      <w:szCs w:val="20"/>
    </w:rPr>
  </w:style>
  <w:style w:type="paragraph" w:styleId="CommentSubject">
    <w:name w:val="annotation subject"/>
    <w:basedOn w:val="CommentText"/>
    <w:next w:val="CommentText"/>
    <w:semiHidden/>
    <w:rsid w:val="007646C7"/>
    <w:rPr>
      <w:b/>
      <w:bCs/>
    </w:rPr>
  </w:style>
  <w:style w:type="character" w:styleId="EndnoteReference">
    <w:name w:val="endnote reference"/>
    <w:semiHidden/>
    <w:rsid w:val="00BC3E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8</Pages>
  <Words>2057</Words>
  <Characters>10660</Characters>
  <Application>Microsoft Office Word</Application>
  <DocSecurity>4</DocSecurity>
  <Lines>217</Lines>
  <Paragraphs>74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eDRITS</cp:lastModifiedBy>
  <cp:revision>14</cp:revision>
  <cp:lastPrinted>2008-03-26T08:43:00Z</cp:lastPrinted>
  <dcterms:created xsi:type="dcterms:W3CDTF">2008-03-25T18:25:00Z</dcterms:created>
  <dcterms:modified xsi:type="dcterms:W3CDTF">2008-03-26T08:43:00Z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0826223</vt:lpwstr>
  </property>
  <property fmtid="{D5CDD505-2E9C-101B-9397-08002B2CF9AE}" pid="3" name="Symbol1">
    <vt:lpwstr>CEDAW/C/BEL/Q/6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BASSEM</vt:lpwstr>
  </property>
</Properties>
</file>