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52C1352" w14:textId="77777777" w:rsidTr="00C01462">
        <w:trPr>
          <w:cantSplit/>
          <w:trHeight w:hRule="exact" w:val="851"/>
        </w:trPr>
        <w:tc>
          <w:tcPr>
            <w:tcW w:w="1276" w:type="dxa"/>
            <w:tcBorders>
              <w:bottom w:val="single" w:sz="4" w:space="0" w:color="auto"/>
            </w:tcBorders>
            <w:vAlign w:val="bottom"/>
          </w:tcPr>
          <w:p w14:paraId="5EC596D2" w14:textId="77777777" w:rsidR="00307688" w:rsidRPr="007233F9" w:rsidRDefault="00307688" w:rsidP="007233F9">
            <w:pPr>
              <w:pStyle w:val="SingleTxtG"/>
            </w:pPr>
          </w:p>
        </w:tc>
        <w:tc>
          <w:tcPr>
            <w:tcW w:w="2268" w:type="dxa"/>
            <w:tcBorders>
              <w:bottom w:val="single" w:sz="4" w:space="0" w:color="auto"/>
            </w:tcBorders>
            <w:vAlign w:val="bottom"/>
          </w:tcPr>
          <w:p w14:paraId="5D37F09C"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6166BA3" w14:textId="77777777" w:rsidR="00307688" w:rsidRPr="002E51B7" w:rsidRDefault="001C6319" w:rsidP="001C6319">
            <w:pPr>
              <w:suppressAutoHyphens w:val="0"/>
              <w:spacing w:after="20"/>
              <w:jc w:val="right"/>
            </w:pPr>
            <w:r w:rsidRPr="001C6319">
              <w:rPr>
                <w:sz w:val="40"/>
              </w:rPr>
              <w:t>CERD</w:t>
            </w:r>
            <w:r>
              <w:t>/C/BOL/Q/21-24</w:t>
            </w:r>
          </w:p>
        </w:tc>
      </w:tr>
      <w:tr w:rsidR="00307688" w14:paraId="711019C5" w14:textId="77777777" w:rsidTr="00C01462">
        <w:trPr>
          <w:cantSplit/>
          <w:trHeight w:hRule="exact" w:val="2835"/>
        </w:trPr>
        <w:tc>
          <w:tcPr>
            <w:tcW w:w="1276" w:type="dxa"/>
            <w:tcBorders>
              <w:top w:val="single" w:sz="4" w:space="0" w:color="auto"/>
              <w:bottom w:val="single" w:sz="12" w:space="0" w:color="auto"/>
            </w:tcBorders>
          </w:tcPr>
          <w:p w14:paraId="66EE1916" w14:textId="77777777" w:rsidR="00307688" w:rsidRDefault="00307688" w:rsidP="00C01462">
            <w:pPr>
              <w:spacing w:before="120"/>
              <w:jc w:val="center"/>
            </w:pPr>
            <w:r>
              <w:rPr>
                <w:noProof/>
                <w:lang w:val="fr-CH" w:eastAsia="fr-CH"/>
              </w:rPr>
              <w:drawing>
                <wp:inline distT="0" distB="0" distL="0" distR="0" wp14:anchorId="682C0C45" wp14:editId="7CDF985E">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455B3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AC8972F"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C5CAFE2" w14:textId="77777777" w:rsidR="00307688" w:rsidRDefault="001C6319" w:rsidP="001C6319">
            <w:pPr>
              <w:spacing w:before="240"/>
            </w:pPr>
            <w:r>
              <w:t>Distr.: General</w:t>
            </w:r>
          </w:p>
          <w:p w14:paraId="2AD4215B" w14:textId="77777777" w:rsidR="001C6319" w:rsidRDefault="001C6319" w:rsidP="001C6319">
            <w:pPr>
              <w:suppressAutoHyphens w:val="0"/>
            </w:pPr>
            <w:r>
              <w:t>15 March 2022</w:t>
            </w:r>
          </w:p>
          <w:p w14:paraId="27107900" w14:textId="5B84BA1F" w:rsidR="001C6319" w:rsidRDefault="001C6319" w:rsidP="001C6319">
            <w:pPr>
              <w:suppressAutoHyphens w:val="0"/>
            </w:pPr>
            <w:r>
              <w:t>English</w:t>
            </w:r>
          </w:p>
          <w:p w14:paraId="2C8AED8B" w14:textId="77777777" w:rsidR="001C6319" w:rsidRDefault="001C6319" w:rsidP="001C6319">
            <w:pPr>
              <w:suppressAutoHyphens w:val="0"/>
            </w:pPr>
            <w:r>
              <w:t>Original: Spanish</w:t>
            </w:r>
          </w:p>
          <w:p w14:paraId="3DFEBFC7" w14:textId="61ADD67B" w:rsidR="001C6319" w:rsidRDefault="001C6319" w:rsidP="001C6319">
            <w:pPr>
              <w:suppressAutoHyphens w:val="0"/>
            </w:pPr>
            <w:r>
              <w:t>English, French and Spanish only</w:t>
            </w:r>
          </w:p>
        </w:tc>
      </w:tr>
    </w:tbl>
    <w:p w14:paraId="6F849AB8" w14:textId="77777777" w:rsidR="001C6319" w:rsidRPr="009067BA" w:rsidRDefault="001C6319" w:rsidP="001C6319">
      <w:pPr>
        <w:spacing w:before="120"/>
        <w:rPr>
          <w:b/>
          <w:sz w:val="24"/>
          <w:szCs w:val="24"/>
        </w:rPr>
      </w:pPr>
      <w:r w:rsidRPr="009067BA">
        <w:rPr>
          <w:b/>
          <w:sz w:val="24"/>
          <w:szCs w:val="24"/>
        </w:rPr>
        <w:t>Committee on the Elimination of Racial Discrimination</w:t>
      </w:r>
    </w:p>
    <w:p w14:paraId="4D307263" w14:textId="77777777" w:rsidR="001C6319" w:rsidRPr="009067BA" w:rsidRDefault="001C6319" w:rsidP="001C6319">
      <w:pPr>
        <w:rPr>
          <w:b/>
        </w:rPr>
      </w:pPr>
      <w:r w:rsidRPr="009067BA">
        <w:rPr>
          <w:b/>
        </w:rPr>
        <w:t>One hundred and sixth session</w:t>
      </w:r>
    </w:p>
    <w:p w14:paraId="56A12F62" w14:textId="0AD51EF7" w:rsidR="001C6319" w:rsidRPr="009067BA" w:rsidRDefault="001C6319" w:rsidP="001C6319">
      <w:r w:rsidRPr="009067BA">
        <w:t>11</w:t>
      </w:r>
      <w:r>
        <w:t>–</w:t>
      </w:r>
      <w:r w:rsidRPr="009067BA">
        <w:t>29 April 2022</w:t>
      </w:r>
    </w:p>
    <w:p w14:paraId="00A3A044" w14:textId="77777777" w:rsidR="001C6319" w:rsidRPr="009067BA" w:rsidRDefault="001C6319" w:rsidP="001C6319">
      <w:r w:rsidRPr="009067BA">
        <w:t xml:space="preserve">Item 6 of the </w:t>
      </w:r>
      <w:r>
        <w:t>provisional agenda</w:t>
      </w:r>
    </w:p>
    <w:p w14:paraId="20480621" w14:textId="77777777" w:rsidR="001C6319" w:rsidRPr="009067BA" w:rsidRDefault="001C6319" w:rsidP="001C6319">
      <w:pPr>
        <w:rPr>
          <w:b/>
          <w:bCs/>
        </w:rPr>
      </w:pPr>
      <w:r w:rsidRPr="009067BA">
        <w:rPr>
          <w:b/>
        </w:rPr>
        <w:t>Consideration of reports, comments and information submitted</w:t>
      </w:r>
      <w:r>
        <w:rPr>
          <w:b/>
        </w:rPr>
        <w:br/>
      </w:r>
      <w:r w:rsidRPr="009067BA">
        <w:rPr>
          <w:b/>
        </w:rPr>
        <w:t>by States parties under article 9 of the Convention</w:t>
      </w:r>
    </w:p>
    <w:p w14:paraId="061FE706" w14:textId="77777777" w:rsidR="001C6319" w:rsidRPr="009067BA" w:rsidRDefault="001C6319" w:rsidP="001C6319">
      <w:pPr>
        <w:pStyle w:val="HChG"/>
      </w:pPr>
      <w:r w:rsidRPr="009067BA">
        <w:rPr>
          <w:color w:val="000000"/>
        </w:rPr>
        <w:tab/>
      </w:r>
      <w:r w:rsidRPr="009067BA">
        <w:rPr>
          <w:color w:val="000000"/>
        </w:rPr>
        <w:tab/>
      </w:r>
      <w:r w:rsidRPr="009067BA">
        <w:t>List of themes in relation to the combined twenty-first to twenty-fourth periodic reports of the Plurinational State of Bolivia</w:t>
      </w:r>
    </w:p>
    <w:p w14:paraId="10EE97A7" w14:textId="11D6DBAB" w:rsidR="001C6319" w:rsidRPr="009067BA" w:rsidRDefault="001C6319" w:rsidP="001C6319">
      <w:pPr>
        <w:pStyle w:val="H1G"/>
      </w:pPr>
      <w:r w:rsidRPr="009067BA">
        <w:tab/>
      </w:r>
      <w:r w:rsidRPr="009067BA">
        <w:tab/>
        <w:t>Note by the Country Rapporteur</w:t>
      </w:r>
      <w:r w:rsidRPr="001C6319">
        <w:rPr>
          <w:rStyle w:val="FootnoteReference"/>
          <w:b w:val="0"/>
          <w:bCs/>
          <w:sz w:val="20"/>
          <w:vertAlign w:val="baseline"/>
        </w:rPr>
        <w:footnoteReference w:customMarkFollows="1" w:id="1"/>
        <w:t>*</w:t>
      </w:r>
    </w:p>
    <w:p w14:paraId="2C3CA1EC" w14:textId="072B0E70" w:rsidR="001C6319" w:rsidRPr="009067BA" w:rsidRDefault="001C6319" w:rsidP="001C6319">
      <w:pPr>
        <w:pStyle w:val="SingleTxtG"/>
      </w:pPr>
      <w:r w:rsidRPr="009067BA">
        <w:t>1.</w:t>
      </w:r>
      <w:r w:rsidRPr="009067BA">
        <w:tab/>
        <w:t>The Committee on the Elimination of Racial Discrimination decided at its seventy-sixth session that the Country Rapporteur would send to the State party concerned a short list of themes with a view to guiding and focusing the dialogue between the State party</w:t>
      </w:r>
      <w:r w:rsidR="00423FC7">
        <w:t>’</w:t>
      </w:r>
      <w:r w:rsidRPr="009067BA">
        <w:t>s delegation and the Committee during the consideration of the State party</w:t>
      </w:r>
      <w:r w:rsidR="00423FC7">
        <w:t>’</w:t>
      </w:r>
      <w:r w:rsidRPr="009067BA">
        <w:t>s report</w:t>
      </w:r>
      <w:r w:rsidR="00423FC7">
        <w:t>.</w:t>
      </w:r>
      <w:r w:rsidRPr="00423FC7">
        <w:rPr>
          <w:rStyle w:val="FootnoteReference"/>
        </w:rPr>
        <w:footnoteReference w:id="2"/>
      </w:r>
      <w:r w:rsidRPr="009067BA">
        <w:t xml:space="preserve"> The present document contains a list of such themes. It is not an exhaustive list; other issues may also be raised in the course of the dialogue. No written replies are required.</w:t>
      </w:r>
    </w:p>
    <w:p w14:paraId="0CD4AE16" w14:textId="77777777" w:rsidR="00423FC7" w:rsidRDefault="001C6319" w:rsidP="001C6319">
      <w:pPr>
        <w:pStyle w:val="H23G"/>
      </w:pPr>
      <w:r w:rsidRPr="009067BA">
        <w:tab/>
      </w:r>
      <w:r w:rsidRPr="009067BA">
        <w:tab/>
        <w:t>Demographic composition of the population</w:t>
      </w:r>
    </w:p>
    <w:p w14:paraId="3D027E48" w14:textId="2B523C01" w:rsidR="001C6319" w:rsidRPr="00423FC7" w:rsidRDefault="001C6319" w:rsidP="001C6319">
      <w:pPr>
        <w:pStyle w:val="SingleTxtG"/>
        <w:rPr>
          <w:rStyle w:val="FootnoteReference"/>
        </w:rPr>
      </w:pPr>
      <w:r w:rsidRPr="009067BA">
        <w:t>2.</w:t>
      </w:r>
      <w:r w:rsidRPr="009067BA">
        <w:tab/>
        <w:t>Updated statistical data on the demographic composition of the population and socioeconomic indicators, disaggregated by ethnicity, gender, age, regions, urban and rural areas, including remote areas. Functioning of the system of human rights indicators.</w:t>
      </w:r>
      <w:r w:rsidR="00423FC7">
        <w:t xml:space="preserve"> </w:t>
      </w:r>
      <w:r w:rsidRPr="009067BA">
        <w:t xml:space="preserve">Criteria used for self-identification of indigenous and Afro-Bolivian </w:t>
      </w:r>
      <w:r>
        <w:t>communities</w:t>
      </w:r>
      <w:r w:rsidRPr="009067BA">
        <w:t>, particularly in measurement, planning and statistical instruments such as the population census and household surveys</w:t>
      </w:r>
      <w:r>
        <w:t>.</w:t>
      </w:r>
      <w:r w:rsidRPr="00423FC7">
        <w:rPr>
          <w:rStyle w:val="FootnoteReference"/>
        </w:rPr>
        <w:footnoteReference w:id="3"/>
      </w:r>
    </w:p>
    <w:p w14:paraId="37E4FDA8" w14:textId="77777777" w:rsidR="00423FC7" w:rsidRDefault="001C6319" w:rsidP="001C6319">
      <w:pPr>
        <w:pStyle w:val="H23G"/>
      </w:pPr>
      <w:r w:rsidRPr="009067BA">
        <w:tab/>
      </w:r>
      <w:r w:rsidRPr="009067BA">
        <w:tab/>
        <w:t xml:space="preserve">Legal, institutional and public policy framework for combating racial discrimination </w:t>
      </w:r>
      <w:r w:rsidRPr="009067BA">
        <w:br/>
        <w:t>(arts. 1, 2, 4)</w:t>
      </w:r>
    </w:p>
    <w:p w14:paraId="370B655B" w14:textId="56272C8D" w:rsidR="001C6319" w:rsidRPr="00423FC7" w:rsidRDefault="001C6319" w:rsidP="001C6319">
      <w:pPr>
        <w:pStyle w:val="SingleTxtG"/>
        <w:rPr>
          <w:rStyle w:val="FootnoteReference"/>
        </w:rPr>
      </w:pPr>
      <w:r w:rsidRPr="009067BA">
        <w:t>3.</w:t>
      </w:r>
      <w:r w:rsidRPr="009067BA">
        <w:tab/>
        <w:t>Strengthening of institutional, human and technical resources of the National Committee against Racism and All Forms of Discrimination and the impact of its work in terms of the promotion, design and implementation of laws and public policies against racism and discrimination</w:t>
      </w:r>
      <w:r>
        <w:t>.</w:t>
      </w:r>
      <w:r w:rsidRPr="00423FC7">
        <w:rPr>
          <w:rStyle w:val="FootnoteReference"/>
        </w:rPr>
        <w:footnoteReference w:id="4"/>
      </w:r>
    </w:p>
    <w:p w14:paraId="4B3C33BE" w14:textId="77777777" w:rsidR="001C6319" w:rsidRPr="009067BA" w:rsidRDefault="001C6319" w:rsidP="001C6319">
      <w:pPr>
        <w:pStyle w:val="SingleTxtG"/>
      </w:pPr>
      <w:r w:rsidRPr="009067BA">
        <w:t>4.</w:t>
      </w:r>
      <w:r w:rsidRPr="009067BA">
        <w:tab/>
        <w:t>Practical outcomes of the implementation of the Multisectoral Plan of the Plurinational State of Bolivia to Combat Racism and All Forms of Discrimination, 2016–2020. Impact of the training for public servants and the education system carried out by the General Directorate for Combating Racism.</w:t>
      </w:r>
    </w:p>
    <w:p w14:paraId="5025BED0" w14:textId="77777777" w:rsidR="00423FC7" w:rsidRDefault="001C6319" w:rsidP="001C6319">
      <w:pPr>
        <w:pStyle w:val="SingleTxtG"/>
      </w:pPr>
      <w:r w:rsidRPr="009067BA">
        <w:lastRenderedPageBreak/>
        <w:t>5.</w:t>
      </w:r>
      <w:r w:rsidRPr="009067BA">
        <w:tab/>
        <w:t xml:space="preserve">Specific measures taken to investigate, prevent and punish crimes related to hate speech and incitement to racial discrimination against indigenous and Afro-Bolivian </w:t>
      </w:r>
      <w:r>
        <w:t>peoples</w:t>
      </w:r>
      <w:r w:rsidRPr="009067BA">
        <w:t>, migrants, asylum seekers and refugees, including those committed or instigated by the public authorities and by law enforcement officials. Updated statistical data on the number and nature of hate crimes and incitement to racial discrimination, convictions and sentences imposed on perpetrators, disaggregated by age, gender and national and ethnic origin of the victims, and reparations made.</w:t>
      </w:r>
    </w:p>
    <w:p w14:paraId="2C05A7EF" w14:textId="66E3E71A" w:rsidR="001C6319" w:rsidRPr="00423FC7" w:rsidRDefault="001C6319" w:rsidP="001C6319">
      <w:pPr>
        <w:pStyle w:val="SingleTxtG"/>
        <w:rPr>
          <w:rStyle w:val="FootnoteReference"/>
        </w:rPr>
      </w:pPr>
      <w:r w:rsidRPr="009067BA">
        <w:t>6.</w:t>
      </w:r>
      <w:r w:rsidRPr="009067BA">
        <w:tab/>
        <w:t xml:space="preserve">Steps taken to incorporate into criminal </w:t>
      </w:r>
      <w:r>
        <w:t>law</w:t>
      </w:r>
      <w:r w:rsidRPr="009067BA">
        <w:t xml:space="preserve"> the prohibition of organizations and propaganda activities which promote and incite racial discrimination and hatred, in accordance with Article 4 of the Convention</w:t>
      </w:r>
      <w:r>
        <w:t>.</w:t>
      </w:r>
      <w:r w:rsidRPr="00423FC7">
        <w:rPr>
          <w:rStyle w:val="FootnoteReference"/>
        </w:rPr>
        <w:footnoteReference w:id="5"/>
      </w:r>
    </w:p>
    <w:p w14:paraId="700840E8" w14:textId="77777777" w:rsidR="001C6319" w:rsidRPr="009067BA" w:rsidRDefault="001C6319" w:rsidP="001C6319">
      <w:pPr>
        <w:pStyle w:val="H23G"/>
      </w:pPr>
      <w:r w:rsidRPr="009067BA">
        <w:tab/>
      </w:r>
      <w:r w:rsidRPr="009067BA">
        <w:tab/>
        <w:t>Situation of indigenous peoples and Afro-Bolivians (arts. 2 and 5)</w:t>
      </w:r>
    </w:p>
    <w:p w14:paraId="07AEF042" w14:textId="341E06DC" w:rsidR="001C6319" w:rsidRPr="009067BA" w:rsidRDefault="001C6319" w:rsidP="001C6319">
      <w:pPr>
        <w:pStyle w:val="SingleTxtG"/>
      </w:pPr>
      <w:r w:rsidRPr="009067BA">
        <w:t>7.</w:t>
      </w:r>
      <w:r w:rsidRPr="009067BA">
        <w:tab/>
        <w:t>Specific mechanisms, including steps taken towards the adoption of a legal framework, to guarantee the right to prior consultation in order to obtain the free, prior and informed consent of indigenous, native, campesino and Afro-Bolivian nations and communities in all decisions that may affect them, including those that may affect their rights to land and natural resources, such as mining, hydrocarbon, hydroelectric, forestry and infrastructure projects</w:t>
      </w:r>
      <w:r w:rsidR="00423FC7">
        <w:t>.</w:t>
      </w:r>
      <w:r w:rsidRPr="00423FC7">
        <w:rPr>
          <w:rStyle w:val="FootnoteReference"/>
        </w:rPr>
        <w:footnoteReference w:id="6"/>
      </w:r>
    </w:p>
    <w:p w14:paraId="5D43BDB6" w14:textId="0E09B0AD" w:rsidR="001C6319" w:rsidRPr="00423FC7" w:rsidRDefault="001C6319" w:rsidP="001C6319">
      <w:pPr>
        <w:pStyle w:val="SingleTxtG"/>
        <w:rPr>
          <w:rStyle w:val="FootnoteReference"/>
        </w:rPr>
      </w:pPr>
      <w:r w:rsidRPr="009067BA">
        <w:t>8.</w:t>
      </w:r>
      <w:r w:rsidRPr="009067BA">
        <w:tab/>
        <w:t>The situation of indigenous communities affected by the implementation of economic or natural resource exploitation projects, in particular as regards their rights to land and natural resources, water, food and health. Information on environmental and human rights impact assessments conducted prior to granting licen</w:t>
      </w:r>
      <w:r w:rsidR="00FF6921">
        <w:t>c</w:t>
      </w:r>
      <w:r w:rsidRPr="009067BA">
        <w:t>es to companies in the extractive industry or hydroelectric projects</w:t>
      </w:r>
      <w:r>
        <w:t>.</w:t>
      </w:r>
      <w:r w:rsidRPr="00423FC7">
        <w:rPr>
          <w:rStyle w:val="FootnoteReference"/>
        </w:rPr>
        <w:footnoteReference w:id="7"/>
      </w:r>
    </w:p>
    <w:p w14:paraId="12F37B3C" w14:textId="77777777" w:rsidR="00423FC7" w:rsidRDefault="001C6319" w:rsidP="001C6319">
      <w:pPr>
        <w:pStyle w:val="SingleTxtG"/>
      </w:pPr>
      <w:r w:rsidRPr="009067BA">
        <w:t>9.</w:t>
      </w:r>
      <w:r w:rsidRPr="009067BA">
        <w:tab/>
        <w:t xml:space="preserve">Access to native indigenous campesino autonomy </w:t>
      </w:r>
      <w:r>
        <w:t xml:space="preserve">in the framework of </w:t>
      </w:r>
      <w:r w:rsidRPr="009067BA">
        <w:t xml:space="preserve">the right to self-determination and self-government </w:t>
      </w:r>
      <w:r>
        <w:t xml:space="preserve">and implementation of </w:t>
      </w:r>
      <w:r w:rsidRPr="009067BA">
        <w:t>the Framework Act on Autonomous Entities and Decentralization.</w:t>
      </w:r>
    </w:p>
    <w:p w14:paraId="145E3667" w14:textId="77777777" w:rsidR="00423FC7" w:rsidRDefault="001C6319" w:rsidP="001C6319">
      <w:pPr>
        <w:pStyle w:val="SingleTxtG"/>
      </w:pPr>
      <w:r w:rsidRPr="009067BA">
        <w:t>10.</w:t>
      </w:r>
      <w:r w:rsidRPr="009067BA">
        <w:tab/>
        <w:t>Implementation of the recognition of collective rights to indigenous lands and progress in land allocation and consolidation of territories traditionally occupied by indigenous peoples.</w:t>
      </w:r>
    </w:p>
    <w:p w14:paraId="442E0682" w14:textId="3F8B66EB" w:rsidR="001C6319" w:rsidRPr="00423FC7" w:rsidRDefault="001C6319" w:rsidP="001C6319">
      <w:pPr>
        <w:pStyle w:val="SingleTxtG"/>
        <w:rPr>
          <w:rStyle w:val="FootnoteReference"/>
        </w:rPr>
      </w:pPr>
      <w:r w:rsidRPr="009067BA">
        <w:t>11.</w:t>
      </w:r>
      <w:r w:rsidRPr="009067BA">
        <w:tab/>
        <w:t xml:space="preserve">Implementation of measures to combat structural discrimination against indigenous </w:t>
      </w:r>
      <w:r>
        <w:t>communities</w:t>
      </w:r>
      <w:r w:rsidRPr="009067BA">
        <w:t xml:space="preserve">, combat poverty and guarantee the enjoyment of economic, social and cultural rights. Resources allocated and practical outcomes of the implementation of the Development Fund for Indigenous Peoples and </w:t>
      </w:r>
      <w:r w:rsidRPr="001C6319">
        <w:t>Original</w:t>
      </w:r>
      <w:r w:rsidRPr="009067BA">
        <w:t xml:space="preserve"> Peoples and Campesino Communities and the development programmes for indigenous peoples envisaged in the Economic and Social Development Plan for </w:t>
      </w:r>
      <w:r w:rsidRPr="009067BA">
        <w:rPr>
          <w:shd w:val="clear" w:color="auto" w:fill="FFFFFF"/>
        </w:rPr>
        <w:t>2021–202</w:t>
      </w:r>
      <w:r w:rsidR="00FF6921">
        <w:rPr>
          <w:shd w:val="clear" w:color="auto" w:fill="FFFFFF"/>
        </w:rPr>
        <w:t>5</w:t>
      </w:r>
      <w:r>
        <w:rPr>
          <w:shd w:val="clear" w:color="auto" w:fill="FFFFFF"/>
        </w:rPr>
        <w:t>.</w:t>
      </w:r>
      <w:r w:rsidRPr="00423FC7">
        <w:rPr>
          <w:rStyle w:val="FootnoteReference"/>
        </w:rPr>
        <w:footnoteReference w:id="8"/>
      </w:r>
    </w:p>
    <w:p w14:paraId="79FEA3B1" w14:textId="77777777" w:rsidR="00423FC7" w:rsidRDefault="001C6319" w:rsidP="001C6319">
      <w:pPr>
        <w:pStyle w:val="SingleTxtG"/>
      </w:pPr>
      <w:r w:rsidRPr="009067BA">
        <w:t>12.</w:t>
      </w:r>
      <w:r w:rsidRPr="009067BA">
        <w:tab/>
        <w:t>Implementation of Act No. 450, on the protection of highly vulnerable indigenous original nations and peoples and practical measures taken to protect highly vulnerable indigenous peoples and to guarantee their physical and cultural survival. Specific measures for the protection of indigenous peoples in voluntary isolation.</w:t>
      </w:r>
    </w:p>
    <w:p w14:paraId="3C7ED18F" w14:textId="7D59D2F3" w:rsidR="001C6319" w:rsidRPr="00423FC7" w:rsidRDefault="001C6319" w:rsidP="001C6319">
      <w:pPr>
        <w:pStyle w:val="SingleTxtG"/>
        <w:rPr>
          <w:rStyle w:val="FootnoteReference"/>
        </w:rPr>
      </w:pPr>
      <w:r w:rsidRPr="009067BA">
        <w:t>13.</w:t>
      </w:r>
      <w:r w:rsidRPr="009067BA">
        <w:tab/>
        <w:t>Measures taken to combat discrimination against Afro-Bolivians, in particular the implementation and practical outcomes of public policies adopted under the plan for recognizing the Decade for Afro-Bolivian People 2016–2024. Specific steps taken to ensure the participation of Afro-Bolivian communities in the design, development and implementation of such measures</w:t>
      </w:r>
      <w:r>
        <w:t>.</w:t>
      </w:r>
      <w:r w:rsidRPr="00423FC7">
        <w:rPr>
          <w:rStyle w:val="FootnoteReference"/>
        </w:rPr>
        <w:footnoteReference w:id="9"/>
      </w:r>
    </w:p>
    <w:p w14:paraId="3B3A48E3" w14:textId="61F81372" w:rsidR="00423FC7" w:rsidRDefault="001C6319" w:rsidP="001C6319">
      <w:pPr>
        <w:pStyle w:val="SingleTxtG"/>
        <w:rPr>
          <w:lang w:eastAsia="en-US"/>
        </w:rPr>
      </w:pPr>
      <w:r w:rsidRPr="009067BA">
        <w:t>14.</w:t>
      </w:r>
      <w:r w:rsidRPr="009067BA">
        <w:tab/>
      </w:r>
      <w:r w:rsidRPr="009067BA">
        <w:rPr>
          <w:lang w:eastAsia="en-US"/>
        </w:rPr>
        <w:t>Development and implementation of regional intra- and intercultural curricula for indigenous native campesino nations and peoples</w:t>
      </w:r>
      <w:r w:rsidR="00423FC7">
        <w:rPr>
          <w:lang w:eastAsia="en-US"/>
        </w:rPr>
        <w:t>.</w:t>
      </w:r>
      <w:r w:rsidRPr="00423FC7">
        <w:rPr>
          <w:rStyle w:val="FootnoteReference"/>
        </w:rPr>
        <w:footnoteReference w:id="10"/>
      </w:r>
      <w:r w:rsidRPr="009067BA">
        <w:rPr>
          <w:lang w:eastAsia="en-US"/>
        </w:rPr>
        <w:t xml:space="preserve"> Measures for the revitalization of indigenous languages to improve the quality of education for indigenous and native campesino nations and people</w:t>
      </w:r>
      <w:r>
        <w:rPr>
          <w:lang w:eastAsia="en-US"/>
        </w:rPr>
        <w:t>s</w:t>
      </w:r>
      <w:r w:rsidRPr="009067BA">
        <w:rPr>
          <w:lang w:eastAsia="en-US"/>
        </w:rPr>
        <w:t xml:space="preserve"> and reduce school dropout rates</w:t>
      </w:r>
      <w:r>
        <w:rPr>
          <w:lang w:eastAsia="en-US"/>
        </w:rPr>
        <w:t xml:space="preserve"> among their members</w:t>
      </w:r>
      <w:r w:rsidRPr="009067BA">
        <w:rPr>
          <w:lang w:eastAsia="en-US"/>
        </w:rPr>
        <w:t>.</w:t>
      </w:r>
    </w:p>
    <w:p w14:paraId="2D996B8E" w14:textId="77777777" w:rsidR="00423FC7" w:rsidRDefault="001C6319" w:rsidP="001C6319">
      <w:pPr>
        <w:pStyle w:val="SingleTxtG"/>
      </w:pPr>
      <w:r w:rsidRPr="009067BA">
        <w:lastRenderedPageBreak/>
        <w:t>15.</w:t>
      </w:r>
      <w:r w:rsidRPr="009067BA">
        <w:tab/>
      </w:r>
      <w:r w:rsidRPr="009067BA">
        <w:rPr>
          <w:lang w:eastAsia="en-US"/>
        </w:rPr>
        <w:t>Measures to ensure accessibility, availability, quality and cultural appropriateness of health services for indigenous peoples. Implementation of the Intercultural Community Family Health Model</w:t>
      </w:r>
      <w:r w:rsidRPr="00423FC7">
        <w:rPr>
          <w:rStyle w:val="FootnoteReference"/>
        </w:rPr>
        <w:footnoteReference w:id="11"/>
      </w:r>
      <w:r w:rsidRPr="009067BA">
        <w:rPr>
          <w:lang w:eastAsia="en-US"/>
        </w:rPr>
        <w:t xml:space="preserve"> and resources allocated for that purpose</w:t>
      </w:r>
      <w:r w:rsidRPr="009067BA">
        <w:t>.</w:t>
      </w:r>
    </w:p>
    <w:p w14:paraId="4A1C62A9" w14:textId="460AF658" w:rsidR="001C6319" w:rsidRPr="009067BA" w:rsidRDefault="001C6319" w:rsidP="001C6319">
      <w:pPr>
        <w:pStyle w:val="H23G"/>
      </w:pPr>
      <w:r w:rsidRPr="009067BA">
        <w:tab/>
      </w:r>
      <w:r w:rsidRPr="009067BA">
        <w:tab/>
        <w:t>Situation of indigenous and Afro-Bolivian women (arts. 2 and 5)</w:t>
      </w:r>
    </w:p>
    <w:p w14:paraId="6D1C8FEF" w14:textId="77777777" w:rsidR="00423FC7" w:rsidRDefault="001C6319" w:rsidP="001C6319">
      <w:pPr>
        <w:pStyle w:val="SingleTxtG"/>
        <w:rPr>
          <w:lang w:eastAsia="en-US"/>
        </w:rPr>
      </w:pPr>
      <w:r w:rsidRPr="009067BA">
        <w:rPr>
          <w:lang w:eastAsia="en-US"/>
        </w:rPr>
        <w:t>16.</w:t>
      </w:r>
      <w:r w:rsidRPr="009067BA">
        <w:rPr>
          <w:lang w:eastAsia="en-US"/>
        </w:rPr>
        <w:tab/>
      </w:r>
      <w:r w:rsidRPr="009067BA">
        <w:t>Implementation and outcomes of measures taken to combat multiple and intersectoral discrimination of indigenous and Afro-Bolivian women. Participation of indigenous and Afro-Bolivian women in political and public life; access by indigenous and Afro-Bolivian women to education, work, land, productive projects and health services, including sexual and reproductive health services.</w:t>
      </w:r>
    </w:p>
    <w:p w14:paraId="28234817" w14:textId="77777777" w:rsidR="00423FC7" w:rsidRDefault="001C6319" w:rsidP="001C6319">
      <w:pPr>
        <w:pStyle w:val="SingleTxtG"/>
      </w:pPr>
      <w:r w:rsidRPr="009067BA">
        <w:rPr>
          <w:lang w:eastAsia="en-US"/>
        </w:rPr>
        <w:t>17.</w:t>
      </w:r>
      <w:r w:rsidRPr="009067BA">
        <w:rPr>
          <w:lang w:eastAsia="en-US"/>
        </w:rPr>
        <w:tab/>
      </w:r>
      <w:r w:rsidRPr="009067BA">
        <w:t>Measures adopted and implemented, in native and culturally appropriate language, to combat violence and prevent femicide of women belonging to indigenous and Afro-Bolivian communities. Number of cases of violence and femicide of indigenous and Afro-Bolivian women in the last five years and current status of investigations.</w:t>
      </w:r>
    </w:p>
    <w:p w14:paraId="03C137E0" w14:textId="050EE099" w:rsidR="001C6319" w:rsidRPr="009067BA" w:rsidRDefault="001C6319" w:rsidP="001C6319">
      <w:pPr>
        <w:pStyle w:val="H23G"/>
      </w:pPr>
      <w:r w:rsidRPr="009067BA">
        <w:tab/>
      </w:r>
      <w:r w:rsidRPr="009067BA">
        <w:tab/>
        <w:t xml:space="preserve">Impact of the coronavirus disease (COVID-19) in certain population groups </w:t>
      </w:r>
      <w:r w:rsidR="00FF6921">
        <w:br/>
      </w:r>
      <w:r w:rsidRPr="009067BA">
        <w:t>(arts. 2 and 5)</w:t>
      </w:r>
    </w:p>
    <w:p w14:paraId="26894300" w14:textId="77777777" w:rsidR="001C6319" w:rsidRPr="009067BA" w:rsidRDefault="001C6319" w:rsidP="001C6319">
      <w:pPr>
        <w:pStyle w:val="SingleTxtG"/>
        <w:rPr>
          <w:rFonts w:eastAsia="Times New Roman"/>
          <w:color w:val="000000" w:themeColor="text1"/>
          <w:lang w:eastAsia="en-GB"/>
        </w:rPr>
      </w:pPr>
      <w:r w:rsidRPr="009067BA">
        <w:rPr>
          <w:rFonts w:eastAsia="Times New Roman"/>
          <w:color w:val="000000" w:themeColor="text1"/>
          <w:lang w:eastAsia="en-GB"/>
        </w:rPr>
        <w:t>18.</w:t>
      </w:r>
      <w:r w:rsidRPr="009067BA">
        <w:rPr>
          <w:rFonts w:eastAsia="Times New Roman"/>
          <w:color w:val="000000" w:themeColor="text1"/>
          <w:lang w:eastAsia="en-GB"/>
        </w:rPr>
        <w:tab/>
      </w:r>
      <w:r w:rsidRPr="009067BA">
        <w:t>Measures adopted to mitigate the specific impact of the pandemic on indigenous, campesino, Afro-descendant and migrant populations, in particular a system that enables the statistical identification of the specific impact of COVID-19 on these population groups</w:t>
      </w:r>
      <w:r w:rsidRPr="009067BA">
        <w:rPr>
          <w:rFonts w:eastAsia="Times New Roman"/>
          <w:color w:val="000000" w:themeColor="text1"/>
          <w:lang w:eastAsia="en-GB"/>
        </w:rPr>
        <w:t>.</w:t>
      </w:r>
    </w:p>
    <w:p w14:paraId="22547D26" w14:textId="77777777" w:rsidR="00423FC7" w:rsidRDefault="001C6319" w:rsidP="001C6319">
      <w:pPr>
        <w:pStyle w:val="SingleTxtG"/>
        <w:rPr>
          <w:color w:val="000000" w:themeColor="text1"/>
        </w:rPr>
      </w:pPr>
      <w:r w:rsidRPr="009067BA">
        <w:rPr>
          <w:rFonts w:eastAsia="Times New Roman"/>
          <w:color w:val="000000" w:themeColor="text1"/>
          <w:lang w:eastAsia="en-GB"/>
        </w:rPr>
        <w:t>19.</w:t>
      </w:r>
      <w:r w:rsidRPr="009067BA">
        <w:rPr>
          <w:rFonts w:eastAsia="Times New Roman"/>
          <w:color w:val="000000" w:themeColor="text1"/>
          <w:lang w:eastAsia="en-GB"/>
        </w:rPr>
        <w:tab/>
      </w:r>
      <w:r w:rsidRPr="009067BA">
        <w:rPr>
          <w:color w:val="000000" w:themeColor="text1"/>
        </w:rPr>
        <w:t>Access to COVID-19 vaccines for indigenous, campesino, Afro-Bolivian and migrant persons.</w:t>
      </w:r>
    </w:p>
    <w:p w14:paraId="68EF0072" w14:textId="6C916ECC" w:rsidR="001C6319" w:rsidRPr="009067BA" w:rsidRDefault="001C6319" w:rsidP="001C6319">
      <w:pPr>
        <w:pStyle w:val="H23G"/>
      </w:pPr>
      <w:r w:rsidRPr="009067BA">
        <w:tab/>
      </w:r>
      <w:r w:rsidRPr="009067BA">
        <w:tab/>
        <w:t>Situation of human rights defenders (arts. 5 and 6)</w:t>
      </w:r>
    </w:p>
    <w:p w14:paraId="33F0F373" w14:textId="5E01597E" w:rsidR="001C6319" w:rsidRPr="00423FC7" w:rsidRDefault="001C6319" w:rsidP="001C6319">
      <w:pPr>
        <w:pStyle w:val="SingleTxtG"/>
        <w:rPr>
          <w:rStyle w:val="FootnoteReference"/>
        </w:rPr>
      </w:pPr>
      <w:r w:rsidRPr="009067BA">
        <w:rPr>
          <w:color w:val="000000" w:themeColor="text1"/>
        </w:rPr>
        <w:t>20.</w:t>
      </w:r>
      <w:r w:rsidRPr="009067BA">
        <w:rPr>
          <w:color w:val="000000" w:themeColor="text1"/>
        </w:rPr>
        <w:tab/>
        <w:t>Specific measures adopted for the effective protection of defenders of the rights of indigenous and Afro-Bolivian peoples. Number of cases and investigations of acts of violence and threats against defenders of the human rights of indigenous and Afro-Bolivian peoples, including against indigenous and Afro-Bolivian community leaders</w:t>
      </w:r>
      <w:r>
        <w:rPr>
          <w:color w:val="000000" w:themeColor="text1"/>
        </w:rPr>
        <w:t>.</w:t>
      </w:r>
      <w:r w:rsidRPr="00423FC7">
        <w:rPr>
          <w:rStyle w:val="FootnoteReference"/>
        </w:rPr>
        <w:footnoteReference w:id="12"/>
      </w:r>
    </w:p>
    <w:p w14:paraId="3DB85B0B" w14:textId="77777777" w:rsidR="001C6319" w:rsidRPr="009067BA" w:rsidRDefault="001C6319" w:rsidP="001C6319">
      <w:pPr>
        <w:pStyle w:val="H23G"/>
      </w:pPr>
      <w:r w:rsidRPr="009067BA">
        <w:tab/>
      </w:r>
      <w:r w:rsidRPr="009067BA">
        <w:tab/>
        <w:t>Situation of migrants (arts. 2 and 5)</w:t>
      </w:r>
    </w:p>
    <w:p w14:paraId="64898DC9" w14:textId="77777777" w:rsidR="001C6319" w:rsidRPr="009067BA" w:rsidRDefault="001C6319" w:rsidP="001C6319">
      <w:pPr>
        <w:pStyle w:val="SingleTxtG"/>
      </w:pPr>
      <w:r w:rsidRPr="009067BA">
        <w:t>21.</w:t>
      </w:r>
      <w:r>
        <w:tab/>
        <w:t xml:space="preserve">Fight against </w:t>
      </w:r>
      <w:r w:rsidRPr="009067BA">
        <w:t>discrimination and xenophobia against migrants and asylum seekers, in particular persons of Peruvian, Colombian and Venezuelan origin, and practical measures taken to guarantee the rights of unaccompanied children and adolescents and victims of trafficking, notably women.</w:t>
      </w:r>
    </w:p>
    <w:p w14:paraId="0C113B3A" w14:textId="77777777" w:rsidR="001C6319" w:rsidRPr="009067BA" w:rsidRDefault="001C6319" w:rsidP="001C6319">
      <w:pPr>
        <w:pStyle w:val="H23G"/>
      </w:pPr>
      <w:r w:rsidRPr="009067BA">
        <w:tab/>
      </w:r>
      <w:r w:rsidRPr="009067BA">
        <w:tab/>
        <w:t>Access to justice (art. 6)</w:t>
      </w:r>
    </w:p>
    <w:p w14:paraId="0C19E66E" w14:textId="69BD8C02" w:rsidR="001C6319" w:rsidRPr="009067BA" w:rsidRDefault="001C6319" w:rsidP="001C6319">
      <w:pPr>
        <w:pStyle w:val="SingleTxtG"/>
      </w:pPr>
      <w:r w:rsidRPr="009067BA">
        <w:t>22.</w:t>
      </w:r>
      <w:r w:rsidRPr="009067BA">
        <w:tab/>
        <w:t>Information on practical measures taken to improve access to justice for indigenous native campesino and Afro-Bolivian nations and peoples</w:t>
      </w:r>
      <w:r>
        <w:t>.</w:t>
      </w:r>
      <w:r w:rsidRPr="00423FC7">
        <w:rPr>
          <w:rStyle w:val="FootnoteReference"/>
        </w:rPr>
        <w:footnoteReference w:id="13"/>
      </w:r>
      <w:r>
        <w:t xml:space="preserve"> </w:t>
      </w:r>
      <w:r w:rsidRPr="009067BA">
        <w:t>Measures taken to eliminate racial profiling, racist attitudes and racial discrimination by law enforcement officials and in court. Steps taken to establish a registry of indigenous and Afro-Bolivian persons in detention.</w:t>
      </w:r>
    </w:p>
    <w:p w14:paraId="58A9D2F1" w14:textId="52C10107" w:rsidR="001C6319" w:rsidRPr="00423FC7" w:rsidRDefault="001C6319" w:rsidP="001C6319">
      <w:pPr>
        <w:pStyle w:val="SingleTxtG"/>
        <w:rPr>
          <w:rStyle w:val="FootnoteReference"/>
        </w:rPr>
      </w:pPr>
      <w:r w:rsidRPr="009067BA">
        <w:t>23.</w:t>
      </w:r>
      <w:r w:rsidRPr="009067BA">
        <w:tab/>
        <w:t>Implementation of the Jurisdiction Demarcation Act (Act No. 073) and mechanisms established to facilitate effective cooperation and coordination between ordinary jurisdiction and indigenous jurisdiction</w:t>
      </w:r>
      <w:r>
        <w:t>.</w:t>
      </w:r>
      <w:r w:rsidRPr="00423FC7">
        <w:rPr>
          <w:rStyle w:val="FootnoteReference"/>
        </w:rPr>
        <w:footnoteReference w:id="14"/>
      </w:r>
    </w:p>
    <w:p w14:paraId="060E3E3F" w14:textId="77777777" w:rsidR="001C6319" w:rsidRPr="009067BA" w:rsidRDefault="001C6319" w:rsidP="001C6319">
      <w:pPr>
        <w:pStyle w:val="SingleTxtG"/>
      </w:pPr>
      <w:r w:rsidRPr="009067BA">
        <w:t>24.</w:t>
      </w:r>
      <w:r w:rsidRPr="009067BA">
        <w:tab/>
        <w:t>Cases, investigations and rulings on complaints of racism and discrimination, including the outcome of investigations into allegations of racist violence committed against indigenous persons during the post-election conflict in 2019.</w:t>
      </w:r>
    </w:p>
    <w:p w14:paraId="6B76B06E" w14:textId="77777777" w:rsidR="001C6319" w:rsidRPr="009067BA" w:rsidRDefault="001C6319" w:rsidP="001C6319">
      <w:pPr>
        <w:pStyle w:val="H23G"/>
      </w:pPr>
      <w:r w:rsidRPr="009067BA">
        <w:lastRenderedPageBreak/>
        <w:tab/>
      </w:r>
      <w:r w:rsidRPr="009067BA">
        <w:tab/>
        <w:t>Combating racial discrimination (art. 7)</w:t>
      </w:r>
    </w:p>
    <w:p w14:paraId="4790C1B8" w14:textId="77777777" w:rsidR="00423FC7" w:rsidRDefault="001C6319" w:rsidP="001C6319">
      <w:pPr>
        <w:pStyle w:val="SingleTxtG"/>
      </w:pPr>
      <w:r w:rsidRPr="009067BA">
        <w:t>25.</w:t>
      </w:r>
      <w:r w:rsidRPr="009067BA">
        <w:tab/>
        <w:t xml:space="preserve">Progress in the </w:t>
      </w:r>
      <w:r>
        <w:t>creation</w:t>
      </w:r>
      <w:r w:rsidRPr="009067BA">
        <w:t xml:space="preserve"> of spaces for consensus and dialogue and steps to</w:t>
      </w:r>
      <w:r>
        <w:t>wards</w:t>
      </w:r>
      <w:r w:rsidRPr="009067BA">
        <w:t xml:space="preserve"> the consolidation of plurality and interculturalism.</w:t>
      </w:r>
    </w:p>
    <w:p w14:paraId="22717A1D" w14:textId="1E51EA28" w:rsidR="001C6319" w:rsidRPr="00423FC7" w:rsidRDefault="001C6319" w:rsidP="001C6319">
      <w:pPr>
        <w:pStyle w:val="SingleTxtG"/>
        <w:rPr>
          <w:rStyle w:val="FootnoteReference"/>
        </w:rPr>
      </w:pPr>
      <w:r w:rsidRPr="009067BA">
        <w:t>26.</w:t>
      </w:r>
      <w:r w:rsidRPr="009067BA">
        <w:tab/>
        <w:t>Measures to prevent the propagation of racial stereotypes and prejudice, particularly against indigenous and Afro-Bolivian national and peoples</w:t>
      </w:r>
      <w:r>
        <w:t>.</w:t>
      </w:r>
      <w:r w:rsidRPr="00423FC7">
        <w:rPr>
          <w:rStyle w:val="FootnoteReference"/>
        </w:rPr>
        <w:footnoteReference w:id="15"/>
      </w:r>
    </w:p>
    <w:p w14:paraId="36FECDDB" w14:textId="56B32D63" w:rsidR="007268F9" w:rsidRPr="001C6319" w:rsidRDefault="001C6319" w:rsidP="001C6319">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1C6319"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F0996" w14:textId="77777777" w:rsidR="0007506D" w:rsidRPr="00A0297D" w:rsidRDefault="0007506D" w:rsidP="00A0297D">
      <w:pPr>
        <w:pStyle w:val="Footer"/>
      </w:pPr>
    </w:p>
  </w:endnote>
  <w:endnote w:type="continuationSeparator" w:id="0">
    <w:p w14:paraId="7A0B1627" w14:textId="77777777" w:rsidR="0007506D" w:rsidRPr="00A0297D" w:rsidRDefault="0007506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9F442" w14:textId="77777777" w:rsidR="001C6319" w:rsidRDefault="001C6319" w:rsidP="001C6319">
    <w:pPr>
      <w:pStyle w:val="Footer"/>
      <w:tabs>
        <w:tab w:val="right" w:pos="9638"/>
      </w:tabs>
    </w:pPr>
    <w:r w:rsidRPr="001C6319">
      <w:rPr>
        <w:b/>
        <w:bCs/>
        <w:sz w:val="18"/>
      </w:rPr>
      <w:fldChar w:fldCharType="begin"/>
    </w:r>
    <w:r w:rsidRPr="001C6319">
      <w:rPr>
        <w:b/>
        <w:bCs/>
        <w:sz w:val="18"/>
      </w:rPr>
      <w:instrText xml:space="preserve"> PAGE  \* MERGEFORMAT </w:instrText>
    </w:r>
    <w:r w:rsidRPr="001C6319">
      <w:rPr>
        <w:b/>
        <w:bCs/>
        <w:sz w:val="18"/>
      </w:rPr>
      <w:fldChar w:fldCharType="separate"/>
    </w:r>
    <w:r w:rsidRPr="001C6319">
      <w:rPr>
        <w:b/>
        <w:bCs/>
        <w:noProof/>
        <w:sz w:val="18"/>
      </w:rPr>
      <w:t>2</w:t>
    </w:r>
    <w:r w:rsidRPr="001C6319">
      <w:rPr>
        <w:b/>
        <w:bCs/>
        <w:sz w:val="18"/>
      </w:rPr>
      <w:fldChar w:fldCharType="end"/>
    </w:r>
    <w:r>
      <w:tab/>
      <w:t>GE.22-03747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75641" w14:textId="77777777" w:rsidR="001C6319" w:rsidRDefault="001C6319" w:rsidP="001C6319">
    <w:pPr>
      <w:pStyle w:val="Footer"/>
      <w:tabs>
        <w:tab w:val="right" w:pos="9638"/>
      </w:tabs>
    </w:pPr>
    <w:r>
      <w:t>GE.22-03747</w:t>
    </w:r>
    <w:r>
      <w:tab/>
    </w:r>
    <w:r w:rsidRPr="001C6319">
      <w:rPr>
        <w:b/>
        <w:bCs/>
        <w:sz w:val="18"/>
      </w:rPr>
      <w:fldChar w:fldCharType="begin"/>
    </w:r>
    <w:r w:rsidRPr="001C6319">
      <w:rPr>
        <w:b/>
        <w:bCs/>
        <w:sz w:val="18"/>
      </w:rPr>
      <w:instrText xml:space="preserve"> PAGE  \* MERGEFORMAT </w:instrText>
    </w:r>
    <w:r w:rsidRPr="001C6319">
      <w:rPr>
        <w:b/>
        <w:bCs/>
        <w:sz w:val="18"/>
      </w:rPr>
      <w:fldChar w:fldCharType="separate"/>
    </w:r>
    <w:r w:rsidRPr="001C6319">
      <w:rPr>
        <w:b/>
        <w:bCs/>
        <w:noProof/>
        <w:sz w:val="18"/>
      </w:rPr>
      <w:t>3</w:t>
    </w:r>
    <w:r w:rsidRPr="001C63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27CE8" w14:textId="77777777" w:rsidR="001C6319" w:rsidRDefault="001C6319">
    <w:pPr>
      <w:pStyle w:val="Footer"/>
      <w:rPr>
        <w:sz w:val="20"/>
      </w:rPr>
    </w:pPr>
    <w:r w:rsidRPr="0027112F">
      <w:rPr>
        <w:noProof/>
        <w:lang w:val="en-US"/>
      </w:rPr>
      <w:drawing>
        <wp:anchor distT="0" distB="0" distL="114300" distR="114300" simplePos="0" relativeHeight="251659264" behindDoc="0" locked="1" layoutInCell="1" allowOverlap="1" wp14:anchorId="330F7C24" wp14:editId="741A447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2E8ED8" w14:textId="0BEDC099" w:rsidR="001C6319" w:rsidRPr="001C6319" w:rsidRDefault="001C6319" w:rsidP="001C6319">
    <w:pPr>
      <w:pStyle w:val="Footer"/>
      <w:tabs>
        <w:tab w:val="right" w:pos="7370"/>
      </w:tabs>
      <w:rPr>
        <w:sz w:val="20"/>
      </w:rPr>
    </w:pPr>
    <w:r>
      <w:rPr>
        <w:sz w:val="20"/>
      </w:rPr>
      <w:t>GE.22-03747  (E)</w:t>
    </w:r>
    <w:r>
      <w:rPr>
        <w:noProof/>
        <w:sz w:val="20"/>
      </w:rPr>
      <w:drawing>
        <wp:anchor distT="0" distB="0" distL="114300" distR="114300" simplePos="0" relativeHeight="251660288" behindDoc="0" locked="0" layoutInCell="1" allowOverlap="1" wp14:anchorId="2EC1B62B" wp14:editId="58764BC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F6921">
      <w:rPr>
        <w:sz w:val="20"/>
      </w:rPr>
      <w:t xml:space="preserve">    010422    010422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81172" w14:textId="77777777" w:rsidR="0007506D" w:rsidRPr="00A0297D" w:rsidRDefault="0007506D" w:rsidP="00A0297D">
      <w:pPr>
        <w:tabs>
          <w:tab w:val="right" w:pos="2155"/>
        </w:tabs>
        <w:spacing w:after="80" w:line="240" w:lineRule="auto"/>
        <w:ind w:left="680"/>
      </w:pPr>
      <w:r>
        <w:rPr>
          <w:u w:val="single"/>
        </w:rPr>
        <w:tab/>
      </w:r>
    </w:p>
  </w:footnote>
  <w:footnote w:type="continuationSeparator" w:id="0">
    <w:p w14:paraId="2A1E55BA" w14:textId="77777777" w:rsidR="0007506D" w:rsidRPr="00A0297D" w:rsidRDefault="0007506D" w:rsidP="00A0297D">
      <w:pPr>
        <w:tabs>
          <w:tab w:val="right" w:pos="2155"/>
        </w:tabs>
        <w:spacing w:after="80" w:line="240" w:lineRule="auto"/>
        <w:ind w:left="680"/>
      </w:pPr>
      <w:r>
        <w:rPr>
          <w:u w:val="single"/>
        </w:rPr>
        <w:tab/>
      </w:r>
    </w:p>
  </w:footnote>
  <w:footnote w:id="1">
    <w:p w14:paraId="7AB5E9F0" w14:textId="3AA842E2" w:rsidR="001C6319" w:rsidRPr="001C6319" w:rsidRDefault="001C6319">
      <w:pPr>
        <w:pStyle w:val="FootnoteText"/>
        <w:rPr>
          <w:lang w:val="fr-CH"/>
        </w:rPr>
      </w:pPr>
      <w:r>
        <w:rPr>
          <w:rStyle w:val="FootnoteReference"/>
        </w:rPr>
        <w:tab/>
      </w:r>
      <w:r w:rsidRPr="001C6319">
        <w:rPr>
          <w:rStyle w:val="FootnoteReference"/>
          <w:sz w:val="20"/>
          <w:vertAlign w:val="baseline"/>
        </w:rPr>
        <w:t>*</w:t>
      </w:r>
      <w:r>
        <w:rPr>
          <w:rStyle w:val="FootnoteReference"/>
          <w:sz w:val="20"/>
          <w:vertAlign w:val="baseline"/>
        </w:rPr>
        <w:tab/>
      </w:r>
      <w:r>
        <w:t>The</w:t>
      </w:r>
      <w:r w:rsidR="00423FC7">
        <w:t xml:space="preserve"> </w:t>
      </w:r>
      <w:r>
        <w:t>present</w:t>
      </w:r>
      <w:r w:rsidR="00423FC7">
        <w:t xml:space="preserve"> </w:t>
      </w:r>
      <w:r>
        <w:t>report</w:t>
      </w:r>
      <w:r w:rsidR="00423FC7">
        <w:t xml:space="preserve"> </w:t>
      </w:r>
      <w:r>
        <w:t>was</w:t>
      </w:r>
      <w:r w:rsidR="00423FC7">
        <w:t xml:space="preserve"> </w:t>
      </w:r>
      <w:r>
        <w:t>submitted</w:t>
      </w:r>
      <w:r w:rsidR="00423FC7">
        <w:t xml:space="preserve"> </w:t>
      </w:r>
      <w:r>
        <w:t>late</w:t>
      </w:r>
      <w:r w:rsidR="00423FC7">
        <w:t xml:space="preserve"> </w:t>
      </w:r>
      <w:r>
        <w:t>to</w:t>
      </w:r>
      <w:r w:rsidR="00423FC7">
        <w:t xml:space="preserve"> </w:t>
      </w:r>
      <w:r>
        <w:t>allow</w:t>
      </w:r>
      <w:r w:rsidR="00423FC7">
        <w:t xml:space="preserve"> </w:t>
      </w:r>
      <w:r>
        <w:t>for</w:t>
      </w:r>
      <w:r w:rsidR="00423FC7">
        <w:t xml:space="preserve"> </w:t>
      </w:r>
      <w:r>
        <w:t>the</w:t>
      </w:r>
      <w:r w:rsidR="00423FC7">
        <w:t xml:space="preserve"> </w:t>
      </w:r>
      <w:r>
        <w:t>inclusion</w:t>
      </w:r>
      <w:r w:rsidR="00423FC7">
        <w:t xml:space="preserve"> </w:t>
      </w:r>
      <w:r>
        <w:t>of</w:t>
      </w:r>
      <w:r w:rsidR="00423FC7">
        <w:t xml:space="preserve"> </w:t>
      </w:r>
      <w:r>
        <w:t>information</w:t>
      </w:r>
      <w:r w:rsidR="00423FC7">
        <w:t xml:space="preserve"> </w:t>
      </w:r>
      <w:r>
        <w:t>on</w:t>
      </w:r>
      <w:r w:rsidR="00423FC7">
        <w:t xml:space="preserve"> </w:t>
      </w:r>
      <w:r>
        <w:t>the</w:t>
      </w:r>
      <w:r w:rsidR="00423FC7">
        <w:t xml:space="preserve"> </w:t>
      </w:r>
      <w:r>
        <w:t>most</w:t>
      </w:r>
      <w:r w:rsidR="00423FC7">
        <w:t xml:space="preserve"> </w:t>
      </w:r>
      <w:r>
        <w:t>recent</w:t>
      </w:r>
      <w:r w:rsidR="00423FC7">
        <w:t xml:space="preserve"> </w:t>
      </w:r>
      <w:r>
        <w:t>developments.</w:t>
      </w:r>
    </w:p>
  </w:footnote>
  <w:footnote w:id="2">
    <w:p w14:paraId="533174CD" w14:textId="1EBA3F47" w:rsidR="001C6319" w:rsidRPr="00F70722" w:rsidRDefault="001C6319" w:rsidP="001C6319">
      <w:pPr>
        <w:pStyle w:val="FootnoteText"/>
        <w:rPr>
          <w:lang w:val="pt-PT"/>
        </w:rPr>
      </w:pPr>
      <w:r>
        <w:rPr>
          <w:lang w:val="pt-PT"/>
        </w:rPr>
        <w:tab/>
      </w:r>
      <w:r w:rsidRPr="00423FC7">
        <w:rPr>
          <w:rStyle w:val="FootnoteReference"/>
        </w:rPr>
        <w:footnoteRef/>
      </w:r>
      <w:r w:rsidRPr="00423FC7">
        <w:rPr>
          <w:rStyle w:val="FootnoteReference"/>
        </w:rPr>
        <w:tab/>
      </w:r>
      <w:hyperlink r:id="rId1" w:history="1">
        <w:r w:rsidRPr="00722AB4">
          <w:rPr>
            <w:rStyle w:val="Hyperlink"/>
            <w:lang w:val="pt-PT"/>
          </w:rPr>
          <w:t>A/6</w:t>
        </w:r>
        <w:r w:rsidRPr="00722AB4">
          <w:rPr>
            <w:rStyle w:val="Hyperlink"/>
            <w:lang w:val="pt-PT"/>
          </w:rPr>
          <w:t>5</w:t>
        </w:r>
        <w:r w:rsidRPr="00722AB4">
          <w:rPr>
            <w:rStyle w:val="Hyperlink"/>
            <w:lang w:val="pt-PT"/>
          </w:rPr>
          <w:t>/</w:t>
        </w:r>
        <w:r w:rsidRPr="00722AB4">
          <w:rPr>
            <w:rStyle w:val="Hyperlink"/>
            <w:lang w:val="pt-PT"/>
          </w:rPr>
          <w:t>1</w:t>
        </w:r>
        <w:r w:rsidRPr="00722AB4">
          <w:rPr>
            <w:rStyle w:val="Hyperlink"/>
            <w:lang w:val="pt-PT"/>
          </w:rPr>
          <w:t>8</w:t>
        </w:r>
      </w:hyperlink>
      <w:r w:rsidRPr="00E36D2F">
        <w:rPr>
          <w:lang w:val="pt-PT"/>
        </w:rPr>
        <w:t>,</w:t>
      </w:r>
      <w:r w:rsidR="00423FC7">
        <w:rPr>
          <w:lang w:val="pt-PT"/>
        </w:rPr>
        <w:t xml:space="preserve"> </w:t>
      </w:r>
      <w:r w:rsidRPr="00E36D2F">
        <w:rPr>
          <w:lang w:val="pt-PT"/>
        </w:rPr>
        <w:t>p</w:t>
      </w:r>
      <w:r>
        <w:rPr>
          <w:lang w:val="pt-PT"/>
        </w:rPr>
        <w:t>ara</w:t>
      </w:r>
      <w:r w:rsidRPr="00E36D2F">
        <w:rPr>
          <w:lang w:val="pt-PT"/>
        </w:rPr>
        <w:t>.</w:t>
      </w:r>
      <w:r w:rsidR="00423FC7">
        <w:rPr>
          <w:lang w:val="pt-PT"/>
        </w:rPr>
        <w:t xml:space="preserve"> </w:t>
      </w:r>
      <w:r w:rsidRPr="00E36D2F">
        <w:rPr>
          <w:lang w:val="pt-PT"/>
        </w:rPr>
        <w:t>85</w:t>
      </w:r>
      <w:r>
        <w:rPr>
          <w:lang w:val="pt-PT"/>
        </w:rPr>
        <w:t>.</w:t>
      </w:r>
    </w:p>
  </w:footnote>
  <w:footnote w:id="3">
    <w:p w14:paraId="2B5ABF14" w14:textId="58024488" w:rsidR="001C6319" w:rsidRPr="00D23C94" w:rsidRDefault="001C6319" w:rsidP="001C6319">
      <w:pPr>
        <w:pStyle w:val="FootnoteText"/>
        <w:rPr>
          <w:lang w:val="pt-PT"/>
        </w:rPr>
      </w:pPr>
      <w:r>
        <w:rPr>
          <w:lang w:val="pt-PT"/>
        </w:rPr>
        <w:tab/>
      </w:r>
      <w:r w:rsidRPr="00423FC7">
        <w:rPr>
          <w:rStyle w:val="FootnoteReference"/>
        </w:rPr>
        <w:footnoteRef/>
      </w:r>
      <w:r w:rsidRPr="00423FC7">
        <w:rPr>
          <w:rStyle w:val="FootnoteReference"/>
        </w:rPr>
        <w:tab/>
      </w:r>
      <w:hyperlink r:id="rId2" w:history="1">
        <w:r w:rsidRPr="00722AB4">
          <w:rPr>
            <w:rStyle w:val="Hyperlink"/>
            <w:lang w:val="pt-PT"/>
          </w:rPr>
          <w:t>CERD/C/B</w:t>
        </w:r>
        <w:r w:rsidRPr="00722AB4">
          <w:rPr>
            <w:rStyle w:val="Hyperlink"/>
            <w:lang w:val="pt-PT"/>
          </w:rPr>
          <w:t>O</w:t>
        </w:r>
        <w:r w:rsidRPr="00722AB4">
          <w:rPr>
            <w:rStyle w:val="Hyperlink"/>
            <w:lang w:val="pt-PT"/>
          </w:rPr>
          <w:t>L/</w:t>
        </w:r>
        <w:r w:rsidRPr="00722AB4">
          <w:rPr>
            <w:rStyle w:val="Hyperlink"/>
            <w:lang w:val="pt-PT"/>
          </w:rPr>
          <w:t>2</w:t>
        </w:r>
        <w:r w:rsidRPr="00722AB4">
          <w:rPr>
            <w:rStyle w:val="Hyperlink"/>
            <w:lang w:val="pt-PT"/>
          </w:rPr>
          <w:t>1</w:t>
        </w:r>
        <w:r w:rsidRPr="00722AB4">
          <w:rPr>
            <w:rStyle w:val="Hyperlink"/>
            <w:lang w:val="pt-PT"/>
          </w:rPr>
          <w:t>-24</w:t>
        </w:r>
      </w:hyperlink>
      <w:r w:rsidRPr="00D23C94">
        <w:rPr>
          <w:lang w:val="pt-PT"/>
        </w:rPr>
        <w:t>,</w:t>
      </w:r>
      <w:r w:rsidR="00423FC7">
        <w:rPr>
          <w:lang w:val="pt-PT"/>
        </w:rPr>
        <w:t xml:space="preserve"> </w:t>
      </w:r>
      <w:r w:rsidRPr="00D23C94">
        <w:rPr>
          <w:lang w:val="pt-PT"/>
        </w:rPr>
        <w:t>p</w:t>
      </w:r>
      <w:r>
        <w:rPr>
          <w:lang w:val="pt-PT"/>
        </w:rPr>
        <w:t>ara</w:t>
      </w:r>
      <w:r w:rsidRPr="00D23C94">
        <w:rPr>
          <w:lang w:val="pt-PT"/>
        </w:rPr>
        <w:t>.</w:t>
      </w:r>
      <w:r w:rsidR="00423FC7">
        <w:rPr>
          <w:lang w:val="pt-PT"/>
        </w:rPr>
        <w:t xml:space="preserve"> </w:t>
      </w:r>
      <w:r w:rsidRPr="00D23C94">
        <w:rPr>
          <w:lang w:val="pt-PT"/>
        </w:rPr>
        <w:t>133.</w:t>
      </w:r>
    </w:p>
  </w:footnote>
  <w:footnote w:id="4">
    <w:p w14:paraId="53613D9A" w14:textId="4352111E" w:rsidR="001C6319" w:rsidRPr="00D23C94" w:rsidRDefault="001C6319" w:rsidP="001C6319">
      <w:pPr>
        <w:pStyle w:val="FootnoteText"/>
        <w:rPr>
          <w:lang w:val="pt-PT"/>
        </w:rPr>
      </w:pPr>
      <w:r>
        <w:rPr>
          <w:lang w:val="pt-PT"/>
        </w:rPr>
        <w:tab/>
      </w:r>
      <w:r w:rsidRPr="00423FC7">
        <w:rPr>
          <w:rStyle w:val="FootnoteReference"/>
        </w:rPr>
        <w:footnoteRef/>
      </w:r>
      <w:r w:rsidRPr="00423FC7">
        <w:rPr>
          <w:rStyle w:val="FootnoteReference"/>
        </w:rPr>
        <w:tab/>
      </w:r>
      <w:r w:rsidRPr="008F4C8C">
        <w:rPr>
          <w:lang w:val="pt-PT"/>
        </w:rPr>
        <w:t>Ibid</w:t>
      </w:r>
      <w:r w:rsidRPr="00D23C94">
        <w:rPr>
          <w:lang w:val="pt-PT"/>
        </w:rPr>
        <w:t>.,</w:t>
      </w:r>
      <w:r w:rsidR="00423FC7">
        <w:rPr>
          <w:lang w:val="pt-PT"/>
        </w:rPr>
        <w:t xml:space="preserve"> </w:t>
      </w:r>
      <w:r w:rsidRPr="00D23C94">
        <w:rPr>
          <w:lang w:val="pt-PT"/>
        </w:rPr>
        <w:t>p</w:t>
      </w:r>
      <w:r>
        <w:rPr>
          <w:lang w:val="pt-PT"/>
        </w:rPr>
        <w:t>ara</w:t>
      </w:r>
      <w:r w:rsidRPr="00D23C94">
        <w:rPr>
          <w:lang w:val="pt-PT"/>
        </w:rPr>
        <w:t>.</w:t>
      </w:r>
      <w:r w:rsidR="00423FC7">
        <w:rPr>
          <w:lang w:val="pt-PT"/>
        </w:rPr>
        <w:t xml:space="preserve"> </w:t>
      </w:r>
      <w:r w:rsidRPr="00D23C94">
        <w:rPr>
          <w:lang w:val="pt-PT"/>
        </w:rPr>
        <w:t>10.</w:t>
      </w:r>
    </w:p>
  </w:footnote>
  <w:footnote w:id="5">
    <w:p w14:paraId="548526E5" w14:textId="7D9C7011" w:rsidR="001C6319" w:rsidRPr="00D23C94" w:rsidRDefault="001C6319" w:rsidP="001C6319">
      <w:pPr>
        <w:pStyle w:val="FootnoteText"/>
        <w:rPr>
          <w:lang w:val="pt-PT"/>
        </w:rPr>
      </w:pPr>
      <w:r>
        <w:rPr>
          <w:lang w:val="pt-PT"/>
        </w:rPr>
        <w:tab/>
      </w:r>
      <w:r w:rsidRPr="00423FC7">
        <w:rPr>
          <w:rStyle w:val="FootnoteReference"/>
        </w:rPr>
        <w:footnoteRef/>
      </w:r>
      <w:r w:rsidRPr="00423FC7">
        <w:rPr>
          <w:rStyle w:val="FootnoteReference"/>
        </w:rPr>
        <w:tab/>
      </w:r>
      <w:r w:rsidRPr="008F4C8C">
        <w:rPr>
          <w:lang w:val="pt-PT"/>
        </w:rPr>
        <w:t>Ibid.</w:t>
      </w:r>
      <w:r w:rsidRPr="00D23C94">
        <w:rPr>
          <w:lang w:val="pt-PT"/>
        </w:rPr>
        <w:t>,</w:t>
      </w:r>
      <w:r w:rsidR="00423FC7">
        <w:rPr>
          <w:lang w:val="pt-PT"/>
        </w:rPr>
        <w:t xml:space="preserve"> </w:t>
      </w:r>
      <w:r w:rsidRPr="00D23C94">
        <w:rPr>
          <w:lang w:val="pt-PT"/>
        </w:rPr>
        <w:t>p</w:t>
      </w:r>
      <w:r>
        <w:rPr>
          <w:lang w:val="pt-PT"/>
        </w:rPr>
        <w:t>ara</w:t>
      </w:r>
      <w:r w:rsidRPr="00D23C94">
        <w:rPr>
          <w:lang w:val="pt-PT"/>
        </w:rPr>
        <w:t>.</w:t>
      </w:r>
      <w:r w:rsidR="00423FC7">
        <w:rPr>
          <w:lang w:val="pt-PT"/>
        </w:rPr>
        <w:t xml:space="preserve"> </w:t>
      </w:r>
      <w:r w:rsidRPr="00D23C94">
        <w:rPr>
          <w:lang w:val="pt-PT"/>
        </w:rPr>
        <w:t>159.</w:t>
      </w:r>
    </w:p>
  </w:footnote>
  <w:footnote w:id="6">
    <w:p w14:paraId="1331F2E4" w14:textId="1C5F9D78" w:rsidR="001C6319" w:rsidRPr="00D23C94" w:rsidRDefault="001C6319" w:rsidP="001C6319">
      <w:pPr>
        <w:pStyle w:val="FootnoteText"/>
        <w:rPr>
          <w:lang w:val="pt-PT"/>
        </w:rPr>
      </w:pPr>
      <w:r>
        <w:rPr>
          <w:lang w:val="pt-PT"/>
        </w:rPr>
        <w:tab/>
      </w:r>
      <w:r w:rsidRPr="00423FC7">
        <w:rPr>
          <w:rStyle w:val="FootnoteReference"/>
        </w:rPr>
        <w:footnoteRef/>
      </w:r>
      <w:r w:rsidRPr="00423FC7">
        <w:rPr>
          <w:rStyle w:val="FootnoteReference"/>
        </w:rPr>
        <w:tab/>
      </w:r>
      <w:hyperlink r:id="rId3" w:history="1">
        <w:r w:rsidRPr="00722AB4">
          <w:rPr>
            <w:rStyle w:val="Hyperlink"/>
            <w:lang w:val="pt-PT"/>
          </w:rPr>
          <w:t>CERD/C/BOL/</w:t>
        </w:r>
        <w:r w:rsidRPr="00722AB4">
          <w:rPr>
            <w:rStyle w:val="Hyperlink"/>
            <w:lang w:val="pt-PT"/>
          </w:rPr>
          <w:t>C</w:t>
        </w:r>
        <w:r w:rsidRPr="00722AB4">
          <w:rPr>
            <w:rStyle w:val="Hyperlink"/>
            <w:lang w:val="pt-PT"/>
          </w:rPr>
          <w:t>O/</w:t>
        </w:r>
        <w:r w:rsidRPr="00722AB4">
          <w:rPr>
            <w:rStyle w:val="Hyperlink"/>
            <w:lang w:val="pt-PT"/>
          </w:rPr>
          <w:t>1</w:t>
        </w:r>
        <w:r w:rsidRPr="00722AB4">
          <w:rPr>
            <w:rStyle w:val="Hyperlink"/>
            <w:lang w:val="pt-PT"/>
          </w:rPr>
          <w:t>7-20</w:t>
        </w:r>
      </w:hyperlink>
      <w:r w:rsidRPr="00D23C94">
        <w:rPr>
          <w:lang w:val="pt-PT"/>
        </w:rPr>
        <w:t>,</w:t>
      </w:r>
      <w:r w:rsidR="00423FC7">
        <w:rPr>
          <w:lang w:val="pt-PT"/>
        </w:rPr>
        <w:t xml:space="preserve"> </w:t>
      </w:r>
      <w:r w:rsidRPr="00D23C94">
        <w:rPr>
          <w:lang w:val="pt-PT"/>
        </w:rPr>
        <w:t>p</w:t>
      </w:r>
      <w:r>
        <w:rPr>
          <w:lang w:val="pt-PT"/>
        </w:rPr>
        <w:t>ara</w:t>
      </w:r>
      <w:r w:rsidRPr="00D23C94">
        <w:rPr>
          <w:lang w:val="pt-PT"/>
        </w:rPr>
        <w:t>.</w:t>
      </w:r>
      <w:r w:rsidR="00423FC7">
        <w:rPr>
          <w:lang w:val="pt-PT"/>
        </w:rPr>
        <w:t xml:space="preserve"> </w:t>
      </w:r>
      <w:r w:rsidRPr="00D23C94">
        <w:rPr>
          <w:lang w:val="pt-PT"/>
        </w:rPr>
        <w:t>20.</w:t>
      </w:r>
    </w:p>
  </w:footnote>
  <w:footnote w:id="7">
    <w:p w14:paraId="7E3FC42E" w14:textId="77777777" w:rsidR="001C6319" w:rsidRPr="00D23C94" w:rsidRDefault="001C6319" w:rsidP="001C6319">
      <w:pPr>
        <w:pStyle w:val="FootnoteText"/>
        <w:rPr>
          <w:lang w:val="pt-PT"/>
        </w:rPr>
      </w:pPr>
      <w:r>
        <w:rPr>
          <w:lang w:val="pt-PT"/>
        </w:rPr>
        <w:tab/>
      </w:r>
      <w:r w:rsidRPr="00423FC7">
        <w:rPr>
          <w:rStyle w:val="FootnoteReference"/>
        </w:rPr>
        <w:footnoteRef/>
      </w:r>
      <w:r w:rsidRPr="00423FC7">
        <w:rPr>
          <w:rStyle w:val="FootnoteReference"/>
        </w:rPr>
        <w:tab/>
      </w:r>
      <w:r w:rsidRPr="008F4C8C">
        <w:rPr>
          <w:lang w:val="pt-PT"/>
        </w:rPr>
        <w:t>Ibid</w:t>
      </w:r>
      <w:r w:rsidRPr="00D23C94">
        <w:rPr>
          <w:lang w:val="pt-PT"/>
        </w:rPr>
        <w:t>.</w:t>
      </w:r>
    </w:p>
  </w:footnote>
  <w:footnote w:id="8">
    <w:p w14:paraId="6F56111E" w14:textId="215DB38F" w:rsidR="001C6319" w:rsidRPr="00890513" w:rsidRDefault="001C6319" w:rsidP="001C6319">
      <w:pPr>
        <w:pStyle w:val="FootnoteText"/>
        <w:rPr>
          <w:lang w:val="pt-PT"/>
        </w:rPr>
      </w:pPr>
      <w:r>
        <w:rPr>
          <w:lang w:val="pt-PT"/>
        </w:rPr>
        <w:tab/>
      </w:r>
      <w:r w:rsidRPr="00423FC7">
        <w:rPr>
          <w:rStyle w:val="FootnoteReference"/>
        </w:rPr>
        <w:footnoteRef/>
      </w:r>
      <w:r w:rsidRPr="00423FC7">
        <w:rPr>
          <w:rStyle w:val="FootnoteReference"/>
        </w:rPr>
        <w:tab/>
      </w:r>
      <w:hyperlink r:id="rId4" w:history="1">
        <w:r w:rsidRPr="00722AB4">
          <w:rPr>
            <w:rStyle w:val="Hyperlink"/>
            <w:lang w:val="pt-PT"/>
          </w:rPr>
          <w:t>CERD/C/B</w:t>
        </w:r>
        <w:r w:rsidRPr="00722AB4">
          <w:rPr>
            <w:rStyle w:val="Hyperlink"/>
            <w:lang w:val="pt-PT"/>
          </w:rPr>
          <w:t>O</w:t>
        </w:r>
        <w:r w:rsidRPr="00722AB4">
          <w:rPr>
            <w:rStyle w:val="Hyperlink"/>
            <w:lang w:val="pt-PT"/>
          </w:rPr>
          <w:t>L/21-24</w:t>
        </w:r>
      </w:hyperlink>
      <w:r w:rsidRPr="00D23C94">
        <w:rPr>
          <w:lang w:val="pt-PT"/>
        </w:rPr>
        <w:t>,</w:t>
      </w:r>
      <w:r w:rsidR="00423FC7">
        <w:rPr>
          <w:lang w:val="pt-PT"/>
        </w:rPr>
        <w:t xml:space="preserve"> </w:t>
      </w:r>
      <w:r w:rsidRPr="00D23C94">
        <w:rPr>
          <w:lang w:val="pt-PT"/>
        </w:rPr>
        <w:t>p</w:t>
      </w:r>
      <w:r>
        <w:rPr>
          <w:lang w:val="pt-PT"/>
        </w:rPr>
        <w:t>ara</w:t>
      </w:r>
      <w:r w:rsidRPr="00D23C94">
        <w:rPr>
          <w:lang w:val="pt-PT"/>
        </w:rPr>
        <w:t>s.</w:t>
      </w:r>
      <w:r w:rsidR="00423FC7">
        <w:rPr>
          <w:lang w:val="pt-PT"/>
        </w:rPr>
        <w:t xml:space="preserve"> </w:t>
      </w:r>
      <w:r w:rsidRPr="00890513">
        <w:rPr>
          <w:lang w:val="pt-PT"/>
        </w:rPr>
        <w:t>71</w:t>
      </w:r>
      <w:r w:rsidR="00423FC7">
        <w:rPr>
          <w:lang w:val="pt-PT"/>
        </w:rPr>
        <w:t xml:space="preserve"> </w:t>
      </w:r>
      <w:r>
        <w:rPr>
          <w:lang w:val="pt-PT"/>
        </w:rPr>
        <w:t>and</w:t>
      </w:r>
      <w:r w:rsidR="00423FC7">
        <w:rPr>
          <w:lang w:val="pt-PT"/>
        </w:rPr>
        <w:t xml:space="preserve"> </w:t>
      </w:r>
      <w:r w:rsidRPr="00890513">
        <w:rPr>
          <w:lang w:val="pt-PT"/>
        </w:rPr>
        <w:t>124.</w:t>
      </w:r>
    </w:p>
  </w:footnote>
  <w:footnote w:id="9">
    <w:p w14:paraId="53DBA834" w14:textId="140A05E1" w:rsidR="001C6319" w:rsidRPr="00890513" w:rsidRDefault="001C6319" w:rsidP="001C6319">
      <w:pPr>
        <w:pStyle w:val="FootnoteText"/>
        <w:rPr>
          <w:lang w:val="pt-PT"/>
        </w:rPr>
      </w:pPr>
      <w:r w:rsidRPr="00890513">
        <w:rPr>
          <w:lang w:val="pt-PT"/>
        </w:rPr>
        <w:tab/>
      </w:r>
      <w:r w:rsidRPr="00423FC7">
        <w:rPr>
          <w:rStyle w:val="FootnoteReference"/>
        </w:rPr>
        <w:footnoteRef/>
      </w:r>
      <w:r w:rsidRPr="00423FC7">
        <w:rPr>
          <w:rStyle w:val="FootnoteReference"/>
        </w:rPr>
        <w:tab/>
      </w:r>
      <w:r w:rsidRPr="008F4C8C">
        <w:rPr>
          <w:lang w:val="pt-PT"/>
        </w:rPr>
        <w:t>Ibid</w:t>
      </w:r>
      <w:r w:rsidRPr="00890513">
        <w:rPr>
          <w:lang w:val="pt-PT"/>
        </w:rPr>
        <w:t>.,</w:t>
      </w:r>
      <w:r w:rsidR="00423FC7">
        <w:rPr>
          <w:lang w:val="pt-PT"/>
        </w:rPr>
        <w:t xml:space="preserve"> </w:t>
      </w:r>
      <w:r w:rsidRPr="00890513">
        <w:rPr>
          <w:lang w:val="pt-PT"/>
        </w:rPr>
        <w:t>p</w:t>
      </w:r>
      <w:r>
        <w:rPr>
          <w:lang w:val="pt-PT"/>
        </w:rPr>
        <w:t>ara</w:t>
      </w:r>
      <w:r w:rsidRPr="00890513">
        <w:rPr>
          <w:lang w:val="pt-PT"/>
        </w:rPr>
        <w:t>.</w:t>
      </w:r>
      <w:r w:rsidR="00423FC7">
        <w:rPr>
          <w:lang w:val="pt-PT"/>
        </w:rPr>
        <w:t xml:space="preserve"> </w:t>
      </w:r>
      <w:r w:rsidRPr="00890513">
        <w:rPr>
          <w:lang w:val="pt-PT"/>
        </w:rPr>
        <w:t>151.</w:t>
      </w:r>
    </w:p>
  </w:footnote>
  <w:footnote w:id="10">
    <w:p w14:paraId="2CD0B9EB" w14:textId="258EDA01" w:rsidR="001C6319" w:rsidRPr="00890513" w:rsidRDefault="001C6319" w:rsidP="001C6319">
      <w:pPr>
        <w:pStyle w:val="FootnoteText"/>
      </w:pPr>
      <w:r w:rsidRPr="00890513">
        <w:rPr>
          <w:lang w:val="pt-PT"/>
        </w:rPr>
        <w:tab/>
      </w:r>
      <w:r w:rsidRPr="00423FC7">
        <w:rPr>
          <w:rStyle w:val="FootnoteReference"/>
        </w:rPr>
        <w:footnoteRef/>
      </w:r>
      <w:r w:rsidRPr="00423FC7">
        <w:rPr>
          <w:rStyle w:val="FootnoteReference"/>
        </w:rPr>
        <w:tab/>
      </w:r>
      <w:r w:rsidRPr="008F4C8C">
        <w:rPr>
          <w:lang w:val="pt-PT"/>
        </w:rPr>
        <w:t>Ibid</w:t>
      </w:r>
      <w:r w:rsidRPr="00890513">
        <w:rPr>
          <w:lang w:val="pt-PT"/>
        </w:rPr>
        <w:t>.,</w:t>
      </w:r>
      <w:r w:rsidR="00423FC7">
        <w:rPr>
          <w:lang w:val="pt-PT"/>
        </w:rPr>
        <w:t xml:space="preserve"> </w:t>
      </w:r>
      <w:r w:rsidRPr="00890513">
        <w:rPr>
          <w:lang w:val="pt-PT"/>
        </w:rPr>
        <w:t>p</w:t>
      </w:r>
      <w:r>
        <w:rPr>
          <w:lang w:val="pt-PT"/>
        </w:rPr>
        <w:t>ara</w:t>
      </w:r>
      <w:r w:rsidRPr="00890513">
        <w:rPr>
          <w:lang w:val="pt-PT"/>
        </w:rPr>
        <w:t>.</w:t>
      </w:r>
      <w:r w:rsidR="00423FC7">
        <w:rPr>
          <w:lang w:val="pt-PT"/>
        </w:rPr>
        <w:t xml:space="preserve"> </w:t>
      </w:r>
      <w:r w:rsidRPr="00890513">
        <w:t>105.</w:t>
      </w:r>
    </w:p>
  </w:footnote>
  <w:footnote w:id="11">
    <w:p w14:paraId="5E793CD8" w14:textId="02164781" w:rsidR="001C6319" w:rsidRPr="00890513" w:rsidRDefault="001C6319" w:rsidP="001C6319">
      <w:pPr>
        <w:pStyle w:val="FootnoteText"/>
      </w:pPr>
      <w:r w:rsidRPr="00890513">
        <w:tab/>
      </w:r>
      <w:r w:rsidRPr="00423FC7">
        <w:rPr>
          <w:rStyle w:val="FootnoteReference"/>
        </w:rPr>
        <w:footnoteRef/>
      </w:r>
      <w:r w:rsidRPr="00423FC7">
        <w:rPr>
          <w:rStyle w:val="FootnoteReference"/>
        </w:rPr>
        <w:tab/>
      </w:r>
      <w:r w:rsidRPr="008F4C8C">
        <w:t>Ibid</w:t>
      </w:r>
      <w:r w:rsidRPr="00890513">
        <w:t>.,</w:t>
      </w:r>
      <w:r w:rsidR="00423FC7">
        <w:t xml:space="preserve"> </w:t>
      </w:r>
      <w:r w:rsidRPr="00890513">
        <w:t>p</w:t>
      </w:r>
      <w:r>
        <w:t>ara</w:t>
      </w:r>
      <w:r w:rsidRPr="00890513">
        <w:t>.</w:t>
      </w:r>
      <w:r w:rsidR="00423FC7">
        <w:t xml:space="preserve"> </w:t>
      </w:r>
      <w:r w:rsidRPr="00890513">
        <w:t>79.</w:t>
      </w:r>
    </w:p>
  </w:footnote>
  <w:footnote w:id="12">
    <w:p w14:paraId="6C200774" w14:textId="29F72A31" w:rsidR="001C6319" w:rsidRDefault="001C6319" w:rsidP="001C6319">
      <w:pPr>
        <w:pStyle w:val="FootnoteText"/>
      </w:pPr>
      <w:r w:rsidRPr="00890513">
        <w:tab/>
      </w:r>
      <w:r w:rsidRPr="00423FC7">
        <w:rPr>
          <w:rStyle w:val="FootnoteReference"/>
        </w:rPr>
        <w:footnoteRef/>
      </w:r>
      <w:r w:rsidRPr="00423FC7">
        <w:rPr>
          <w:rStyle w:val="FootnoteReference"/>
        </w:rPr>
        <w:tab/>
      </w:r>
      <w:hyperlink r:id="rId5" w:history="1">
        <w:r w:rsidRPr="00722AB4">
          <w:rPr>
            <w:rStyle w:val="Hyperlink"/>
          </w:rPr>
          <w:t>CERD/C/BOL/CO</w:t>
        </w:r>
        <w:r w:rsidRPr="00722AB4">
          <w:rPr>
            <w:rStyle w:val="Hyperlink"/>
          </w:rPr>
          <w:t>/</w:t>
        </w:r>
        <w:r w:rsidRPr="00722AB4">
          <w:rPr>
            <w:rStyle w:val="Hyperlink"/>
          </w:rPr>
          <w:t>17-20</w:t>
        </w:r>
      </w:hyperlink>
      <w:r w:rsidRPr="00CB747B">
        <w:rPr>
          <w:color w:val="000000" w:themeColor="text1"/>
        </w:rPr>
        <w:t>,</w:t>
      </w:r>
      <w:r w:rsidR="00423FC7">
        <w:rPr>
          <w:color w:val="000000" w:themeColor="text1"/>
        </w:rPr>
        <w:t xml:space="preserve"> </w:t>
      </w:r>
      <w:r w:rsidRPr="00CB747B">
        <w:rPr>
          <w:color w:val="000000" w:themeColor="text1"/>
        </w:rPr>
        <w:t>p</w:t>
      </w:r>
      <w:r>
        <w:rPr>
          <w:color w:val="000000" w:themeColor="text1"/>
        </w:rPr>
        <w:t>ara</w:t>
      </w:r>
      <w:r w:rsidRPr="00CB747B">
        <w:rPr>
          <w:color w:val="000000" w:themeColor="text1"/>
        </w:rPr>
        <w:t>s.</w:t>
      </w:r>
      <w:r w:rsidR="00423FC7">
        <w:rPr>
          <w:color w:val="000000" w:themeColor="text1"/>
        </w:rPr>
        <w:t xml:space="preserve"> </w:t>
      </w:r>
      <w:r w:rsidRPr="006C6E75">
        <w:rPr>
          <w:color w:val="000000" w:themeColor="text1"/>
          <w:lang w:val="es-419"/>
        </w:rPr>
        <w:t>19</w:t>
      </w:r>
      <w:r w:rsidR="00423FC7">
        <w:rPr>
          <w:color w:val="000000" w:themeColor="text1"/>
          <w:lang w:val="es-419"/>
        </w:rPr>
        <w:t xml:space="preserve"> </w:t>
      </w:r>
      <w:r>
        <w:rPr>
          <w:color w:val="000000" w:themeColor="text1"/>
          <w:lang w:val="es-419"/>
        </w:rPr>
        <w:t>and</w:t>
      </w:r>
      <w:r w:rsidR="00423FC7">
        <w:rPr>
          <w:color w:val="000000" w:themeColor="text1"/>
          <w:lang w:val="es-419"/>
        </w:rPr>
        <w:t xml:space="preserve"> </w:t>
      </w:r>
      <w:r w:rsidRPr="006C6E75">
        <w:rPr>
          <w:color w:val="000000" w:themeColor="text1"/>
          <w:lang w:val="es-419"/>
        </w:rPr>
        <w:t>20</w:t>
      </w:r>
      <w:r>
        <w:rPr>
          <w:color w:val="000000" w:themeColor="text1"/>
          <w:lang w:val="es-419"/>
        </w:rPr>
        <w:t>.</w:t>
      </w:r>
    </w:p>
  </w:footnote>
  <w:footnote w:id="13">
    <w:p w14:paraId="23CAD6F1" w14:textId="445B1E03" w:rsidR="001C6319" w:rsidRDefault="001C6319" w:rsidP="001C6319">
      <w:pPr>
        <w:pStyle w:val="FootnoteText"/>
      </w:pPr>
      <w:r>
        <w:tab/>
      </w:r>
      <w:r w:rsidRPr="00423FC7">
        <w:rPr>
          <w:rStyle w:val="FootnoteReference"/>
        </w:rPr>
        <w:footnoteRef/>
      </w:r>
      <w:r w:rsidRPr="00423FC7">
        <w:rPr>
          <w:rStyle w:val="FootnoteReference"/>
        </w:rPr>
        <w:tab/>
      </w:r>
      <w:r w:rsidRPr="008F4C8C">
        <w:t>Ibid</w:t>
      </w:r>
      <w:r>
        <w:t>.,</w:t>
      </w:r>
      <w:r w:rsidR="00423FC7">
        <w:t xml:space="preserve"> </w:t>
      </w:r>
      <w:r>
        <w:t>para.</w:t>
      </w:r>
      <w:r w:rsidR="00423FC7">
        <w:t xml:space="preserve"> </w:t>
      </w:r>
      <w:r>
        <w:t>22.</w:t>
      </w:r>
    </w:p>
  </w:footnote>
  <w:footnote w:id="14">
    <w:p w14:paraId="37A4A14F" w14:textId="26CCD9D1" w:rsidR="001C6319" w:rsidRDefault="001C6319" w:rsidP="001C6319">
      <w:pPr>
        <w:pStyle w:val="FootnoteText"/>
      </w:pPr>
      <w:r>
        <w:tab/>
      </w:r>
      <w:r w:rsidRPr="00423FC7">
        <w:rPr>
          <w:rStyle w:val="FootnoteReference"/>
        </w:rPr>
        <w:footnoteRef/>
      </w:r>
      <w:r w:rsidRPr="00423FC7">
        <w:rPr>
          <w:rStyle w:val="FootnoteReference"/>
        </w:rPr>
        <w:tab/>
      </w:r>
      <w:hyperlink r:id="rId6" w:history="1">
        <w:r w:rsidRPr="00722AB4">
          <w:rPr>
            <w:rStyle w:val="Hyperlink"/>
          </w:rPr>
          <w:t>CERD/C/BOL/2</w:t>
        </w:r>
        <w:r w:rsidRPr="00722AB4">
          <w:rPr>
            <w:rStyle w:val="Hyperlink"/>
          </w:rPr>
          <w:t>1</w:t>
        </w:r>
        <w:r w:rsidRPr="00722AB4">
          <w:rPr>
            <w:rStyle w:val="Hyperlink"/>
          </w:rPr>
          <w:t>-24</w:t>
        </w:r>
      </w:hyperlink>
      <w:r>
        <w:t>,</w:t>
      </w:r>
      <w:r w:rsidR="00423FC7">
        <w:t xml:space="preserve"> </w:t>
      </w:r>
      <w:r>
        <w:t>paras.</w:t>
      </w:r>
      <w:r w:rsidR="00423FC7">
        <w:t xml:space="preserve"> </w:t>
      </w:r>
      <w:r>
        <w:t>188</w:t>
      </w:r>
      <w:r w:rsidR="00423FC7">
        <w:t xml:space="preserve"> </w:t>
      </w:r>
      <w:r>
        <w:t>and</w:t>
      </w:r>
      <w:r w:rsidR="00423FC7">
        <w:t xml:space="preserve"> </w:t>
      </w:r>
      <w:r>
        <w:t>190.</w:t>
      </w:r>
    </w:p>
  </w:footnote>
  <w:footnote w:id="15">
    <w:p w14:paraId="41CD31A9" w14:textId="293F43A0" w:rsidR="001C6319" w:rsidRDefault="001C6319" w:rsidP="001C6319">
      <w:pPr>
        <w:pStyle w:val="FootnoteText"/>
      </w:pPr>
      <w:r>
        <w:tab/>
      </w:r>
      <w:r w:rsidRPr="00423FC7">
        <w:rPr>
          <w:rStyle w:val="FootnoteReference"/>
        </w:rPr>
        <w:footnoteRef/>
      </w:r>
      <w:r w:rsidRPr="00423FC7">
        <w:rPr>
          <w:rStyle w:val="FootnoteReference"/>
        </w:rPr>
        <w:tab/>
      </w:r>
      <w:hyperlink r:id="rId7" w:history="1">
        <w:r w:rsidRPr="00722AB4">
          <w:rPr>
            <w:rStyle w:val="Hyperlink"/>
          </w:rPr>
          <w:t>CERD/C/</w:t>
        </w:r>
        <w:r w:rsidRPr="00722AB4">
          <w:rPr>
            <w:rStyle w:val="Hyperlink"/>
          </w:rPr>
          <w:t>B</w:t>
        </w:r>
        <w:r w:rsidRPr="00722AB4">
          <w:rPr>
            <w:rStyle w:val="Hyperlink"/>
          </w:rPr>
          <w:t>OL/CO/17-20</w:t>
        </w:r>
      </w:hyperlink>
      <w:r w:rsidRPr="00CB747B">
        <w:t>,</w:t>
      </w:r>
      <w:r w:rsidR="00423FC7">
        <w:t xml:space="preserve"> </w:t>
      </w:r>
      <w:r w:rsidRPr="00CB747B">
        <w:t>p</w:t>
      </w:r>
      <w:r>
        <w:t>ara</w:t>
      </w:r>
      <w:r w:rsidRPr="00CB747B">
        <w:t>s.</w:t>
      </w:r>
      <w:r w:rsidR="00423FC7">
        <w:t xml:space="preserve"> </w:t>
      </w:r>
      <w:r w:rsidRPr="00C62BE5">
        <w:rPr>
          <w:lang w:val="es-419"/>
        </w:rPr>
        <w:t>11</w:t>
      </w:r>
      <w:r w:rsidR="00423FC7">
        <w:rPr>
          <w:lang w:val="es-419"/>
        </w:rPr>
        <w:t xml:space="preserve"> </w:t>
      </w:r>
      <w:r>
        <w:rPr>
          <w:lang w:val="es-419"/>
        </w:rPr>
        <w:t>and</w:t>
      </w:r>
      <w:r w:rsidR="00423FC7">
        <w:rPr>
          <w:lang w:val="es-419"/>
        </w:rPr>
        <w:t xml:space="preserve"> </w:t>
      </w:r>
      <w:r w:rsidRPr="00C62BE5">
        <w:rPr>
          <w:lang w:val="es-419"/>
        </w:rPr>
        <w:t>17</w:t>
      </w:r>
      <w:r>
        <w:rPr>
          <w:lang w:val="es-419"/>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6996F" w14:textId="77777777" w:rsidR="001C6319" w:rsidRDefault="001C6319" w:rsidP="001C6319">
    <w:pPr>
      <w:pStyle w:val="Header"/>
    </w:pPr>
    <w:r>
      <w:t>CERD/C/BOL/Q/21-24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310DC" w14:textId="77777777" w:rsidR="001C6319" w:rsidRDefault="001C6319" w:rsidP="001C6319">
    <w:pPr>
      <w:pStyle w:val="Header"/>
      <w:jc w:val="right"/>
    </w:pPr>
    <w:r>
      <w:t>CERD/C/BOL/Q/21-24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D70CC7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BB47F6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DAA4AE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E0339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484BE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68C32D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9621EF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504B98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582FD9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0DC60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activeWritingStyle w:appName="MSWord" w:lang="en-GB" w:vendorID="64" w:dllVersion="6" w:nlCheck="1" w:checkStyle="0"/>
  <w:activeWritingStyle w:appName="MSWord" w:lang="en-GB" w:vendorID="64" w:dllVersion="0" w:nlCheck="1" w:checkStyle="0"/>
  <w:activeWritingStyle w:appName="MSWord" w:lang="es-419" w:vendorID="64" w:dllVersion="0" w:nlCheck="1" w:checkStyle="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06D"/>
    <w:rsid w:val="00021C97"/>
    <w:rsid w:val="00046E92"/>
    <w:rsid w:val="0007506D"/>
    <w:rsid w:val="001C3218"/>
    <w:rsid w:val="001C6319"/>
    <w:rsid w:val="00247E2C"/>
    <w:rsid w:val="002D6C53"/>
    <w:rsid w:val="002F5595"/>
    <w:rsid w:val="00307688"/>
    <w:rsid w:val="00334F6A"/>
    <w:rsid w:val="00342AC8"/>
    <w:rsid w:val="003B4550"/>
    <w:rsid w:val="00423FC7"/>
    <w:rsid w:val="004573ED"/>
    <w:rsid w:val="00461253"/>
    <w:rsid w:val="005042C2"/>
    <w:rsid w:val="00557F19"/>
    <w:rsid w:val="00671529"/>
    <w:rsid w:val="00722AB4"/>
    <w:rsid w:val="007233F9"/>
    <w:rsid w:val="007268F9"/>
    <w:rsid w:val="00735147"/>
    <w:rsid w:val="007C52B0"/>
    <w:rsid w:val="00883988"/>
    <w:rsid w:val="008E0F96"/>
    <w:rsid w:val="008F4C8C"/>
    <w:rsid w:val="009411B4"/>
    <w:rsid w:val="009D0139"/>
    <w:rsid w:val="009F5CDC"/>
    <w:rsid w:val="00A0297D"/>
    <w:rsid w:val="00A775CF"/>
    <w:rsid w:val="00A8196B"/>
    <w:rsid w:val="00B06045"/>
    <w:rsid w:val="00B44AF0"/>
    <w:rsid w:val="00B65189"/>
    <w:rsid w:val="00C01462"/>
    <w:rsid w:val="00C35A27"/>
    <w:rsid w:val="00CB1FB9"/>
    <w:rsid w:val="00D70FE1"/>
    <w:rsid w:val="00DA7116"/>
    <w:rsid w:val="00DE532E"/>
    <w:rsid w:val="00E02C2B"/>
    <w:rsid w:val="00ED6C48"/>
    <w:rsid w:val="00F65F5D"/>
    <w:rsid w:val="00F86A3A"/>
    <w:rsid w:val="00FF69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EC7ABD2"/>
  <w15:docId w15:val="{16DE556A-87E5-417F-8EBC-9E909655A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C8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722AB4"/>
    <w:rPr>
      <w:color w:val="0000FF" w:themeColor="hyperlink"/>
      <w:u w:val="none"/>
    </w:rPr>
  </w:style>
  <w:style w:type="character" w:styleId="UnresolvedMention">
    <w:name w:val="Unresolved Mention"/>
    <w:basedOn w:val="DefaultParagraphFont"/>
    <w:uiPriority w:val="99"/>
    <w:semiHidden/>
    <w:unhideWhenUsed/>
    <w:rsid w:val="00722AB4"/>
    <w:rPr>
      <w:color w:val="605E5C"/>
      <w:shd w:val="clear" w:color="auto" w:fill="E1DFDD"/>
    </w:rPr>
  </w:style>
  <w:style w:type="character" w:styleId="FollowedHyperlink">
    <w:name w:val="FollowedHyperlink"/>
    <w:basedOn w:val="DefaultParagraphFont"/>
    <w:uiPriority w:val="99"/>
    <w:semiHidden/>
    <w:unhideWhenUsed/>
    <w:rsid w:val="00722AB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BOL/CO/17-20" TargetMode="External"/><Relationship Id="rId7" Type="http://schemas.openxmlformats.org/officeDocument/2006/relationships/hyperlink" Target="http://undocs.org/en/CERD/C/BOL/CO/17-20" TargetMode="External"/><Relationship Id="rId2" Type="http://schemas.openxmlformats.org/officeDocument/2006/relationships/hyperlink" Target="https://undocs.org/en/CERD/C/BOL/21-24" TargetMode="External"/><Relationship Id="rId1" Type="http://schemas.openxmlformats.org/officeDocument/2006/relationships/hyperlink" Target="http://undocs.org/en/A/65/18" TargetMode="External"/><Relationship Id="rId6" Type="http://schemas.openxmlformats.org/officeDocument/2006/relationships/hyperlink" Target="http://undocs.org/en/CERD/C/BOL/21-24" TargetMode="External"/><Relationship Id="rId5" Type="http://schemas.openxmlformats.org/officeDocument/2006/relationships/hyperlink" Target="http://undocs.org/en/CERD/C/BOL/CO/17-20" TargetMode="External"/><Relationship Id="rId4" Type="http://schemas.openxmlformats.org/officeDocument/2006/relationships/hyperlink" Target="http://undocs.org/en/CERD/C/BOL/21-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4</Pages>
  <Words>1299</Words>
  <Characters>7998</Characters>
  <Application>Microsoft Office Word</Application>
  <DocSecurity>0</DocSecurity>
  <Lines>139</Lines>
  <Paragraphs>50</Paragraphs>
  <ScaleCrop>false</ScaleCrop>
  <HeadingPairs>
    <vt:vector size="2" baseType="variant">
      <vt:variant>
        <vt:lpstr>Title</vt:lpstr>
      </vt:variant>
      <vt:variant>
        <vt:i4>1</vt:i4>
      </vt:variant>
    </vt:vector>
  </HeadingPairs>
  <TitlesOfParts>
    <vt:vector size="1" baseType="lpstr">
      <vt:lpstr>CERD/C/BOL/Q/21-24</vt:lpstr>
    </vt:vector>
  </TitlesOfParts>
  <Company>DCM</Company>
  <LinksUpToDate>false</LinksUpToDate>
  <CharactersWithSpaces>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CERD/C/BOL/Q/21-24</dc:title>
  <dc:subject>2203747</dc:subject>
  <dc:creator>Brigoli</dc:creator>
  <cp:keywords/>
  <dc:description/>
  <cp:lastModifiedBy>Ma. Cristina Brigoli</cp:lastModifiedBy>
  <cp:revision>3</cp:revision>
  <cp:lastPrinted>2022-04-01T13:04:00Z</cp:lastPrinted>
  <dcterms:created xsi:type="dcterms:W3CDTF">2022-04-01T13:03:00Z</dcterms:created>
  <dcterms:modified xsi:type="dcterms:W3CDTF">2022-04-01T13:04:00Z</dcterms:modified>
</cp:coreProperties>
</file>