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93288D" w14:textId="77777777" w:rsidR="00BD4B10" w:rsidRDefault="00BD4B10" w:rsidP="00BD4B10">
      <w:pPr>
        <w:spacing w:line="60" w:lineRule="exact"/>
        <w:rPr>
          <w:sz w:val="2"/>
        </w:rPr>
        <w:sectPr w:rsidR="00BD4B10" w:rsidSect="00015A02">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commentRangeStart w:id="0"/>
      <w:commentRangeEnd w:id="0"/>
      <w:r>
        <w:rPr>
          <w:rStyle w:val="ad"/>
        </w:rPr>
        <w:commentReference w:id="0"/>
      </w:r>
    </w:p>
    <w:p w14:paraId="32E35727" w14:textId="77777777" w:rsidR="00155FC2" w:rsidRDefault="00155FC2" w:rsidP="00155FC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pPr>
      <w:r>
        <w:rPr>
          <w:rFonts w:hint="eastAsia"/>
        </w:rPr>
        <w:t>消除对妇女歧视委员会</w:t>
      </w:r>
    </w:p>
    <w:p w14:paraId="72D536A0" w14:textId="3F85B9C1" w:rsidR="00155FC2" w:rsidRDefault="00155FC2" w:rsidP="00155FC2">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Pr>
          <w:rFonts w:hint="eastAsia"/>
        </w:rPr>
        <w:tab/>
      </w:r>
      <w:r>
        <w:rPr>
          <w:rFonts w:hint="eastAsia"/>
        </w:rPr>
        <w:tab/>
      </w:r>
      <w:r>
        <w:rPr>
          <w:rFonts w:hint="eastAsia"/>
        </w:rPr>
        <w:t>关于津巴布韦第六次定期报告的结论性意见</w:t>
      </w:r>
      <w:r w:rsidR="00623CE1">
        <w:rPr>
          <w:rFonts w:hint="eastAsia"/>
        </w:rPr>
        <w:t>*</w:t>
      </w:r>
    </w:p>
    <w:p w14:paraId="70BB4F52" w14:textId="13AC4763" w:rsidR="00BA7C36" w:rsidRPr="00BA7C36" w:rsidRDefault="00BA7C36" w:rsidP="00BA7C3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61312" behindDoc="0" locked="0" layoutInCell="1" allowOverlap="1" wp14:anchorId="5EBD9430" wp14:editId="304126EA">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791B41"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NXDFrXpAQAACQQAAA4AAAAAAAAAAAAAAAAALgIAAGRycy9lMm9Eb2MueG1s&#10;UEsBAi0AFAAGAAgAAAAhAGXMB5TdAAAACAEAAA8AAAAAAAAAAAAAAAAAQwQAAGRycy9kb3ducmV2&#10;LnhtbFBLBQYAAAAABAAEAPMAAABNBQAAAAA=&#10;" strokecolor="#010000" strokeweight=".25pt"/>
            </w:pict>
          </mc:Fallback>
        </mc:AlternateContent>
      </w:r>
      <w:r>
        <w:rPr>
          <w:sz w:val="18"/>
        </w:rPr>
        <w:tab/>
      </w:r>
      <w:r>
        <w:rPr>
          <w:rFonts w:hint="eastAsia"/>
          <w:sz w:val="18"/>
        </w:rPr>
        <w:t>*</w:t>
      </w:r>
      <w:r>
        <w:rPr>
          <w:sz w:val="18"/>
        </w:rPr>
        <w:tab/>
      </w:r>
      <w:r w:rsidRPr="00BA7C36">
        <w:rPr>
          <w:rFonts w:hint="eastAsia"/>
          <w:sz w:val="18"/>
        </w:rPr>
        <w:t>委员会第七十五届会议</w:t>
      </w:r>
      <w:r w:rsidRPr="00BA7C36">
        <w:rPr>
          <w:rFonts w:hint="eastAsia"/>
          <w:sz w:val="18"/>
        </w:rPr>
        <w:t>(2020</w:t>
      </w:r>
      <w:r w:rsidRPr="00BA7C36">
        <w:rPr>
          <w:rFonts w:hint="eastAsia"/>
          <w:sz w:val="18"/>
        </w:rPr>
        <w:t>年</w:t>
      </w:r>
      <w:r w:rsidRPr="00BA7C36">
        <w:rPr>
          <w:rFonts w:hint="eastAsia"/>
          <w:sz w:val="18"/>
        </w:rPr>
        <w:t>2</w:t>
      </w:r>
      <w:r w:rsidRPr="00BA7C36">
        <w:rPr>
          <w:rFonts w:hint="eastAsia"/>
          <w:sz w:val="18"/>
        </w:rPr>
        <w:t>月</w:t>
      </w:r>
      <w:r w:rsidRPr="00BA7C36">
        <w:rPr>
          <w:rFonts w:hint="eastAsia"/>
          <w:sz w:val="18"/>
        </w:rPr>
        <w:t>10</w:t>
      </w:r>
      <w:r w:rsidRPr="00BA7C36">
        <w:rPr>
          <w:rFonts w:hint="eastAsia"/>
          <w:sz w:val="18"/>
        </w:rPr>
        <w:t>日至</w:t>
      </w:r>
      <w:r w:rsidRPr="00BA7C36">
        <w:rPr>
          <w:rFonts w:hint="eastAsia"/>
          <w:sz w:val="18"/>
        </w:rPr>
        <w:t>2</w:t>
      </w:r>
      <w:r w:rsidRPr="00BA7C36">
        <w:rPr>
          <w:rFonts w:hint="eastAsia"/>
          <w:sz w:val="18"/>
        </w:rPr>
        <w:t>月</w:t>
      </w:r>
      <w:r w:rsidRPr="00BA7C36">
        <w:rPr>
          <w:rFonts w:hint="eastAsia"/>
          <w:sz w:val="18"/>
        </w:rPr>
        <w:t>28</w:t>
      </w:r>
      <w:r w:rsidRPr="00BA7C36">
        <w:rPr>
          <w:rFonts w:hint="eastAsia"/>
          <w:sz w:val="18"/>
        </w:rPr>
        <w:t>日</w:t>
      </w:r>
      <w:r w:rsidRPr="00BA7C36">
        <w:rPr>
          <w:rFonts w:hint="eastAsia"/>
          <w:sz w:val="18"/>
        </w:rPr>
        <w:t>)</w:t>
      </w:r>
      <w:r w:rsidRPr="00BA7C36">
        <w:rPr>
          <w:rFonts w:hint="eastAsia"/>
          <w:sz w:val="18"/>
        </w:rPr>
        <w:t>通过。</w:t>
      </w:r>
    </w:p>
    <w:p w14:paraId="6C9F8AA9" w14:textId="44E56E6B"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1.</w:t>
      </w:r>
      <w:r w:rsidRPr="00623CE1">
        <w:rPr>
          <w:szCs w:val="21"/>
        </w:rPr>
        <w:tab/>
      </w:r>
      <w:r w:rsidRPr="00623CE1">
        <w:rPr>
          <w:rFonts w:cs="宋体" w:hint="eastAsia"/>
          <w:szCs w:val="21"/>
        </w:rPr>
        <w:t>委员会在</w:t>
      </w:r>
      <w:r w:rsidRPr="00623CE1">
        <w:rPr>
          <w:szCs w:val="21"/>
        </w:rPr>
        <w:t>2020</w:t>
      </w:r>
      <w:r w:rsidRPr="00623CE1">
        <w:rPr>
          <w:rFonts w:cs="宋体" w:hint="eastAsia"/>
          <w:szCs w:val="21"/>
        </w:rPr>
        <w:t>年</w:t>
      </w:r>
      <w:r w:rsidRPr="00623CE1">
        <w:rPr>
          <w:szCs w:val="21"/>
        </w:rPr>
        <w:t>2</w:t>
      </w:r>
      <w:r w:rsidRPr="00623CE1">
        <w:rPr>
          <w:rFonts w:cs="宋体" w:hint="eastAsia"/>
          <w:szCs w:val="21"/>
        </w:rPr>
        <w:t>月</w:t>
      </w:r>
      <w:r w:rsidRPr="00623CE1">
        <w:rPr>
          <w:szCs w:val="21"/>
        </w:rPr>
        <w:t>13</w:t>
      </w:r>
      <w:r w:rsidRPr="00623CE1">
        <w:rPr>
          <w:rFonts w:cs="宋体" w:hint="eastAsia"/>
          <w:szCs w:val="21"/>
        </w:rPr>
        <w:t>日举行的第</w:t>
      </w:r>
      <w:r w:rsidRPr="00623CE1">
        <w:rPr>
          <w:szCs w:val="21"/>
        </w:rPr>
        <w:t>1753</w:t>
      </w:r>
      <w:r w:rsidRPr="00623CE1">
        <w:rPr>
          <w:rFonts w:cs="宋体" w:hint="eastAsia"/>
          <w:szCs w:val="21"/>
        </w:rPr>
        <w:t>次和</w:t>
      </w:r>
      <w:r w:rsidRPr="00623CE1">
        <w:rPr>
          <w:szCs w:val="21"/>
        </w:rPr>
        <w:t>1754</w:t>
      </w:r>
      <w:r w:rsidRPr="00623CE1">
        <w:rPr>
          <w:rFonts w:cs="宋体" w:hint="eastAsia"/>
          <w:szCs w:val="21"/>
        </w:rPr>
        <w:t>次会议</w:t>
      </w:r>
      <w:r w:rsidRPr="00623CE1">
        <w:rPr>
          <w:szCs w:val="21"/>
        </w:rPr>
        <w:t>(</w:t>
      </w:r>
      <w:r w:rsidRPr="00623CE1">
        <w:rPr>
          <w:rFonts w:cs="宋体" w:hint="eastAsia"/>
          <w:szCs w:val="21"/>
        </w:rPr>
        <w:t>见</w:t>
      </w:r>
      <w:hyperlink r:id="rId17" w:history="1">
        <w:r w:rsidRPr="00623CE1">
          <w:rPr>
            <w:color w:val="0000FF"/>
            <w:szCs w:val="21"/>
          </w:rPr>
          <w:t>CEDAW/C/SR.1753</w:t>
        </w:r>
      </w:hyperlink>
      <w:r w:rsidRPr="00623CE1">
        <w:rPr>
          <w:rFonts w:cs="宋体" w:hint="eastAsia"/>
          <w:szCs w:val="21"/>
        </w:rPr>
        <w:t>和</w:t>
      </w:r>
      <w:hyperlink r:id="rId18" w:history="1">
        <w:r w:rsidRPr="00623CE1">
          <w:rPr>
            <w:color w:val="0000FF"/>
            <w:szCs w:val="21"/>
          </w:rPr>
          <w:t>CEDAW/C/SR.1754</w:t>
        </w:r>
      </w:hyperlink>
      <w:r w:rsidRPr="00623CE1">
        <w:rPr>
          <w:szCs w:val="21"/>
        </w:rPr>
        <w:t>))</w:t>
      </w:r>
      <w:r w:rsidRPr="00623CE1">
        <w:rPr>
          <w:rFonts w:cs="宋体" w:hint="eastAsia"/>
          <w:szCs w:val="21"/>
        </w:rPr>
        <w:t>上审议了津巴布韦的第六次定期报告</w:t>
      </w:r>
      <w:r w:rsidRPr="00623CE1">
        <w:rPr>
          <w:szCs w:val="21"/>
        </w:rPr>
        <w:t>(</w:t>
      </w:r>
      <w:hyperlink r:id="rId19" w:history="1">
        <w:r w:rsidRPr="00623CE1">
          <w:rPr>
            <w:color w:val="0000FF"/>
            <w:szCs w:val="21"/>
          </w:rPr>
          <w:t>CEDAW/C/ZWE/6</w:t>
        </w:r>
      </w:hyperlink>
      <w:r w:rsidRPr="00623CE1">
        <w:rPr>
          <w:szCs w:val="21"/>
        </w:rPr>
        <w:t>)</w:t>
      </w:r>
      <w:r w:rsidRPr="00623CE1">
        <w:rPr>
          <w:rFonts w:cs="宋体" w:hint="eastAsia"/>
          <w:szCs w:val="21"/>
        </w:rPr>
        <w:t>。会前工作组提出的议题和问题清单载于</w:t>
      </w:r>
      <w:hyperlink r:id="rId20" w:history="1">
        <w:r w:rsidRPr="00623CE1">
          <w:rPr>
            <w:color w:val="0000FF"/>
            <w:szCs w:val="21"/>
          </w:rPr>
          <w:t>CEDAW/C/ZWE/Q/6</w:t>
        </w:r>
      </w:hyperlink>
      <w:r w:rsidRPr="00623CE1">
        <w:rPr>
          <w:rFonts w:cs="宋体" w:hint="eastAsia"/>
          <w:szCs w:val="21"/>
        </w:rPr>
        <w:t>，缔约国的答复载于</w:t>
      </w:r>
      <w:hyperlink r:id="rId21" w:history="1">
        <w:r w:rsidRPr="00623CE1">
          <w:rPr>
            <w:color w:val="0000FF"/>
            <w:szCs w:val="21"/>
          </w:rPr>
          <w:t>CEDAW/C/ZWE/RQ/6</w:t>
        </w:r>
      </w:hyperlink>
      <w:r w:rsidRPr="00623CE1">
        <w:rPr>
          <w:rFonts w:cs="宋体" w:hint="eastAsia"/>
          <w:szCs w:val="21"/>
        </w:rPr>
        <w:t>号文件。</w:t>
      </w:r>
    </w:p>
    <w:p w14:paraId="3F975DA8" w14:textId="77777777" w:rsidR="00623CE1" w:rsidRPr="00623CE1" w:rsidRDefault="00623CE1" w:rsidP="00623CE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szCs w:val="24"/>
        </w:rPr>
      </w:pPr>
      <w:r w:rsidRPr="00623CE1">
        <w:rPr>
          <w:rFonts w:eastAsia="黑体"/>
          <w:sz w:val="24"/>
          <w:szCs w:val="24"/>
        </w:rPr>
        <w:tab/>
        <w:t>A.</w:t>
      </w:r>
      <w:r w:rsidRPr="00623CE1">
        <w:rPr>
          <w:rFonts w:eastAsia="黑体"/>
          <w:sz w:val="24"/>
          <w:szCs w:val="24"/>
        </w:rPr>
        <w:tab/>
      </w:r>
      <w:r w:rsidRPr="00623CE1">
        <w:rPr>
          <w:rFonts w:eastAsia="黑体" w:cs="黑体" w:hint="eastAsia"/>
          <w:sz w:val="24"/>
          <w:szCs w:val="24"/>
        </w:rPr>
        <w:t>导言</w:t>
      </w:r>
    </w:p>
    <w:p w14:paraId="2CF0D99D" w14:textId="30C9D018"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2.</w:t>
      </w:r>
      <w:r w:rsidRPr="00623CE1">
        <w:rPr>
          <w:szCs w:val="21"/>
        </w:rPr>
        <w:tab/>
      </w:r>
      <w:r w:rsidRPr="00623CE1">
        <w:rPr>
          <w:rFonts w:cs="宋体" w:hint="eastAsia"/>
          <w:szCs w:val="21"/>
        </w:rPr>
        <w:t>委员会感谢缔约国提交其第六次定期报告，还感谢缔约国针对委员会上一次结论性意见</w:t>
      </w:r>
      <w:r w:rsidRPr="00623CE1">
        <w:rPr>
          <w:szCs w:val="21"/>
        </w:rPr>
        <w:t>(</w:t>
      </w:r>
      <w:hyperlink r:id="rId22" w:history="1">
        <w:r w:rsidRPr="00623CE1">
          <w:rPr>
            <w:color w:val="0000FF"/>
            <w:szCs w:val="21"/>
          </w:rPr>
          <w:t>CEDAW/C/ZWE/CO/2-5/Add.1</w:t>
        </w:r>
      </w:hyperlink>
      <w:r w:rsidRPr="00623CE1">
        <w:rPr>
          <w:szCs w:val="21"/>
        </w:rPr>
        <w:t>)</w:t>
      </w:r>
      <w:r w:rsidRPr="00623CE1">
        <w:rPr>
          <w:rFonts w:cs="宋体" w:hint="eastAsia"/>
          <w:szCs w:val="21"/>
        </w:rPr>
        <w:t>的后续报告以及对会前工作组提出的议题和问题清单的书面答复，并欢迎代表团在对话期间作出口头介绍，以及对委员会口头提问作出进一步说明。</w:t>
      </w:r>
    </w:p>
    <w:p w14:paraId="2ED91EDF" w14:textId="29556654"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3.</w:t>
      </w:r>
      <w:r w:rsidRPr="00623CE1">
        <w:rPr>
          <w:szCs w:val="21"/>
        </w:rPr>
        <w:tab/>
      </w:r>
      <w:r w:rsidRPr="00623CE1">
        <w:rPr>
          <w:rFonts w:cs="宋体" w:hint="eastAsia"/>
          <w:szCs w:val="21"/>
        </w:rPr>
        <w:t>委员会赞扬缔约国派出由妇女事务、社区、中小企业发展部长</w:t>
      </w:r>
      <w:r w:rsidRPr="00623CE1">
        <w:rPr>
          <w:szCs w:val="21"/>
        </w:rPr>
        <w:t>Sithembiso G. G</w:t>
      </w:r>
      <w:r w:rsidR="00D76541">
        <w:rPr>
          <w:szCs w:val="21"/>
        </w:rPr>
        <w:t>.</w:t>
      </w:r>
      <w:r w:rsidRPr="00623CE1">
        <w:rPr>
          <w:szCs w:val="21"/>
        </w:rPr>
        <w:t xml:space="preserve"> Nyoni</w:t>
      </w:r>
      <w:r w:rsidRPr="00623CE1">
        <w:rPr>
          <w:rFonts w:cs="宋体" w:hint="eastAsia"/>
          <w:szCs w:val="21"/>
        </w:rPr>
        <w:t>率领的高级别代表团，成员包括津巴布韦常驻联合国日内瓦办事处和其他国际组织大使兼代表塔翁加·穆沙亚万胡、议会妇女事务委员会主席、妇女事务常务秘书、公用事业委员会专员和八个职能部委的代表。</w:t>
      </w:r>
    </w:p>
    <w:p w14:paraId="5A822BC0" w14:textId="77777777" w:rsidR="00623CE1" w:rsidRPr="00623CE1" w:rsidRDefault="00623CE1" w:rsidP="00623CE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szCs w:val="24"/>
        </w:rPr>
      </w:pPr>
      <w:r w:rsidRPr="00623CE1">
        <w:rPr>
          <w:rFonts w:eastAsia="黑体"/>
          <w:sz w:val="24"/>
          <w:szCs w:val="24"/>
        </w:rPr>
        <w:tab/>
        <w:t>B.</w:t>
      </w:r>
      <w:r w:rsidRPr="00623CE1">
        <w:rPr>
          <w:rFonts w:eastAsia="黑体"/>
          <w:sz w:val="24"/>
          <w:szCs w:val="24"/>
        </w:rPr>
        <w:tab/>
      </w:r>
      <w:r w:rsidRPr="00623CE1">
        <w:rPr>
          <w:rFonts w:eastAsia="黑体" w:cs="黑体" w:hint="eastAsia"/>
          <w:sz w:val="24"/>
          <w:szCs w:val="24"/>
        </w:rPr>
        <w:t>积极方面</w:t>
      </w:r>
    </w:p>
    <w:p w14:paraId="4ED53D51"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4.</w:t>
      </w:r>
      <w:r w:rsidRPr="00623CE1">
        <w:rPr>
          <w:szCs w:val="21"/>
        </w:rPr>
        <w:tab/>
      </w:r>
      <w:r w:rsidRPr="00623CE1">
        <w:rPr>
          <w:rFonts w:cs="宋体" w:hint="eastAsia"/>
          <w:szCs w:val="21"/>
        </w:rPr>
        <w:t>委员会欢迎自</w:t>
      </w:r>
      <w:r w:rsidRPr="00623CE1">
        <w:rPr>
          <w:szCs w:val="21"/>
        </w:rPr>
        <w:t>2012</w:t>
      </w:r>
      <w:r w:rsidRPr="00623CE1">
        <w:rPr>
          <w:rFonts w:cs="宋体" w:hint="eastAsia"/>
          <w:szCs w:val="21"/>
        </w:rPr>
        <w:t>年审议缔约国第二至第五次合并定期报告以来，缔约国在立法改革方面取得的进展，特别是通过：</w:t>
      </w:r>
    </w:p>
    <w:p w14:paraId="659E1AB9"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 w:val="20"/>
        </w:rPr>
        <w:tab/>
      </w:r>
      <w:r w:rsidRPr="00623CE1">
        <w:rPr>
          <w:szCs w:val="21"/>
        </w:rPr>
        <w:t>(a)</w:t>
      </w:r>
      <w:r w:rsidRPr="00623CE1">
        <w:rPr>
          <w:szCs w:val="21"/>
        </w:rPr>
        <w:tab/>
        <w:t>2013</w:t>
      </w:r>
      <w:r w:rsidRPr="00623CE1">
        <w:rPr>
          <w:rFonts w:cs="宋体" w:hint="eastAsia"/>
          <w:szCs w:val="21"/>
        </w:rPr>
        <w:t>年新《宪法》，其中包括关于性别平衡的规定，将男女法定最低结婚年龄定为</w:t>
      </w:r>
      <w:r w:rsidRPr="00623CE1">
        <w:rPr>
          <w:szCs w:val="21"/>
        </w:rPr>
        <w:t>18</w:t>
      </w:r>
      <w:r w:rsidRPr="00623CE1">
        <w:rPr>
          <w:rFonts w:cs="宋体" w:hint="eastAsia"/>
          <w:szCs w:val="21"/>
        </w:rPr>
        <w:t>岁，并规定婚姻中的平等权利；</w:t>
      </w:r>
    </w:p>
    <w:p w14:paraId="7D74244A"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ab/>
        <w:t>(b)</w:t>
      </w:r>
      <w:r w:rsidRPr="00623CE1">
        <w:rPr>
          <w:szCs w:val="21"/>
        </w:rPr>
        <w:tab/>
        <w:t>2014</w:t>
      </w:r>
      <w:r w:rsidRPr="00623CE1">
        <w:rPr>
          <w:rFonts w:cs="宋体" w:hint="eastAsia"/>
          <w:szCs w:val="21"/>
        </w:rPr>
        <w:t>年《反人口贩运法》；</w:t>
      </w:r>
    </w:p>
    <w:p w14:paraId="6BA1191A"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ab/>
        <w:t>(c)</w:t>
      </w:r>
      <w:r w:rsidRPr="00623CE1">
        <w:rPr>
          <w:szCs w:val="21"/>
        </w:rPr>
        <w:tab/>
        <w:t>2012</w:t>
      </w:r>
      <w:r w:rsidRPr="00623CE1">
        <w:rPr>
          <w:rFonts w:cs="宋体" w:hint="eastAsia"/>
          <w:szCs w:val="21"/>
        </w:rPr>
        <w:t>年《津巴布韦人权委员会法》，以确保该委员会的运作。</w:t>
      </w:r>
    </w:p>
    <w:p w14:paraId="1E4CDBC8"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5.</w:t>
      </w:r>
      <w:r w:rsidRPr="00623CE1">
        <w:rPr>
          <w:szCs w:val="21"/>
        </w:rPr>
        <w:tab/>
      </w:r>
      <w:r w:rsidRPr="00623CE1">
        <w:rPr>
          <w:rFonts w:cs="宋体" w:hint="eastAsia"/>
          <w:szCs w:val="21"/>
        </w:rPr>
        <w:t>委员会欢迎缔约国努力完善其体制和政策框架，旨在加快消除对妇女的歧视和促进性别平等，例如通过或设立：</w:t>
      </w:r>
    </w:p>
    <w:p w14:paraId="05983956"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lastRenderedPageBreak/>
        <w:tab/>
        <w:t>(a)</w:t>
      </w:r>
      <w:r w:rsidRPr="00623CE1">
        <w:rPr>
          <w:szCs w:val="21"/>
        </w:rPr>
        <w:tab/>
      </w:r>
      <w:r w:rsidRPr="00623CE1">
        <w:rPr>
          <w:rFonts w:cs="宋体" w:hint="eastAsia"/>
          <w:szCs w:val="21"/>
        </w:rPr>
        <w:t>涵盖</w:t>
      </w:r>
      <w:r w:rsidRPr="00623CE1">
        <w:rPr>
          <w:szCs w:val="21"/>
        </w:rPr>
        <w:t>2019-2021</w:t>
      </w:r>
      <w:r w:rsidRPr="00623CE1">
        <w:rPr>
          <w:rFonts w:cs="宋体" w:hint="eastAsia"/>
          <w:szCs w:val="21"/>
        </w:rPr>
        <w:t>年期间的《反人口贩运国家行动计划》，旨在实施《反人口贩运法》并指导各项相关活动的实施；</w:t>
      </w:r>
    </w:p>
    <w:p w14:paraId="3BDC5C21"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ab/>
        <w:t>(b)</w:t>
      </w:r>
      <w:r w:rsidRPr="00623CE1">
        <w:rPr>
          <w:szCs w:val="21"/>
        </w:rPr>
        <w:tab/>
      </w:r>
      <w:r w:rsidRPr="00623CE1">
        <w:rPr>
          <w:rFonts w:cs="宋体" w:hint="eastAsia"/>
          <w:szCs w:val="21"/>
        </w:rPr>
        <w:t>《</w:t>
      </w:r>
      <w:r w:rsidRPr="00623CE1">
        <w:rPr>
          <w:szCs w:val="21"/>
        </w:rPr>
        <w:t>2016-2020</w:t>
      </w:r>
      <w:r w:rsidRPr="00623CE1">
        <w:rPr>
          <w:rFonts w:cs="宋体" w:hint="eastAsia"/>
          <w:szCs w:val="21"/>
        </w:rPr>
        <w:t>年预防和应对性别暴力国家方案》；</w:t>
      </w:r>
    </w:p>
    <w:p w14:paraId="0FC72732"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ab/>
        <w:t>(c)</w:t>
      </w:r>
      <w:r w:rsidRPr="00623CE1">
        <w:rPr>
          <w:szCs w:val="21"/>
        </w:rPr>
        <w:tab/>
      </w:r>
      <w:r w:rsidRPr="00623CE1">
        <w:rPr>
          <w:rFonts w:cs="宋体" w:hint="eastAsia"/>
          <w:szCs w:val="21"/>
        </w:rPr>
        <w:t>《</w:t>
      </w:r>
      <w:r w:rsidRPr="00623CE1">
        <w:rPr>
          <w:szCs w:val="21"/>
        </w:rPr>
        <w:t>2015-2020</w:t>
      </w:r>
      <w:r w:rsidRPr="00623CE1">
        <w:rPr>
          <w:rFonts w:cs="宋体" w:hint="eastAsia"/>
          <w:szCs w:val="21"/>
        </w:rPr>
        <w:t>年艾滋病毒和艾滋病战略扩大计划》，以确保有效和及时提供治疗艾滋病毒</w:t>
      </w:r>
      <w:r w:rsidRPr="00623CE1">
        <w:rPr>
          <w:szCs w:val="21"/>
        </w:rPr>
        <w:t>/</w:t>
      </w:r>
      <w:r w:rsidRPr="00623CE1">
        <w:rPr>
          <w:rFonts w:cs="宋体" w:hint="eastAsia"/>
          <w:szCs w:val="21"/>
        </w:rPr>
        <w:t>艾滋病服务；</w:t>
      </w:r>
    </w:p>
    <w:p w14:paraId="66376E65"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ab/>
        <w:t>(d)</w:t>
      </w:r>
      <w:r w:rsidRPr="00623CE1">
        <w:rPr>
          <w:szCs w:val="21"/>
        </w:rPr>
        <w:tab/>
      </w:r>
      <w:r w:rsidRPr="00623CE1">
        <w:rPr>
          <w:rFonts w:cs="宋体" w:hint="eastAsia"/>
          <w:szCs w:val="21"/>
        </w:rPr>
        <w:t>《</w:t>
      </w:r>
      <w:r w:rsidRPr="00623CE1">
        <w:rPr>
          <w:szCs w:val="21"/>
        </w:rPr>
        <w:t>2016-2020</w:t>
      </w:r>
      <w:r w:rsidRPr="00623CE1">
        <w:rPr>
          <w:rFonts w:cs="宋体" w:hint="eastAsia"/>
          <w:szCs w:val="21"/>
        </w:rPr>
        <w:t>年国家青少年和青年性健康和生殖健康战略》；</w:t>
      </w:r>
    </w:p>
    <w:p w14:paraId="77931299"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ab/>
        <w:t>(e)</w:t>
      </w:r>
      <w:r w:rsidRPr="00623CE1">
        <w:rPr>
          <w:szCs w:val="21"/>
        </w:rPr>
        <w:tab/>
      </w:r>
      <w:r w:rsidRPr="00623CE1">
        <w:rPr>
          <w:rFonts w:cs="宋体" w:hint="eastAsia"/>
          <w:szCs w:val="21"/>
        </w:rPr>
        <w:t>《</w:t>
      </w:r>
      <w:r w:rsidRPr="00623CE1">
        <w:rPr>
          <w:szCs w:val="21"/>
        </w:rPr>
        <w:t>2013-2017</w:t>
      </w:r>
      <w:r w:rsidRPr="00623CE1">
        <w:rPr>
          <w:rFonts w:cs="宋体" w:hint="eastAsia"/>
          <w:szCs w:val="21"/>
        </w:rPr>
        <w:t>年国家性别平等修订政策》；</w:t>
      </w:r>
    </w:p>
    <w:p w14:paraId="603D65BA"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ab/>
        <w:t>(f)</w:t>
      </w:r>
      <w:r w:rsidRPr="00623CE1">
        <w:rPr>
          <w:szCs w:val="21"/>
        </w:rPr>
        <w:tab/>
        <w:t>2016</w:t>
      </w:r>
      <w:r w:rsidRPr="00623CE1">
        <w:rPr>
          <w:rFonts w:cs="宋体" w:hint="eastAsia"/>
          <w:szCs w:val="21"/>
        </w:rPr>
        <w:t>年通过《性别平等委员会法》设立津巴布韦性别平等委员会；</w:t>
      </w:r>
    </w:p>
    <w:p w14:paraId="2E746B03"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ab/>
        <w:t>(g)</w:t>
      </w:r>
      <w:r w:rsidRPr="00623CE1">
        <w:rPr>
          <w:szCs w:val="21"/>
        </w:rPr>
        <w:tab/>
        <w:t>2016</w:t>
      </w:r>
      <w:r w:rsidRPr="00623CE1">
        <w:rPr>
          <w:rFonts w:cs="宋体" w:hint="eastAsia"/>
          <w:szCs w:val="21"/>
        </w:rPr>
        <w:t>年设立部际委员会，带头努力打击人口贩运。</w:t>
      </w:r>
    </w:p>
    <w:p w14:paraId="433A0EC8"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6.</w:t>
      </w:r>
      <w:r w:rsidRPr="00623CE1">
        <w:rPr>
          <w:szCs w:val="21"/>
        </w:rPr>
        <w:tab/>
      </w:r>
      <w:r w:rsidRPr="00623CE1">
        <w:rPr>
          <w:rFonts w:cs="宋体" w:hint="eastAsia"/>
          <w:szCs w:val="21"/>
        </w:rPr>
        <w:t>委员会欢迎自审议上次报告以来，缔约国批准或加入了以下国际文书：</w:t>
      </w:r>
    </w:p>
    <w:p w14:paraId="2555ED71"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ab/>
        <w:t>(a)</w:t>
      </w:r>
      <w:r w:rsidRPr="00623CE1">
        <w:rPr>
          <w:szCs w:val="21"/>
        </w:rPr>
        <w:tab/>
      </w:r>
      <w:r w:rsidRPr="00623CE1">
        <w:rPr>
          <w:rFonts w:cs="宋体" w:hint="eastAsia"/>
          <w:szCs w:val="21"/>
        </w:rPr>
        <w:t>《残疾人权利公约》及其《任择议定书》，均于</w:t>
      </w:r>
      <w:r w:rsidRPr="00623CE1">
        <w:rPr>
          <w:szCs w:val="21"/>
        </w:rPr>
        <w:t>2013</w:t>
      </w:r>
      <w:r w:rsidRPr="00623CE1">
        <w:rPr>
          <w:rFonts w:cs="宋体" w:hint="eastAsia"/>
          <w:szCs w:val="21"/>
        </w:rPr>
        <w:t>年；</w:t>
      </w:r>
    </w:p>
    <w:p w14:paraId="6C82D945"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ab/>
        <w:t>(b)</w:t>
      </w:r>
      <w:r w:rsidRPr="00623CE1">
        <w:rPr>
          <w:szCs w:val="21"/>
        </w:rPr>
        <w:tab/>
      </w:r>
      <w:r w:rsidRPr="00623CE1">
        <w:rPr>
          <w:rFonts w:cs="宋体" w:hint="eastAsia"/>
          <w:szCs w:val="21"/>
        </w:rPr>
        <w:t>《联合国打击跨国有组织犯罪公约关于预防、禁止和惩治贩运人口特别是妇女和儿童行为的补充议定书》，于</w:t>
      </w:r>
      <w:r w:rsidRPr="00623CE1">
        <w:rPr>
          <w:szCs w:val="21"/>
        </w:rPr>
        <w:t>2013</w:t>
      </w:r>
      <w:r w:rsidRPr="00623CE1">
        <w:rPr>
          <w:rFonts w:cs="宋体" w:hint="eastAsia"/>
          <w:szCs w:val="21"/>
        </w:rPr>
        <w:t>年。</w:t>
      </w:r>
    </w:p>
    <w:p w14:paraId="72D6285F" w14:textId="77777777" w:rsidR="00623CE1" w:rsidRPr="00623CE1" w:rsidRDefault="00623CE1" w:rsidP="00623CE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szCs w:val="24"/>
        </w:rPr>
      </w:pPr>
      <w:r w:rsidRPr="00623CE1">
        <w:rPr>
          <w:rFonts w:eastAsia="黑体"/>
          <w:sz w:val="24"/>
          <w:szCs w:val="24"/>
        </w:rPr>
        <w:tab/>
        <w:t>C.</w:t>
      </w:r>
      <w:r w:rsidRPr="00623CE1">
        <w:rPr>
          <w:rFonts w:eastAsia="黑体"/>
          <w:sz w:val="24"/>
          <w:szCs w:val="24"/>
        </w:rPr>
        <w:tab/>
      </w:r>
      <w:r w:rsidRPr="00623CE1">
        <w:rPr>
          <w:rFonts w:eastAsia="黑体" w:cs="黑体" w:hint="eastAsia"/>
          <w:sz w:val="24"/>
          <w:szCs w:val="24"/>
        </w:rPr>
        <w:t>可持续发展目标</w:t>
      </w:r>
    </w:p>
    <w:p w14:paraId="1CD7AB8A"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7.</w:t>
      </w:r>
      <w:r w:rsidRPr="00623CE1">
        <w:rPr>
          <w:szCs w:val="21"/>
        </w:rPr>
        <w:tab/>
      </w:r>
      <w:r w:rsidRPr="00623CE1">
        <w:rPr>
          <w:rFonts w:eastAsia="黑体" w:cs="黑体" w:hint="eastAsia"/>
          <w:szCs w:val="21"/>
        </w:rPr>
        <w:t>委员会赞赏将关于实现性别平等和增强妇女权能的可持续发展目标</w:t>
      </w:r>
      <w:r w:rsidRPr="00623CE1">
        <w:rPr>
          <w:rFonts w:eastAsia="黑体"/>
          <w:szCs w:val="21"/>
        </w:rPr>
        <w:t>5</w:t>
      </w:r>
      <w:r w:rsidRPr="00623CE1">
        <w:rPr>
          <w:rFonts w:eastAsia="黑体" w:cs="黑体" w:hint="eastAsia"/>
          <w:szCs w:val="21"/>
        </w:rPr>
        <w:t>确认为津巴布韦可持续社会经济转型议程框架内的一个优先领域。委员会欢迎国际社会对这些目标的支持，呼吁在整个《</w:t>
      </w:r>
      <w:r w:rsidRPr="00623CE1">
        <w:rPr>
          <w:rFonts w:eastAsia="黑体"/>
          <w:szCs w:val="21"/>
        </w:rPr>
        <w:t>2030</w:t>
      </w:r>
      <w:r w:rsidRPr="00623CE1">
        <w:rPr>
          <w:rFonts w:eastAsia="黑体" w:cs="黑体" w:hint="eastAsia"/>
          <w:szCs w:val="21"/>
        </w:rPr>
        <w:t>年可持续发展议程》执行进程中，根据《公约》规定实现法律上和事实上</w:t>
      </w:r>
      <w:r w:rsidRPr="00623CE1">
        <w:rPr>
          <w:rFonts w:eastAsia="黑体"/>
          <w:szCs w:val="21"/>
        </w:rPr>
        <w:t>(</w:t>
      </w:r>
      <w:r w:rsidRPr="00623CE1">
        <w:rPr>
          <w:rFonts w:eastAsia="黑体" w:cs="黑体" w:hint="eastAsia"/>
          <w:szCs w:val="21"/>
        </w:rPr>
        <w:t>实质性</w:t>
      </w:r>
      <w:r w:rsidRPr="00623CE1">
        <w:rPr>
          <w:rFonts w:eastAsia="黑体"/>
          <w:szCs w:val="21"/>
        </w:rPr>
        <w:t>)</w:t>
      </w:r>
      <w:r w:rsidRPr="00623CE1">
        <w:rPr>
          <w:rFonts w:eastAsia="黑体" w:cs="黑体" w:hint="eastAsia"/>
          <w:szCs w:val="21"/>
        </w:rPr>
        <w:t>的性别平等。委员会回顾目标</w:t>
      </w:r>
      <w:r w:rsidRPr="00623CE1">
        <w:rPr>
          <w:rFonts w:eastAsia="黑体"/>
          <w:szCs w:val="21"/>
        </w:rPr>
        <w:t>5</w:t>
      </w:r>
      <w:r w:rsidRPr="00623CE1">
        <w:rPr>
          <w:rFonts w:eastAsia="黑体" w:cs="黑体" w:hint="eastAsia"/>
          <w:szCs w:val="21"/>
        </w:rPr>
        <w:t>以及将平等和不歧视原则纳入所有</w:t>
      </w:r>
      <w:r w:rsidRPr="00623CE1">
        <w:rPr>
          <w:rFonts w:eastAsia="黑体"/>
          <w:szCs w:val="21"/>
        </w:rPr>
        <w:t>17</w:t>
      </w:r>
      <w:r w:rsidRPr="00623CE1">
        <w:rPr>
          <w:rFonts w:eastAsia="黑体" w:cs="黑体" w:hint="eastAsia"/>
          <w:szCs w:val="21"/>
        </w:rPr>
        <w:t>项目标主流的重要性。委员会敦促缔约国认识到妇女是缔约国实现可持续发展的推动力，并为此采取相关政策和战略。</w:t>
      </w:r>
    </w:p>
    <w:p w14:paraId="18DC9DAF" w14:textId="77777777" w:rsidR="00623CE1" w:rsidRPr="00623CE1" w:rsidRDefault="00623CE1" w:rsidP="00623CE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szCs w:val="24"/>
        </w:rPr>
      </w:pPr>
      <w:r w:rsidRPr="00623CE1">
        <w:rPr>
          <w:rFonts w:eastAsia="黑体"/>
          <w:sz w:val="24"/>
          <w:szCs w:val="24"/>
        </w:rPr>
        <w:tab/>
        <w:t>D.</w:t>
      </w:r>
      <w:r w:rsidRPr="00623CE1">
        <w:rPr>
          <w:rFonts w:eastAsia="黑体"/>
          <w:sz w:val="24"/>
          <w:szCs w:val="24"/>
        </w:rPr>
        <w:tab/>
      </w:r>
      <w:r w:rsidRPr="00623CE1">
        <w:rPr>
          <w:rFonts w:eastAsia="黑体" w:cs="黑体" w:hint="eastAsia"/>
          <w:sz w:val="24"/>
          <w:szCs w:val="24"/>
        </w:rPr>
        <w:t>议会</w:t>
      </w:r>
    </w:p>
    <w:p w14:paraId="629A002A" w14:textId="4940FEA9"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8.</w:t>
      </w:r>
      <w:r w:rsidRPr="00623CE1">
        <w:rPr>
          <w:szCs w:val="21"/>
        </w:rPr>
        <w:tab/>
      </w:r>
      <w:r w:rsidRPr="00623CE1">
        <w:rPr>
          <w:rFonts w:eastAsia="黑体" w:cs="黑体" w:hint="eastAsia"/>
          <w:szCs w:val="21"/>
        </w:rPr>
        <w:t>委员会强调了立法权力在确保全面执行《公约》方面发挥的关键作用</w:t>
      </w:r>
      <w:r w:rsidRPr="00623CE1">
        <w:rPr>
          <w:rFonts w:eastAsia="黑体"/>
          <w:szCs w:val="21"/>
        </w:rPr>
        <w:t>(</w:t>
      </w:r>
      <w:r w:rsidRPr="00623CE1">
        <w:rPr>
          <w:rFonts w:eastAsia="黑体" w:cs="黑体" w:hint="eastAsia"/>
          <w:szCs w:val="21"/>
        </w:rPr>
        <w:t>见</w:t>
      </w:r>
      <w:hyperlink r:id="rId23" w:history="1">
        <w:r w:rsidRPr="00623CE1">
          <w:rPr>
            <w:rFonts w:eastAsia="黑体"/>
            <w:color w:val="0000FF"/>
            <w:szCs w:val="21"/>
          </w:rPr>
          <w:t>A/65/38</w:t>
        </w:r>
      </w:hyperlink>
      <w:r w:rsidRPr="00623CE1">
        <w:rPr>
          <w:rFonts w:eastAsia="黑体" w:cs="黑体" w:hint="eastAsia"/>
          <w:szCs w:val="21"/>
        </w:rPr>
        <w:t>，第二部分，附件六</w:t>
      </w:r>
      <w:r w:rsidRPr="00623CE1">
        <w:rPr>
          <w:rFonts w:eastAsia="黑体"/>
          <w:szCs w:val="21"/>
        </w:rPr>
        <w:t>)</w:t>
      </w:r>
      <w:r w:rsidRPr="00623CE1">
        <w:rPr>
          <w:rFonts w:eastAsia="黑体" w:cs="黑体" w:hint="eastAsia"/>
          <w:szCs w:val="21"/>
        </w:rPr>
        <w:t>。委员会请议会根据其任务授权，从现在起到按照《公约》规定提交下一份定期报告期间，采取必要步骤执行本结论性意见。</w:t>
      </w:r>
    </w:p>
    <w:p w14:paraId="67332D51" w14:textId="77777777" w:rsidR="00623CE1" w:rsidRPr="00623CE1" w:rsidRDefault="00623CE1" w:rsidP="00623CE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120"/>
        <w:ind w:left="1267" w:right="1260" w:hanging="1267"/>
        <w:outlineLvl w:val="0"/>
        <w:rPr>
          <w:rFonts w:eastAsia="黑体"/>
          <w:sz w:val="24"/>
          <w:szCs w:val="24"/>
        </w:rPr>
      </w:pPr>
      <w:r w:rsidRPr="00623CE1">
        <w:rPr>
          <w:rFonts w:eastAsia="黑体"/>
          <w:sz w:val="24"/>
          <w:szCs w:val="24"/>
        </w:rPr>
        <w:tab/>
        <w:t>E.</w:t>
      </w:r>
      <w:r w:rsidRPr="00623CE1">
        <w:rPr>
          <w:rFonts w:eastAsia="黑体"/>
          <w:sz w:val="24"/>
          <w:szCs w:val="24"/>
        </w:rPr>
        <w:tab/>
      </w:r>
      <w:r w:rsidRPr="00623CE1">
        <w:rPr>
          <w:rFonts w:eastAsia="黑体" w:cs="黑体" w:hint="eastAsia"/>
          <w:sz w:val="24"/>
          <w:szCs w:val="24"/>
        </w:rPr>
        <w:t>主要关切领域和建议</w:t>
      </w:r>
    </w:p>
    <w:p w14:paraId="315E7D3B" w14:textId="77777777" w:rsidR="00623CE1" w:rsidRPr="00623CE1" w:rsidRDefault="00623CE1" w:rsidP="00623CE1">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623CE1">
        <w:rPr>
          <w:rFonts w:eastAsia="黑体"/>
          <w:szCs w:val="21"/>
        </w:rPr>
        <w:tab/>
      </w:r>
      <w:r w:rsidRPr="00623CE1">
        <w:rPr>
          <w:rFonts w:eastAsia="黑体"/>
          <w:szCs w:val="21"/>
        </w:rPr>
        <w:tab/>
      </w:r>
      <w:r w:rsidRPr="00623CE1">
        <w:rPr>
          <w:rFonts w:eastAsia="黑体" w:cs="黑体" w:hint="eastAsia"/>
          <w:szCs w:val="21"/>
        </w:rPr>
        <w:t>宪法、立法和政策框架</w:t>
      </w:r>
    </w:p>
    <w:p w14:paraId="10F6FD21"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9.</w:t>
      </w:r>
      <w:r w:rsidRPr="00623CE1">
        <w:rPr>
          <w:szCs w:val="21"/>
        </w:rPr>
        <w:tab/>
      </w:r>
      <w:r w:rsidRPr="00623CE1">
        <w:rPr>
          <w:rFonts w:cs="宋体" w:hint="eastAsia"/>
          <w:szCs w:val="21"/>
        </w:rPr>
        <w:t>委员会表示注意到通过</w:t>
      </w:r>
      <w:r w:rsidRPr="00623CE1">
        <w:rPr>
          <w:szCs w:val="21"/>
        </w:rPr>
        <w:t>2013</w:t>
      </w:r>
      <w:r w:rsidRPr="00623CE1">
        <w:rPr>
          <w:rFonts w:cs="宋体" w:hint="eastAsia"/>
          <w:szCs w:val="21"/>
        </w:rPr>
        <w:t>年宪法改革取得的进展，包括通过“民权法案”。委员会还表示注意到代表团在对话期间提供的信息，即许多对促进妇女权利至关重要的法案已列入议会第九届会议立法议程，包括旨在补充“和谐婚姻法案”的“未成年人监护法”和“教育修正案”。然而，委员会感到关切的是，迟迟未修订《宪法》附属立法和缔约国立法框架中其余歧视性条款，包括关于婚姻和财产权以及最低结婚年龄的条款。</w:t>
      </w:r>
    </w:p>
    <w:p w14:paraId="6E599368" w14:textId="3B8E05C1"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10.</w:t>
      </w:r>
      <w:r w:rsidRPr="00623CE1">
        <w:rPr>
          <w:szCs w:val="21"/>
        </w:rPr>
        <w:tab/>
      </w:r>
      <w:r w:rsidRPr="00623CE1">
        <w:rPr>
          <w:rFonts w:eastAsia="黑体" w:cs="黑体" w:hint="eastAsia"/>
          <w:szCs w:val="21"/>
        </w:rPr>
        <w:t>根据关于缔约国在《消除对妇女一切形式歧视公约》第二条之下核心义务的第</w:t>
      </w:r>
      <w:r w:rsidRPr="00623CE1">
        <w:rPr>
          <w:rFonts w:eastAsia="黑体"/>
          <w:szCs w:val="21"/>
        </w:rPr>
        <w:t>28</w:t>
      </w:r>
      <w:r w:rsidRPr="00623CE1">
        <w:rPr>
          <w:rFonts w:eastAsia="黑体" w:cs="黑体" w:hint="eastAsia"/>
          <w:szCs w:val="21"/>
        </w:rPr>
        <w:t>号一般性建议</w:t>
      </w:r>
      <w:r w:rsidR="00D140B3">
        <w:rPr>
          <w:rFonts w:eastAsia="黑体" w:cs="黑体" w:hint="eastAsia"/>
          <w:szCs w:val="21"/>
        </w:rPr>
        <w:t>(</w:t>
      </w:r>
      <w:r w:rsidR="00D140B3" w:rsidRPr="00623CE1">
        <w:rPr>
          <w:rFonts w:eastAsia="黑体"/>
          <w:szCs w:val="21"/>
        </w:rPr>
        <w:t>2010</w:t>
      </w:r>
      <w:r w:rsidR="00D140B3">
        <w:rPr>
          <w:rFonts w:eastAsia="黑体" w:hint="eastAsia"/>
          <w:szCs w:val="21"/>
        </w:rPr>
        <w:t>年</w:t>
      </w:r>
      <w:r w:rsidR="00D140B3">
        <w:rPr>
          <w:rFonts w:eastAsia="黑体" w:cs="黑体" w:hint="eastAsia"/>
          <w:szCs w:val="21"/>
        </w:rPr>
        <w:t>)</w:t>
      </w:r>
      <w:r w:rsidRPr="00623CE1">
        <w:rPr>
          <w:rFonts w:eastAsia="黑体" w:cs="黑体" w:hint="eastAsia"/>
          <w:szCs w:val="21"/>
        </w:rPr>
        <w:t>，委员会建议缔约国毫不拖延地修订或废除其余所</w:t>
      </w:r>
      <w:r w:rsidRPr="00623CE1">
        <w:rPr>
          <w:rFonts w:eastAsia="黑体" w:cs="黑体" w:hint="eastAsia"/>
          <w:szCs w:val="21"/>
        </w:rPr>
        <w:lastRenderedPageBreak/>
        <w:t>有性别歧视条款，包括关于婚姻和财产权以及法定最低结婚年龄的条款，以使其符合《宪法》和《公约》。</w:t>
      </w:r>
    </w:p>
    <w:p w14:paraId="7D78F45D"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11.</w:t>
      </w:r>
      <w:r w:rsidRPr="00623CE1">
        <w:rPr>
          <w:szCs w:val="21"/>
        </w:rPr>
        <w:tab/>
      </w:r>
      <w:r w:rsidRPr="00623CE1">
        <w:rPr>
          <w:rFonts w:cs="宋体" w:hint="eastAsia"/>
          <w:szCs w:val="21"/>
        </w:rPr>
        <w:t>委员会注意到，《宪法》提到不歧视和性别平等原则和包括妇女权利在内的全面民权法案。然而，委员会关切地注意到，没有一项具体的性别平等法律，根据《公约》第一条，纳入男女平等原则，并界定和禁止对妇女的一切形式歧视，包括公共和私人领域的直接和间接歧视，以及对妇女的交叉歧视。</w:t>
      </w:r>
    </w:p>
    <w:p w14:paraId="24439018"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12.</w:t>
      </w:r>
      <w:r w:rsidRPr="00623CE1">
        <w:rPr>
          <w:szCs w:val="21"/>
        </w:rPr>
        <w:tab/>
      </w:r>
      <w:r w:rsidRPr="00623CE1">
        <w:rPr>
          <w:rFonts w:ascii="黑体" w:eastAsia="黑体" w:hAnsi="黑体" w:cs="黑体" w:hint="eastAsia"/>
          <w:szCs w:val="21"/>
        </w:rPr>
        <w:t>委员会建议缔约国根据《公约》第一条和第二条，毫不拖延地通过一项关于性别平等的法律，涵盖所有被禁止的歧视理由，包括公共和私人领域的直接和间接歧视以及对妇女的交叉歧视。</w:t>
      </w:r>
    </w:p>
    <w:p w14:paraId="4EFBA962" w14:textId="77777777" w:rsidR="00623CE1" w:rsidRPr="00623CE1" w:rsidRDefault="00623CE1" w:rsidP="00623CE1">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623CE1">
        <w:rPr>
          <w:rFonts w:eastAsia="黑体"/>
          <w:szCs w:val="21"/>
        </w:rPr>
        <w:tab/>
      </w:r>
      <w:r w:rsidRPr="00623CE1">
        <w:rPr>
          <w:rFonts w:eastAsia="黑体"/>
          <w:szCs w:val="21"/>
        </w:rPr>
        <w:tab/>
      </w:r>
      <w:r w:rsidRPr="00623CE1">
        <w:rPr>
          <w:rFonts w:eastAsia="黑体" w:cs="黑体" w:hint="eastAsia"/>
          <w:szCs w:val="21"/>
        </w:rPr>
        <w:t>《公约》的法律地位</w:t>
      </w:r>
    </w:p>
    <w:p w14:paraId="279DE514"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13.</w:t>
      </w:r>
      <w:r w:rsidRPr="00623CE1">
        <w:rPr>
          <w:szCs w:val="21"/>
        </w:rPr>
        <w:tab/>
      </w:r>
      <w:r w:rsidRPr="00623CE1">
        <w:rPr>
          <w:rFonts w:cs="宋体" w:hint="eastAsia"/>
          <w:szCs w:val="21"/>
        </w:rPr>
        <w:t>尽管《公约》已被纳入《宪法》，而且《公约》的一些条款已被纳入立法，但委员会仍然关切的是，缔约国尚未将《公约》充分纳入国内法。委员会还注意到，缔约国尚未批准《公约任择议定书》。</w:t>
      </w:r>
    </w:p>
    <w:p w14:paraId="6F69E6E3" w14:textId="5D768058"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14.</w:t>
      </w:r>
      <w:r w:rsidRPr="00623CE1">
        <w:rPr>
          <w:szCs w:val="21"/>
        </w:rPr>
        <w:tab/>
      </w:r>
      <w:r w:rsidRPr="00623CE1">
        <w:rPr>
          <w:rFonts w:eastAsia="黑体" w:cs="黑体" w:hint="eastAsia"/>
          <w:szCs w:val="21"/>
        </w:rPr>
        <w:t>委员会回顾其先前的建议</w:t>
      </w:r>
      <w:r w:rsidRPr="00623CE1">
        <w:rPr>
          <w:rFonts w:eastAsia="黑体"/>
          <w:szCs w:val="21"/>
        </w:rPr>
        <w:t>(</w:t>
      </w:r>
      <w:hyperlink r:id="rId24" w:history="1">
        <w:r w:rsidRPr="00623CE1">
          <w:rPr>
            <w:rFonts w:eastAsia="黑体"/>
            <w:color w:val="0000FF"/>
            <w:szCs w:val="21"/>
          </w:rPr>
          <w:t>CEDAW/C/ZWE/CO/2-5</w:t>
        </w:r>
      </w:hyperlink>
      <w:r w:rsidRPr="00623CE1">
        <w:rPr>
          <w:rFonts w:eastAsia="黑体" w:cs="黑体" w:hint="eastAsia"/>
          <w:szCs w:val="21"/>
        </w:rPr>
        <w:t>，第</w:t>
      </w:r>
      <w:r w:rsidRPr="00623CE1">
        <w:rPr>
          <w:rFonts w:eastAsia="黑体"/>
          <w:szCs w:val="21"/>
        </w:rPr>
        <w:t>12</w:t>
      </w:r>
      <w:r w:rsidRPr="00623CE1">
        <w:rPr>
          <w:rFonts w:eastAsia="黑体" w:cs="黑体" w:hint="eastAsia"/>
          <w:szCs w:val="21"/>
        </w:rPr>
        <w:t>段</w:t>
      </w:r>
      <w:r w:rsidRPr="00623CE1">
        <w:rPr>
          <w:rFonts w:eastAsia="黑体"/>
          <w:szCs w:val="21"/>
        </w:rPr>
        <w:t>)</w:t>
      </w:r>
      <w:r w:rsidRPr="00623CE1">
        <w:rPr>
          <w:rFonts w:eastAsia="黑体" w:cs="黑体" w:hint="eastAsia"/>
          <w:szCs w:val="21"/>
        </w:rPr>
        <w:t>。并敦促缔约国高度优先重视将《公约》充分纳入其所有相关法律，以便将《公约》作为消除对妇女一切形式歧视的基础给予其核心重要性。</w:t>
      </w:r>
    </w:p>
    <w:p w14:paraId="4CCB7C43" w14:textId="77777777" w:rsidR="00623CE1" w:rsidRPr="00623CE1" w:rsidRDefault="00623CE1" w:rsidP="00623CE1">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623CE1">
        <w:rPr>
          <w:rFonts w:eastAsia="黑体"/>
          <w:szCs w:val="21"/>
        </w:rPr>
        <w:tab/>
      </w:r>
      <w:r w:rsidRPr="00623CE1">
        <w:rPr>
          <w:rFonts w:eastAsia="黑体"/>
          <w:szCs w:val="21"/>
        </w:rPr>
        <w:tab/>
      </w:r>
      <w:r w:rsidRPr="00623CE1">
        <w:rPr>
          <w:rFonts w:eastAsia="黑体" w:cs="黑体" w:hint="eastAsia"/>
          <w:szCs w:val="21"/>
        </w:rPr>
        <w:t>司法救助</w:t>
      </w:r>
    </w:p>
    <w:p w14:paraId="356B0276"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623CE1">
        <w:rPr>
          <w:szCs w:val="21"/>
        </w:rPr>
        <w:t>15.</w:t>
      </w:r>
      <w:r w:rsidRPr="00623CE1">
        <w:rPr>
          <w:szCs w:val="21"/>
        </w:rPr>
        <w:tab/>
      </w:r>
      <w:r w:rsidRPr="00623CE1">
        <w:rPr>
          <w:rFonts w:cs="宋体" w:hint="eastAsia"/>
          <w:szCs w:val="21"/>
        </w:rPr>
        <w:t>委员会欢迎缔约国在各省下放法律援助局权力，以便向个人提供免费法律援助。然而，委员会感到关切的是，在某种程度上授权由非政府组织提供免费法律援助，法律援助局迄今设立的法律援助中心应达到最低服务标准。</w:t>
      </w:r>
    </w:p>
    <w:p w14:paraId="654A46D3"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623CE1">
        <w:rPr>
          <w:szCs w:val="21"/>
        </w:rPr>
        <w:t>16.</w:t>
      </w:r>
      <w:r w:rsidRPr="00623CE1">
        <w:rPr>
          <w:szCs w:val="21"/>
        </w:rPr>
        <w:tab/>
      </w:r>
      <w:r w:rsidRPr="00623CE1">
        <w:rPr>
          <w:rFonts w:eastAsia="黑体" w:cs="黑体" w:hint="eastAsia"/>
          <w:szCs w:val="21"/>
        </w:rPr>
        <w:t>根据关于妇女获得司法救助的第</w:t>
      </w:r>
      <w:r w:rsidRPr="00623CE1">
        <w:rPr>
          <w:rFonts w:eastAsia="黑体"/>
          <w:szCs w:val="21"/>
        </w:rPr>
        <w:t>33</w:t>
      </w:r>
      <w:r w:rsidRPr="00623CE1">
        <w:rPr>
          <w:rFonts w:eastAsia="黑体" w:cs="黑体" w:hint="eastAsia"/>
          <w:szCs w:val="21"/>
        </w:rPr>
        <w:t>号一般性建议</w:t>
      </w:r>
      <w:r w:rsidRPr="00623CE1">
        <w:rPr>
          <w:rFonts w:eastAsia="黑体"/>
          <w:szCs w:val="21"/>
        </w:rPr>
        <w:t>(2015</w:t>
      </w:r>
      <w:r w:rsidRPr="00623CE1">
        <w:rPr>
          <w:rFonts w:eastAsia="黑体" w:cs="黑体" w:hint="eastAsia"/>
          <w:szCs w:val="21"/>
        </w:rPr>
        <w:t>年</w:t>
      </w:r>
      <w:r w:rsidRPr="00623CE1">
        <w:rPr>
          <w:rFonts w:eastAsia="黑体"/>
          <w:szCs w:val="21"/>
        </w:rPr>
        <w:t>)</w:t>
      </w:r>
      <w:r w:rsidRPr="00623CE1">
        <w:rPr>
          <w:rFonts w:eastAsia="黑体" w:cs="黑体" w:hint="eastAsia"/>
          <w:szCs w:val="21"/>
        </w:rPr>
        <w:t>，委员会建议缔约国：</w:t>
      </w:r>
    </w:p>
    <w:p w14:paraId="6D8C044F"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623CE1">
        <w:rPr>
          <w:rFonts w:eastAsia="黑体"/>
          <w:szCs w:val="21"/>
        </w:rPr>
        <w:tab/>
        <w:t>(a)</w:t>
      </w:r>
      <w:r w:rsidRPr="00623CE1">
        <w:rPr>
          <w:rFonts w:eastAsia="黑体"/>
          <w:szCs w:val="21"/>
        </w:rPr>
        <w:tab/>
      </w:r>
      <w:r w:rsidRPr="00623CE1">
        <w:rPr>
          <w:rFonts w:eastAsia="黑体" w:cs="黑体" w:hint="eastAsia"/>
          <w:szCs w:val="21"/>
        </w:rPr>
        <w:t>加快在地区一级建立法律援助中心，加强各级提供服务标准，确保所有妇女，特别是贫困妇女、农村妇女和残疾妇女能够获得法律援助，包括通过提供程序性便利和适龄措施；</w:t>
      </w:r>
    </w:p>
    <w:p w14:paraId="2F8E4DFA"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623CE1">
        <w:rPr>
          <w:rFonts w:eastAsia="黑体"/>
          <w:szCs w:val="21"/>
        </w:rPr>
        <w:tab/>
        <w:t>(b)</w:t>
      </w:r>
      <w:r w:rsidRPr="00623CE1">
        <w:rPr>
          <w:rFonts w:eastAsia="黑体"/>
          <w:szCs w:val="21"/>
        </w:rPr>
        <w:tab/>
      </w:r>
      <w:r w:rsidRPr="00623CE1">
        <w:rPr>
          <w:rFonts w:eastAsia="黑体" w:cs="黑体" w:hint="eastAsia"/>
          <w:szCs w:val="21"/>
        </w:rPr>
        <w:t>提供充足资金给向没有足够资金的妇女提供免费法律援助的非政府组织，从而填补缔约国法律援助系统的空白；</w:t>
      </w:r>
    </w:p>
    <w:p w14:paraId="01522C4B"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623CE1">
        <w:rPr>
          <w:rFonts w:eastAsia="黑体"/>
          <w:szCs w:val="21"/>
        </w:rPr>
        <w:tab/>
        <w:t>(c)</w:t>
      </w:r>
      <w:r w:rsidRPr="00623CE1">
        <w:rPr>
          <w:rFonts w:eastAsia="黑体"/>
          <w:szCs w:val="21"/>
        </w:rPr>
        <w:tab/>
      </w:r>
      <w:r w:rsidRPr="00623CE1">
        <w:rPr>
          <w:rFonts w:eastAsia="黑体" w:cs="黑体" w:hint="eastAsia"/>
          <w:szCs w:val="21"/>
        </w:rPr>
        <w:t>提高司法和执法官员对《公约》条款的认识，并提高公众特别是妇女对援引《公约》的方式方法的认识。</w:t>
      </w:r>
    </w:p>
    <w:p w14:paraId="0EE3CCC4" w14:textId="77777777" w:rsidR="00440D73" w:rsidRPr="00440D73" w:rsidRDefault="00440D73" w:rsidP="00440D73">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40D73">
        <w:rPr>
          <w:rFonts w:eastAsia="黑体"/>
          <w:szCs w:val="21"/>
        </w:rPr>
        <w:tab/>
      </w:r>
      <w:r w:rsidRPr="00440D73">
        <w:rPr>
          <w:rFonts w:eastAsia="黑体"/>
          <w:szCs w:val="21"/>
        </w:rPr>
        <w:tab/>
      </w:r>
      <w:r w:rsidRPr="00440D73">
        <w:rPr>
          <w:rFonts w:eastAsia="黑体" w:cs="黑体" w:hint="eastAsia"/>
          <w:szCs w:val="21"/>
        </w:rPr>
        <w:t>妇女与和平与安全</w:t>
      </w:r>
    </w:p>
    <w:p w14:paraId="5433217E"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17.</w:t>
      </w:r>
      <w:r w:rsidRPr="00440D73">
        <w:rPr>
          <w:szCs w:val="21"/>
        </w:rPr>
        <w:tab/>
      </w:r>
      <w:r w:rsidRPr="00440D73">
        <w:rPr>
          <w:rFonts w:cs="宋体" w:hint="eastAsia"/>
          <w:szCs w:val="21"/>
        </w:rPr>
        <w:t>委员会关切地注意到，全国和平与和解委员会没有充分运作，其任务期限不会延长。委员会还感到关切的是，在缔约国和平与和解进程的所有阶段，妇女和女童积极和有意义地参与存在障碍，并关切地指出她们优先关注的事项和经验没有得到应有的重视。</w:t>
      </w:r>
    </w:p>
    <w:p w14:paraId="4898B1A5"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szCs w:val="21"/>
        </w:rPr>
        <w:t>18.</w:t>
      </w:r>
      <w:r w:rsidRPr="00440D73">
        <w:rPr>
          <w:szCs w:val="21"/>
        </w:rPr>
        <w:tab/>
      </w:r>
      <w:r w:rsidRPr="00440D73">
        <w:rPr>
          <w:rFonts w:eastAsia="黑体" w:cs="黑体" w:hint="eastAsia"/>
          <w:szCs w:val="21"/>
        </w:rPr>
        <w:t>根据关于妇女在预防冲突、冲突及冲突后局势中的作用的第</w:t>
      </w:r>
      <w:r w:rsidRPr="00440D73">
        <w:rPr>
          <w:rFonts w:eastAsia="黑体"/>
          <w:szCs w:val="21"/>
        </w:rPr>
        <w:t>30</w:t>
      </w:r>
      <w:r w:rsidRPr="00440D73">
        <w:rPr>
          <w:rFonts w:eastAsia="黑体" w:cs="黑体" w:hint="eastAsia"/>
          <w:szCs w:val="21"/>
        </w:rPr>
        <w:t>号一般性建议</w:t>
      </w:r>
      <w:r w:rsidRPr="00440D73">
        <w:rPr>
          <w:rFonts w:eastAsia="黑体"/>
          <w:szCs w:val="21"/>
        </w:rPr>
        <w:t>(2013</w:t>
      </w:r>
      <w:r w:rsidRPr="00440D73">
        <w:rPr>
          <w:rFonts w:eastAsia="黑体" w:cs="黑体" w:hint="eastAsia"/>
          <w:szCs w:val="21"/>
        </w:rPr>
        <w:t>年</w:t>
      </w:r>
      <w:r w:rsidRPr="00440D73">
        <w:rPr>
          <w:rFonts w:eastAsia="黑体"/>
          <w:szCs w:val="21"/>
        </w:rPr>
        <w:t>)</w:t>
      </w:r>
      <w:r w:rsidRPr="00440D73">
        <w:rPr>
          <w:rFonts w:eastAsia="黑体" w:cs="黑体" w:hint="eastAsia"/>
          <w:szCs w:val="21"/>
        </w:rPr>
        <w:t>，委员会建议缔约国：</w:t>
      </w:r>
    </w:p>
    <w:p w14:paraId="24E3DCBC"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(a)</w:t>
      </w:r>
      <w:r w:rsidRPr="00440D73">
        <w:rPr>
          <w:rFonts w:eastAsia="黑体"/>
          <w:szCs w:val="21"/>
        </w:rPr>
        <w:tab/>
      </w:r>
      <w:r w:rsidRPr="00440D73">
        <w:rPr>
          <w:rFonts w:eastAsia="黑体" w:cs="黑体" w:hint="eastAsia"/>
          <w:szCs w:val="21"/>
        </w:rPr>
        <w:t>延长全国和平与和解委员会的任务期限，并为其提供充足的人力、技术和财政资源，以有效执行任务；</w:t>
      </w:r>
    </w:p>
    <w:p w14:paraId="5497F150" w14:textId="3D545A85"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(b)</w:t>
      </w:r>
      <w:r w:rsidRPr="00440D73">
        <w:rPr>
          <w:rFonts w:eastAsia="黑体"/>
          <w:szCs w:val="21"/>
        </w:rPr>
        <w:tab/>
      </w:r>
      <w:r w:rsidRPr="00440D73">
        <w:rPr>
          <w:rFonts w:eastAsia="黑体" w:cs="黑体" w:hint="eastAsia"/>
          <w:szCs w:val="21"/>
        </w:rPr>
        <w:t>根据安全理事会关于妇女与和平与安全的第</w:t>
      </w:r>
      <w:hyperlink r:id="rId25" w:history="1">
        <w:r w:rsidRPr="00440D73">
          <w:rPr>
            <w:rFonts w:eastAsia="黑体"/>
            <w:color w:val="0000FF"/>
            <w:szCs w:val="21"/>
          </w:rPr>
          <w:t>1325(2000)</w:t>
        </w:r>
      </w:hyperlink>
      <w:r w:rsidRPr="00440D73">
        <w:rPr>
          <w:rFonts w:eastAsia="黑体" w:cs="黑体" w:hint="eastAsia"/>
          <w:szCs w:val="21"/>
        </w:rPr>
        <w:t>号决议，确保妇女充分参与和平与和解进程的所有阶段，包括参与决策，并考虑到安理会第</w:t>
      </w:r>
      <w:hyperlink r:id="rId26" w:history="1">
        <w:r w:rsidRPr="00440D73">
          <w:rPr>
            <w:rFonts w:eastAsia="黑体"/>
            <w:color w:val="0000FF"/>
            <w:szCs w:val="21"/>
          </w:rPr>
          <w:t>1820(2008)</w:t>
        </w:r>
      </w:hyperlink>
      <w:r w:rsidRPr="00440D73">
        <w:rPr>
          <w:rFonts w:eastAsia="黑体" w:cs="黑体" w:hint="eastAsia"/>
          <w:szCs w:val="21"/>
        </w:rPr>
        <w:t>号、第</w:t>
      </w:r>
      <w:hyperlink r:id="rId27" w:history="1">
        <w:r w:rsidRPr="00440D73">
          <w:rPr>
            <w:rFonts w:eastAsia="黑体"/>
            <w:color w:val="0000FF"/>
            <w:szCs w:val="21"/>
          </w:rPr>
          <w:t>1888(2009)</w:t>
        </w:r>
      </w:hyperlink>
      <w:r w:rsidRPr="00440D73">
        <w:rPr>
          <w:rFonts w:eastAsia="黑体" w:cs="黑体" w:hint="eastAsia"/>
          <w:szCs w:val="21"/>
        </w:rPr>
        <w:t>号、第</w:t>
      </w:r>
      <w:hyperlink r:id="rId28" w:history="1">
        <w:r w:rsidRPr="00440D73">
          <w:rPr>
            <w:rFonts w:eastAsia="黑体"/>
            <w:color w:val="0000FF"/>
            <w:szCs w:val="21"/>
          </w:rPr>
          <w:t>1889(2009)</w:t>
        </w:r>
      </w:hyperlink>
      <w:r w:rsidRPr="00440D73">
        <w:rPr>
          <w:rFonts w:eastAsia="黑体" w:cs="黑体" w:hint="eastAsia"/>
          <w:szCs w:val="21"/>
        </w:rPr>
        <w:t>号、第</w:t>
      </w:r>
      <w:hyperlink r:id="rId29" w:history="1">
        <w:r w:rsidRPr="00440D73">
          <w:rPr>
            <w:rFonts w:eastAsia="黑体"/>
            <w:color w:val="0000FF"/>
            <w:szCs w:val="21"/>
          </w:rPr>
          <w:t>1960(2010)</w:t>
        </w:r>
      </w:hyperlink>
      <w:r w:rsidRPr="00440D73">
        <w:rPr>
          <w:rFonts w:eastAsia="黑体" w:cs="黑体" w:hint="eastAsia"/>
          <w:szCs w:val="21"/>
        </w:rPr>
        <w:t>号、第</w:t>
      </w:r>
      <w:hyperlink r:id="rId30" w:history="1">
        <w:r w:rsidRPr="00440D73">
          <w:rPr>
            <w:rFonts w:eastAsia="黑体"/>
            <w:color w:val="0000FF"/>
            <w:szCs w:val="21"/>
          </w:rPr>
          <w:t>2106(2013)</w:t>
        </w:r>
      </w:hyperlink>
      <w:r w:rsidRPr="00440D73">
        <w:rPr>
          <w:rFonts w:eastAsia="黑体" w:cs="黑体" w:hint="eastAsia"/>
          <w:szCs w:val="21"/>
        </w:rPr>
        <w:t>号、第</w:t>
      </w:r>
      <w:hyperlink r:id="rId31" w:history="1">
        <w:r w:rsidRPr="00440D73">
          <w:rPr>
            <w:rFonts w:eastAsia="黑体"/>
            <w:color w:val="0000FF"/>
            <w:szCs w:val="21"/>
          </w:rPr>
          <w:t>2122(2013)</w:t>
        </w:r>
      </w:hyperlink>
      <w:r w:rsidRPr="00440D73">
        <w:rPr>
          <w:rFonts w:eastAsia="黑体" w:cs="黑体" w:hint="eastAsia"/>
          <w:szCs w:val="21"/>
        </w:rPr>
        <w:t>号、第</w:t>
      </w:r>
      <w:hyperlink r:id="rId32" w:history="1">
        <w:r w:rsidRPr="00440D73">
          <w:rPr>
            <w:rFonts w:eastAsia="黑体"/>
            <w:color w:val="0000FF"/>
            <w:szCs w:val="21"/>
          </w:rPr>
          <w:t>2242(2015)</w:t>
        </w:r>
      </w:hyperlink>
      <w:r w:rsidRPr="00440D73">
        <w:rPr>
          <w:rFonts w:eastAsia="黑体" w:cs="黑体" w:hint="eastAsia"/>
          <w:szCs w:val="21"/>
        </w:rPr>
        <w:t>号、第</w:t>
      </w:r>
      <w:hyperlink r:id="rId33" w:history="1">
        <w:r w:rsidRPr="00440D73">
          <w:rPr>
            <w:rFonts w:eastAsia="黑体"/>
            <w:color w:val="0000FF"/>
            <w:szCs w:val="21"/>
          </w:rPr>
          <w:t>2467(2019)</w:t>
        </w:r>
      </w:hyperlink>
      <w:r w:rsidRPr="00440D73">
        <w:rPr>
          <w:rFonts w:eastAsia="黑体" w:cs="黑体" w:hint="eastAsia"/>
          <w:szCs w:val="21"/>
        </w:rPr>
        <w:t>号和第</w:t>
      </w:r>
      <w:hyperlink r:id="rId34" w:history="1">
        <w:r w:rsidRPr="00440D73">
          <w:rPr>
            <w:rFonts w:eastAsia="黑体"/>
            <w:color w:val="0000FF"/>
            <w:szCs w:val="21"/>
          </w:rPr>
          <w:t>2493(2019)</w:t>
        </w:r>
      </w:hyperlink>
      <w:r w:rsidRPr="00440D73">
        <w:rPr>
          <w:rFonts w:eastAsia="黑体" w:cs="黑体" w:hint="eastAsia"/>
          <w:szCs w:val="21"/>
        </w:rPr>
        <w:t>号决议所反映的安理会妇女与和平与安全议程的所有方面。</w:t>
      </w:r>
    </w:p>
    <w:p w14:paraId="64115BCF" w14:textId="77777777" w:rsidR="00440D73" w:rsidRPr="00440D73" w:rsidRDefault="00440D73" w:rsidP="00440D73">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40D73">
        <w:rPr>
          <w:rFonts w:eastAsia="黑体"/>
          <w:szCs w:val="21"/>
        </w:rPr>
        <w:tab/>
      </w:r>
      <w:r w:rsidRPr="00440D73">
        <w:rPr>
          <w:rFonts w:eastAsia="黑体"/>
          <w:szCs w:val="21"/>
        </w:rPr>
        <w:tab/>
      </w:r>
      <w:r w:rsidRPr="00440D73">
        <w:rPr>
          <w:rFonts w:eastAsia="黑体" w:cs="黑体" w:hint="eastAsia"/>
          <w:szCs w:val="21"/>
        </w:rPr>
        <w:t>提高妇女地位国家机构</w:t>
      </w:r>
    </w:p>
    <w:p w14:paraId="08FBF490"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19.</w:t>
      </w:r>
      <w:r w:rsidRPr="00440D73">
        <w:rPr>
          <w:szCs w:val="21"/>
        </w:rPr>
        <w:tab/>
      </w:r>
      <w:r w:rsidRPr="00440D73">
        <w:rPr>
          <w:rFonts w:cs="宋体" w:hint="eastAsia"/>
          <w:szCs w:val="21"/>
        </w:rPr>
        <w:t>委员会满意地注意到缔约国致力于执行可持续发展目标。委员会赞赏建立各种制度以加强提高妇女地位国家机构，特别是津巴布韦性别平等委员会，其任务是接受和审议有关性别歧视的投诉，并建议适当的补救措施；调查性别平等的系统性障碍，并向议会报告其性质、程度和后果；确定消除这些障碍的立法、行政或其他实际措施。委员会还表示注意到对</w:t>
      </w:r>
      <w:r w:rsidRPr="00440D73">
        <w:rPr>
          <w:szCs w:val="21"/>
        </w:rPr>
        <w:t>2017</w:t>
      </w:r>
      <w:r w:rsidRPr="00440D73">
        <w:rPr>
          <w:rFonts w:cs="宋体" w:hint="eastAsia"/>
          <w:szCs w:val="21"/>
        </w:rPr>
        <w:t>年通过的国家性别平等政策的修订，以落实《宪法》规定，并引入专门涉及性别平等和增强妇女权能的监测和评估框架。委员会还欢迎制定国家行动计划，促进执行《公约》。然而，委员会关切地注意到，分配给执行两性平等政策和计划的人力、技术和财政资源不足，缺乏指导执行工作的部门目标和基准以及有效的协调安排，而且缺乏关于国家性别平等政策的成果和影响的信息。</w:t>
      </w:r>
    </w:p>
    <w:p w14:paraId="44E1DC0E"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szCs w:val="21"/>
        </w:rPr>
        <w:t>20.</w:t>
      </w:r>
      <w:r w:rsidRPr="00440D73">
        <w:rPr>
          <w:szCs w:val="21"/>
        </w:rPr>
        <w:tab/>
      </w:r>
      <w:r w:rsidRPr="00440D73">
        <w:rPr>
          <w:rFonts w:eastAsia="黑体" w:cs="黑体" w:hint="eastAsia"/>
          <w:szCs w:val="21"/>
        </w:rPr>
        <w:t>委员会建议缔约国：</w:t>
      </w:r>
    </w:p>
    <w:p w14:paraId="27C3D137"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(a)</w:t>
      </w:r>
      <w:r w:rsidRPr="00440D73">
        <w:rPr>
          <w:rFonts w:eastAsia="黑体"/>
          <w:szCs w:val="21"/>
        </w:rPr>
        <w:tab/>
      </w:r>
      <w:r w:rsidRPr="00440D73">
        <w:rPr>
          <w:rFonts w:eastAsia="黑体" w:cs="黑体" w:hint="eastAsia"/>
          <w:szCs w:val="21"/>
        </w:rPr>
        <w:t>制定平等战略，通过公共政策和发展方案协调所有国家努力；</w:t>
      </w:r>
    </w:p>
    <w:p w14:paraId="1E3DF370"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(b)</w:t>
      </w:r>
      <w:r w:rsidRPr="00440D73">
        <w:rPr>
          <w:rFonts w:eastAsia="黑体"/>
          <w:szCs w:val="21"/>
        </w:rPr>
        <w:tab/>
      </w:r>
      <w:r w:rsidRPr="00440D73">
        <w:rPr>
          <w:rFonts w:eastAsia="黑体" w:cs="黑体" w:hint="eastAsia"/>
          <w:szCs w:val="21"/>
        </w:rPr>
        <w:t>向津巴布韦性别平等委员会和妇女事务、社区、中小企业发展部提供充足的人力、技术和财政资源，使其能够有效执行任务，并将这些任务纳入国家宏观经济框架和部门计划，同时确保提高妇女地位国家机构的所有组成部分协调和有针对性地开展工作，加强合作，包括与国家人权机构的合作；</w:t>
      </w:r>
    </w:p>
    <w:p w14:paraId="49B0DBF7"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(c)</w:t>
      </w:r>
      <w:r w:rsidRPr="00440D73">
        <w:rPr>
          <w:rFonts w:eastAsia="黑体"/>
          <w:szCs w:val="21"/>
        </w:rPr>
        <w:tab/>
      </w:r>
      <w:r w:rsidRPr="00440D73">
        <w:rPr>
          <w:rFonts w:eastAsia="黑体" w:cs="黑体" w:hint="eastAsia"/>
          <w:szCs w:val="21"/>
        </w:rPr>
        <w:t>提供关于国家性别平等政策影响的信息，包括其监测和评估框架产生的信息。</w:t>
      </w:r>
    </w:p>
    <w:p w14:paraId="20F36920" w14:textId="77777777" w:rsidR="00440D73" w:rsidRPr="00440D73" w:rsidRDefault="00440D73" w:rsidP="00440D73">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40D73">
        <w:rPr>
          <w:rFonts w:eastAsia="黑体"/>
          <w:szCs w:val="21"/>
        </w:rPr>
        <w:tab/>
      </w:r>
      <w:r w:rsidRPr="00440D73">
        <w:rPr>
          <w:rFonts w:eastAsia="黑体"/>
          <w:szCs w:val="21"/>
        </w:rPr>
        <w:tab/>
      </w:r>
      <w:r w:rsidRPr="00440D73">
        <w:rPr>
          <w:rFonts w:eastAsia="黑体" w:cs="黑体" w:hint="eastAsia"/>
          <w:szCs w:val="21"/>
        </w:rPr>
        <w:t>国家人权机构</w:t>
      </w:r>
    </w:p>
    <w:p w14:paraId="3514B4A9"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21.</w:t>
      </w:r>
      <w:r w:rsidRPr="00440D73">
        <w:rPr>
          <w:szCs w:val="21"/>
        </w:rPr>
        <w:tab/>
      </w:r>
      <w:r w:rsidRPr="00440D73">
        <w:rPr>
          <w:rFonts w:cs="宋体" w:hint="eastAsia"/>
          <w:szCs w:val="21"/>
        </w:rPr>
        <w:t>委员会赞赏地注意到，津巴布韦人权委员会于</w:t>
      </w:r>
      <w:r w:rsidRPr="00440D73">
        <w:rPr>
          <w:szCs w:val="21"/>
        </w:rPr>
        <w:t>2016</w:t>
      </w:r>
      <w:r w:rsidRPr="00440D73">
        <w:rPr>
          <w:rFonts w:cs="宋体" w:hint="eastAsia"/>
          <w:szCs w:val="21"/>
        </w:rPr>
        <w:t>年被国家人权机构全球联盟授予“</w:t>
      </w:r>
      <w:r w:rsidRPr="00440D73">
        <w:rPr>
          <w:szCs w:val="21"/>
        </w:rPr>
        <w:t>A</w:t>
      </w:r>
      <w:r w:rsidRPr="00440D73">
        <w:rPr>
          <w:rFonts w:cs="宋体" w:hint="eastAsia"/>
          <w:szCs w:val="21"/>
        </w:rPr>
        <w:t>级”。然而，委员会关切地注意到其有限的独立性。</w:t>
      </w:r>
    </w:p>
    <w:p w14:paraId="76638E88"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22.</w:t>
      </w:r>
      <w:r w:rsidRPr="00440D73">
        <w:rPr>
          <w:rFonts w:eastAsia="黑体"/>
          <w:szCs w:val="21"/>
        </w:rPr>
        <w:tab/>
      </w:r>
      <w:r w:rsidRPr="00440D73">
        <w:rPr>
          <w:rFonts w:eastAsia="黑体" w:cs="黑体" w:hint="eastAsia"/>
          <w:szCs w:val="21"/>
        </w:rPr>
        <w:t>委员会建议缔约国按照《关于促进和保护人权的国家机构的地位的原则》</w:t>
      </w:r>
      <w:r w:rsidRPr="00440D73">
        <w:rPr>
          <w:rFonts w:eastAsia="黑体"/>
          <w:szCs w:val="21"/>
        </w:rPr>
        <w:t>(</w:t>
      </w:r>
      <w:r w:rsidRPr="00440D73">
        <w:rPr>
          <w:rFonts w:eastAsia="黑体" w:cs="黑体" w:hint="eastAsia"/>
          <w:szCs w:val="21"/>
        </w:rPr>
        <w:t>《巴黎原则》</w:t>
      </w:r>
      <w:r w:rsidRPr="00440D73">
        <w:rPr>
          <w:rFonts w:eastAsia="黑体"/>
          <w:szCs w:val="21"/>
        </w:rPr>
        <w:t>)</w:t>
      </w:r>
      <w:r w:rsidRPr="00440D73">
        <w:rPr>
          <w:rFonts w:eastAsia="黑体" w:cs="黑体" w:hint="eastAsia"/>
          <w:szCs w:val="21"/>
        </w:rPr>
        <w:t>，确保津巴布韦人权委员会的独立性，缔约国为此：</w:t>
      </w:r>
    </w:p>
    <w:p w14:paraId="6460011F"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(a)</w:t>
      </w:r>
      <w:r w:rsidRPr="00440D73">
        <w:rPr>
          <w:rFonts w:eastAsia="黑体"/>
          <w:szCs w:val="21"/>
        </w:rPr>
        <w:tab/>
      </w:r>
      <w:r w:rsidRPr="00440D73">
        <w:rPr>
          <w:rFonts w:eastAsia="黑体" w:cs="黑体" w:hint="eastAsia"/>
          <w:szCs w:val="21"/>
        </w:rPr>
        <w:t>在津巴布韦人权委员会法授权法中纳入明确、透明和参与性的委员会甄选和任命人权专员程序；</w:t>
      </w:r>
    </w:p>
    <w:p w14:paraId="5217FD12"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(b)</w:t>
      </w:r>
      <w:r w:rsidRPr="00440D73">
        <w:rPr>
          <w:rFonts w:eastAsia="黑体"/>
          <w:szCs w:val="21"/>
        </w:rPr>
        <w:tab/>
      </w:r>
      <w:r w:rsidRPr="00440D73">
        <w:rPr>
          <w:rFonts w:eastAsia="黑体" w:cs="黑体" w:hint="eastAsia"/>
          <w:szCs w:val="21"/>
        </w:rPr>
        <w:t>修订授权法，明确赋予津巴布韦人权委员会直接向国民议会而不是通过行政部门提交报告和建议的权力；</w:t>
      </w:r>
    </w:p>
    <w:p w14:paraId="7D546A36"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(c)</w:t>
      </w:r>
      <w:r w:rsidRPr="00440D73">
        <w:rPr>
          <w:rFonts w:eastAsia="黑体"/>
          <w:szCs w:val="21"/>
        </w:rPr>
        <w:tab/>
      </w:r>
      <w:r w:rsidRPr="00440D73">
        <w:rPr>
          <w:rFonts w:eastAsia="黑体" w:cs="黑体" w:hint="eastAsia"/>
          <w:szCs w:val="21"/>
        </w:rPr>
        <w:t>修订津巴布韦人权委员会法第</w:t>
      </w:r>
      <w:r w:rsidRPr="00440D73">
        <w:rPr>
          <w:rFonts w:eastAsia="黑体"/>
          <w:szCs w:val="21"/>
        </w:rPr>
        <w:t>17(1)(c)</w:t>
      </w:r>
      <w:r w:rsidRPr="00440D73">
        <w:rPr>
          <w:rFonts w:eastAsia="黑体" w:cs="黑体" w:hint="eastAsia"/>
          <w:szCs w:val="21"/>
        </w:rPr>
        <w:t>条，使其能够在未经政府事先批准的情况下接受捐助资金，包括外国资金，并确保该委员会有足够的人力、技术和财政资源有效执行任务。</w:t>
      </w:r>
    </w:p>
    <w:p w14:paraId="2A7B8F2E" w14:textId="77777777" w:rsidR="00440D73" w:rsidRPr="00440D73" w:rsidRDefault="00440D73" w:rsidP="00440D73">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40D73">
        <w:rPr>
          <w:rFonts w:eastAsia="黑体"/>
          <w:szCs w:val="21"/>
        </w:rPr>
        <w:tab/>
      </w:r>
      <w:r w:rsidRPr="00440D73">
        <w:rPr>
          <w:rFonts w:eastAsia="黑体"/>
          <w:szCs w:val="21"/>
        </w:rPr>
        <w:tab/>
      </w:r>
      <w:r w:rsidRPr="00440D73">
        <w:rPr>
          <w:rFonts w:eastAsia="黑体" w:cs="黑体" w:hint="eastAsia"/>
          <w:szCs w:val="21"/>
        </w:rPr>
        <w:t>暂行特别措施</w:t>
      </w:r>
    </w:p>
    <w:p w14:paraId="6130B166"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23.</w:t>
      </w:r>
      <w:r w:rsidRPr="00440D73">
        <w:rPr>
          <w:szCs w:val="21"/>
        </w:rPr>
        <w:tab/>
      </w:r>
      <w:r w:rsidRPr="00440D73">
        <w:rPr>
          <w:rFonts w:cs="宋体" w:hint="eastAsia"/>
          <w:szCs w:val="21"/>
        </w:rPr>
        <w:t>委员会欢迎缔约国努力采取配额形式的暂行特别措施，以增加妇女在议会中的代表性。然而，委员会关切地注意到，符合《公约》第四条第一款的暂行特别措施没有作为一项必要战略得到系统实施，以便在妇女代表性不足或处于不利地位的其他领域，例如就业领域，加快实现女男实质性平等。</w:t>
      </w:r>
    </w:p>
    <w:p w14:paraId="24128028" w14:textId="6821858B"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24.</w:t>
      </w:r>
      <w:r w:rsidRPr="00440D73">
        <w:rPr>
          <w:rFonts w:eastAsia="黑体"/>
          <w:szCs w:val="21"/>
        </w:rPr>
        <w:tab/>
      </w:r>
      <w:r w:rsidRPr="00440D73">
        <w:rPr>
          <w:rFonts w:eastAsia="黑体" w:cs="黑体" w:hint="eastAsia"/>
          <w:szCs w:val="21"/>
        </w:rPr>
        <w:t>依据《公约》第四条第</w:t>
      </w:r>
      <w:r w:rsidRPr="00440D73">
        <w:rPr>
          <w:rFonts w:eastAsia="黑体"/>
          <w:szCs w:val="21"/>
        </w:rPr>
        <w:t>1</w:t>
      </w:r>
      <w:r w:rsidRPr="00440D73">
        <w:rPr>
          <w:rFonts w:eastAsia="黑体" w:cs="黑体" w:hint="eastAsia"/>
          <w:szCs w:val="21"/>
        </w:rPr>
        <w:t>款和委员会关于暂行特别措施的第</w:t>
      </w:r>
      <w:r w:rsidRPr="00440D73">
        <w:rPr>
          <w:rFonts w:eastAsia="黑体"/>
          <w:szCs w:val="21"/>
        </w:rPr>
        <w:t>25</w:t>
      </w:r>
      <w:r w:rsidRPr="00440D73">
        <w:rPr>
          <w:rFonts w:eastAsia="黑体" w:cs="黑体" w:hint="eastAsia"/>
          <w:szCs w:val="21"/>
        </w:rPr>
        <w:t>号一般性建议</w:t>
      </w:r>
      <w:r w:rsidRPr="00440D73">
        <w:rPr>
          <w:rFonts w:eastAsia="黑体"/>
          <w:szCs w:val="21"/>
        </w:rPr>
        <w:t>(2004</w:t>
      </w:r>
      <w:r w:rsidRPr="00440D73">
        <w:rPr>
          <w:rFonts w:eastAsia="黑体" w:cs="黑体" w:hint="eastAsia"/>
          <w:szCs w:val="21"/>
        </w:rPr>
        <w:t>年</w:t>
      </w:r>
      <w:r w:rsidRPr="00440D73">
        <w:rPr>
          <w:rFonts w:eastAsia="黑体"/>
          <w:szCs w:val="21"/>
        </w:rPr>
        <w:t>)</w:t>
      </w:r>
      <w:r w:rsidRPr="00440D73">
        <w:rPr>
          <w:rFonts w:eastAsia="黑体" w:cs="黑体" w:hint="eastAsia"/>
          <w:szCs w:val="21"/>
        </w:rPr>
        <w:t>，委员会回顾上一次结论性意见</w:t>
      </w:r>
      <w:r w:rsidRPr="00440D73">
        <w:rPr>
          <w:rFonts w:eastAsia="黑体"/>
          <w:szCs w:val="21"/>
        </w:rPr>
        <w:t>(</w:t>
      </w:r>
      <w:hyperlink r:id="rId35" w:history="1">
        <w:r w:rsidRPr="00440D73">
          <w:rPr>
            <w:rFonts w:eastAsia="黑体"/>
            <w:color w:val="0000FF"/>
            <w:szCs w:val="21"/>
          </w:rPr>
          <w:t>CEDAW/C/ZWE/CO/2-5</w:t>
        </w:r>
      </w:hyperlink>
      <w:r w:rsidRPr="00440D73">
        <w:rPr>
          <w:rFonts w:eastAsia="黑体" w:cs="黑体" w:hint="eastAsia"/>
          <w:szCs w:val="21"/>
        </w:rPr>
        <w:t>，第</w:t>
      </w:r>
      <w:r w:rsidRPr="00440D73">
        <w:rPr>
          <w:rFonts w:eastAsia="黑体"/>
          <w:szCs w:val="21"/>
        </w:rPr>
        <w:t>20</w:t>
      </w:r>
      <w:r w:rsidRPr="00440D73">
        <w:rPr>
          <w:rFonts w:eastAsia="黑体" w:cs="黑体" w:hint="eastAsia"/>
          <w:szCs w:val="21"/>
        </w:rPr>
        <w:t>段</w:t>
      </w:r>
      <w:r w:rsidRPr="00440D73">
        <w:rPr>
          <w:rFonts w:eastAsia="黑体"/>
          <w:szCs w:val="21"/>
        </w:rPr>
        <w:t>)</w:t>
      </w:r>
      <w:r w:rsidRPr="00440D73">
        <w:rPr>
          <w:rFonts w:eastAsia="黑体" w:cs="黑体" w:hint="eastAsia"/>
          <w:szCs w:val="21"/>
        </w:rPr>
        <w:t>，并建议缔约国：</w:t>
      </w:r>
    </w:p>
    <w:p w14:paraId="74CB39CC"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(a)</w:t>
      </w:r>
      <w:r w:rsidRPr="00440D73">
        <w:rPr>
          <w:rFonts w:eastAsia="黑体"/>
          <w:szCs w:val="21"/>
        </w:rPr>
        <w:tab/>
      </w:r>
      <w:r w:rsidRPr="00440D73">
        <w:rPr>
          <w:rFonts w:eastAsia="黑体" w:cs="黑体" w:hint="eastAsia"/>
          <w:szCs w:val="21"/>
        </w:rPr>
        <w:t>通过并实施暂行特别措施，包括有时限的目标和配额，以便在妇女代表性不足或处于不利地位的所有领域实现事实上或实质上的女男平等；</w:t>
      </w:r>
    </w:p>
    <w:p w14:paraId="33753AF3"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(b)</w:t>
      </w:r>
      <w:r w:rsidRPr="00440D73">
        <w:rPr>
          <w:rFonts w:eastAsia="黑体"/>
          <w:szCs w:val="21"/>
        </w:rPr>
        <w:tab/>
      </w:r>
      <w:r w:rsidRPr="00440D73">
        <w:rPr>
          <w:rFonts w:eastAsia="黑体" w:cs="黑体" w:hint="eastAsia"/>
          <w:szCs w:val="21"/>
        </w:rPr>
        <w:t>提高议员、政府官员、雇主和公众对采取临时特别措施的必要性的非歧视性认识，以实现实质上的女男平等，并在下次定期报告中全面介绍这些措施的应用情况及其影响。</w:t>
      </w:r>
    </w:p>
    <w:p w14:paraId="33634F39" w14:textId="77777777" w:rsidR="00440D73" w:rsidRPr="00440D73" w:rsidRDefault="00440D73" w:rsidP="00440D73">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40D73">
        <w:rPr>
          <w:rFonts w:eastAsia="黑体"/>
          <w:szCs w:val="21"/>
        </w:rPr>
        <w:tab/>
      </w:r>
      <w:r w:rsidRPr="00440D73">
        <w:rPr>
          <w:rFonts w:eastAsia="黑体"/>
          <w:szCs w:val="21"/>
        </w:rPr>
        <w:tab/>
      </w:r>
      <w:r w:rsidRPr="00440D73">
        <w:rPr>
          <w:rFonts w:eastAsia="黑体" w:cs="黑体" w:hint="eastAsia"/>
          <w:szCs w:val="21"/>
        </w:rPr>
        <w:t>定型观念和有害习俗</w:t>
      </w:r>
    </w:p>
    <w:p w14:paraId="03E31A79" w14:textId="690D0E8B"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25.</w:t>
      </w:r>
      <w:r w:rsidRPr="00440D73">
        <w:rPr>
          <w:szCs w:val="21"/>
        </w:rPr>
        <w:tab/>
      </w:r>
      <w:r w:rsidRPr="00440D73">
        <w:rPr>
          <w:rFonts w:cs="宋体" w:hint="eastAsia"/>
          <w:spacing w:val="-4"/>
          <w:szCs w:val="21"/>
        </w:rPr>
        <w:t>委员会注意到关于结束童婚的国家行动计划和宣传战略，以及通过《家庭暴力法》将有害习俗定为犯罪。然而，委员会感到关切的是，《家庭暴力法》对家庭暴力实施者的定义很狭窄。委员会回顾其先前的结论性意见</w:t>
      </w:r>
      <w:r w:rsidRPr="00440D73">
        <w:rPr>
          <w:spacing w:val="-4"/>
          <w:szCs w:val="21"/>
        </w:rPr>
        <w:t>(</w:t>
      </w:r>
      <w:hyperlink r:id="rId36" w:history="1">
        <w:r w:rsidRPr="00440D73">
          <w:rPr>
            <w:rFonts w:eastAsia="黑体"/>
            <w:color w:val="0000FF"/>
            <w:spacing w:val="-4"/>
            <w:szCs w:val="21"/>
          </w:rPr>
          <w:t>CEDAW/C/ZWE/CO/2-5</w:t>
        </w:r>
      </w:hyperlink>
      <w:r w:rsidRPr="00440D73">
        <w:rPr>
          <w:rFonts w:cs="宋体" w:hint="eastAsia"/>
          <w:spacing w:val="-4"/>
          <w:szCs w:val="21"/>
        </w:rPr>
        <w:t>，</w:t>
      </w:r>
      <w:r w:rsidRPr="00440D73">
        <w:rPr>
          <w:rFonts w:cs="宋体" w:hint="eastAsia"/>
          <w:szCs w:val="21"/>
        </w:rPr>
        <w:t>第</w:t>
      </w:r>
      <w:r w:rsidRPr="00440D73">
        <w:rPr>
          <w:szCs w:val="21"/>
        </w:rPr>
        <w:t>21</w:t>
      </w:r>
      <w:r w:rsidRPr="00440D73">
        <w:rPr>
          <w:rFonts w:cs="宋体" w:hint="eastAsia"/>
          <w:szCs w:val="21"/>
        </w:rPr>
        <w:t>段</w:t>
      </w:r>
      <w:r w:rsidRPr="00440D73">
        <w:rPr>
          <w:szCs w:val="21"/>
        </w:rPr>
        <w:t>)</w:t>
      </w:r>
      <w:r w:rsidRPr="00440D73">
        <w:rPr>
          <w:rFonts w:cs="宋体" w:hint="eastAsia"/>
          <w:szCs w:val="21"/>
        </w:rPr>
        <w:t>，重申对持续存在歧视性性别成见和有害做法的关切，包括童婚、多配偶制和处女检验。委员会特别关切的是，这种有害做法普遍不受惩罚，而且不对童婚案件定罪。</w:t>
      </w:r>
    </w:p>
    <w:p w14:paraId="3A7B427D"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26.</w:t>
      </w:r>
      <w:r w:rsidRPr="00440D73">
        <w:rPr>
          <w:rFonts w:eastAsia="黑体"/>
          <w:szCs w:val="21"/>
        </w:rPr>
        <w:tab/>
      </w:r>
      <w:r w:rsidRPr="00440D73">
        <w:rPr>
          <w:rFonts w:eastAsia="黑体" w:cs="黑体" w:hint="eastAsia"/>
          <w:szCs w:val="21"/>
        </w:rPr>
        <w:t>委员会回顾消除对妇女歧视委员会第</w:t>
      </w:r>
      <w:r w:rsidRPr="00440D73">
        <w:rPr>
          <w:rFonts w:eastAsia="黑体"/>
          <w:szCs w:val="21"/>
        </w:rPr>
        <w:t>31</w:t>
      </w:r>
      <w:r w:rsidRPr="00440D73">
        <w:rPr>
          <w:rFonts w:eastAsia="黑体" w:cs="黑体" w:hint="eastAsia"/>
          <w:szCs w:val="21"/>
        </w:rPr>
        <w:t>号以及儿童权利委员会有关有害做法的第</w:t>
      </w:r>
      <w:r w:rsidRPr="00440D73">
        <w:rPr>
          <w:rFonts w:eastAsia="黑体"/>
          <w:szCs w:val="21"/>
        </w:rPr>
        <w:t>18</w:t>
      </w:r>
      <w:r w:rsidRPr="00440D73">
        <w:rPr>
          <w:rFonts w:eastAsia="黑体" w:cs="黑体" w:hint="eastAsia"/>
          <w:szCs w:val="21"/>
        </w:rPr>
        <w:t>号联合一般性建议</w:t>
      </w:r>
      <w:r w:rsidRPr="00440D73">
        <w:rPr>
          <w:rFonts w:eastAsia="黑体"/>
          <w:szCs w:val="21"/>
        </w:rPr>
        <w:t>/</w:t>
      </w:r>
      <w:r w:rsidRPr="00440D73">
        <w:rPr>
          <w:rFonts w:eastAsia="黑体" w:cs="黑体" w:hint="eastAsia"/>
          <w:szCs w:val="21"/>
        </w:rPr>
        <w:t>意见</w:t>
      </w:r>
      <w:r w:rsidRPr="00440D73">
        <w:rPr>
          <w:rFonts w:eastAsia="黑体"/>
          <w:szCs w:val="21"/>
        </w:rPr>
        <w:t>(2019</w:t>
      </w:r>
      <w:r w:rsidRPr="00440D73">
        <w:rPr>
          <w:rFonts w:eastAsia="黑体" w:cs="黑体" w:hint="eastAsia"/>
          <w:szCs w:val="21"/>
        </w:rPr>
        <w:t>年</w:t>
      </w:r>
      <w:r w:rsidRPr="00440D73">
        <w:rPr>
          <w:rFonts w:eastAsia="黑体"/>
          <w:szCs w:val="21"/>
        </w:rPr>
        <w:t>)</w:t>
      </w:r>
      <w:r w:rsidRPr="00440D73">
        <w:rPr>
          <w:rFonts w:eastAsia="黑体" w:cs="黑体" w:hint="eastAsia"/>
          <w:szCs w:val="21"/>
        </w:rPr>
        <w:t>，并根据可持续发展目标具体目标</w:t>
      </w:r>
      <w:r w:rsidRPr="00440D73">
        <w:rPr>
          <w:rFonts w:eastAsia="黑体"/>
          <w:szCs w:val="21"/>
        </w:rPr>
        <w:t>5.3</w:t>
      </w:r>
      <w:r w:rsidRPr="00440D73">
        <w:rPr>
          <w:rFonts w:eastAsia="黑体" w:cs="黑体" w:hint="eastAsia"/>
          <w:szCs w:val="21"/>
        </w:rPr>
        <w:t>，建议缔约国：</w:t>
      </w:r>
    </w:p>
    <w:p w14:paraId="25B28789"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(a)</w:t>
      </w:r>
      <w:r w:rsidRPr="00440D73">
        <w:rPr>
          <w:rFonts w:eastAsia="黑体"/>
          <w:szCs w:val="21"/>
        </w:rPr>
        <w:tab/>
      </w:r>
      <w:r w:rsidRPr="00440D73">
        <w:rPr>
          <w:rFonts w:eastAsia="黑体" w:cs="黑体" w:hint="eastAsia"/>
          <w:szCs w:val="21"/>
        </w:rPr>
        <w:t>扩大《家庭暴力法》中有关实施者的定义，纳入可能与申诉人没有亲属关系或与申诉人生活在同一家庭的人；</w:t>
      </w:r>
    </w:p>
    <w:p w14:paraId="4D06493E"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(b)</w:t>
      </w:r>
      <w:r w:rsidRPr="00440D73">
        <w:rPr>
          <w:rFonts w:eastAsia="黑体"/>
          <w:szCs w:val="21"/>
        </w:rPr>
        <w:tab/>
      </w:r>
      <w:r w:rsidRPr="00440D73">
        <w:rPr>
          <w:rFonts w:eastAsia="黑体" w:cs="黑体" w:hint="eastAsia"/>
          <w:szCs w:val="21"/>
        </w:rPr>
        <w:t>与社区接触，包括宗教和社区领袖以及女童父母和亲属，宣传童婚对女童享有权利的负面影响。</w:t>
      </w:r>
    </w:p>
    <w:p w14:paraId="0534AB64" w14:textId="77777777" w:rsidR="00440D73" w:rsidRPr="00440D73" w:rsidRDefault="00440D73" w:rsidP="00440D73">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40D73">
        <w:rPr>
          <w:rFonts w:eastAsia="黑体"/>
          <w:szCs w:val="21"/>
        </w:rPr>
        <w:tab/>
      </w:r>
      <w:r w:rsidRPr="00440D73">
        <w:rPr>
          <w:rFonts w:eastAsia="黑体"/>
          <w:szCs w:val="21"/>
        </w:rPr>
        <w:tab/>
      </w:r>
      <w:r w:rsidRPr="00440D73">
        <w:rPr>
          <w:rFonts w:eastAsia="黑体" w:cs="黑体" w:hint="eastAsia"/>
          <w:szCs w:val="21"/>
        </w:rPr>
        <w:t>性别暴力侵害妇女行为</w:t>
      </w:r>
    </w:p>
    <w:p w14:paraId="509FC2F7"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27.</w:t>
      </w:r>
      <w:r w:rsidRPr="00440D73">
        <w:rPr>
          <w:szCs w:val="21"/>
        </w:rPr>
        <w:tab/>
      </w:r>
      <w:r w:rsidRPr="00440D73">
        <w:rPr>
          <w:rFonts w:cs="宋体" w:hint="eastAsia"/>
          <w:szCs w:val="21"/>
        </w:rPr>
        <w:t>委员会欢迎缔约国采取措施打击基于性别的暴力侵害妇女行为，例如：设立反家庭暴力委员会和三个暴力受害者一站式服务中心；通过《</w:t>
      </w:r>
      <w:r w:rsidRPr="00440D73">
        <w:rPr>
          <w:szCs w:val="21"/>
        </w:rPr>
        <w:t>2016-2020</w:t>
      </w:r>
      <w:r w:rsidRPr="00440D73">
        <w:rPr>
          <w:rFonts w:cs="宋体" w:hint="eastAsia"/>
          <w:szCs w:val="21"/>
        </w:rPr>
        <w:t>年预防和应对性别暴力国家方案》和受害者友好系统，协调应对性虐待和暴力。然而，委员会关切的是：</w:t>
      </w:r>
    </w:p>
    <w:p w14:paraId="1C075AF2"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ab/>
        <w:t>(a)</w:t>
      </w:r>
      <w:r w:rsidRPr="00440D73">
        <w:rPr>
          <w:szCs w:val="21"/>
        </w:rPr>
        <w:tab/>
      </w:r>
      <w:r w:rsidRPr="00440D73">
        <w:rPr>
          <w:rFonts w:cs="宋体" w:hint="eastAsia"/>
          <w:szCs w:val="21"/>
        </w:rPr>
        <w:t>缔约国各地在公共和私人领域实施的基于性别的暴力侵害妇女和女童行为居高不下；</w:t>
      </w:r>
    </w:p>
    <w:p w14:paraId="6138A7E4"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ab/>
        <w:t>(b)</w:t>
      </w:r>
      <w:r w:rsidRPr="00440D73">
        <w:rPr>
          <w:szCs w:val="21"/>
        </w:rPr>
        <w:tab/>
      </w:r>
      <w:r w:rsidRPr="00440D73">
        <w:rPr>
          <w:rFonts w:cs="宋体" w:hint="eastAsia"/>
          <w:szCs w:val="21"/>
        </w:rPr>
        <w:t>尽管最近向警方举报的案件数量有所增加，但由于沉默和有罪不罚的文化，对基于性别的暴力侵害妇女案件，特别是家庭暴力案件举报不足；</w:t>
      </w:r>
    </w:p>
    <w:p w14:paraId="558DB596"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ab/>
        <w:t>(c)</w:t>
      </w:r>
      <w:r w:rsidRPr="00440D73">
        <w:rPr>
          <w:szCs w:val="21"/>
        </w:rPr>
        <w:tab/>
      </w:r>
      <w:r w:rsidRPr="00440D73">
        <w:rPr>
          <w:rFonts w:cs="宋体" w:hint="eastAsia"/>
          <w:szCs w:val="21"/>
        </w:rPr>
        <w:t>缔约国未能处理公共场所性别暴力问题，包括军方实施的暴力，以及出于政治动机实施的基于性别的暴力侵害女性人权维护者和活动人士行为；</w:t>
      </w:r>
    </w:p>
    <w:p w14:paraId="387C1A94"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ab/>
        <w:t>(d)</w:t>
      </w:r>
      <w:r w:rsidRPr="00440D73">
        <w:rPr>
          <w:szCs w:val="21"/>
        </w:rPr>
        <w:tab/>
      </w:r>
      <w:r w:rsidRPr="00440D73">
        <w:rPr>
          <w:rFonts w:cs="宋体" w:hint="eastAsia"/>
          <w:szCs w:val="21"/>
        </w:rPr>
        <w:t>缺乏按年龄和受害者与施害者之间关系分列的数据，说明对基于性别的暴力侵害妇女案件的调查和起诉数量以及对施害者的判刑情况。</w:t>
      </w:r>
    </w:p>
    <w:p w14:paraId="0C146680"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28.</w:t>
      </w:r>
      <w:r w:rsidRPr="00440D73">
        <w:rPr>
          <w:rFonts w:eastAsia="黑体"/>
          <w:szCs w:val="21"/>
        </w:rPr>
        <w:tab/>
      </w:r>
      <w:r w:rsidRPr="00440D73">
        <w:rPr>
          <w:rFonts w:eastAsia="黑体" w:cs="黑体" w:hint="eastAsia"/>
          <w:szCs w:val="21"/>
        </w:rPr>
        <w:t>委员会回顾其关于基于性别的暴力侵害妇女行为的第</w:t>
      </w:r>
      <w:r w:rsidRPr="00440D73">
        <w:rPr>
          <w:rFonts w:eastAsia="黑体"/>
          <w:szCs w:val="21"/>
        </w:rPr>
        <w:t>35</w:t>
      </w:r>
      <w:r w:rsidRPr="00440D73">
        <w:rPr>
          <w:rFonts w:eastAsia="黑体" w:cs="黑体" w:hint="eastAsia"/>
          <w:szCs w:val="21"/>
        </w:rPr>
        <w:t>号一般性建议</w:t>
      </w:r>
      <w:r w:rsidRPr="00440D73">
        <w:rPr>
          <w:rFonts w:eastAsia="黑体"/>
          <w:szCs w:val="21"/>
        </w:rPr>
        <w:t>(2017</w:t>
      </w:r>
      <w:r w:rsidRPr="00440D73">
        <w:rPr>
          <w:rFonts w:eastAsia="黑体" w:cs="黑体" w:hint="eastAsia"/>
          <w:szCs w:val="21"/>
        </w:rPr>
        <w:t>年</w:t>
      </w:r>
      <w:r w:rsidRPr="00440D73">
        <w:rPr>
          <w:rFonts w:eastAsia="黑体"/>
          <w:szCs w:val="21"/>
        </w:rPr>
        <w:t>)(</w:t>
      </w:r>
      <w:r w:rsidRPr="00440D73">
        <w:rPr>
          <w:rFonts w:eastAsia="黑体" w:cs="黑体" w:hint="eastAsia"/>
          <w:szCs w:val="21"/>
        </w:rPr>
        <w:t>更新第</w:t>
      </w:r>
      <w:r w:rsidRPr="00440D73">
        <w:rPr>
          <w:rFonts w:eastAsia="黑体"/>
          <w:szCs w:val="21"/>
        </w:rPr>
        <w:t>19</w:t>
      </w:r>
      <w:r w:rsidRPr="00440D73">
        <w:rPr>
          <w:rFonts w:eastAsia="黑体" w:cs="黑体" w:hint="eastAsia"/>
          <w:szCs w:val="21"/>
        </w:rPr>
        <w:t>号一般性建议</w:t>
      </w:r>
      <w:r w:rsidRPr="00440D73">
        <w:rPr>
          <w:rFonts w:eastAsia="黑体"/>
          <w:szCs w:val="21"/>
        </w:rPr>
        <w:t>)</w:t>
      </w:r>
      <w:r w:rsidRPr="00440D73">
        <w:rPr>
          <w:rFonts w:eastAsia="黑体" w:cs="黑体" w:hint="eastAsia"/>
          <w:szCs w:val="21"/>
        </w:rPr>
        <w:t>，建议缔约国：</w:t>
      </w:r>
    </w:p>
    <w:p w14:paraId="05AD01F6"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(a)</w:t>
      </w:r>
      <w:r w:rsidRPr="00440D73">
        <w:rPr>
          <w:rFonts w:eastAsia="黑体"/>
          <w:szCs w:val="21"/>
        </w:rPr>
        <w:tab/>
      </w:r>
      <w:r w:rsidRPr="00440D73">
        <w:rPr>
          <w:rFonts w:eastAsia="黑体" w:cs="黑体" w:hint="eastAsia"/>
          <w:szCs w:val="21"/>
        </w:rPr>
        <w:t>分配充足的人力、技术和财政资源，并建立监测和评估机制，以执行预防和应对性别暴力国家方案，并遵循针对所有妇女的包容和无障碍原则；</w:t>
      </w:r>
    </w:p>
    <w:p w14:paraId="5930FC74"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(b)</w:t>
      </w:r>
      <w:r w:rsidRPr="00440D73">
        <w:rPr>
          <w:rFonts w:eastAsia="黑体"/>
          <w:szCs w:val="21"/>
        </w:rPr>
        <w:tab/>
      </w:r>
      <w:r w:rsidRPr="00440D73">
        <w:rPr>
          <w:rFonts w:eastAsia="黑体" w:cs="黑体" w:hint="eastAsia"/>
          <w:szCs w:val="21"/>
        </w:rPr>
        <w:t>通过开展针对一切形式性别暴力的犯罪性质及其对妇女享有权利严重影响的提高认识运动，消除使遭受这类暴力的妇女和女童不愿举报的污名化；</w:t>
      </w:r>
    </w:p>
    <w:p w14:paraId="4751CFEC"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(c)</w:t>
      </w:r>
      <w:r w:rsidRPr="00440D73">
        <w:rPr>
          <w:rFonts w:eastAsia="黑体"/>
          <w:szCs w:val="21"/>
        </w:rPr>
        <w:tab/>
      </w:r>
      <w:r w:rsidRPr="00440D73">
        <w:rPr>
          <w:rFonts w:eastAsia="黑体" w:cs="黑体" w:hint="eastAsia"/>
          <w:szCs w:val="21"/>
        </w:rPr>
        <w:t>防止、调查和适当惩罚出于政治动机的暴力侵害女性人权维护者和活动人士行为，包括警察和安全部队成员在公职人员唆使下实施的此类暴力行为；</w:t>
      </w:r>
    </w:p>
    <w:p w14:paraId="28A26C26"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(d)</w:t>
      </w:r>
      <w:r w:rsidRPr="00440D73">
        <w:rPr>
          <w:rFonts w:eastAsia="黑体"/>
          <w:szCs w:val="21"/>
        </w:rPr>
        <w:tab/>
      </w:r>
      <w:r w:rsidRPr="00440D73">
        <w:rPr>
          <w:rFonts w:eastAsia="黑体" w:cs="黑体" w:hint="eastAsia"/>
          <w:szCs w:val="21"/>
        </w:rPr>
        <w:t>系统收集数据，按年龄、暴力类型和受害者与施害者之间关系分类，说明对基于性别的暴力侵害妇女行为实施者的投诉、调查、起诉、定罪和判刑的数量，以及向受害者提供的补救措施，包括经济赔偿。</w:t>
      </w:r>
    </w:p>
    <w:p w14:paraId="7A1BB85B" w14:textId="77777777" w:rsidR="00440D73" w:rsidRPr="00440D73" w:rsidRDefault="00440D73" w:rsidP="00440D73">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40D73">
        <w:rPr>
          <w:rFonts w:eastAsia="黑体"/>
          <w:szCs w:val="21"/>
        </w:rPr>
        <w:tab/>
      </w:r>
      <w:r w:rsidRPr="00440D73">
        <w:rPr>
          <w:rFonts w:eastAsia="黑体"/>
          <w:szCs w:val="21"/>
        </w:rPr>
        <w:tab/>
      </w:r>
      <w:r w:rsidRPr="00440D73">
        <w:rPr>
          <w:rFonts w:eastAsia="黑体" w:cs="黑体" w:hint="eastAsia"/>
          <w:szCs w:val="21"/>
        </w:rPr>
        <w:t>贩运人口和利用妇女卖淫意图营利</w:t>
      </w:r>
    </w:p>
    <w:p w14:paraId="147C7100"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29.</w:t>
      </w:r>
      <w:r w:rsidRPr="00440D73">
        <w:rPr>
          <w:szCs w:val="21"/>
        </w:rPr>
        <w:tab/>
      </w:r>
      <w:r w:rsidRPr="00440D73">
        <w:rPr>
          <w:rFonts w:cs="宋体" w:hint="eastAsia"/>
          <w:szCs w:val="21"/>
        </w:rPr>
        <w:t>委员会欢迎缔约国努力打击贩运人口，特别是贩运妇女和女童，包括对执法人员进行贩运和移徙方面的培训。然而，委员会关切地注意到，许多妇女和女童在缔约国内外被贩运，目的是家庭奴役、强迫劳动和性剥削。委员会特别关切：</w:t>
      </w:r>
    </w:p>
    <w:p w14:paraId="0507BCE2"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ab/>
        <w:t>(a)</w:t>
      </w:r>
      <w:r w:rsidRPr="00440D73">
        <w:rPr>
          <w:szCs w:val="21"/>
        </w:rPr>
        <w:tab/>
      </w:r>
      <w:r w:rsidRPr="00440D73">
        <w:rPr>
          <w:rFonts w:cs="宋体" w:hint="eastAsia"/>
          <w:szCs w:val="21"/>
        </w:rPr>
        <w:t>没有足够能力和有效程序及早查明贩运受害者并将其转至适当的服务机构；</w:t>
      </w:r>
    </w:p>
    <w:p w14:paraId="14E5E034"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ab/>
        <w:t>(b)</w:t>
      </w:r>
      <w:r w:rsidRPr="00440D73">
        <w:rPr>
          <w:szCs w:val="21"/>
        </w:rPr>
        <w:tab/>
      </w:r>
      <w:r w:rsidRPr="00440D73">
        <w:rPr>
          <w:rFonts w:cs="宋体" w:hint="eastAsia"/>
          <w:szCs w:val="21"/>
        </w:rPr>
        <w:t>《反人口贩运法》中的贩运定义不符合国际标准；</w:t>
      </w:r>
    </w:p>
    <w:p w14:paraId="51D6E3E9"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ab/>
        <w:t>(c)</w:t>
      </w:r>
      <w:r w:rsidRPr="00440D73">
        <w:rPr>
          <w:szCs w:val="21"/>
        </w:rPr>
        <w:tab/>
      </w:r>
      <w:r w:rsidRPr="00440D73">
        <w:rPr>
          <w:rFonts w:cs="宋体" w:hint="eastAsia"/>
          <w:szCs w:val="21"/>
        </w:rPr>
        <w:t>缺乏针对贩运受害妇女和女童的国家庇护所，该国只有位于哈拉雷、布拉瓦约和马尼卡兰省的三个庇护所。</w:t>
      </w:r>
    </w:p>
    <w:p w14:paraId="3BF24440"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30.</w:t>
      </w:r>
      <w:r w:rsidRPr="00440D73">
        <w:rPr>
          <w:rFonts w:eastAsia="黑体"/>
          <w:szCs w:val="21"/>
        </w:rPr>
        <w:tab/>
      </w:r>
      <w:r w:rsidRPr="00440D73">
        <w:rPr>
          <w:rFonts w:eastAsia="黑体" w:cs="黑体" w:hint="eastAsia"/>
          <w:szCs w:val="21"/>
        </w:rPr>
        <w:t>委员会建议缔约国：</w:t>
      </w:r>
    </w:p>
    <w:p w14:paraId="58312696"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(a)</w:t>
      </w:r>
      <w:r w:rsidRPr="00440D73">
        <w:rPr>
          <w:rFonts w:eastAsia="黑体"/>
          <w:szCs w:val="21"/>
        </w:rPr>
        <w:tab/>
      </w:r>
      <w:r w:rsidRPr="00440D73">
        <w:rPr>
          <w:rFonts w:eastAsia="黑体" w:cs="黑体" w:hint="eastAsia"/>
          <w:szCs w:val="21"/>
        </w:rPr>
        <w:t>加紧努力与民间社会组织合作，查明和保护来自缔约国和缔约国境内的人口贩运受害者，在早期阶段向他们提供适当服务，并加紧努力调查、起诉和适当惩罚人口贩运相关罪行的实施者；</w:t>
      </w:r>
    </w:p>
    <w:p w14:paraId="70A23270"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(b)</w:t>
      </w:r>
      <w:r w:rsidRPr="00440D73">
        <w:rPr>
          <w:rFonts w:eastAsia="黑体"/>
          <w:szCs w:val="21"/>
        </w:rPr>
        <w:tab/>
      </w:r>
      <w:r w:rsidRPr="00440D73">
        <w:rPr>
          <w:rFonts w:eastAsia="黑体" w:cs="黑体" w:hint="eastAsia"/>
          <w:szCs w:val="21"/>
        </w:rPr>
        <w:t>修订《反人口贩运法》，纳入符合《联合国打击跨国有组织犯罪公约关于预防、禁止和惩治贩运人口特别是妇女和儿童行为的补充议定书》的贩运人口定义；</w:t>
      </w:r>
    </w:p>
    <w:p w14:paraId="1975ECC0"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(c)</w:t>
      </w:r>
      <w:r w:rsidRPr="00440D73">
        <w:rPr>
          <w:rFonts w:eastAsia="黑体"/>
          <w:szCs w:val="21"/>
        </w:rPr>
        <w:tab/>
      </w:r>
      <w:r w:rsidRPr="00440D73">
        <w:rPr>
          <w:rFonts w:eastAsia="黑体" w:cs="黑体" w:hint="eastAsia"/>
          <w:szCs w:val="21"/>
        </w:rPr>
        <w:t>确保在全国所有</w:t>
      </w:r>
      <w:r w:rsidRPr="00440D73">
        <w:rPr>
          <w:rFonts w:eastAsia="黑体"/>
          <w:szCs w:val="21"/>
        </w:rPr>
        <w:t>10</w:t>
      </w:r>
      <w:r w:rsidRPr="00440D73">
        <w:rPr>
          <w:rFonts w:eastAsia="黑体" w:cs="黑体" w:hint="eastAsia"/>
          <w:szCs w:val="21"/>
        </w:rPr>
        <w:t>个省为贩运受害者提供国家庇护所，增加对经营庇护所的非政府组织的财政支持，并向贩运受害妇女和女童提供支持服务，包括法律咨询和康复服务。</w:t>
      </w:r>
    </w:p>
    <w:p w14:paraId="5C08312E"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31.</w:t>
      </w:r>
      <w:r w:rsidRPr="00440D73">
        <w:rPr>
          <w:szCs w:val="21"/>
        </w:rPr>
        <w:tab/>
      </w:r>
      <w:r w:rsidRPr="00440D73">
        <w:rPr>
          <w:rFonts w:cs="宋体" w:hint="eastAsia"/>
          <w:szCs w:val="21"/>
        </w:rPr>
        <w:t>委员会欢迎宪法法院于</w:t>
      </w:r>
      <w:r w:rsidRPr="00440D73">
        <w:rPr>
          <w:szCs w:val="21"/>
        </w:rPr>
        <w:t>2015</w:t>
      </w:r>
      <w:r w:rsidRPr="00440D73">
        <w:rPr>
          <w:rFonts w:cs="宋体" w:hint="eastAsia"/>
          <w:szCs w:val="21"/>
        </w:rPr>
        <w:t>年决定，禁止逮捕被发现以卖淫为目的游荡的妇女。然而，委员会关切地注意到，缔约国内大量妇女因贫困被剥削卖淫，缺乏关于卖淫妇女和女童的数据，未采取措施解决卖淫的根本原因，也未制定针对希望退出卖淫的妇女的退出方案。</w:t>
      </w:r>
    </w:p>
    <w:p w14:paraId="41538ABA"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32.</w:t>
      </w:r>
      <w:r w:rsidRPr="00440D73">
        <w:rPr>
          <w:rFonts w:eastAsia="黑体"/>
          <w:szCs w:val="21"/>
        </w:rPr>
        <w:tab/>
      </w:r>
      <w:r w:rsidRPr="00440D73">
        <w:rPr>
          <w:rFonts w:eastAsia="黑体" w:cs="黑体" w:hint="eastAsia"/>
          <w:szCs w:val="21"/>
        </w:rPr>
        <w:t>委员会建议缔约国分析和解决卖淫的根源，向希望退出卖淫的妇女和女童提供退出方案和其他创收机会，并收集关于缔约国卖淫程度的分类数据。</w:t>
      </w:r>
    </w:p>
    <w:p w14:paraId="3CFDD351" w14:textId="77777777" w:rsidR="00440D73" w:rsidRPr="00440D73" w:rsidRDefault="00440D73" w:rsidP="00440D73">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40D73">
        <w:rPr>
          <w:rFonts w:eastAsia="黑体"/>
          <w:szCs w:val="21"/>
        </w:rPr>
        <w:tab/>
      </w:r>
      <w:r w:rsidRPr="00440D73">
        <w:rPr>
          <w:rFonts w:eastAsia="黑体"/>
          <w:szCs w:val="21"/>
        </w:rPr>
        <w:tab/>
      </w:r>
      <w:r w:rsidRPr="00440D73">
        <w:rPr>
          <w:rFonts w:eastAsia="黑体" w:cs="黑体" w:hint="eastAsia"/>
          <w:szCs w:val="21"/>
        </w:rPr>
        <w:t>平等参与政治和公共生活</w:t>
      </w:r>
    </w:p>
    <w:p w14:paraId="70A0AAC8"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33.</w:t>
      </w:r>
      <w:r w:rsidRPr="00440D73">
        <w:rPr>
          <w:szCs w:val="21"/>
        </w:rPr>
        <w:tab/>
      </w:r>
      <w:r w:rsidRPr="00440D73">
        <w:rPr>
          <w:rFonts w:cs="宋体" w:hint="eastAsia"/>
          <w:szCs w:val="21"/>
        </w:rPr>
        <w:t>委员会欢迎在国民议会、参议院和省议会中妇女任职人数最低线，以及各政党自愿承诺在其选举名单中至少有三分之一的女性候选人，因此</w:t>
      </w:r>
      <w:r w:rsidRPr="00440D73">
        <w:rPr>
          <w:szCs w:val="21"/>
        </w:rPr>
        <w:t>2018</w:t>
      </w:r>
      <w:r w:rsidRPr="00440D73">
        <w:rPr>
          <w:rFonts w:cs="宋体" w:hint="eastAsia"/>
          <w:szCs w:val="21"/>
        </w:rPr>
        <w:t>年国民议会成员中女性占</w:t>
      </w:r>
      <w:r w:rsidRPr="00440D73">
        <w:rPr>
          <w:szCs w:val="21"/>
        </w:rPr>
        <w:t>32%</w:t>
      </w:r>
      <w:r w:rsidRPr="00440D73">
        <w:rPr>
          <w:rFonts w:cs="宋体" w:hint="eastAsia"/>
          <w:szCs w:val="21"/>
        </w:rPr>
        <w:t>，参议院中女性占</w:t>
      </w:r>
      <w:r w:rsidRPr="00440D73">
        <w:rPr>
          <w:szCs w:val="21"/>
        </w:rPr>
        <w:t>44%</w:t>
      </w:r>
      <w:r w:rsidRPr="00440D73">
        <w:rPr>
          <w:rFonts w:cs="宋体" w:hint="eastAsia"/>
          <w:szCs w:val="21"/>
        </w:rPr>
        <w:t>。然而，委员会关切地注意到，国民议会的宪法性别配额将于</w:t>
      </w:r>
      <w:r w:rsidRPr="00440D73">
        <w:rPr>
          <w:szCs w:val="21"/>
        </w:rPr>
        <w:t>2023</w:t>
      </w:r>
      <w:r w:rsidRPr="00440D73">
        <w:rPr>
          <w:rFonts w:cs="宋体" w:hint="eastAsia"/>
          <w:szCs w:val="21"/>
        </w:rPr>
        <w:t>年到期，对于被发现不符合参议院候选人名单中性别均等原则的政党未采取处罚措施。委员会还关切地注意到，行政部门没有执行关于平等的宪法条款</w:t>
      </w:r>
      <w:r w:rsidRPr="00440D73">
        <w:rPr>
          <w:szCs w:val="21"/>
        </w:rPr>
        <w:t>(</w:t>
      </w:r>
      <w:r w:rsidRPr="00440D73">
        <w:rPr>
          <w:rFonts w:cs="宋体" w:hint="eastAsia"/>
          <w:szCs w:val="21"/>
        </w:rPr>
        <w:t>第</w:t>
      </w:r>
      <w:r w:rsidRPr="00440D73">
        <w:rPr>
          <w:szCs w:val="21"/>
        </w:rPr>
        <w:t>17</w:t>
      </w:r>
      <w:r w:rsidRPr="00440D73">
        <w:rPr>
          <w:rFonts w:cs="宋体" w:hint="eastAsia"/>
          <w:szCs w:val="21"/>
        </w:rPr>
        <w:t>条</w:t>
      </w:r>
      <w:r w:rsidRPr="00440D73">
        <w:rPr>
          <w:szCs w:val="21"/>
        </w:rPr>
        <w:t>)</w:t>
      </w:r>
      <w:r w:rsidRPr="00440D73">
        <w:rPr>
          <w:rFonts w:cs="宋体" w:hint="eastAsia"/>
          <w:szCs w:val="21"/>
        </w:rPr>
        <w:t>，这表现在女部长人数和公共和私营公司董事会中女成员人数都很少。委员会还感到关切的是，从政妇女没有受益于通过“政党筹资法”提供的竞选资金，而且往往成为媒体中性别歧视攻击、骚扰和性别成见的目标。</w:t>
      </w:r>
    </w:p>
    <w:p w14:paraId="5EC4AB1F"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34.</w:t>
      </w:r>
      <w:r w:rsidRPr="00440D73">
        <w:rPr>
          <w:rFonts w:eastAsia="黑体"/>
          <w:szCs w:val="21"/>
        </w:rPr>
        <w:tab/>
      </w:r>
      <w:r w:rsidRPr="00440D73">
        <w:rPr>
          <w:rFonts w:eastAsia="黑体" w:cs="黑体" w:hint="eastAsia"/>
          <w:szCs w:val="21"/>
        </w:rPr>
        <w:t>根据其关于妇女参与政治和公共生活的第</w:t>
      </w:r>
      <w:r w:rsidRPr="00440D73">
        <w:rPr>
          <w:rFonts w:eastAsia="黑体"/>
          <w:szCs w:val="21"/>
        </w:rPr>
        <w:t>23</w:t>
      </w:r>
      <w:r w:rsidRPr="00440D73">
        <w:rPr>
          <w:rFonts w:eastAsia="黑体" w:cs="黑体" w:hint="eastAsia"/>
          <w:szCs w:val="21"/>
        </w:rPr>
        <w:t>号一般性建议</w:t>
      </w:r>
      <w:r w:rsidRPr="00440D73">
        <w:rPr>
          <w:rFonts w:eastAsia="黑体"/>
          <w:szCs w:val="21"/>
        </w:rPr>
        <w:t>(1997</w:t>
      </w:r>
      <w:r w:rsidRPr="00440D73">
        <w:rPr>
          <w:rFonts w:eastAsia="黑体" w:cs="黑体" w:hint="eastAsia"/>
          <w:szCs w:val="21"/>
        </w:rPr>
        <w:t>年</w:t>
      </w:r>
      <w:r w:rsidRPr="00440D73">
        <w:rPr>
          <w:rFonts w:eastAsia="黑体"/>
          <w:szCs w:val="21"/>
        </w:rPr>
        <w:t>)</w:t>
      </w:r>
      <w:r w:rsidRPr="00440D73">
        <w:rPr>
          <w:rFonts w:eastAsia="黑体" w:cs="黑体" w:hint="eastAsia"/>
          <w:szCs w:val="21"/>
        </w:rPr>
        <w:t>和可持续发展目标的具体目标</w:t>
      </w:r>
      <w:r w:rsidRPr="00440D73">
        <w:rPr>
          <w:rFonts w:eastAsia="黑体"/>
          <w:szCs w:val="21"/>
        </w:rPr>
        <w:t>5.5</w:t>
      </w:r>
      <w:r w:rsidRPr="00440D73">
        <w:rPr>
          <w:rFonts w:eastAsia="黑体" w:cs="黑体" w:hint="eastAsia"/>
          <w:szCs w:val="21"/>
        </w:rPr>
        <w:t>，委员会建议缔约国：</w:t>
      </w:r>
    </w:p>
    <w:p w14:paraId="39E5B6D4"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(a)</w:t>
      </w:r>
      <w:r w:rsidRPr="00440D73">
        <w:rPr>
          <w:rFonts w:eastAsia="黑体"/>
          <w:szCs w:val="21"/>
        </w:rPr>
        <w:tab/>
      </w:r>
      <w:r w:rsidRPr="00440D73">
        <w:rPr>
          <w:rFonts w:eastAsia="黑体" w:cs="黑体" w:hint="eastAsia"/>
          <w:szCs w:val="21"/>
        </w:rPr>
        <w:t>确保宪法规定的性别配额在</w:t>
      </w:r>
      <w:r w:rsidRPr="00440D73">
        <w:rPr>
          <w:rFonts w:eastAsia="黑体"/>
          <w:szCs w:val="21"/>
        </w:rPr>
        <w:t>2023</w:t>
      </w:r>
      <w:r w:rsidRPr="00440D73">
        <w:rPr>
          <w:rFonts w:eastAsia="黑体" w:cs="黑体" w:hint="eastAsia"/>
          <w:szCs w:val="21"/>
        </w:rPr>
        <w:t>年下一次选举之后仍然适用，直到实现女男实质性平等，强制规定政党选举名单上的性别配额，并要求津巴布韦选举委员会在不遵守规定的情况下实行处罚，包括罚款；</w:t>
      </w:r>
    </w:p>
    <w:p w14:paraId="3CA3B271"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(b)</w:t>
      </w:r>
      <w:r w:rsidRPr="00440D73">
        <w:rPr>
          <w:rFonts w:eastAsia="黑体"/>
          <w:szCs w:val="21"/>
        </w:rPr>
        <w:tab/>
      </w:r>
      <w:r w:rsidRPr="00440D73">
        <w:rPr>
          <w:rFonts w:eastAsia="黑体" w:cs="黑体" w:hint="eastAsia"/>
          <w:szCs w:val="21"/>
        </w:rPr>
        <w:t>在任命政府部长以及公共和私营公司董事会成员时，执行《宪法》第</w:t>
      </w:r>
      <w:r w:rsidRPr="00440D73">
        <w:rPr>
          <w:rFonts w:eastAsia="黑体"/>
          <w:szCs w:val="21"/>
        </w:rPr>
        <w:t>17</w:t>
      </w:r>
      <w:r w:rsidRPr="00440D73">
        <w:rPr>
          <w:rFonts w:eastAsia="黑体" w:cs="黑体" w:hint="eastAsia"/>
          <w:szCs w:val="21"/>
        </w:rPr>
        <w:t>条中的性别平等原则；</w:t>
      </w:r>
    </w:p>
    <w:p w14:paraId="6F016134"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(c)</w:t>
      </w:r>
      <w:r w:rsidRPr="00440D73">
        <w:rPr>
          <w:rFonts w:eastAsia="黑体"/>
          <w:szCs w:val="21"/>
        </w:rPr>
        <w:tab/>
      </w:r>
      <w:r w:rsidRPr="00440D73">
        <w:rPr>
          <w:rFonts w:eastAsia="黑体" w:cs="黑体" w:hint="eastAsia"/>
          <w:szCs w:val="21"/>
        </w:rPr>
        <w:t>开展提高认识运动，让政治领导人、记者、教师和公众深入理解，缔约国要充分落实妇女人权和实现政治稳定和经济发展，妇女就必须在与男子平等的基础上充分、自由和民主地参与政治和公共生活；</w:t>
      </w:r>
    </w:p>
    <w:p w14:paraId="22FB0506"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(d)</w:t>
      </w:r>
      <w:r w:rsidRPr="00440D73">
        <w:rPr>
          <w:rFonts w:eastAsia="黑体"/>
          <w:szCs w:val="21"/>
        </w:rPr>
        <w:tab/>
      </w:r>
      <w:r w:rsidRPr="00440D73">
        <w:rPr>
          <w:rFonts w:eastAsia="黑体" w:cs="黑体" w:hint="eastAsia"/>
          <w:szCs w:val="21"/>
        </w:rPr>
        <w:t>修订“政党筹资法”，具体规定为竞选的女性候选人提供竞选资金和培训，并提供具体拨款；</w:t>
      </w:r>
    </w:p>
    <w:p w14:paraId="12FC77D9"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(e)</w:t>
      </w:r>
      <w:r w:rsidRPr="00440D73">
        <w:rPr>
          <w:rFonts w:eastAsia="黑体"/>
          <w:szCs w:val="21"/>
        </w:rPr>
        <w:tab/>
      </w:r>
      <w:r w:rsidRPr="00440D73">
        <w:rPr>
          <w:rFonts w:eastAsia="黑体" w:cs="黑体" w:hint="eastAsia"/>
          <w:szCs w:val="21"/>
        </w:rPr>
        <w:t>通过立法，将针对女性候选人和政治活动者的政治骚扰和性别歧视攻击定为刑事犯罪。</w:t>
      </w:r>
    </w:p>
    <w:p w14:paraId="7A8E69F0" w14:textId="77777777" w:rsidR="00440D73" w:rsidRPr="00440D73" w:rsidRDefault="00440D73" w:rsidP="00440D73">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40D73">
        <w:rPr>
          <w:rFonts w:eastAsia="黑体"/>
          <w:szCs w:val="21"/>
        </w:rPr>
        <w:tab/>
      </w:r>
      <w:r w:rsidRPr="00440D73">
        <w:rPr>
          <w:rFonts w:eastAsia="黑体"/>
          <w:szCs w:val="21"/>
        </w:rPr>
        <w:tab/>
      </w:r>
      <w:r w:rsidRPr="00440D73">
        <w:rPr>
          <w:rFonts w:eastAsia="黑体" w:cs="黑体" w:hint="eastAsia"/>
          <w:szCs w:val="21"/>
        </w:rPr>
        <w:t>教育</w:t>
      </w:r>
    </w:p>
    <w:p w14:paraId="44831F89"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35.</w:t>
      </w:r>
      <w:r w:rsidRPr="00440D73">
        <w:rPr>
          <w:szCs w:val="21"/>
        </w:rPr>
        <w:tab/>
      </w:r>
      <w:r w:rsidRPr="00440D73">
        <w:rPr>
          <w:rFonts w:cs="宋体" w:hint="eastAsia"/>
          <w:szCs w:val="21"/>
        </w:rPr>
        <w:t>委员会注意到，缔约国代表团在对话期间宣布为</w:t>
      </w:r>
      <w:r w:rsidRPr="00440D73">
        <w:rPr>
          <w:szCs w:val="21"/>
        </w:rPr>
        <w:t>2019</w:t>
      </w:r>
      <w:r w:rsidRPr="00440D73">
        <w:rPr>
          <w:rFonts w:cs="宋体" w:hint="eastAsia"/>
          <w:szCs w:val="21"/>
        </w:rPr>
        <w:t>年和</w:t>
      </w:r>
      <w:r w:rsidRPr="00440D73">
        <w:rPr>
          <w:szCs w:val="21"/>
        </w:rPr>
        <w:t>2020</w:t>
      </w:r>
      <w:r w:rsidRPr="00440D73">
        <w:rPr>
          <w:rFonts w:cs="宋体" w:hint="eastAsia"/>
          <w:szCs w:val="21"/>
        </w:rPr>
        <w:t>年分别填补</w:t>
      </w:r>
      <w:r w:rsidRPr="00440D73">
        <w:rPr>
          <w:szCs w:val="21"/>
        </w:rPr>
        <w:t>3000</w:t>
      </w:r>
      <w:r w:rsidRPr="00440D73">
        <w:rPr>
          <w:rFonts w:cs="宋体" w:hint="eastAsia"/>
          <w:szCs w:val="21"/>
        </w:rPr>
        <w:t>个和</w:t>
      </w:r>
      <w:r w:rsidRPr="00440D73">
        <w:rPr>
          <w:szCs w:val="21"/>
        </w:rPr>
        <w:t>5000</w:t>
      </w:r>
      <w:r w:rsidRPr="00440D73">
        <w:rPr>
          <w:rFonts w:cs="宋体" w:hint="eastAsia"/>
          <w:szCs w:val="21"/>
        </w:rPr>
        <w:t>个教学职位提供预算拨款，建造</w:t>
      </w:r>
      <w:r w:rsidRPr="00440D73">
        <w:rPr>
          <w:szCs w:val="21"/>
        </w:rPr>
        <w:t>2000</w:t>
      </w:r>
      <w:r w:rsidRPr="00440D73">
        <w:rPr>
          <w:rFonts w:cs="宋体" w:hint="eastAsia"/>
          <w:szCs w:val="21"/>
        </w:rPr>
        <w:t>所新学校，修复破旧校舍，并在高等教育机构，包括理工学院和大学建造女生宿舍。委员会还欢迎通过和实施科学、技术、工程和数学倡议。然而，委员会关切地注意到：</w:t>
      </w:r>
    </w:p>
    <w:p w14:paraId="755DB4A4"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ab/>
        <w:t>(a)</w:t>
      </w:r>
      <w:r w:rsidRPr="00440D73">
        <w:rPr>
          <w:szCs w:val="21"/>
        </w:rPr>
        <w:tab/>
      </w:r>
      <w:r w:rsidRPr="00440D73">
        <w:rPr>
          <w:rFonts w:cs="宋体" w:hint="eastAsia"/>
          <w:szCs w:val="21"/>
        </w:rPr>
        <w:t>由于童婚和</w:t>
      </w:r>
      <w:r w:rsidRPr="00440D73">
        <w:rPr>
          <w:szCs w:val="21"/>
        </w:rPr>
        <w:t>/</w:t>
      </w:r>
      <w:r w:rsidRPr="00440D73">
        <w:rPr>
          <w:rFonts w:cs="宋体" w:hint="eastAsia"/>
          <w:szCs w:val="21"/>
        </w:rPr>
        <w:t>或早孕或经济困难，女童辍学率高；</w:t>
      </w:r>
    </w:p>
    <w:p w14:paraId="26E7EAAB"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ab/>
        <w:t>(b)</w:t>
      </w:r>
      <w:r w:rsidRPr="00440D73">
        <w:rPr>
          <w:szCs w:val="21"/>
        </w:rPr>
        <w:tab/>
      </w:r>
      <w:r w:rsidRPr="00440D73">
        <w:rPr>
          <w:rFonts w:cs="宋体" w:hint="eastAsia"/>
          <w:szCs w:val="21"/>
        </w:rPr>
        <w:t>学校基础设施未能充分考虑到女童的需求，没有为男女儿童提供足够和单独的卫生设施；</w:t>
      </w:r>
    </w:p>
    <w:p w14:paraId="2A227BF6"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ab/>
        <w:t>(c)</w:t>
      </w:r>
      <w:r w:rsidRPr="00440D73">
        <w:rPr>
          <w:szCs w:val="21"/>
        </w:rPr>
        <w:tab/>
      </w:r>
      <w:r w:rsidRPr="00440D73">
        <w:rPr>
          <w:rFonts w:cs="宋体" w:hint="eastAsia"/>
          <w:szCs w:val="21"/>
        </w:rPr>
        <w:t>据报，女童在校内和上下学途中受到性虐待和性骚扰，此类行为实施者不受惩罚；</w:t>
      </w:r>
    </w:p>
    <w:p w14:paraId="07FA5E0B"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ab/>
        <w:t>(d)</w:t>
      </w:r>
      <w:r w:rsidRPr="00440D73">
        <w:rPr>
          <w:szCs w:val="21"/>
        </w:rPr>
        <w:tab/>
      </w:r>
      <w:r w:rsidRPr="00440D73">
        <w:rPr>
          <w:rFonts w:cs="宋体" w:hint="eastAsia"/>
          <w:szCs w:val="21"/>
        </w:rPr>
        <w:t>在科学、技术、工程和数学领域学习的妇女和女童比例极低。</w:t>
      </w:r>
    </w:p>
    <w:p w14:paraId="2AF67F06"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36.</w:t>
      </w:r>
      <w:r w:rsidRPr="00440D73">
        <w:rPr>
          <w:rFonts w:eastAsia="黑体"/>
          <w:szCs w:val="21"/>
        </w:rPr>
        <w:tab/>
      </w:r>
      <w:r w:rsidRPr="00440D73">
        <w:rPr>
          <w:rFonts w:eastAsia="黑体" w:cs="黑体" w:hint="eastAsia"/>
          <w:szCs w:val="21"/>
        </w:rPr>
        <w:t>根据《公约》及其关于女童和妇女受教育权利的第</w:t>
      </w:r>
      <w:r w:rsidRPr="00440D73">
        <w:rPr>
          <w:rFonts w:eastAsia="黑体"/>
          <w:szCs w:val="21"/>
        </w:rPr>
        <w:t>36</w:t>
      </w:r>
      <w:r w:rsidRPr="00440D73">
        <w:rPr>
          <w:rFonts w:eastAsia="黑体" w:cs="黑体" w:hint="eastAsia"/>
          <w:szCs w:val="21"/>
        </w:rPr>
        <w:t>号一般性建议</w:t>
      </w:r>
      <w:r w:rsidRPr="00440D73">
        <w:rPr>
          <w:rFonts w:eastAsia="黑体"/>
          <w:szCs w:val="21"/>
        </w:rPr>
        <w:t>(2017</w:t>
      </w:r>
      <w:r w:rsidRPr="00440D73">
        <w:rPr>
          <w:rFonts w:eastAsia="黑体" w:cs="黑体" w:hint="eastAsia"/>
          <w:szCs w:val="21"/>
        </w:rPr>
        <w:t>年</w:t>
      </w:r>
      <w:r w:rsidRPr="00440D73">
        <w:rPr>
          <w:rFonts w:eastAsia="黑体"/>
          <w:szCs w:val="21"/>
        </w:rPr>
        <w:t>)</w:t>
      </w:r>
      <w:r w:rsidRPr="00440D73">
        <w:rPr>
          <w:rFonts w:eastAsia="黑体" w:cs="黑体" w:hint="eastAsia"/>
          <w:szCs w:val="21"/>
        </w:rPr>
        <w:t>以及可持续发展目标具体目标</w:t>
      </w:r>
      <w:r w:rsidRPr="00440D73">
        <w:rPr>
          <w:rFonts w:eastAsia="黑体"/>
          <w:szCs w:val="21"/>
        </w:rPr>
        <w:t>4.1</w:t>
      </w:r>
      <w:r w:rsidRPr="00440D73">
        <w:rPr>
          <w:rFonts w:eastAsia="黑体" w:cs="黑体" w:hint="eastAsia"/>
          <w:szCs w:val="21"/>
        </w:rPr>
        <w:t>，委员会建议缔约国：</w:t>
      </w:r>
    </w:p>
    <w:p w14:paraId="4D73D768"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(a)</w:t>
      </w:r>
      <w:r w:rsidRPr="00440D73">
        <w:rPr>
          <w:rFonts w:eastAsia="黑体"/>
          <w:szCs w:val="21"/>
        </w:rPr>
        <w:tab/>
      </w:r>
      <w:r w:rsidRPr="00440D73">
        <w:rPr>
          <w:rFonts w:eastAsia="黑体" w:cs="黑体" w:hint="eastAsia"/>
          <w:szCs w:val="21"/>
        </w:rPr>
        <w:t>加紧努力降低女童辍学率，并继续为年轻母亲重返校园提供便利；</w:t>
      </w:r>
    </w:p>
    <w:p w14:paraId="701B7C88"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(b)</w:t>
      </w:r>
      <w:r w:rsidRPr="00440D73">
        <w:rPr>
          <w:rFonts w:eastAsia="黑体"/>
          <w:szCs w:val="21"/>
        </w:rPr>
        <w:tab/>
      </w:r>
      <w:r w:rsidRPr="00440D73">
        <w:rPr>
          <w:rFonts w:eastAsia="黑体" w:cs="黑体" w:hint="eastAsia"/>
          <w:szCs w:val="21"/>
        </w:rPr>
        <w:t>确保每所学校都为女童提供足够、独立和无障碍的卫生设施，防止她们因经期管理困难而缺课或辍学；</w:t>
      </w:r>
    </w:p>
    <w:p w14:paraId="69855FBF"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(c)</w:t>
      </w:r>
      <w:r w:rsidRPr="00440D73">
        <w:rPr>
          <w:rFonts w:eastAsia="黑体"/>
          <w:szCs w:val="21"/>
        </w:rPr>
        <w:tab/>
      </w:r>
      <w:r w:rsidRPr="00440D73">
        <w:rPr>
          <w:rFonts w:eastAsia="黑体" w:cs="黑体" w:hint="eastAsia"/>
          <w:szCs w:val="21"/>
        </w:rPr>
        <w:t>调查和适当惩处在校内和上下学途中对女童的性虐待和性骚扰案件，起诉实施者，包括教师和学校行政人员，并向受害者提供医疗护理、心理咨询和康复服务；</w:t>
      </w:r>
    </w:p>
    <w:p w14:paraId="3CB7036B"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(d)</w:t>
      </w:r>
      <w:r w:rsidRPr="00440D73">
        <w:rPr>
          <w:rFonts w:eastAsia="黑体"/>
          <w:szCs w:val="21"/>
        </w:rPr>
        <w:tab/>
      </w:r>
      <w:r w:rsidRPr="00440D73">
        <w:rPr>
          <w:rFonts w:eastAsia="黑体" w:cs="黑体" w:hint="eastAsia"/>
          <w:szCs w:val="21"/>
        </w:rPr>
        <w:t>鼓励妇女和女童选择非传统的学习领域和职业道路，包括科学、技术、工程和数学。</w:t>
      </w:r>
    </w:p>
    <w:p w14:paraId="540B0253" w14:textId="77777777" w:rsidR="00440D73" w:rsidRPr="00440D73" w:rsidRDefault="00440D73" w:rsidP="00440D73">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40D73">
        <w:rPr>
          <w:rFonts w:eastAsia="黑体"/>
          <w:szCs w:val="21"/>
        </w:rPr>
        <w:tab/>
      </w:r>
      <w:r w:rsidRPr="00440D73">
        <w:rPr>
          <w:rFonts w:eastAsia="黑体"/>
          <w:szCs w:val="21"/>
        </w:rPr>
        <w:tab/>
      </w:r>
      <w:r w:rsidRPr="00440D73">
        <w:rPr>
          <w:rFonts w:eastAsia="黑体" w:cs="黑体" w:hint="eastAsia"/>
          <w:szCs w:val="21"/>
        </w:rPr>
        <w:t>就业</w:t>
      </w:r>
    </w:p>
    <w:p w14:paraId="45651DEB"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37.</w:t>
      </w:r>
      <w:r w:rsidRPr="00440D73">
        <w:rPr>
          <w:szCs w:val="21"/>
        </w:rPr>
        <w:tab/>
      </w:r>
      <w:r w:rsidRPr="00440D73">
        <w:rPr>
          <w:rFonts w:cs="宋体" w:hint="eastAsia"/>
          <w:szCs w:val="21"/>
        </w:rPr>
        <w:t>委员会注意到，缔约国代表团在对话期间宣布，将于</w:t>
      </w:r>
      <w:r w:rsidRPr="00440D73">
        <w:rPr>
          <w:szCs w:val="21"/>
        </w:rPr>
        <w:t>2020</w:t>
      </w:r>
      <w:r w:rsidRPr="00440D73">
        <w:rPr>
          <w:rFonts w:cs="宋体" w:hint="eastAsia"/>
          <w:szCs w:val="21"/>
        </w:rPr>
        <w:t>年向国民议会提交“劳动修正法案”，并且正在修订“公共服务法”，以纳入一项涉及性骚扰的行为守则。然而，委员会关切地注意到：</w:t>
      </w:r>
    </w:p>
    <w:p w14:paraId="53398C33"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ab/>
        <w:t>(a)</w:t>
      </w:r>
      <w:r w:rsidRPr="00440D73">
        <w:rPr>
          <w:szCs w:val="21"/>
        </w:rPr>
        <w:tab/>
      </w:r>
      <w:r w:rsidRPr="00440D73">
        <w:rPr>
          <w:rFonts w:cs="宋体" w:hint="eastAsia"/>
          <w:szCs w:val="21"/>
        </w:rPr>
        <w:t>持续的横向和纵向职业隔离，以及持续的性别工资差距和妇女集中在低薪工作，主要是农业和家政工作；</w:t>
      </w:r>
    </w:p>
    <w:p w14:paraId="61C45379"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pacing w:val="-6"/>
          <w:szCs w:val="21"/>
        </w:rPr>
      </w:pPr>
      <w:r w:rsidRPr="00440D73">
        <w:rPr>
          <w:szCs w:val="21"/>
        </w:rPr>
        <w:tab/>
        <w:t>(b)</w:t>
      </w:r>
      <w:r w:rsidRPr="00440D73">
        <w:rPr>
          <w:szCs w:val="21"/>
        </w:rPr>
        <w:tab/>
      </w:r>
      <w:r w:rsidRPr="00440D73">
        <w:rPr>
          <w:rFonts w:cs="宋体" w:hint="eastAsia"/>
          <w:spacing w:val="-6"/>
          <w:szCs w:val="21"/>
        </w:rPr>
        <w:t>妇女在私营部门的参与率很低，特别是在高级管理职位和私营公司董事会；</w:t>
      </w:r>
    </w:p>
    <w:p w14:paraId="43C325B8"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ab/>
        <w:t>(c)</w:t>
      </w:r>
      <w:r w:rsidRPr="00440D73">
        <w:rPr>
          <w:szCs w:val="21"/>
        </w:rPr>
        <w:tab/>
      </w:r>
      <w:r w:rsidRPr="00440D73">
        <w:rPr>
          <w:rFonts w:cs="宋体" w:hint="eastAsia"/>
          <w:szCs w:val="21"/>
        </w:rPr>
        <w:t>《劳动法》第</w:t>
      </w:r>
      <w:r w:rsidRPr="00440D73">
        <w:rPr>
          <w:szCs w:val="21"/>
        </w:rPr>
        <w:t>5(2a)</w:t>
      </w:r>
      <w:r w:rsidRPr="00440D73">
        <w:rPr>
          <w:rFonts w:cs="宋体" w:hint="eastAsia"/>
          <w:szCs w:val="21"/>
        </w:rPr>
        <w:t>条规定男女同工同酬，该条将“同等价值的工作”定义为“涉及相似或基本相似的技能、职责、责任和条件的工作”，这可能会不适当地限制男女所从事工作的比较范围；</w:t>
      </w:r>
    </w:p>
    <w:p w14:paraId="308AD8BD"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ab/>
        <w:t>(d)</w:t>
      </w:r>
      <w:r w:rsidRPr="00440D73">
        <w:rPr>
          <w:szCs w:val="21"/>
        </w:rPr>
        <w:tab/>
      </w:r>
      <w:r w:rsidRPr="00440D73">
        <w:rPr>
          <w:rFonts w:cs="宋体" w:hint="eastAsia"/>
          <w:szCs w:val="21"/>
        </w:rPr>
        <w:t>妇女集中在非正规经济中，她们继续被排除在社会保障之外，包括产假和养老金；</w:t>
      </w:r>
    </w:p>
    <w:p w14:paraId="59A99CC8"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ab/>
        <w:t>(e)</w:t>
      </w:r>
      <w:r w:rsidRPr="00440D73">
        <w:rPr>
          <w:szCs w:val="21"/>
        </w:rPr>
        <w:tab/>
      </w:r>
      <w:r w:rsidRPr="00440D73">
        <w:rPr>
          <w:rFonts w:cs="宋体" w:hint="eastAsia"/>
          <w:szCs w:val="21"/>
        </w:rPr>
        <w:t>据报，市警察、客户、提供服务者和男同事对非正规经济部门中的妇女进行性骚扰的发生率很高，而且没有专门将工作场所性骚扰定为刑事犯罪的立法。</w:t>
      </w:r>
    </w:p>
    <w:p w14:paraId="5AF0817E"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38.</w:t>
      </w:r>
      <w:r w:rsidRPr="00440D73">
        <w:rPr>
          <w:rFonts w:eastAsia="黑体"/>
          <w:szCs w:val="21"/>
        </w:rPr>
        <w:tab/>
      </w:r>
      <w:r w:rsidRPr="00440D73">
        <w:rPr>
          <w:rFonts w:eastAsia="黑体" w:cs="黑体" w:hint="eastAsia"/>
          <w:szCs w:val="21"/>
        </w:rPr>
        <w:t>委员会建议缔约国考虑到可持续发展目标具体目标</w:t>
      </w:r>
      <w:r w:rsidRPr="00440D73">
        <w:rPr>
          <w:rFonts w:eastAsia="黑体"/>
          <w:szCs w:val="21"/>
        </w:rPr>
        <w:t>8.5</w:t>
      </w:r>
      <w:r w:rsidRPr="00440D73">
        <w:rPr>
          <w:rFonts w:eastAsia="黑体" w:cs="黑体" w:hint="eastAsia"/>
          <w:szCs w:val="21"/>
        </w:rPr>
        <w:t>：</w:t>
      </w:r>
    </w:p>
    <w:p w14:paraId="57A49AA2"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(a)</w:t>
      </w:r>
      <w:r w:rsidRPr="00440D73">
        <w:rPr>
          <w:rFonts w:eastAsia="黑体"/>
          <w:szCs w:val="21"/>
        </w:rPr>
        <w:tab/>
      </w:r>
      <w:r w:rsidRPr="00440D73">
        <w:rPr>
          <w:rFonts w:eastAsia="黑体" w:cs="黑体" w:hint="eastAsia"/>
          <w:szCs w:val="21"/>
        </w:rPr>
        <w:t>制定计划，打击公共和私营部门中的横向和纵向职业隔离，加强鼓励妇女和女童选择非传统职业道路的措施，包括采取激励措施，以及增加在非传统领域获得学徒和职业培训的机会，并动员努力促进妇女平等获得新技术和数字技能，包括在非正规部门；</w:t>
      </w:r>
    </w:p>
    <w:p w14:paraId="60CD2D37"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(b)</w:t>
      </w:r>
      <w:r w:rsidRPr="00440D73">
        <w:rPr>
          <w:rFonts w:eastAsia="黑体"/>
          <w:szCs w:val="21"/>
        </w:rPr>
        <w:tab/>
      </w:r>
      <w:r w:rsidRPr="00440D73">
        <w:rPr>
          <w:rFonts w:eastAsia="黑体" w:cs="黑体" w:hint="eastAsia"/>
          <w:szCs w:val="21"/>
        </w:rPr>
        <w:t>加强妇女对经济生活决策的参与，特别是在私营公司管理层和监事会，包括严格遵守配额；</w:t>
      </w:r>
    </w:p>
    <w:p w14:paraId="3A4C7431"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(c)</w:t>
      </w:r>
      <w:r w:rsidRPr="00440D73">
        <w:rPr>
          <w:rFonts w:eastAsia="黑体"/>
          <w:szCs w:val="21"/>
        </w:rPr>
        <w:tab/>
      </w:r>
      <w:r w:rsidRPr="00440D73">
        <w:rPr>
          <w:rFonts w:eastAsia="黑体" w:cs="黑体" w:hint="eastAsia"/>
          <w:szCs w:val="21"/>
        </w:rPr>
        <w:t>修订《劳动法》，充分纳入同值工作同等报酬原则，同时不将平等概念限于对涉及类似资格和技能、努力、责任和工作条件的工作进行比较，也包括对性质完全不同而价值相同的工作进行比较；</w:t>
      </w:r>
    </w:p>
    <w:p w14:paraId="22125425"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(d)</w:t>
      </w:r>
      <w:r w:rsidRPr="00440D73">
        <w:rPr>
          <w:rFonts w:eastAsia="黑体"/>
          <w:szCs w:val="21"/>
        </w:rPr>
        <w:tab/>
      </w:r>
      <w:r w:rsidRPr="00440D73">
        <w:rPr>
          <w:rFonts w:eastAsia="黑体" w:cs="黑体" w:hint="eastAsia"/>
          <w:szCs w:val="21"/>
        </w:rPr>
        <w:t>确保男女平等享有社会保障福利，将医疗保健、养恤金福利和产妇保护扩大到非正规经济部门，并在非正规部门中定期进行劳工检查，包括雇用妇女作为家庭佣工的私人家庭；</w:t>
      </w:r>
    </w:p>
    <w:p w14:paraId="3432C8D6"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(e)</w:t>
      </w:r>
      <w:r w:rsidRPr="00440D73">
        <w:rPr>
          <w:rFonts w:eastAsia="黑体"/>
          <w:szCs w:val="21"/>
        </w:rPr>
        <w:tab/>
      </w:r>
      <w:r w:rsidRPr="00440D73">
        <w:rPr>
          <w:rFonts w:eastAsia="黑体" w:cs="黑体" w:hint="eastAsia"/>
          <w:szCs w:val="21"/>
        </w:rPr>
        <w:t>确保目前对《劳工法》的修正旨在：明确界定和禁止工作场所一切形式的性骚扰；建立有效机制调查投诉；规定对性骚扰者进行足以劝诫的惩罚，并为性骚扰受害者提供充分赔偿。</w:t>
      </w:r>
    </w:p>
    <w:p w14:paraId="1B4F98D4" w14:textId="77777777" w:rsidR="00440D73" w:rsidRPr="00440D73" w:rsidRDefault="00440D73" w:rsidP="00440D73">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40D73">
        <w:rPr>
          <w:rFonts w:eastAsia="黑体"/>
          <w:szCs w:val="21"/>
        </w:rPr>
        <w:tab/>
      </w:r>
      <w:r w:rsidRPr="00440D73">
        <w:rPr>
          <w:rFonts w:eastAsia="黑体"/>
          <w:szCs w:val="21"/>
        </w:rPr>
        <w:tab/>
      </w:r>
      <w:r w:rsidRPr="00440D73">
        <w:rPr>
          <w:rFonts w:eastAsia="黑体" w:cs="黑体" w:hint="eastAsia"/>
          <w:szCs w:val="21"/>
        </w:rPr>
        <w:t>保健</w:t>
      </w:r>
    </w:p>
    <w:p w14:paraId="57A6C3BF"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39.</w:t>
      </w:r>
      <w:r w:rsidRPr="00440D73">
        <w:rPr>
          <w:szCs w:val="21"/>
        </w:rPr>
        <w:tab/>
      </w:r>
      <w:r w:rsidRPr="00440D73">
        <w:rPr>
          <w:rFonts w:cs="宋体" w:hint="eastAsia"/>
          <w:spacing w:val="-8"/>
          <w:szCs w:val="21"/>
        </w:rPr>
        <w:t>委员会欢迎缔约国在对话期间宣布将孕产妇死亡率从</w:t>
      </w:r>
      <w:r w:rsidRPr="00440D73">
        <w:rPr>
          <w:spacing w:val="-8"/>
          <w:szCs w:val="21"/>
        </w:rPr>
        <w:t>2015</w:t>
      </w:r>
      <w:r w:rsidRPr="00440D73">
        <w:rPr>
          <w:rFonts w:cs="宋体" w:hint="eastAsia"/>
          <w:spacing w:val="-8"/>
          <w:szCs w:val="21"/>
        </w:rPr>
        <w:t>年的</w:t>
      </w:r>
      <w:r w:rsidRPr="00440D73">
        <w:rPr>
          <w:spacing w:val="-8"/>
          <w:szCs w:val="21"/>
        </w:rPr>
        <w:t>651/</w:t>
      </w:r>
      <w:r w:rsidRPr="00440D73">
        <w:rPr>
          <w:rFonts w:cs="宋体" w:hint="eastAsia"/>
          <w:spacing w:val="-8"/>
          <w:szCs w:val="21"/>
        </w:rPr>
        <w:t>每</w:t>
      </w:r>
      <w:r w:rsidRPr="00440D73">
        <w:rPr>
          <w:spacing w:val="-8"/>
          <w:szCs w:val="21"/>
        </w:rPr>
        <w:t>100 000</w:t>
      </w:r>
      <w:r w:rsidRPr="00440D73">
        <w:rPr>
          <w:rFonts w:cs="宋体" w:hint="eastAsia"/>
          <w:szCs w:val="21"/>
        </w:rPr>
        <w:t>例活产降至</w:t>
      </w:r>
      <w:r w:rsidRPr="00440D73">
        <w:rPr>
          <w:szCs w:val="21"/>
        </w:rPr>
        <w:t>2019</w:t>
      </w:r>
      <w:r w:rsidRPr="00440D73">
        <w:rPr>
          <w:rFonts w:cs="宋体" w:hint="eastAsia"/>
          <w:szCs w:val="21"/>
        </w:rPr>
        <w:t>年的</w:t>
      </w:r>
      <w:r w:rsidRPr="00440D73">
        <w:rPr>
          <w:szCs w:val="21"/>
        </w:rPr>
        <w:t>462/</w:t>
      </w:r>
      <w:r w:rsidRPr="00440D73">
        <w:rPr>
          <w:rFonts w:cs="宋体" w:hint="eastAsia"/>
          <w:szCs w:val="21"/>
        </w:rPr>
        <w:t>每</w:t>
      </w:r>
      <w:r w:rsidRPr="00440D73">
        <w:rPr>
          <w:szCs w:val="21"/>
        </w:rPr>
        <w:t>100000</w:t>
      </w:r>
      <w:r w:rsidRPr="00440D73">
        <w:rPr>
          <w:rFonts w:cs="宋体" w:hint="eastAsia"/>
          <w:szCs w:val="21"/>
        </w:rPr>
        <w:t>例活产。然而，委员会关切地注意到：</w:t>
      </w:r>
    </w:p>
    <w:p w14:paraId="33B06236"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ab/>
        <w:t>(a)</w:t>
      </w:r>
      <w:r w:rsidRPr="00440D73">
        <w:rPr>
          <w:szCs w:val="21"/>
        </w:rPr>
        <w:tab/>
      </w:r>
      <w:r w:rsidRPr="00440D73">
        <w:rPr>
          <w:rFonts w:cs="宋体" w:hint="eastAsia"/>
          <w:szCs w:val="21"/>
        </w:rPr>
        <w:t>医疗保健费用不断增加，超出了公民的承受能力，而且</w:t>
      </w:r>
      <w:r w:rsidRPr="00440D73">
        <w:rPr>
          <w:szCs w:val="21"/>
        </w:rPr>
        <w:t>90%</w:t>
      </w:r>
      <w:r w:rsidRPr="00440D73">
        <w:rPr>
          <w:rFonts w:cs="宋体" w:hint="eastAsia"/>
          <w:szCs w:val="21"/>
        </w:rPr>
        <w:t>的人口无法获得医疗保健；公立医院药品和产科诊所用品短缺，依赖病人自己买药品和用品；公立医院缺乏训练有素的保健专业人员和助产士，孕产妇死亡率居高不下；</w:t>
      </w:r>
    </w:p>
    <w:p w14:paraId="10B473B5"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ab/>
        <w:t>(b)</w:t>
      </w:r>
      <w:r w:rsidRPr="00440D73">
        <w:rPr>
          <w:szCs w:val="21"/>
        </w:rPr>
        <w:tab/>
      </w:r>
      <w:r w:rsidRPr="00440D73">
        <w:rPr>
          <w:rFonts w:cs="宋体" w:hint="eastAsia"/>
          <w:szCs w:val="21"/>
        </w:rPr>
        <w:t>缔约国艾滋病毒感染率很高，在南部非洲排名第三，对妇女和女童的影响极为严重；</w:t>
      </w:r>
    </w:p>
    <w:p w14:paraId="75C7A22B"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ab/>
        <w:t>(c)</w:t>
      </w:r>
      <w:r w:rsidRPr="00440D73">
        <w:rPr>
          <w:szCs w:val="21"/>
        </w:rPr>
        <w:tab/>
      </w:r>
      <w:r w:rsidRPr="00440D73">
        <w:rPr>
          <w:rFonts w:cs="宋体" w:hint="eastAsia"/>
          <w:szCs w:val="21"/>
        </w:rPr>
        <w:t>妇女和女童获得性健康和生殖健康及权利信息的机会有限；</w:t>
      </w:r>
    </w:p>
    <w:p w14:paraId="06A54D67"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pacing w:val="-2"/>
          <w:szCs w:val="21"/>
        </w:rPr>
      </w:pPr>
      <w:r w:rsidRPr="00440D73">
        <w:rPr>
          <w:szCs w:val="21"/>
        </w:rPr>
        <w:tab/>
        <w:t>(d)</w:t>
      </w:r>
      <w:r w:rsidRPr="00440D73">
        <w:rPr>
          <w:szCs w:val="21"/>
        </w:rPr>
        <w:tab/>
      </w:r>
      <w:r w:rsidRPr="00440D73">
        <w:rPr>
          <w:rFonts w:cs="宋体" w:hint="eastAsia"/>
          <w:spacing w:val="-2"/>
          <w:szCs w:val="21"/>
        </w:rPr>
        <w:t>《终止妊娠法》将堕胎定为刑事犯罪，但强奸、乱伦、威胁孕妇生命或永久损害孕妇身体健康或胚胎严重受损的情况除外，妇女获得安全堕胎服务的机会有限。</w:t>
      </w:r>
    </w:p>
    <w:p w14:paraId="0E970C9D"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40.</w:t>
      </w:r>
      <w:r w:rsidRPr="00440D73">
        <w:rPr>
          <w:rFonts w:eastAsia="黑体"/>
          <w:szCs w:val="21"/>
        </w:rPr>
        <w:tab/>
      </w:r>
      <w:r w:rsidRPr="00440D73">
        <w:rPr>
          <w:rFonts w:eastAsia="黑体" w:cs="黑体" w:hint="eastAsia"/>
          <w:spacing w:val="-4"/>
          <w:szCs w:val="21"/>
        </w:rPr>
        <w:t>委员会建议缔约国根据委员会关于妇女和保健的第</w:t>
      </w:r>
      <w:r w:rsidRPr="00440D73">
        <w:rPr>
          <w:rFonts w:eastAsia="黑体"/>
          <w:spacing w:val="-4"/>
          <w:szCs w:val="21"/>
        </w:rPr>
        <w:t>24</w:t>
      </w:r>
      <w:r w:rsidRPr="00440D73">
        <w:rPr>
          <w:rFonts w:eastAsia="黑体" w:cs="黑体" w:hint="eastAsia"/>
          <w:spacing w:val="-4"/>
          <w:szCs w:val="21"/>
        </w:rPr>
        <w:t>号一般性建议</w:t>
      </w:r>
      <w:r w:rsidRPr="00440D73">
        <w:rPr>
          <w:rFonts w:eastAsia="黑体"/>
          <w:spacing w:val="-4"/>
          <w:szCs w:val="21"/>
        </w:rPr>
        <w:t>(1999</w:t>
      </w:r>
      <w:r w:rsidRPr="00440D73">
        <w:rPr>
          <w:rFonts w:eastAsia="黑体" w:cs="黑体" w:hint="eastAsia"/>
          <w:spacing w:val="-4"/>
          <w:szCs w:val="21"/>
        </w:rPr>
        <w:t>年</w:t>
      </w:r>
      <w:r w:rsidRPr="00440D73">
        <w:rPr>
          <w:rFonts w:eastAsia="黑体"/>
          <w:spacing w:val="-4"/>
          <w:szCs w:val="21"/>
        </w:rPr>
        <w:t>)</w:t>
      </w:r>
      <w:r w:rsidRPr="00440D73">
        <w:rPr>
          <w:rFonts w:eastAsia="黑体" w:cs="黑体" w:hint="eastAsia"/>
          <w:szCs w:val="21"/>
        </w:rPr>
        <w:t>和可持续发展目标具体目标</w:t>
      </w:r>
      <w:r w:rsidRPr="00440D73">
        <w:rPr>
          <w:rFonts w:eastAsia="黑体"/>
          <w:szCs w:val="21"/>
        </w:rPr>
        <w:t>3.1</w:t>
      </w:r>
      <w:r w:rsidRPr="00440D73">
        <w:rPr>
          <w:rFonts w:eastAsia="黑体" w:cs="黑体" w:hint="eastAsia"/>
          <w:szCs w:val="21"/>
        </w:rPr>
        <w:t>和</w:t>
      </w:r>
      <w:r w:rsidRPr="00440D73">
        <w:rPr>
          <w:rFonts w:eastAsia="黑体"/>
          <w:szCs w:val="21"/>
        </w:rPr>
        <w:t>3.7</w:t>
      </w:r>
      <w:r w:rsidRPr="00440D73">
        <w:rPr>
          <w:rFonts w:eastAsia="黑体" w:cs="黑体" w:hint="eastAsia"/>
          <w:szCs w:val="21"/>
        </w:rPr>
        <w:t>，涉及降低全球孕产妇死亡率和确保普遍获得性保健和生殖保健服务：</w:t>
      </w:r>
    </w:p>
    <w:p w14:paraId="53CB8C3F"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(a)</w:t>
      </w:r>
      <w:r w:rsidRPr="00440D73">
        <w:rPr>
          <w:rFonts w:eastAsia="黑体"/>
          <w:szCs w:val="21"/>
        </w:rPr>
        <w:tab/>
      </w:r>
      <w:r w:rsidRPr="00440D73">
        <w:rPr>
          <w:rFonts w:eastAsia="黑体" w:cs="黑体" w:hint="eastAsia"/>
          <w:szCs w:val="21"/>
        </w:rPr>
        <w:t>为建立医院划拨充足的预算资源，尤其是在农村和偏远地区，从而提高其境内保健服务的覆盖率，增加人们以较低费用获得保健服务的机会，这些医院应配备充足和便利的设施以及熟练的保健专业人员，尤其是在产科服务方面；</w:t>
      </w:r>
    </w:p>
    <w:p w14:paraId="42D022FB"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(b)</w:t>
      </w:r>
      <w:r w:rsidRPr="00440D73">
        <w:rPr>
          <w:rFonts w:eastAsia="黑体"/>
          <w:szCs w:val="21"/>
        </w:rPr>
        <w:tab/>
      </w:r>
      <w:r w:rsidRPr="00440D73">
        <w:rPr>
          <w:rFonts w:eastAsia="黑体" w:cs="黑体" w:hint="eastAsia"/>
          <w:szCs w:val="21"/>
        </w:rPr>
        <w:t>加紧执行《</w:t>
      </w:r>
      <w:r w:rsidRPr="00440D73">
        <w:rPr>
          <w:rFonts w:eastAsia="黑体"/>
          <w:szCs w:val="21"/>
        </w:rPr>
        <w:t>2015-2020</w:t>
      </w:r>
      <w:r w:rsidRPr="00440D73">
        <w:rPr>
          <w:rFonts w:eastAsia="黑体" w:cs="黑体" w:hint="eastAsia"/>
          <w:szCs w:val="21"/>
        </w:rPr>
        <w:t>年艾滋病毒</w:t>
      </w:r>
      <w:r w:rsidRPr="00440D73">
        <w:rPr>
          <w:rFonts w:eastAsia="黑体"/>
          <w:szCs w:val="21"/>
        </w:rPr>
        <w:t>/</w:t>
      </w:r>
      <w:r w:rsidRPr="00440D73">
        <w:rPr>
          <w:rFonts w:eastAsia="黑体" w:cs="黑体" w:hint="eastAsia"/>
          <w:szCs w:val="21"/>
        </w:rPr>
        <w:t>艾滋病战略计划》和《</w:t>
      </w:r>
      <w:r w:rsidRPr="00440D73">
        <w:rPr>
          <w:rFonts w:eastAsia="黑体"/>
          <w:szCs w:val="21"/>
        </w:rPr>
        <w:t>2016-2020</w:t>
      </w:r>
      <w:r w:rsidRPr="00440D73">
        <w:rPr>
          <w:rFonts w:eastAsia="黑体" w:cs="黑体" w:hint="eastAsia"/>
          <w:szCs w:val="21"/>
        </w:rPr>
        <w:t>年国家青少年和青年性健康和生殖健康战略》，以防治艾滋病毒</w:t>
      </w:r>
      <w:r w:rsidRPr="00440D73">
        <w:rPr>
          <w:rFonts w:eastAsia="黑体"/>
          <w:szCs w:val="21"/>
        </w:rPr>
        <w:t>/</w:t>
      </w:r>
      <w:r w:rsidRPr="00440D73">
        <w:rPr>
          <w:rFonts w:eastAsia="黑体" w:cs="黑体" w:hint="eastAsia"/>
          <w:szCs w:val="21"/>
        </w:rPr>
        <w:t>艾滋病，并确保有感染艾滋病毒风险的妇女和女童能够利用预防和早期检测方案；</w:t>
      </w:r>
    </w:p>
    <w:p w14:paraId="45DAC5B5"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(c)</w:t>
      </w:r>
      <w:r w:rsidRPr="00440D73">
        <w:rPr>
          <w:rFonts w:eastAsia="黑体"/>
          <w:szCs w:val="21"/>
        </w:rPr>
        <w:tab/>
      </w:r>
      <w:r w:rsidRPr="00440D73">
        <w:rPr>
          <w:rFonts w:eastAsia="黑体" w:cs="黑体" w:hint="eastAsia"/>
          <w:szCs w:val="21"/>
        </w:rPr>
        <w:t>确保妇女和女童获得负担得起的现代避孕手段，包括在农村地区，并加紧努力提高对避孕药具使用的认识，并将强制性和适龄性教育纳入各级教育的学校课程，包括关于负责任的性行为的内容；</w:t>
      </w:r>
    </w:p>
    <w:p w14:paraId="74DF9860"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(d)</w:t>
      </w:r>
      <w:r w:rsidRPr="00440D73">
        <w:rPr>
          <w:rFonts w:eastAsia="黑体"/>
          <w:szCs w:val="21"/>
        </w:rPr>
        <w:tab/>
      </w:r>
      <w:r w:rsidRPr="00440D73">
        <w:rPr>
          <w:rFonts w:eastAsia="黑体" w:cs="黑体" w:hint="eastAsia"/>
          <w:szCs w:val="21"/>
        </w:rPr>
        <w:t>在所有情况下都不将堕胎定为刑事犯罪，并确保缔约国所有地区都能获得安全堕胎和堕胎后服务，并确保此类服务管理的保密性。</w:t>
      </w:r>
    </w:p>
    <w:p w14:paraId="40E5A318" w14:textId="77777777" w:rsidR="00440D73" w:rsidRPr="00440D73" w:rsidRDefault="00440D73" w:rsidP="00440D73">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40D73">
        <w:rPr>
          <w:rFonts w:eastAsia="黑体"/>
          <w:szCs w:val="21"/>
        </w:rPr>
        <w:tab/>
      </w:r>
      <w:r w:rsidRPr="00440D73">
        <w:rPr>
          <w:rFonts w:eastAsia="黑体"/>
          <w:szCs w:val="21"/>
        </w:rPr>
        <w:tab/>
      </w:r>
      <w:r w:rsidRPr="00440D73">
        <w:rPr>
          <w:rFonts w:eastAsia="黑体" w:cs="黑体" w:hint="eastAsia"/>
          <w:szCs w:val="21"/>
        </w:rPr>
        <w:t>经济和社会福利</w:t>
      </w:r>
    </w:p>
    <w:p w14:paraId="44AEB240"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41.</w:t>
      </w:r>
      <w:r w:rsidRPr="00440D73">
        <w:rPr>
          <w:szCs w:val="21"/>
        </w:rPr>
        <w:tab/>
      </w:r>
      <w:r w:rsidRPr="00440D73">
        <w:rPr>
          <w:rFonts w:cs="宋体" w:hint="eastAsia"/>
          <w:szCs w:val="21"/>
        </w:rPr>
        <w:t>委员会欢迎经修订的国家性别平等政策和增强经济权能计划，其中提出加强妇女获得经济机会的战略。然而，委员会感到关切的是，在手工和小规模采矿部门工作的大多数妇女缺乏获得采矿权的资源，因为只有</w:t>
      </w:r>
      <w:r w:rsidRPr="00440D73">
        <w:rPr>
          <w:szCs w:val="21"/>
        </w:rPr>
        <w:t>20%</w:t>
      </w:r>
      <w:r w:rsidRPr="00440D73">
        <w:rPr>
          <w:rFonts w:cs="宋体" w:hint="eastAsia"/>
          <w:szCs w:val="21"/>
        </w:rPr>
        <w:t>的现有采矿权由妇女拥有，而且她们无法达到规定的环境和职业安全与健康标准。委员会还指出，男性拥有的公司和合作社是女性的四到五倍，而且以女性为主的跳蚤市场交易人要缴纳两次税</w:t>
      </w:r>
      <w:r w:rsidRPr="00440D73">
        <w:rPr>
          <w:szCs w:val="21"/>
        </w:rPr>
        <w:t>——</w:t>
      </w:r>
      <w:r w:rsidRPr="00440D73">
        <w:rPr>
          <w:rFonts w:cs="宋体" w:hint="eastAsia"/>
          <w:szCs w:val="21"/>
        </w:rPr>
        <w:t>第一次是作为跨境交易人，第二次是为自己企业租赁房产的小规模交易人。委员会还关切地注意到，缔约国妇女极度贫困，缺乏全面的社会保障和保护制度。委员会还感到关切的是，妇女只能有限地获得贷款和其他形式的金融信贷，这不符合她们的具体需求。</w:t>
      </w:r>
    </w:p>
    <w:p w14:paraId="7CF9159E"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42.</w:t>
      </w:r>
      <w:r w:rsidRPr="00440D73">
        <w:rPr>
          <w:rFonts w:eastAsia="黑体"/>
          <w:szCs w:val="21"/>
        </w:rPr>
        <w:tab/>
      </w:r>
      <w:r w:rsidRPr="00440D73">
        <w:rPr>
          <w:rFonts w:eastAsia="黑体" w:cs="黑体" w:hint="eastAsia"/>
          <w:szCs w:val="21"/>
        </w:rPr>
        <w:t>委员会建议缔约国继续加强和确保有效执行加强妇女经济地位的现行政策和方案，并为此：</w:t>
      </w:r>
    </w:p>
    <w:p w14:paraId="7ABF3C77"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(a)</w:t>
      </w:r>
      <w:r w:rsidRPr="00440D73">
        <w:rPr>
          <w:rFonts w:eastAsia="黑体"/>
          <w:szCs w:val="21"/>
        </w:rPr>
        <w:tab/>
      </w:r>
      <w:r w:rsidRPr="00440D73">
        <w:rPr>
          <w:rFonts w:eastAsia="黑体" w:cs="黑体" w:hint="eastAsia"/>
          <w:szCs w:val="21"/>
        </w:rPr>
        <w:t>增加妇女在劳动力市场，特别是在采矿部门获得所有权和拥有公司和合作社的机会；</w:t>
      </w:r>
    </w:p>
    <w:p w14:paraId="157F9AFE"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(b)</w:t>
      </w:r>
      <w:r w:rsidRPr="00440D73">
        <w:rPr>
          <w:rFonts w:eastAsia="黑体"/>
          <w:szCs w:val="21"/>
        </w:rPr>
        <w:tab/>
      </w:r>
      <w:r w:rsidRPr="00440D73">
        <w:rPr>
          <w:rFonts w:eastAsia="黑体" w:cs="黑体" w:hint="eastAsia"/>
          <w:szCs w:val="21"/>
        </w:rPr>
        <w:t>修订非正规部门税收制度，并确保公平；</w:t>
      </w:r>
    </w:p>
    <w:p w14:paraId="5B69BC31"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(c)</w:t>
      </w:r>
      <w:r w:rsidRPr="00440D73">
        <w:rPr>
          <w:rFonts w:eastAsia="黑体"/>
          <w:szCs w:val="21"/>
        </w:rPr>
        <w:tab/>
      </w:r>
      <w:r w:rsidRPr="00440D73">
        <w:rPr>
          <w:rFonts w:eastAsia="黑体" w:cs="黑体" w:hint="eastAsia"/>
          <w:szCs w:val="21"/>
        </w:rPr>
        <w:t>增加妇女参与公共采购的机会，包括规定公共当局有义务在公共招标授予方面促进性别平等；</w:t>
      </w:r>
    </w:p>
    <w:p w14:paraId="02658D4E"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(d)</w:t>
      </w:r>
      <w:r w:rsidRPr="00440D73">
        <w:rPr>
          <w:rFonts w:eastAsia="黑体"/>
          <w:szCs w:val="21"/>
        </w:rPr>
        <w:tab/>
      </w:r>
      <w:r w:rsidRPr="00440D73">
        <w:rPr>
          <w:rFonts w:eastAsia="黑体" w:cs="黑体" w:hint="eastAsia"/>
          <w:szCs w:val="21"/>
        </w:rPr>
        <w:t>为非正规经济部门中妇女和失业妇女非缴费型社会保障计划分配充足的人力、技术和财政资源；</w:t>
      </w:r>
    </w:p>
    <w:p w14:paraId="0CEA9339"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(e)</w:t>
      </w:r>
      <w:r w:rsidRPr="00440D73">
        <w:rPr>
          <w:rFonts w:eastAsia="黑体"/>
          <w:szCs w:val="21"/>
        </w:rPr>
        <w:tab/>
      </w:r>
      <w:r w:rsidRPr="00440D73">
        <w:rPr>
          <w:rFonts w:eastAsia="黑体" w:cs="黑体" w:hint="eastAsia"/>
          <w:szCs w:val="21"/>
        </w:rPr>
        <w:t>通过便利妇女获得金融信贷，包括低息贷款和其他创收机会，为妇女创业提供充分支持。</w:t>
      </w:r>
    </w:p>
    <w:p w14:paraId="1E1EB9CB" w14:textId="77777777" w:rsidR="00440D73" w:rsidRPr="00440D73" w:rsidRDefault="00440D73" w:rsidP="00440D73">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40D73">
        <w:rPr>
          <w:rFonts w:eastAsia="黑体"/>
          <w:szCs w:val="21"/>
        </w:rPr>
        <w:tab/>
      </w:r>
      <w:r w:rsidRPr="00440D73">
        <w:rPr>
          <w:rFonts w:eastAsia="黑体"/>
          <w:szCs w:val="21"/>
        </w:rPr>
        <w:tab/>
      </w:r>
      <w:r w:rsidRPr="00440D73">
        <w:rPr>
          <w:rFonts w:eastAsia="黑体" w:cs="黑体" w:hint="eastAsia"/>
          <w:szCs w:val="21"/>
        </w:rPr>
        <w:t>农村妇女</w:t>
      </w:r>
    </w:p>
    <w:p w14:paraId="1BCA612D"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43.</w:t>
      </w:r>
      <w:r w:rsidRPr="00440D73">
        <w:rPr>
          <w:szCs w:val="21"/>
        </w:rPr>
        <w:tab/>
      </w:r>
      <w:r w:rsidRPr="00440D73">
        <w:rPr>
          <w:rFonts w:cs="宋体" w:hint="eastAsia"/>
          <w:szCs w:val="21"/>
        </w:rPr>
        <w:t>委员会欢迎缔约国通过关于农村居住点的</w:t>
      </w:r>
      <w:r w:rsidRPr="00440D73">
        <w:rPr>
          <w:szCs w:val="21"/>
        </w:rPr>
        <w:t>2014</w:t>
      </w:r>
      <w:r w:rsidRPr="00440D73">
        <w:rPr>
          <w:rFonts w:cs="宋体" w:hint="eastAsia"/>
          <w:szCs w:val="21"/>
        </w:rPr>
        <w:t>年第</w:t>
      </w:r>
      <w:r w:rsidRPr="00440D73">
        <w:rPr>
          <w:szCs w:val="21"/>
        </w:rPr>
        <w:t>53</w:t>
      </w:r>
      <w:r w:rsidRPr="00440D73">
        <w:rPr>
          <w:rFonts w:cs="宋体" w:hint="eastAsia"/>
          <w:szCs w:val="21"/>
        </w:rPr>
        <w:t>号法定文书努力便利妇女获得土地，该文书规定收回旧许可证，登记配偶双方的共同土地所有权，还欢迎设立土地委员会。委员会还感到关切的是，有害做法阻碍农村妇女获得土地，特别是她们继承土地的能力。委员会也感到关切的是，没有监督和评估该法遵守情况的机制，也没有任何执行机制，委员会缺乏有效运作的充足资金。委员会还感到关切的是，农村妇女获得正规信贷和贷款的机会有限，妇女小额信贷银行提供的贷款不足。委员会进一步关切的是，占缔约国女性人口大多数的农村妇女极为贫困，她们利用教育、保健、司法、住房、水、卫生、电力和其他基础设施的机会有限。</w:t>
      </w:r>
    </w:p>
    <w:p w14:paraId="3DFECE08"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44.</w:t>
      </w:r>
      <w:r w:rsidRPr="00440D73">
        <w:rPr>
          <w:rFonts w:eastAsia="黑体"/>
          <w:szCs w:val="21"/>
        </w:rPr>
        <w:tab/>
      </w:r>
      <w:r w:rsidRPr="00440D73">
        <w:rPr>
          <w:rFonts w:eastAsia="黑体" w:cs="黑体" w:hint="eastAsia"/>
          <w:szCs w:val="21"/>
        </w:rPr>
        <w:t>根据《公约》、委员会关于农村妇女权利的第</w:t>
      </w:r>
      <w:r w:rsidRPr="00440D73">
        <w:rPr>
          <w:rFonts w:eastAsia="黑体"/>
          <w:szCs w:val="21"/>
        </w:rPr>
        <w:t>34</w:t>
      </w:r>
      <w:r w:rsidRPr="00440D73">
        <w:rPr>
          <w:rFonts w:eastAsia="黑体" w:cs="黑体" w:hint="eastAsia"/>
          <w:szCs w:val="21"/>
        </w:rPr>
        <w:t>号一般性建议</w:t>
      </w:r>
      <w:r w:rsidRPr="00440D73">
        <w:rPr>
          <w:rFonts w:eastAsia="黑体"/>
          <w:szCs w:val="21"/>
        </w:rPr>
        <w:t>(2016</w:t>
      </w:r>
      <w:r w:rsidRPr="00440D73">
        <w:rPr>
          <w:rFonts w:eastAsia="黑体" w:cs="黑体" w:hint="eastAsia"/>
          <w:szCs w:val="21"/>
        </w:rPr>
        <w:t>年</w:t>
      </w:r>
      <w:r w:rsidRPr="00440D73">
        <w:rPr>
          <w:rFonts w:eastAsia="黑体"/>
          <w:szCs w:val="21"/>
        </w:rPr>
        <w:t>)</w:t>
      </w:r>
      <w:r w:rsidRPr="00440D73">
        <w:rPr>
          <w:rFonts w:eastAsia="黑体" w:cs="黑体" w:hint="eastAsia"/>
          <w:szCs w:val="21"/>
        </w:rPr>
        <w:t>和可持续发展目标具体目标</w:t>
      </w:r>
      <w:r w:rsidRPr="00440D73">
        <w:rPr>
          <w:rFonts w:eastAsia="黑体"/>
          <w:szCs w:val="21"/>
        </w:rPr>
        <w:t>5.a</w:t>
      </w:r>
      <w:r w:rsidRPr="00440D73">
        <w:rPr>
          <w:rFonts w:eastAsia="黑体" w:cs="黑体" w:hint="eastAsia"/>
          <w:szCs w:val="21"/>
        </w:rPr>
        <w:t>，委员会建议该缔约国：</w:t>
      </w:r>
    </w:p>
    <w:p w14:paraId="7332E075"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(a)</w:t>
      </w:r>
      <w:r w:rsidRPr="00440D73">
        <w:rPr>
          <w:rFonts w:eastAsia="黑体"/>
          <w:szCs w:val="21"/>
        </w:rPr>
        <w:tab/>
      </w:r>
      <w:r w:rsidRPr="00440D73">
        <w:rPr>
          <w:rFonts w:eastAsia="黑体" w:cs="黑体" w:hint="eastAsia"/>
          <w:szCs w:val="21"/>
        </w:rPr>
        <w:t>迅速完成全面和独立的土地审计，以确定土地所有权模式，揭露土地再分配中的不平等现象，并将土地重新分配给妇女；改善对土地委员会的资源分配，使其能够全面和迅速地执行任务；</w:t>
      </w:r>
    </w:p>
    <w:p w14:paraId="01D9DF0B"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(b)</w:t>
      </w:r>
      <w:r w:rsidRPr="00440D73">
        <w:rPr>
          <w:rFonts w:eastAsia="黑体"/>
          <w:szCs w:val="21"/>
        </w:rPr>
        <w:tab/>
      </w:r>
      <w:r w:rsidRPr="00440D73">
        <w:rPr>
          <w:rFonts w:eastAsia="黑体" w:cs="黑体" w:hint="eastAsia"/>
          <w:szCs w:val="21"/>
        </w:rPr>
        <w:t>便利妇女获得其继承的土地，并惩罚任何阻碍或阻止她们享有土地权的行为；提供足够的贷款和金融信贷，包括通过技术援助、咨询和提供金融知识培训，并促进建立和扩大小企业；</w:t>
      </w:r>
    </w:p>
    <w:p w14:paraId="1E4E6A43"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(c)</w:t>
      </w:r>
      <w:r w:rsidRPr="00440D73">
        <w:rPr>
          <w:rFonts w:eastAsia="黑体"/>
          <w:szCs w:val="21"/>
        </w:rPr>
        <w:tab/>
      </w:r>
      <w:r w:rsidRPr="00440D73">
        <w:rPr>
          <w:rFonts w:eastAsia="黑体" w:cs="黑体" w:hint="eastAsia"/>
          <w:szCs w:val="21"/>
        </w:rPr>
        <w:t>加强努力，增强农村妇女经济权能，确保她们能够利用司法、教育、就业、保健、住房、安全饮水和环境卫生、电力和其他基础设施。</w:t>
      </w:r>
    </w:p>
    <w:p w14:paraId="414F47D6" w14:textId="77777777" w:rsidR="00440D73" w:rsidRPr="00440D73" w:rsidRDefault="00440D73" w:rsidP="00440D73">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40D73">
        <w:rPr>
          <w:rFonts w:eastAsia="黑体"/>
          <w:szCs w:val="21"/>
        </w:rPr>
        <w:tab/>
      </w:r>
      <w:r w:rsidRPr="00440D73">
        <w:rPr>
          <w:rFonts w:eastAsia="黑体"/>
          <w:szCs w:val="21"/>
        </w:rPr>
        <w:tab/>
      </w:r>
      <w:r w:rsidRPr="00440D73">
        <w:rPr>
          <w:rFonts w:eastAsia="黑体" w:cs="黑体" w:hint="eastAsia"/>
          <w:szCs w:val="21"/>
        </w:rPr>
        <w:t>弱势妇女群体</w:t>
      </w:r>
    </w:p>
    <w:p w14:paraId="1983AFC4"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45.</w:t>
      </w:r>
      <w:r w:rsidRPr="00440D73">
        <w:rPr>
          <w:szCs w:val="21"/>
        </w:rPr>
        <w:tab/>
      </w:r>
      <w:r w:rsidRPr="00440D73">
        <w:rPr>
          <w:rFonts w:cs="宋体" w:hint="eastAsia"/>
          <w:szCs w:val="21"/>
        </w:rPr>
        <w:t>委员会关切地注意到，残疾妇女和女童受到污名化，而且遭受暴力、剥削和虐待的风险增加。委员会还关切地注意到，在教育、卫生、就业和司法领域对女同性恋者、双性恋和跨性别妇女及间性者的仇恨言论、污名化和歧视的报道。委员会还感到关切的是，据报有年幼子女的妇女被拘留，被拘留妇女遭到性骚扰和虐待。</w:t>
      </w:r>
    </w:p>
    <w:p w14:paraId="6BFAAF91"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46.</w:t>
      </w:r>
      <w:r w:rsidRPr="00440D73">
        <w:rPr>
          <w:rFonts w:eastAsia="黑体"/>
          <w:szCs w:val="21"/>
        </w:rPr>
        <w:tab/>
      </w:r>
      <w:r w:rsidRPr="00440D73">
        <w:rPr>
          <w:rFonts w:eastAsia="黑体" w:cs="黑体" w:hint="eastAsia"/>
          <w:szCs w:val="21"/>
        </w:rPr>
        <w:t>委员会建议缔约国：</w:t>
      </w:r>
    </w:p>
    <w:p w14:paraId="0B2E44D1"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pacing w:val="-4"/>
          <w:szCs w:val="21"/>
        </w:rPr>
      </w:pPr>
      <w:r w:rsidRPr="00440D73">
        <w:rPr>
          <w:rFonts w:eastAsia="黑体"/>
          <w:szCs w:val="21"/>
        </w:rPr>
        <w:tab/>
        <w:t>(a)</w:t>
      </w:r>
      <w:r w:rsidRPr="00440D73">
        <w:rPr>
          <w:rFonts w:eastAsia="黑体"/>
          <w:szCs w:val="21"/>
        </w:rPr>
        <w:tab/>
      </w:r>
      <w:r w:rsidRPr="00440D73">
        <w:rPr>
          <w:rFonts w:eastAsia="黑体" w:cs="黑体" w:hint="eastAsia"/>
          <w:spacing w:val="-4"/>
          <w:szCs w:val="21"/>
        </w:rPr>
        <w:t>消除对残疾妇女和女童以及女同性恋、双性恋和跨性别妇女及间性者的交叉歧视，提高公众对她们人权的认识，并起诉和适当惩罚暴力侵害她们的施害者；</w:t>
      </w:r>
    </w:p>
    <w:p w14:paraId="0912B236"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(b)</w:t>
      </w:r>
      <w:r w:rsidRPr="00440D73">
        <w:rPr>
          <w:rFonts w:eastAsia="黑体"/>
          <w:szCs w:val="21"/>
        </w:rPr>
        <w:tab/>
      </w:r>
      <w:r w:rsidRPr="00440D73">
        <w:rPr>
          <w:rFonts w:eastAsia="黑体" w:cs="黑体" w:hint="eastAsia"/>
          <w:szCs w:val="21"/>
        </w:rPr>
        <w:t>提倡采取有别于拘留的措施，特别是对孕妇、有年幼子女的母亲和女户主；根据《联合国女性囚犯待遇和女性罪犯非监禁措施规则》</w:t>
      </w:r>
      <w:r w:rsidRPr="00440D73">
        <w:rPr>
          <w:rFonts w:eastAsia="黑体"/>
          <w:szCs w:val="21"/>
        </w:rPr>
        <w:t>(</w:t>
      </w:r>
      <w:r w:rsidRPr="00440D73">
        <w:rPr>
          <w:rFonts w:eastAsia="黑体" w:cs="黑体" w:hint="eastAsia"/>
          <w:szCs w:val="21"/>
        </w:rPr>
        <w:t>《曼谷规则》</w:t>
      </w:r>
      <w:r w:rsidRPr="00440D73">
        <w:rPr>
          <w:rFonts w:eastAsia="黑体"/>
          <w:szCs w:val="21"/>
        </w:rPr>
        <w:t>)</w:t>
      </w:r>
      <w:r w:rsidRPr="00440D73">
        <w:rPr>
          <w:rFonts w:eastAsia="黑体" w:cs="黑体" w:hint="eastAsia"/>
          <w:szCs w:val="21"/>
        </w:rPr>
        <w:t>，改善女性拘留设施的条件；加强保护被拘留妇女免遭性别暴力的措施，包括通过定期监测以及独立和保密的投诉机制。</w:t>
      </w:r>
    </w:p>
    <w:p w14:paraId="2D4B8282" w14:textId="77777777" w:rsidR="00440D73" w:rsidRPr="00440D73" w:rsidRDefault="00440D73" w:rsidP="00440D73">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40D73">
        <w:rPr>
          <w:rFonts w:eastAsia="黑体"/>
          <w:szCs w:val="21"/>
        </w:rPr>
        <w:tab/>
      </w:r>
      <w:r w:rsidRPr="00440D73">
        <w:rPr>
          <w:rFonts w:eastAsia="黑体"/>
          <w:szCs w:val="21"/>
        </w:rPr>
        <w:tab/>
      </w:r>
      <w:r w:rsidRPr="00440D73">
        <w:rPr>
          <w:rFonts w:eastAsia="黑体" w:cs="黑体" w:hint="eastAsia"/>
          <w:szCs w:val="21"/>
        </w:rPr>
        <w:t>性别与气候变化</w:t>
      </w:r>
    </w:p>
    <w:p w14:paraId="44DA743E"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47.</w:t>
      </w:r>
      <w:r w:rsidRPr="00440D73">
        <w:rPr>
          <w:szCs w:val="21"/>
        </w:rPr>
        <w:tab/>
      </w:r>
      <w:r w:rsidRPr="00440D73">
        <w:rPr>
          <w:rFonts w:cs="宋体" w:hint="eastAsia"/>
          <w:szCs w:val="21"/>
        </w:rPr>
        <w:t>委员会注意到</w:t>
      </w:r>
      <w:r w:rsidRPr="00440D73">
        <w:rPr>
          <w:szCs w:val="21"/>
        </w:rPr>
        <w:t>2016</w:t>
      </w:r>
      <w:r w:rsidRPr="00440D73">
        <w:rPr>
          <w:rFonts w:cs="宋体" w:hint="eastAsia"/>
          <w:szCs w:val="21"/>
        </w:rPr>
        <w:t>年通过的国家气候政策包含性别平等内容，但仍感到关切的是，飓风和洪水对妇女和女童造成的巨大负面影响增加了她们遭受性别暴力和粮食不安全的风险，如</w:t>
      </w:r>
      <w:r w:rsidRPr="00440D73">
        <w:rPr>
          <w:szCs w:val="21"/>
        </w:rPr>
        <w:t>2019</w:t>
      </w:r>
      <w:r w:rsidRPr="00440D73">
        <w:rPr>
          <w:rFonts w:cs="宋体" w:hint="eastAsia"/>
          <w:szCs w:val="21"/>
        </w:rPr>
        <w:t>年</w:t>
      </w:r>
      <w:r w:rsidRPr="00440D73">
        <w:rPr>
          <w:szCs w:val="21"/>
        </w:rPr>
        <w:t>3</w:t>
      </w:r>
      <w:r w:rsidRPr="00440D73">
        <w:rPr>
          <w:rFonts w:cs="宋体" w:hint="eastAsia"/>
          <w:szCs w:val="21"/>
        </w:rPr>
        <w:t>月“艾达”飓风的情况。委员会还感到关切的是，缺乏关于</w:t>
      </w:r>
      <w:r w:rsidRPr="00440D73">
        <w:rPr>
          <w:szCs w:val="21"/>
        </w:rPr>
        <w:t>2014</w:t>
      </w:r>
      <w:r w:rsidRPr="00440D73">
        <w:rPr>
          <w:rFonts w:cs="宋体" w:hint="eastAsia"/>
          <w:szCs w:val="21"/>
        </w:rPr>
        <w:t>年通过的国家气候变化应对战略的信息，包括该战略是否纳入了性别平等观点，以及确保妇女参与其制定和实施所有阶段的情况。</w:t>
      </w:r>
    </w:p>
    <w:p w14:paraId="0BAA3F26"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48.</w:t>
      </w:r>
      <w:r w:rsidRPr="00440D73">
        <w:rPr>
          <w:rFonts w:eastAsia="黑体"/>
          <w:szCs w:val="21"/>
        </w:rPr>
        <w:tab/>
      </w:r>
      <w:r w:rsidRPr="00440D73">
        <w:rPr>
          <w:rFonts w:eastAsia="黑体" w:cs="黑体" w:hint="eastAsia"/>
          <w:szCs w:val="21"/>
        </w:rPr>
        <w:t>根据其关于气候变化背景下减少灾害风险所涉性别方面的第</w:t>
      </w:r>
      <w:r w:rsidRPr="00440D73">
        <w:rPr>
          <w:rFonts w:eastAsia="黑体"/>
          <w:szCs w:val="21"/>
        </w:rPr>
        <w:t>37</w:t>
      </w:r>
      <w:r w:rsidRPr="00440D73">
        <w:rPr>
          <w:rFonts w:eastAsia="黑体" w:cs="黑体" w:hint="eastAsia"/>
          <w:szCs w:val="21"/>
        </w:rPr>
        <w:t>号一般性建议</w:t>
      </w:r>
      <w:r w:rsidRPr="00440D73">
        <w:rPr>
          <w:rFonts w:eastAsia="黑体"/>
          <w:szCs w:val="21"/>
        </w:rPr>
        <w:t>(2018</w:t>
      </w:r>
      <w:r w:rsidRPr="00440D73">
        <w:rPr>
          <w:rFonts w:eastAsia="黑体" w:cs="黑体" w:hint="eastAsia"/>
          <w:szCs w:val="21"/>
        </w:rPr>
        <w:t>年</w:t>
      </w:r>
      <w:r w:rsidRPr="00440D73">
        <w:rPr>
          <w:rFonts w:eastAsia="黑体"/>
          <w:szCs w:val="21"/>
        </w:rPr>
        <w:t>)</w:t>
      </w:r>
      <w:r w:rsidRPr="00440D73">
        <w:rPr>
          <w:rFonts w:eastAsia="黑体" w:cs="黑体" w:hint="eastAsia"/>
          <w:szCs w:val="21"/>
        </w:rPr>
        <w:t>，委员会建议缔约国评估和应对“艾达”飓风对缔约国境内妇女和女童的影响，并确保在制定和执行关于减少灾害风险和气候变化的政策和方案时纳入性别平等视角。</w:t>
      </w:r>
    </w:p>
    <w:p w14:paraId="1D45595E" w14:textId="77777777" w:rsidR="00440D73" w:rsidRPr="00440D73" w:rsidRDefault="00440D73" w:rsidP="00440D73">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40D73">
        <w:rPr>
          <w:rFonts w:eastAsia="黑体"/>
          <w:szCs w:val="21"/>
        </w:rPr>
        <w:tab/>
      </w:r>
      <w:r w:rsidRPr="00440D73">
        <w:rPr>
          <w:rFonts w:eastAsia="黑体"/>
          <w:szCs w:val="21"/>
        </w:rPr>
        <w:tab/>
      </w:r>
      <w:r w:rsidRPr="00440D73">
        <w:rPr>
          <w:rFonts w:eastAsia="黑体" w:cs="黑体" w:hint="eastAsia"/>
          <w:szCs w:val="21"/>
        </w:rPr>
        <w:t>婚姻和家庭关系</w:t>
      </w:r>
    </w:p>
    <w:p w14:paraId="08822658"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440D73">
        <w:rPr>
          <w:szCs w:val="21"/>
        </w:rPr>
        <w:t>49.</w:t>
      </w:r>
      <w:r w:rsidRPr="00440D73">
        <w:rPr>
          <w:szCs w:val="21"/>
        </w:rPr>
        <w:tab/>
      </w:r>
      <w:r w:rsidRPr="00440D73">
        <w:rPr>
          <w:rFonts w:cs="宋体" w:hint="eastAsia"/>
          <w:szCs w:val="21"/>
        </w:rPr>
        <w:t>委员会关切地注意到，尽管缔约国努力提高认识，但大多数人仍然根据习惯法结婚，没有登记，而且童婚在缔约国很普遍，三分之一的女童在</w:t>
      </w:r>
      <w:r w:rsidRPr="00440D73">
        <w:rPr>
          <w:szCs w:val="21"/>
        </w:rPr>
        <w:t>18</w:t>
      </w:r>
      <w:r w:rsidRPr="00440D73">
        <w:rPr>
          <w:rFonts w:cs="宋体" w:hint="eastAsia"/>
          <w:szCs w:val="21"/>
        </w:rPr>
        <w:t>岁之前结婚。委员会还感到关切的是，歧视性习惯法和习俗继续在缔约国规范婚姻和家庭关系，允许童婚和一夫多妻制等有害习俗。</w:t>
      </w:r>
    </w:p>
    <w:p w14:paraId="0405C47B"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50.</w:t>
      </w:r>
      <w:r w:rsidRPr="00440D73">
        <w:rPr>
          <w:rFonts w:eastAsia="黑体"/>
          <w:szCs w:val="21"/>
        </w:rPr>
        <w:tab/>
      </w:r>
      <w:r w:rsidRPr="00440D73">
        <w:rPr>
          <w:rFonts w:eastAsia="黑体" w:cs="黑体" w:hint="eastAsia"/>
          <w:szCs w:val="21"/>
        </w:rPr>
        <w:t>委员会提及关于婚姻和家庭关系中的平等的第</w:t>
      </w:r>
      <w:r w:rsidRPr="00440D73">
        <w:rPr>
          <w:rFonts w:eastAsia="黑体"/>
          <w:szCs w:val="21"/>
        </w:rPr>
        <w:t>21</w:t>
      </w:r>
      <w:r w:rsidRPr="00440D73">
        <w:rPr>
          <w:rFonts w:eastAsia="黑体" w:cs="黑体" w:hint="eastAsia"/>
          <w:szCs w:val="21"/>
        </w:rPr>
        <w:t>号一般性建议</w:t>
      </w:r>
      <w:r w:rsidRPr="00440D73">
        <w:rPr>
          <w:rFonts w:eastAsia="黑体"/>
          <w:szCs w:val="21"/>
        </w:rPr>
        <w:t>(1994</w:t>
      </w:r>
      <w:r w:rsidRPr="00440D73">
        <w:rPr>
          <w:rFonts w:eastAsia="黑体" w:cs="黑体" w:hint="eastAsia"/>
          <w:szCs w:val="21"/>
        </w:rPr>
        <w:t>年</w:t>
      </w:r>
      <w:r w:rsidRPr="00440D73">
        <w:rPr>
          <w:rFonts w:eastAsia="黑体"/>
          <w:szCs w:val="21"/>
        </w:rPr>
        <w:t>)</w:t>
      </w:r>
      <w:r w:rsidRPr="00440D73">
        <w:rPr>
          <w:rFonts w:eastAsia="黑体" w:cs="黑体" w:hint="eastAsia"/>
          <w:szCs w:val="21"/>
        </w:rPr>
        <w:t>，敦促缔约国根据《公约》第</w:t>
      </w:r>
      <w:r w:rsidRPr="00440D73">
        <w:rPr>
          <w:rFonts w:eastAsia="黑体"/>
          <w:szCs w:val="21"/>
        </w:rPr>
        <w:t>16</w:t>
      </w:r>
      <w:r w:rsidRPr="00440D73">
        <w:rPr>
          <w:rFonts w:eastAsia="黑体" w:cs="黑体" w:hint="eastAsia"/>
          <w:szCs w:val="21"/>
        </w:rPr>
        <w:t>条和委员会关于婚姻、家庭关系及其解除的经济后果的第</w:t>
      </w:r>
      <w:r w:rsidRPr="00440D73">
        <w:rPr>
          <w:rFonts w:eastAsia="黑体"/>
          <w:szCs w:val="21"/>
        </w:rPr>
        <w:t>29</w:t>
      </w:r>
      <w:r w:rsidRPr="00440D73">
        <w:rPr>
          <w:rFonts w:eastAsia="黑体" w:cs="黑体" w:hint="eastAsia"/>
          <w:szCs w:val="21"/>
        </w:rPr>
        <w:t>号一般性建议</w:t>
      </w:r>
      <w:r w:rsidRPr="00440D73">
        <w:rPr>
          <w:rFonts w:eastAsia="黑体"/>
          <w:szCs w:val="21"/>
        </w:rPr>
        <w:t>(2013</w:t>
      </w:r>
      <w:r w:rsidRPr="00440D73">
        <w:rPr>
          <w:rFonts w:eastAsia="黑体" w:cs="黑体" w:hint="eastAsia"/>
          <w:szCs w:val="21"/>
        </w:rPr>
        <w:t>年</w:t>
      </w:r>
      <w:r w:rsidRPr="00440D73">
        <w:rPr>
          <w:rFonts w:eastAsia="黑体"/>
          <w:szCs w:val="21"/>
        </w:rPr>
        <w:t>)</w:t>
      </w:r>
      <w:r w:rsidRPr="00440D73">
        <w:rPr>
          <w:rFonts w:eastAsia="黑体" w:cs="黑体" w:hint="eastAsia"/>
          <w:szCs w:val="21"/>
        </w:rPr>
        <w:t>，优先通过一项和谐婚姻法案，保障男女在家庭关系中和解除婚姻期间的平等权利。委员会尤其建议缔约国：</w:t>
      </w:r>
    </w:p>
    <w:p w14:paraId="6C4F533C"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(a)</w:t>
      </w:r>
      <w:r w:rsidRPr="00440D73">
        <w:rPr>
          <w:rFonts w:eastAsia="黑体"/>
          <w:szCs w:val="21"/>
        </w:rPr>
        <w:tab/>
      </w:r>
      <w:r w:rsidRPr="00440D73">
        <w:rPr>
          <w:rFonts w:eastAsia="黑体" w:cs="黑体" w:hint="eastAsia"/>
          <w:szCs w:val="21"/>
        </w:rPr>
        <w:t>通过法案，将童婚定为刑事犯罪，起诉并适当惩罚实施者；</w:t>
      </w:r>
    </w:p>
    <w:p w14:paraId="3A39199C"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(b)</w:t>
      </w:r>
      <w:r w:rsidRPr="00440D73">
        <w:rPr>
          <w:rFonts w:eastAsia="黑体"/>
          <w:szCs w:val="21"/>
        </w:rPr>
        <w:tab/>
      </w:r>
      <w:r w:rsidRPr="00440D73">
        <w:rPr>
          <w:rFonts w:eastAsia="黑体" w:cs="黑体" w:hint="eastAsia"/>
          <w:szCs w:val="21"/>
        </w:rPr>
        <w:t>通过立法，规定所有婚姻必须登记，并确保禁止一夫多妻制；</w:t>
      </w:r>
    </w:p>
    <w:p w14:paraId="3B985668"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ab/>
        <w:t>(c)</w:t>
      </w:r>
      <w:r w:rsidRPr="00440D73">
        <w:rPr>
          <w:rFonts w:eastAsia="黑体"/>
          <w:szCs w:val="21"/>
        </w:rPr>
        <w:tab/>
      </w:r>
      <w:r w:rsidRPr="00440D73">
        <w:rPr>
          <w:rFonts w:eastAsia="黑体" w:cs="黑体" w:hint="eastAsia"/>
          <w:szCs w:val="21"/>
        </w:rPr>
        <w:t>确保习惯法和习俗符合《宪法》和《公约》，以禁止有害习俗，并废除家庭关系中歧视妇女的任何规定。</w:t>
      </w:r>
    </w:p>
    <w:p w14:paraId="5E379A5D" w14:textId="77777777" w:rsidR="00440D73" w:rsidRPr="00440D73" w:rsidRDefault="00440D73" w:rsidP="00440D73">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40D73">
        <w:rPr>
          <w:rFonts w:eastAsia="黑体"/>
          <w:szCs w:val="21"/>
        </w:rPr>
        <w:tab/>
      </w:r>
      <w:r w:rsidRPr="00440D73">
        <w:rPr>
          <w:rFonts w:eastAsia="黑体"/>
          <w:szCs w:val="21"/>
        </w:rPr>
        <w:tab/>
      </w:r>
      <w:r w:rsidRPr="00440D73">
        <w:rPr>
          <w:rFonts w:eastAsia="黑体" w:cs="黑体" w:hint="eastAsia"/>
          <w:szCs w:val="21"/>
        </w:rPr>
        <w:t>数据收集和分析</w:t>
      </w:r>
    </w:p>
    <w:p w14:paraId="1629BFAC"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51.</w:t>
      </w:r>
      <w:r w:rsidRPr="00440D73">
        <w:rPr>
          <w:rFonts w:eastAsia="黑体"/>
          <w:szCs w:val="21"/>
        </w:rPr>
        <w:tab/>
      </w:r>
      <w:r w:rsidRPr="00440D73">
        <w:rPr>
          <w:rFonts w:eastAsia="黑体" w:cs="黑体" w:hint="eastAsia"/>
          <w:szCs w:val="21"/>
        </w:rPr>
        <w:t>委员会建议缔约国加强收集、分析和传播按性别、年龄、残疾、族裔、地点和社会经济地位分列的综合数据。委员会还建议缔约国通过可衡量的指标监测法律、政策和行动计划的影响，评估妇女境况的趋势以及在《公约》涵盖的所有领域实现女男实质性平等的进展情况。</w:t>
      </w:r>
    </w:p>
    <w:p w14:paraId="5AAAF3D0" w14:textId="77777777" w:rsidR="00440D73" w:rsidRPr="00440D73" w:rsidRDefault="00440D73" w:rsidP="00440D73">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40D73">
        <w:rPr>
          <w:rFonts w:eastAsia="黑体"/>
          <w:szCs w:val="21"/>
        </w:rPr>
        <w:tab/>
      </w:r>
      <w:r w:rsidRPr="00440D73">
        <w:rPr>
          <w:rFonts w:eastAsia="黑体"/>
          <w:szCs w:val="21"/>
        </w:rPr>
        <w:tab/>
      </w:r>
      <w:r w:rsidRPr="00440D73">
        <w:rPr>
          <w:rFonts w:eastAsia="黑体" w:cs="黑体" w:hint="eastAsia"/>
          <w:szCs w:val="21"/>
        </w:rPr>
        <w:t>《公约任择议定书》和《公约》第二十条第</w:t>
      </w:r>
      <w:r w:rsidRPr="00440D73">
        <w:rPr>
          <w:rFonts w:eastAsia="黑体"/>
          <w:szCs w:val="21"/>
        </w:rPr>
        <w:t>1</w:t>
      </w:r>
      <w:r w:rsidRPr="00440D73">
        <w:rPr>
          <w:rFonts w:eastAsia="黑体" w:cs="黑体" w:hint="eastAsia"/>
          <w:szCs w:val="21"/>
        </w:rPr>
        <w:t>款修正案</w:t>
      </w:r>
    </w:p>
    <w:p w14:paraId="6B585398" w14:textId="77777777"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52.</w:t>
      </w:r>
      <w:r w:rsidRPr="00440D73">
        <w:rPr>
          <w:rFonts w:eastAsia="黑体"/>
          <w:szCs w:val="21"/>
        </w:rPr>
        <w:tab/>
      </w:r>
      <w:r w:rsidRPr="00440D73">
        <w:rPr>
          <w:rFonts w:eastAsia="黑体" w:cs="黑体" w:hint="eastAsia"/>
          <w:szCs w:val="21"/>
        </w:rPr>
        <w:t>委员会鼓励缔约国尽快接受关于委员会会议时间的《公约》第二十条第</w:t>
      </w:r>
      <w:r w:rsidRPr="00440D73">
        <w:rPr>
          <w:rFonts w:eastAsia="黑体"/>
          <w:szCs w:val="21"/>
        </w:rPr>
        <w:t>1</w:t>
      </w:r>
      <w:r w:rsidRPr="00440D73">
        <w:rPr>
          <w:rFonts w:eastAsia="黑体" w:cs="黑体" w:hint="eastAsia"/>
          <w:szCs w:val="21"/>
        </w:rPr>
        <w:t>款的修正案，并批准《公约任择议定书》。</w:t>
      </w:r>
    </w:p>
    <w:p w14:paraId="368BD0AD" w14:textId="77777777" w:rsidR="00440D73" w:rsidRPr="00440D73" w:rsidRDefault="00440D73" w:rsidP="00440D73">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440D73">
        <w:rPr>
          <w:rFonts w:eastAsia="黑体"/>
          <w:szCs w:val="21"/>
        </w:rPr>
        <w:tab/>
      </w:r>
      <w:r w:rsidRPr="00440D73">
        <w:rPr>
          <w:rFonts w:eastAsia="黑体"/>
          <w:szCs w:val="21"/>
        </w:rPr>
        <w:tab/>
      </w:r>
      <w:r w:rsidRPr="00440D73">
        <w:rPr>
          <w:rFonts w:eastAsia="黑体" w:cs="黑体" w:hint="eastAsia"/>
          <w:szCs w:val="21"/>
        </w:rPr>
        <w:t>北京宣言和行动纲要</w:t>
      </w:r>
    </w:p>
    <w:p w14:paraId="2CD14A66" w14:textId="56C4F630" w:rsidR="00440D73" w:rsidRPr="00440D73" w:rsidRDefault="00440D73" w:rsidP="00440D73">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440D73">
        <w:rPr>
          <w:rFonts w:eastAsia="黑体"/>
          <w:szCs w:val="21"/>
        </w:rPr>
        <w:t>53.</w:t>
      </w:r>
      <w:r w:rsidRPr="00440D73">
        <w:rPr>
          <w:rFonts w:eastAsia="黑体"/>
          <w:szCs w:val="21"/>
        </w:rPr>
        <w:tab/>
      </w:r>
      <w:r w:rsidRPr="00440D73">
        <w:rPr>
          <w:rFonts w:eastAsia="黑体" w:cs="黑体" w:hint="eastAsia"/>
          <w:szCs w:val="21"/>
        </w:rPr>
        <w:t>委员会吁请缔约国利用《北京宣言》和《行动纲要》，并根据《宣言》和《纲要》执行情况</w:t>
      </w:r>
      <w:r w:rsidRPr="00440D73">
        <w:rPr>
          <w:rFonts w:eastAsia="黑体"/>
          <w:szCs w:val="21"/>
        </w:rPr>
        <w:t>25</w:t>
      </w:r>
      <w:r w:rsidRPr="00440D73">
        <w:rPr>
          <w:rFonts w:eastAsia="黑体" w:cs="黑体" w:hint="eastAsia"/>
          <w:szCs w:val="21"/>
        </w:rPr>
        <w:t>周年审查，进一步评价《公约》所载各项权利的实现情况，以实现女男实质性平等。</w:t>
      </w:r>
    </w:p>
    <w:p w14:paraId="73F3712F" w14:textId="77777777" w:rsidR="00623CE1" w:rsidRPr="00623CE1" w:rsidRDefault="00623CE1" w:rsidP="00623CE1">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outlineLvl w:val="1"/>
        <w:rPr>
          <w:rFonts w:eastAsia="黑体"/>
          <w:szCs w:val="21"/>
        </w:rPr>
      </w:pPr>
      <w:r w:rsidRPr="00623CE1">
        <w:rPr>
          <w:rFonts w:eastAsia="黑体"/>
          <w:szCs w:val="21"/>
        </w:rPr>
        <w:tab/>
      </w:r>
      <w:r w:rsidRPr="00623CE1">
        <w:rPr>
          <w:rFonts w:eastAsia="黑体"/>
          <w:szCs w:val="21"/>
        </w:rPr>
        <w:tab/>
      </w:r>
      <w:r w:rsidRPr="00623CE1">
        <w:rPr>
          <w:rFonts w:eastAsia="黑体" w:cs="黑体" w:hint="eastAsia"/>
          <w:szCs w:val="21"/>
        </w:rPr>
        <w:t>传播</w:t>
      </w:r>
    </w:p>
    <w:p w14:paraId="5D4A0BD6" w14:textId="77777777" w:rsidR="00623CE1" w:rsidRPr="00623CE1" w:rsidRDefault="00623CE1" w:rsidP="00623CE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623CE1">
        <w:rPr>
          <w:rFonts w:eastAsia="黑体"/>
          <w:szCs w:val="21"/>
        </w:rPr>
        <w:t>54.</w:t>
      </w:r>
      <w:r w:rsidRPr="00623CE1">
        <w:rPr>
          <w:rFonts w:eastAsia="黑体"/>
          <w:szCs w:val="21"/>
        </w:rPr>
        <w:tab/>
      </w:r>
      <w:r w:rsidRPr="00623CE1">
        <w:rPr>
          <w:rFonts w:eastAsia="黑体" w:cs="黑体" w:hint="eastAsia"/>
          <w:szCs w:val="21"/>
        </w:rPr>
        <w:t>委员会请缔约国确保以其官方语文向各级</w:t>
      </w:r>
      <w:r w:rsidRPr="00623CE1">
        <w:rPr>
          <w:rFonts w:eastAsia="黑体"/>
          <w:szCs w:val="21"/>
        </w:rPr>
        <w:t>(</w:t>
      </w:r>
      <w:r w:rsidRPr="00623CE1">
        <w:rPr>
          <w:rFonts w:eastAsia="黑体" w:cs="黑体" w:hint="eastAsia"/>
          <w:szCs w:val="21"/>
        </w:rPr>
        <w:t>全国、区域和地方</w:t>
      </w:r>
      <w:r w:rsidRPr="00623CE1">
        <w:rPr>
          <w:rFonts w:eastAsia="黑体"/>
          <w:szCs w:val="21"/>
        </w:rPr>
        <w:t>)</w:t>
      </w:r>
      <w:r w:rsidRPr="00623CE1">
        <w:rPr>
          <w:rFonts w:eastAsia="黑体" w:cs="黑体" w:hint="eastAsia"/>
          <w:szCs w:val="21"/>
        </w:rPr>
        <w:t>相关国家机构及时传播本结论性意见，尤其向政府、各部委、议会和司法部门，以便能够充分落实本结论性意见。</w:t>
      </w:r>
    </w:p>
    <w:p w14:paraId="2492C30D" w14:textId="77777777" w:rsidR="00623CE1" w:rsidRDefault="00623CE1">
      <w:pPr>
        <w:spacing w:line="240" w:lineRule="auto"/>
        <w:jc w:val="left"/>
        <w:rPr>
          <w:rFonts w:eastAsia="黑体"/>
          <w:szCs w:val="21"/>
        </w:rPr>
      </w:pPr>
      <w:r>
        <w:rPr>
          <w:rFonts w:eastAsia="黑体"/>
          <w:szCs w:val="21"/>
        </w:rPr>
        <w:br w:type="page"/>
      </w:r>
    </w:p>
    <w:p w14:paraId="7CB50301" w14:textId="6B8691C2" w:rsidR="00623CE1" w:rsidRPr="00623CE1" w:rsidRDefault="00623CE1" w:rsidP="00891B12">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outlineLvl w:val="1"/>
        <w:rPr>
          <w:rFonts w:eastAsia="黑体"/>
          <w:szCs w:val="21"/>
        </w:rPr>
      </w:pPr>
      <w:r w:rsidRPr="00623CE1">
        <w:rPr>
          <w:rFonts w:eastAsia="黑体"/>
          <w:szCs w:val="21"/>
        </w:rPr>
        <w:tab/>
      </w:r>
      <w:r w:rsidRPr="00623CE1">
        <w:rPr>
          <w:rFonts w:eastAsia="黑体"/>
          <w:szCs w:val="21"/>
        </w:rPr>
        <w:tab/>
      </w:r>
      <w:r w:rsidRPr="00623CE1">
        <w:rPr>
          <w:rFonts w:eastAsia="黑体" w:cs="黑体" w:hint="eastAsia"/>
          <w:szCs w:val="21"/>
        </w:rPr>
        <w:t>技术援助</w:t>
      </w:r>
    </w:p>
    <w:p w14:paraId="47413DA4" w14:textId="77777777" w:rsidR="00623CE1" w:rsidRPr="00623CE1" w:rsidRDefault="00623CE1" w:rsidP="00891B1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623CE1">
        <w:rPr>
          <w:rFonts w:eastAsia="黑体"/>
          <w:szCs w:val="21"/>
        </w:rPr>
        <w:t>55.</w:t>
      </w:r>
      <w:r w:rsidRPr="00623CE1">
        <w:rPr>
          <w:rFonts w:eastAsia="黑体"/>
          <w:szCs w:val="21"/>
        </w:rPr>
        <w:tab/>
      </w:r>
      <w:r w:rsidRPr="00623CE1">
        <w:rPr>
          <w:rFonts w:eastAsia="黑体" w:cs="黑体" w:hint="eastAsia"/>
          <w:szCs w:val="21"/>
        </w:rPr>
        <w:t>委员会建议缔约国将《公约》的执行工作与本国的发展努力联系起来，并寻求这方面的区域或国际技术援助。</w:t>
      </w:r>
    </w:p>
    <w:p w14:paraId="2CE69538" w14:textId="77777777" w:rsidR="00623CE1" w:rsidRPr="00623CE1" w:rsidRDefault="00623CE1" w:rsidP="00891B12">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outlineLvl w:val="1"/>
        <w:rPr>
          <w:rFonts w:eastAsia="黑体"/>
          <w:szCs w:val="21"/>
        </w:rPr>
      </w:pPr>
      <w:r w:rsidRPr="00623CE1">
        <w:rPr>
          <w:rFonts w:eastAsia="黑体"/>
          <w:szCs w:val="21"/>
        </w:rPr>
        <w:tab/>
      </w:r>
      <w:r w:rsidRPr="00623CE1">
        <w:rPr>
          <w:rFonts w:eastAsia="黑体"/>
          <w:szCs w:val="21"/>
        </w:rPr>
        <w:tab/>
      </w:r>
      <w:r w:rsidRPr="00623CE1">
        <w:rPr>
          <w:rFonts w:eastAsia="黑体" w:cs="黑体" w:hint="eastAsia"/>
          <w:szCs w:val="21"/>
        </w:rPr>
        <w:t>批准其他条约</w:t>
      </w:r>
    </w:p>
    <w:p w14:paraId="24F75A9D" w14:textId="4BA38E1D" w:rsidR="00623CE1" w:rsidRPr="00623CE1" w:rsidRDefault="00623CE1" w:rsidP="00891B1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623CE1">
        <w:rPr>
          <w:rFonts w:eastAsia="黑体"/>
          <w:szCs w:val="21"/>
        </w:rPr>
        <w:t>56.</w:t>
      </w:r>
      <w:r w:rsidRPr="00623CE1">
        <w:rPr>
          <w:rFonts w:eastAsia="黑体"/>
          <w:szCs w:val="21"/>
        </w:rPr>
        <w:tab/>
      </w:r>
      <w:r w:rsidRPr="00623CE1">
        <w:rPr>
          <w:rFonts w:eastAsia="黑体" w:cs="黑体" w:hint="eastAsia"/>
          <w:szCs w:val="21"/>
        </w:rPr>
        <w:t>委员会指出，缔约国加入九项主要国际人权文书</w:t>
      </w:r>
      <w:r w:rsidRPr="00623CE1">
        <w:rPr>
          <w:rFonts w:eastAsia="黑体"/>
          <w:szCs w:val="21"/>
          <w:vertAlign w:val="superscript"/>
        </w:rPr>
        <w:footnoteReference w:id="1"/>
      </w:r>
      <w:r w:rsidR="0065339D">
        <w:rPr>
          <w:rFonts w:eastAsia="黑体" w:cs="黑体" w:hint="eastAsia"/>
          <w:szCs w:val="21"/>
        </w:rPr>
        <w:t xml:space="preserve"> </w:t>
      </w:r>
      <w:r w:rsidRPr="00623CE1">
        <w:rPr>
          <w:rFonts w:eastAsia="黑体" w:cs="黑体" w:hint="eastAsia"/>
          <w:szCs w:val="21"/>
        </w:rPr>
        <w:t>将促进妇女在生活各个方面享有人权和基本自由。因此，委员会鼓励缔约国批准其尚未加入的《禁止酷刑和其他残忍、不人道或有辱人格的待遇或处罚公约》、《保护所有人免遭强迫失踪国际公约》和《保护所有移徙工人及其家庭成员权利国际公约》。</w:t>
      </w:r>
    </w:p>
    <w:p w14:paraId="405C07A3" w14:textId="77777777" w:rsidR="00623CE1" w:rsidRPr="00623CE1" w:rsidRDefault="00623CE1" w:rsidP="00891B12">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outlineLvl w:val="1"/>
        <w:rPr>
          <w:rFonts w:eastAsia="黑体"/>
          <w:szCs w:val="21"/>
        </w:rPr>
      </w:pPr>
      <w:r w:rsidRPr="00623CE1">
        <w:rPr>
          <w:rFonts w:eastAsia="黑体"/>
          <w:szCs w:val="21"/>
        </w:rPr>
        <w:tab/>
      </w:r>
      <w:r w:rsidRPr="00623CE1">
        <w:rPr>
          <w:rFonts w:eastAsia="黑体"/>
          <w:szCs w:val="21"/>
        </w:rPr>
        <w:tab/>
      </w:r>
      <w:r w:rsidRPr="00623CE1">
        <w:rPr>
          <w:rFonts w:eastAsia="黑体" w:cs="黑体" w:hint="eastAsia"/>
          <w:szCs w:val="21"/>
        </w:rPr>
        <w:t>后续落实结论性意见</w:t>
      </w:r>
    </w:p>
    <w:p w14:paraId="259DC073" w14:textId="77777777" w:rsidR="00623CE1" w:rsidRPr="00623CE1" w:rsidRDefault="00623CE1" w:rsidP="00891B1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623CE1">
        <w:rPr>
          <w:rFonts w:eastAsia="黑体"/>
          <w:szCs w:val="21"/>
        </w:rPr>
        <w:t>57.</w:t>
      </w:r>
      <w:r w:rsidRPr="00623CE1">
        <w:rPr>
          <w:rFonts w:eastAsia="黑体"/>
          <w:szCs w:val="21"/>
        </w:rPr>
        <w:tab/>
      </w:r>
      <w:r w:rsidRPr="00623CE1">
        <w:rPr>
          <w:rFonts w:eastAsia="黑体" w:cs="黑体" w:hint="eastAsia"/>
          <w:szCs w:val="21"/>
        </w:rPr>
        <w:t>委员会请缔约国在两年内提供书面资料，说明为执行上文第</w:t>
      </w:r>
      <w:r w:rsidRPr="00623CE1">
        <w:rPr>
          <w:rFonts w:eastAsia="黑体"/>
          <w:szCs w:val="21"/>
        </w:rPr>
        <w:t>18(b)</w:t>
      </w:r>
      <w:r w:rsidRPr="00623CE1">
        <w:rPr>
          <w:rFonts w:eastAsia="黑体" w:cs="黑体" w:hint="eastAsia"/>
          <w:szCs w:val="21"/>
        </w:rPr>
        <w:t>、</w:t>
      </w:r>
      <w:r w:rsidRPr="00623CE1">
        <w:rPr>
          <w:rFonts w:eastAsia="黑体"/>
          <w:szCs w:val="21"/>
        </w:rPr>
        <w:t>28(b)</w:t>
      </w:r>
      <w:r w:rsidRPr="00623CE1">
        <w:rPr>
          <w:rFonts w:eastAsia="黑体" w:cs="黑体" w:hint="eastAsia"/>
          <w:szCs w:val="21"/>
        </w:rPr>
        <w:t>、</w:t>
      </w:r>
      <w:r w:rsidRPr="00623CE1">
        <w:rPr>
          <w:rFonts w:eastAsia="黑体"/>
          <w:szCs w:val="21"/>
        </w:rPr>
        <w:t>28(d)</w:t>
      </w:r>
      <w:r w:rsidRPr="00623CE1">
        <w:rPr>
          <w:rFonts w:eastAsia="黑体" w:cs="黑体" w:hint="eastAsia"/>
          <w:szCs w:val="21"/>
        </w:rPr>
        <w:t>和</w:t>
      </w:r>
      <w:r w:rsidRPr="00623CE1">
        <w:rPr>
          <w:rFonts w:eastAsia="黑体"/>
          <w:szCs w:val="21"/>
        </w:rPr>
        <w:t>30(b)</w:t>
      </w:r>
      <w:r w:rsidRPr="00623CE1">
        <w:rPr>
          <w:rFonts w:eastAsia="黑体" w:cs="黑体" w:hint="eastAsia"/>
          <w:szCs w:val="21"/>
        </w:rPr>
        <w:t>段所载建议而采取的步骤。</w:t>
      </w:r>
    </w:p>
    <w:p w14:paraId="2FECB327" w14:textId="77777777" w:rsidR="00623CE1" w:rsidRPr="00623CE1" w:rsidRDefault="00623CE1" w:rsidP="00891B12">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outlineLvl w:val="1"/>
        <w:rPr>
          <w:rFonts w:eastAsia="黑体"/>
          <w:szCs w:val="21"/>
        </w:rPr>
      </w:pPr>
      <w:r w:rsidRPr="00623CE1">
        <w:rPr>
          <w:rFonts w:eastAsia="黑体"/>
          <w:szCs w:val="21"/>
        </w:rPr>
        <w:tab/>
      </w:r>
      <w:r w:rsidRPr="00623CE1">
        <w:rPr>
          <w:rFonts w:eastAsia="黑体"/>
          <w:szCs w:val="21"/>
        </w:rPr>
        <w:tab/>
      </w:r>
      <w:r w:rsidRPr="00623CE1">
        <w:rPr>
          <w:rFonts w:eastAsia="黑体" w:cs="黑体" w:hint="eastAsia"/>
          <w:szCs w:val="21"/>
        </w:rPr>
        <w:t>编写下次报告</w:t>
      </w:r>
    </w:p>
    <w:p w14:paraId="26A19B90" w14:textId="77777777" w:rsidR="00623CE1" w:rsidRPr="00623CE1" w:rsidRDefault="00623CE1" w:rsidP="00891B12">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623CE1">
        <w:rPr>
          <w:rFonts w:eastAsia="黑体"/>
          <w:szCs w:val="21"/>
        </w:rPr>
        <w:t>58.</w:t>
      </w:r>
      <w:r w:rsidRPr="00623CE1">
        <w:rPr>
          <w:rFonts w:eastAsia="黑体"/>
          <w:szCs w:val="21"/>
        </w:rPr>
        <w:tab/>
      </w:r>
      <w:r w:rsidRPr="00623CE1">
        <w:rPr>
          <w:rFonts w:eastAsia="黑体" w:cs="黑体" w:hint="eastAsia"/>
          <w:szCs w:val="21"/>
        </w:rPr>
        <w:t>委员会请缔约国提交应于</w:t>
      </w:r>
      <w:r w:rsidRPr="00623CE1">
        <w:rPr>
          <w:rFonts w:eastAsia="黑体"/>
          <w:szCs w:val="21"/>
        </w:rPr>
        <w:t>2024</w:t>
      </w:r>
      <w:r w:rsidRPr="00623CE1">
        <w:rPr>
          <w:rFonts w:eastAsia="黑体" w:cs="黑体" w:hint="eastAsia"/>
          <w:szCs w:val="21"/>
        </w:rPr>
        <w:t>年</w:t>
      </w:r>
      <w:r w:rsidRPr="00623CE1">
        <w:rPr>
          <w:rFonts w:eastAsia="黑体"/>
          <w:szCs w:val="21"/>
        </w:rPr>
        <w:t>2</w:t>
      </w:r>
      <w:r w:rsidRPr="00623CE1">
        <w:rPr>
          <w:rFonts w:eastAsia="黑体" w:cs="黑体" w:hint="eastAsia"/>
          <w:szCs w:val="21"/>
        </w:rPr>
        <w:t>月提交的第七次定期报告。报告应按时提交，报告涵盖的期限应截至提交前为止。</w:t>
      </w:r>
    </w:p>
    <w:p w14:paraId="16C572F5" w14:textId="5C484ABC" w:rsidR="00877849" w:rsidRDefault="00623CE1" w:rsidP="00891B12">
      <w:pPr>
        <w:pStyle w:val="SingleTxt"/>
        <w:rPr>
          <w:rFonts w:eastAsia="黑体" w:cs="黑体"/>
          <w:szCs w:val="21"/>
        </w:rPr>
      </w:pPr>
      <w:r w:rsidRPr="00623CE1">
        <w:rPr>
          <w:rFonts w:eastAsia="黑体"/>
          <w:szCs w:val="21"/>
        </w:rPr>
        <w:t>59.</w:t>
      </w:r>
      <w:r w:rsidRPr="00623CE1">
        <w:rPr>
          <w:rFonts w:eastAsia="黑体"/>
          <w:szCs w:val="21"/>
        </w:rPr>
        <w:tab/>
      </w:r>
      <w:r w:rsidRPr="00623CE1">
        <w:rPr>
          <w:rFonts w:eastAsia="黑体" w:cs="黑体" w:hint="eastAsia"/>
          <w:szCs w:val="21"/>
        </w:rPr>
        <w:t>委员会请缔约国遵守《包括共同核心文件和条约专要文件准则在内的根据国际人权条约提交报告的协调准则》</w:t>
      </w:r>
      <w:r w:rsidRPr="00623CE1">
        <w:rPr>
          <w:rFonts w:eastAsia="黑体"/>
          <w:szCs w:val="21"/>
        </w:rPr>
        <w:t>(</w:t>
      </w:r>
      <w:r w:rsidRPr="00623CE1">
        <w:rPr>
          <w:rFonts w:eastAsia="黑体" w:cs="黑体" w:hint="eastAsia"/>
          <w:szCs w:val="21"/>
        </w:rPr>
        <w:t>见</w:t>
      </w:r>
      <w:hyperlink r:id="rId37" w:history="1">
        <w:r w:rsidRPr="00623CE1">
          <w:rPr>
            <w:rFonts w:eastAsia="黑体"/>
            <w:color w:val="0000FF"/>
            <w:szCs w:val="21"/>
          </w:rPr>
          <w:t>HRI/GEN/2/Rev.6</w:t>
        </w:r>
      </w:hyperlink>
      <w:r w:rsidRPr="00623CE1">
        <w:rPr>
          <w:rFonts w:eastAsia="黑体" w:cs="黑体" w:hint="eastAsia"/>
          <w:szCs w:val="21"/>
        </w:rPr>
        <w:t>，第一章</w:t>
      </w:r>
      <w:r w:rsidRPr="00623CE1">
        <w:rPr>
          <w:rFonts w:eastAsia="黑体"/>
          <w:szCs w:val="21"/>
        </w:rPr>
        <w:t>)</w:t>
      </w:r>
      <w:r w:rsidRPr="00623CE1">
        <w:rPr>
          <w:rFonts w:eastAsia="黑体" w:cs="黑体" w:hint="eastAsia"/>
          <w:szCs w:val="21"/>
        </w:rPr>
        <w:t>。</w:t>
      </w:r>
    </w:p>
    <w:p w14:paraId="5AEE6CDC" w14:textId="20FE9059" w:rsidR="00623CE1" w:rsidRPr="00623CE1" w:rsidRDefault="00623CE1" w:rsidP="00623CE1">
      <w:pPr>
        <w:pStyle w:val="SingleTxt"/>
      </w:pPr>
      <w:r>
        <w:rPr>
          <w:noProof/>
        </w:rPr>
        <mc:AlternateContent>
          <mc:Choice Requires="wps">
            <w:drawing>
              <wp:anchor distT="0" distB="0" distL="114300" distR="114300" simplePos="0" relativeHeight="251662336" behindDoc="0" locked="0" layoutInCell="1" allowOverlap="1" wp14:anchorId="60F47814" wp14:editId="6E0B30B4">
                <wp:simplePos x="0" y="0"/>
                <wp:positionH relativeFrom="column">
                  <wp:align>center</wp:align>
                </wp:positionH>
                <wp:positionV relativeFrom="paragraph">
                  <wp:posOffset>381000</wp:posOffset>
                </wp:positionV>
                <wp:extent cx="91440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51D79A" id="直接连接符 6" o:spid="_x0000_s1026" style="position:absolute;left:0;text-align:left;z-index:251662336;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o2A/e6QEAAAkEAAAOAAAAAAAAAAAAAAAAAC4CAABkcnMvZTJvRG9jLnhtbFBL&#10;AQItABQABgAIAAAAIQDVtq9a2wAAAAYBAAAPAAAAAAAAAAAAAAAAAEMEAABkcnMvZG93bnJldi54&#10;bWxQSwUGAAAAAAQABADzAAAASwUAAAAA&#10;" strokecolor="#010000" strokeweight=".25pt"/>
            </w:pict>
          </mc:Fallback>
        </mc:AlternateContent>
      </w:r>
      <w:bookmarkStart w:id="1" w:name="_GoBack"/>
      <w:bookmarkEnd w:id="1"/>
    </w:p>
    <w:sectPr w:rsidR="00623CE1" w:rsidRPr="00623CE1" w:rsidSect="00BA7C36">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0T14:07:00Z" w:initials="Start">
    <w:p w14:paraId="2CFC6B18" w14:textId="77777777" w:rsidR="00466E2B" w:rsidRDefault="00466E2B">
      <w:pPr>
        <w:pStyle w:val="a9"/>
      </w:pPr>
      <w:r>
        <w:rPr>
          <w:rStyle w:val="ad"/>
        </w:rPr>
        <w:annotationRef/>
      </w:r>
      <w:r>
        <w:t>&lt;&lt;ODS JOB NO&gt;&gt;N2006183C&lt;&lt;ODS JOB NO&gt;&gt;</w:t>
      </w:r>
    </w:p>
    <w:p w14:paraId="6AA53768" w14:textId="77777777" w:rsidR="00466E2B" w:rsidRDefault="00466E2B">
      <w:pPr>
        <w:pStyle w:val="a9"/>
      </w:pPr>
      <w:r>
        <w:t>&lt;&lt;ODS DOC SYMBOL1&gt;&gt;CEDAW/C/ZWE/CO/6&lt;&lt;ODS DOC SYMBOL1&gt;&gt;</w:t>
      </w:r>
    </w:p>
    <w:p w14:paraId="5F4B79C1" w14:textId="77777777" w:rsidR="00466E2B" w:rsidRDefault="00466E2B">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F4B79C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F4B79C1" w16cid:durableId="221F4CB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D3BD72" w14:textId="77777777" w:rsidR="00426FD4" w:rsidRDefault="00426FD4">
      <w:r>
        <w:separator/>
      </w:r>
    </w:p>
  </w:endnote>
  <w:endnote w:type="continuationSeparator" w:id="0">
    <w:p w14:paraId="0DD9C00C" w14:textId="77777777" w:rsidR="00426FD4" w:rsidRDefault="00426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Barcode 3 of 9 by request">
    <w:altName w:val="Britannic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66E2B" w14:paraId="453303E0" w14:textId="77777777" w:rsidTr="00BD4B10">
      <w:tc>
        <w:tcPr>
          <w:tcW w:w="4920" w:type="dxa"/>
          <w:shd w:val="clear" w:color="auto" w:fill="auto"/>
        </w:tcPr>
        <w:p w14:paraId="4FDA0F19" w14:textId="49C6D055" w:rsidR="00466E2B" w:rsidRPr="00BD4B10" w:rsidRDefault="00466E2B" w:rsidP="00BD4B10">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76E50">
            <w:rPr>
              <w:b w:val="0"/>
              <w:w w:val="103"/>
              <w:sz w:val="14"/>
            </w:rPr>
            <w:t>20-03724</w:t>
          </w:r>
          <w:r>
            <w:rPr>
              <w:b w:val="0"/>
              <w:w w:val="103"/>
              <w:sz w:val="14"/>
            </w:rPr>
            <w:fldChar w:fldCharType="end"/>
          </w:r>
        </w:p>
      </w:tc>
      <w:tc>
        <w:tcPr>
          <w:tcW w:w="4920" w:type="dxa"/>
          <w:shd w:val="clear" w:color="auto" w:fill="auto"/>
        </w:tcPr>
        <w:p w14:paraId="7B81FF7B" w14:textId="77777777" w:rsidR="00466E2B" w:rsidRPr="00BD4B10" w:rsidRDefault="00466E2B" w:rsidP="00BD4B10">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1287B52" w14:textId="77777777" w:rsidR="00466E2B" w:rsidRPr="00BD4B10" w:rsidRDefault="00466E2B" w:rsidP="00BD4B10">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66E2B" w14:paraId="575D58A7" w14:textId="77777777" w:rsidTr="00BD4B10">
      <w:tc>
        <w:tcPr>
          <w:tcW w:w="4920" w:type="dxa"/>
          <w:shd w:val="clear" w:color="auto" w:fill="auto"/>
        </w:tcPr>
        <w:p w14:paraId="0F80571F" w14:textId="77777777" w:rsidR="00466E2B" w:rsidRPr="00BD4B10" w:rsidRDefault="00466E2B" w:rsidP="00BD4B10">
          <w:pPr>
            <w:pStyle w:val="af2"/>
            <w:jc w:val="right"/>
          </w:pPr>
          <w:r>
            <w:fldChar w:fldCharType="begin"/>
          </w:r>
          <w:r>
            <w:instrText xml:space="preserve"> PAGE  \* Arabic  \* MERGEFORMAT </w:instrText>
          </w:r>
          <w:r>
            <w:fldChar w:fldCharType="separate"/>
          </w:r>
          <w:r>
            <w:t>2</w:t>
          </w:r>
          <w:r>
            <w:fldChar w:fldCharType="end"/>
          </w:r>
          <w:r>
            <w:t>/</w:t>
          </w:r>
          <w:r w:rsidR="00276E50">
            <w:fldChar w:fldCharType="begin"/>
          </w:r>
          <w:r w:rsidR="00276E50">
            <w:instrText xml:space="preserve"> NUMPAGES  \* Arabic  \* MERGEFORMAT </w:instrText>
          </w:r>
          <w:r w:rsidR="00276E50">
            <w:fldChar w:fldCharType="separate"/>
          </w:r>
          <w:r>
            <w:t>3</w:t>
          </w:r>
          <w:r w:rsidR="00276E50">
            <w:fldChar w:fldCharType="end"/>
          </w:r>
        </w:p>
      </w:tc>
      <w:tc>
        <w:tcPr>
          <w:tcW w:w="4920" w:type="dxa"/>
          <w:shd w:val="clear" w:color="auto" w:fill="auto"/>
        </w:tcPr>
        <w:p w14:paraId="499AEC05" w14:textId="2507EB04" w:rsidR="00466E2B" w:rsidRPr="00BD4B10" w:rsidRDefault="00466E2B" w:rsidP="00BD4B10">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76E50">
            <w:rPr>
              <w:b w:val="0"/>
              <w:w w:val="103"/>
              <w:sz w:val="14"/>
            </w:rPr>
            <w:t>20-03724</w:t>
          </w:r>
          <w:r>
            <w:rPr>
              <w:b w:val="0"/>
              <w:w w:val="103"/>
              <w:sz w:val="14"/>
            </w:rPr>
            <w:fldChar w:fldCharType="end"/>
          </w:r>
        </w:p>
      </w:tc>
    </w:tr>
  </w:tbl>
  <w:p w14:paraId="331EDA88" w14:textId="77777777" w:rsidR="00466E2B" w:rsidRPr="00BD4B10" w:rsidRDefault="00466E2B" w:rsidP="00BD4B10">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466E2B" w14:paraId="780D212E" w14:textId="77777777" w:rsidTr="00BD4B10">
      <w:tc>
        <w:tcPr>
          <w:tcW w:w="3744" w:type="dxa"/>
          <w:shd w:val="clear" w:color="auto" w:fill="auto"/>
        </w:tcPr>
        <w:p w14:paraId="1F59E3F1" w14:textId="2D5EE8F5" w:rsidR="00466E2B" w:rsidRDefault="00466E2B" w:rsidP="00BD4B10">
          <w:pPr>
            <w:pStyle w:val="Release"/>
          </w:pPr>
          <w:r>
            <w:rPr>
              <w:noProof/>
            </w:rPr>
            <w:drawing>
              <wp:anchor distT="0" distB="0" distL="114300" distR="114300" simplePos="0" relativeHeight="251658240" behindDoc="0" locked="0" layoutInCell="1" allowOverlap="1" wp14:anchorId="03DC0DAC" wp14:editId="2C0539DB">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276E50">
            <w:fldChar w:fldCharType="begin"/>
          </w:r>
          <w:r w:rsidR="00276E50">
            <w:instrText xml:space="preserve"> DOCVARIABLE "jobn" \* MERGEFORMAT </w:instrText>
          </w:r>
          <w:r w:rsidR="00276E50">
            <w:fldChar w:fldCharType="separate"/>
          </w:r>
          <w:r w:rsidR="00276E50">
            <w:t>20-03724 (C)</w:t>
          </w:r>
          <w:r w:rsidR="00276E50">
            <w:fldChar w:fldCharType="end"/>
          </w:r>
          <w:r>
            <w:t xml:space="preserve">    200320    060420</w:t>
          </w:r>
        </w:p>
        <w:p w14:paraId="568A6A6B" w14:textId="77777777" w:rsidR="00466E2B" w:rsidRPr="00BD4B10" w:rsidRDefault="00466E2B" w:rsidP="00BD4B10">
          <w:pPr>
            <w:spacing w:before="80" w:line="210" w:lineRule="exact"/>
            <w:rPr>
              <w:rFonts w:ascii="Barcode 3 of 9 by request" w:hAnsi="Barcode 3 of 9 by request"/>
              <w:sz w:val="24"/>
            </w:rPr>
          </w:pPr>
          <w:r>
            <w:rPr>
              <w:rFonts w:ascii="Barcode 3 of 9 by request" w:hAnsi="Barcode 3 of 9 by request"/>
              <w:b/>
              <w:sz w:val="24"/>
            </w:rPr>
            <w:t>*2003724*</w:t>
          </w:r>
        </w:p>
      </w:tc>
      <w:tc>
        <w:tcPr>
          <w:tcW w:w="4920" w:type="dxa"/>
          <w:shd w:val="clear" w:color="auto" w:fill="auto"/>
        </w:tcPr>
        <w:p w14:paraId="17216ADB" w14:textId="77777777" w:rsidR="00466E2B" w:rsidRDefault="00466E2B" w:rsidP="00BD4B10">
          <w:pPr>
            <w:pStyle w:val="af2"/>
            <w:jc w:val="right"/>
            <w:rPr>
              <w:b w:val="0"/>
              <w:sz w:val="21"/>
            </w:rPr>
          </w:pPr>
          <w:r>
            <w:rPr>
              <w:b w:val="0"/>
              <w:sz w:val="21"/>
            </w:rPr>
            <w:drawing>
              <wp:inline distT="0" distB="0" distL="0" distR="0" wp14:anchorId="5F894D24" wp14:editId="31613BF7">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2ABEE8CF" w14:textId="77777777" w:rsidR="00466E2B" w:rsidRPr="00BD4B10" w:rsidRDefault="00466E2B" w:rsidP="00BD4B10">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A5B146" w14:textId="77777777" w:rsidR="00426FD4" w:rsidRPr="00623CE1" w:rsidRDefault="00426FD4" w:rsidP="00623CE1">
      <w:pPr>
        <w:pStyle w:val="af2"/>
        <w:spacing w:after="80"/>
        <w:ind w:left="792"/>
        <w:rPr>
          <w:sz w:val="16"/>
        </w:rPr>
      </w:pPr>
      <w:r w:rsidRPr="00623CE1">
        <w:rPr>
          <w:sz w:val="16"/>
        </w:rPr>
        <w:t>__________________</w:t>
      </w:r>
    </w:p>
  </w:footnote>
  <w:footnote w:type="continuationSeparator" w:id="0">
    <w:p w14:paraId="55462575" w14:textId="77777777" w:rsidR="00426FD4" w:rsidRPr="00623CE1" w:rsidRDefault="00426FD4" w:rsidP="00623CE1">
      <w:pPr>
        <w:pStyle w:val="af2"/>
        <w:spacing w:after="80"/>
        <w:ind w:left="792"/>
        <w:rPr>
          <w:sz w:val="16"/>
        </w:rPr>
      </w:pPr>
      <w:r w:rsidRPr="00623CE1">
        <w:rPr>
          <w:sz w:val="16"/>
        </w:rPr>
        <w:t>__________________</w:t>
      </w:r>
    </w:p>
  </w:footnote>
  <w:footnote w:id="1">
    <w:p w14:paraId="3E3274BD" w14:textId="3286B293" w:rsidR="00466E2B" w:rsidRDefault="00466E2B" w:rsidP="00623CE1">
      <w:pPr>
        <w:pStyle w:val="a5"/>
        <w:tabs>
          <w:tab w:val="clear" w:pos="418"/>
          <w:tab w:val="right" w:pos="1195"/>
          <w:tab w:val="left" w:pos="1264"/>
          <w:tab w:val="left" w:pos="1695"/>
          <w:tab w:val="left" w:pos="2126"/>
          <w:tab w:val="left" w:pos="2557"/>
        </w:tabs>
        <w:ind w:left="1264" w:right="1264" w:hanging="432"/>
      </w:pPr>
      <w:r>
        <w:tab/>
      </w:r>
      <w:r>
        <w:rPr>
          <w:rStyle w:val="a3"/>
        </w:rPr>
        <w:footnoteRef/>
      </w:r>
      <w:r>
        <w:tab/>
      </w:r>
      <w:r w:rsidRPr="00623CE1">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466E2B" w14:paraId="4BFE81F0" w14:textId="77777777" w:rsidTr="00BD4B10">
      <w:trPr>
        <w:trHeight w:hRule="exact" w:val="864"/>
      </w:trPr>
      <w:tc>
        <w:tcPr>
          <w:tcW w:w="4925" w:type="dxa"/>
          <w:shd w:val="clear" w:color="auto" w:fill="auto"/>
          <w:vAlign w:val="bottom"/>
        </w:tcPr>
        <w:p w14:paraId="616DD140" w14:textId="7018B5B6" w:rsidR="00466E2B" w:rsidRPr="00BD4B10" w:rsidRDefault="00466E2B" w:rsidP="00BD4B10">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76E50">
            <w:rPr>
              <w:b/>
              <w:sz w:val="17"/>
            </w:rPr>
            <w:t>CEDAW/C/ZWE/CO/6</w:t>
          </w:r>
          <w:r>
            <w:rPr>
              <w:b/>
              <w:sz w:val="17"/>
            </w:rPr>
            <w:fldChar w:fldCharType="end"/>
          </w:r>
        </w:p>
      </w:tc>
      <w:tc>
        <w:tcPr>
          <w:tcW w:w="4920" w:type="dxa"/>
          <w:shd w:val="clear" w:color="auto" w:fill="auto"/>
          <w:vAlign w:val="bottom"/>
        </w:tcPr>
        <w:p w14:paraId="4D017551" w14:textId="77777777" w:rsidR="00466E2B" w:rsidRDefault="00466E2B" w:rsidP="00BD4B10">
          <w:pPr>
            <w:pStyle w:val="af0"/>
          </w:pPr>
        </w:p>
      </w:tc>
    </w:tr>
  </w:tbl>
  <w:p w14:paraId="7DCBA209" w14:textId="77777777" w:rsidR="00466E2B" w:rsidRPr="00BD4B10" w:rsidRDefault="00466E2B" w:rsidP="00BD4B10">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466E2B" w14:paraId="6B086C27" w14:textId="77777777" w:rsidTr="00BD4B10">
      <w:trPr>
        <w:trHeight w:hRule="exact" w:val="864"/>
      </w:trPr>
      <w:tc>
        <w:tcPr>
          <w:tcW w:w="4925" w:type="dxa"/>
          <w:shd w:val="clear" w:color="auto" w:fill="auto"/>
          <w:vAlign w:val="bottom"/>
        </w:tcPr>
        <w:p w14:paraId="08722D04" w14:textId="77777777" w:rsidR="00466E2B" w:rsidRDefault="00466E2B" w:rsidP="00BD4B10">
          <w:pPr>
            <w:pStyle w:val="af0"/>
          </w:pPr>
        </w:p>
      </w:tc>
      <w:tc>
        <w:tcPr>
          <w:tcW w:w="4920" w:type="dxa"/>
          <w:shd w:val="clear" w:color="auto" w:fill="auto"/>
          <w:vAlign w:val="bottom"/>
        </w:tcPr>
        <w:p w14:paraId="1F35B90A" w14:textId="3B6871AD" w:rsidR="00466E2B" w:rsidRPr="00BD4B10" w:rsidRDefault="00466E2B" w:rsidP="00BD4B10">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76E50">
            <w:rPr>
              <w:b/>
              <w:sz w:val="17"/>
            </w:rPr>
            <w:t>CEDAW/C/ZWE/CO/6</w:t>
          </w:r>
          <w:r>
            <w:rPr>
              <w:b/>
              <w:sz w:val="17"/>
            </w:rPr>
            <w:fldChar w:fldCharType="end"/>
          </w:r>
        </w:p>
      </w:tc>
    </w:tr>
  </w:tbl>
  <w:p w14:paraId="3D2A04DC" w14:textId="77777777" w:rsidR="00466E2B" w:rsidRPr="00BD4B10" w:rsidRDefault="00466E2B" w:rsidP="00BD4B10">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466E2B" w14:paraId="36C07B27" w14:textId="77777777" w:rsidTr="00BD4B10">
      <w:trPr>
        <w:trHeight w:hRule="exact" w:val="864"/>
      </w:trPr>
      <w:tc>
        <w:tcPr>
          <w:tcW w:w="1267" w:type="dxa"/>
          <w:tcBorders>
            <w:bottom w:val="single" w:sz="4" w:space="0" w:color="auto"/>
          </w:tcBorders>
          <w:shd w:val="clear" w:color="auto" w:fill="auto"/>
          <w:vAlign w:val="bottom"/>
        </w:tcPr>
        <w:p w14:paraId="734FAFFD" w14:textId="77777777" w:rsidR="00466E2B" w:rsidRDefault="00466E2B" w:rsidP="00BD4B10">
          <w:pPr>
            <w:pStyle w:val="af0"/>
            <w:spacing w:after="120"/>
          </w:pPr>
        </w:p>
      </w:tc>
      <w:tc>
        <w:tcPr>
          <w:tcW w:w="1872" w:type="dxa"/>
          <w:tcBorders>
            <w:bottom w:val="single" w:sz="4" w:space="0" w:color="auto"/>
          </w:tcBorders>
          <w:shd w:val="clear" w:color="auto" w:fill="auto"/>
          <w:vAlign w:val="bottom"/>
        </w:tcPr>
        <w:p w14:paraId="531F7B9D" w14:textId="77777777" w:rsidR="00466E2B" w:rsidRPr="00BD4B10" w:rsidRDefault="00466E2B" w:rsidP="00BD4B10">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9D615DE" w14:textId="77777777" w:rsidR="00466E2B" w:rsidRDefault="00466E2B" w:rsidP="00BD4B10">
          <w:pPr>
            <w:pStyle w:val="af0"/>
            <w:spacing w:after="120"/>
          </w:pPr>
        </w:p>
      </w:tc>
      <w:tc>
        <w:tcPr>
          <w:tcW w:w="6437" w:type="dxa"/>
          <w:gridSpan w:val="3"/>
          <w:tcBorders>
            <w:bottom w:val="single" w:sz="4" w:space="0" w:color="auto"/>
          </w:tcBorders>
          <w:shd w:val="clear" w:color="auto" w:fill="auto"/>
          <w:vAlign w:val="bottom"/>
        </w:tcPr>
        <w:p w14:paraId="2511CBB4" w14:textId="77777777" w:rsidR="00466E2B" w:rsidRPr="00BD4B10" w:rsidRDefault="00466E2B" w:rsidP="00BD4B10">
          <w:pPr>
            <w:spacing w:after="80" w:line="240" w:lineRule="auto"/>
            <w:jc w:val="right"/>
            <w:rPr>
              <w:position w:val="-4"/>
            </w:rPr>
          </w:pPr>
          <w:r>
            <w:rPr>
              <w:position w:val="-4"/>
              <w:sz w:val="40"/>
            </w:rPr>
            <w:t>CEDAW</w:t>
          </w:r>
          <w:r>
            <w:rPr>
              <w:position w:val="-4"/>
            </w:rPr>
            <w:t>/C/ZWE/CO/6</w:t>
          </w:r>
        </w:p>
      </w:tc>
    </w:tr>
    <w:tr w:rsidR="00466E2B" w:rsidRPr="00BD4B10" w14:paraId="344FC10F" w14:textId="77777777" w:rsidTr="00BD4B10">
      <w:trPr>
        <w:trHeight w:hRule="exact" w:val="2880"/>
      </w:trPr>
      <w:tc>
        <w:tcPr>
          <w:tcW w:w="1267" w:type="dxa"/>
          <w:tcBorders>
            <w:top w:val="single" w:sz="4" w:space="0" w:color="auto"/>
            <w:bottom w:val="single" w:sz="12" w:space="0" w:color="auto"/>
          </w:tcBorders>
          <w:shd w:val="clear" w:color="auto" w:fill="auto"/>
        </w:tcPr>
        <w:p w14:paraId="11415AF1" w14:textId="77777777" w:rsidR="00466E2B" w:rsidRPr="00BD4B10" w:rsidRDefault="00466E2B" w:rsidP="00BD4B10">
          <w:pPr>
            <w:pStyle w:val="af0"/>
            <w:spacing w:before="109"/>
            <w:ind w:left="-72"/>
          </w:pPr>
          <w:r>
            <w:t xml:space="preserve"> </w:t>
          </w:r>
          <w:r>
            <w:drawing>
              <wp:inline distT="0" distB="0" distL="0" distR="0" wp14:anchorId="15F28108" wp14:editId="134CC987">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34A85E0" w14:textId="77777777" w:rsidR="00466E2B" w:rsidRPr="00BD4B10" w:rsidRDefault="00466E2B" w:rsidP="00BD4B10">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2CFEB04D" w14:textId="77777777" w:rsidR="00466E2B" w:rsidRPr="00BD4B10" w:rsidRDefault="00466E2B" w:rsidP="00BD4B10">
          <w:pPr>
            <w:pStyle w:val="af0"/>
            <w:spacing w:before="109"/>
          </w:pPr>
        </w:p>
      </w:tc>
      <w:tc>
        <w:tcPr>
          <w:tcW w:w="3080" w:type="dxa"/>
          <w:tcBorders>
            <w:top w:val="single" w:sz="4" w:space="0" w:color="auto"/>
            <w:bottom w:val="single" w:sz="12" w:space="0" w:color="auto"/>
          </w:tcBorders>
          <w:shd w:val="clear" w:color="auto" w:fill="auto"/>
        </w:tcPr>
        <w:p w14:paraId="41BE5037" w14:textId="77777777" w:rsidR="00466E2B" w:rsidRDefault="00466E2B" w:rsidP="00BD4B10">
          <w:pPr>
            <w:pStyle w:val="Distr"/>
          </w:pPr>
          <w:r>
            <w:t>Distr.: General</w:t>
          </w:r>
        </w:p>
        <w:p w14:paraId="3D182A71" w14:textId="77777777" w:rsidR="00466E2B" w:rsidRDefault="00466E2B" w:rsidP="00BD4B10">
          <w:pPr>
            <w:pStyle w:val="Publication"/>
          </w:pPr>
          <w:r>
            <w:t>10 March 2020</w:t>
          </w:r>
        </w:p>
        <w:p w14:paraId="6321106F" w14:textId="77777777" w:rsidR="00466E2B" w:rsidRDefault="00466E2B" w:rsidP="00BD4B10">
          <w:pPr>
            <w:spacing w:line="240" w:lineRule="exact"/>
          </w:pPr>
          <w:r>
            <w:t>Chinese</w:t>
          </w:r>
        </w:p>
        <w:p w14:paraId="068054EF" w14:textId="77777777" w:rsidR="00466E2B" w:rsidRDefault="00466E2B" w:rsidP="00BD4B10">
          <w:pPr>
            <w:pStyle w:val="Original"/>
          </w:pPr>
          <w:r>
            <w:t>Original: English</w:t>
          </w:r>
        </w:p>
        <w:p w14:paraId="044709CD" w14:textId="77777777" w:rsidR="00466E2B" w:rsidRPr="00BD4B10" w:rsidRDefault="00466E2B" w:rsidP="00BD4B10"/>
      </w:tc>
    </w:tr>
  </w:tbl>
  <w:p w14:paraId="72AE3024" w14:textId="77777777" w:rsidR="00466E2B" w:rsidRPr="00BD4B10" w:rsidRDefault="00466E2B" w:rsidP="00BD4B10">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4*"/>
    <w:docVar w:name="CreationDt" w:val="20/03/2020 14:07:44"/>
    <w:docVar w:name="DocCategory" w:val="Doc"/>
    <w:docVar w:name="DocType" w:val="Final"/>
    <w:docVar w:name="DutyStation" w:val="New York"/>
    <w:docVar w:name="FooterJN" w:val="20-03724"/>
    <w:docVar w:name="jobn" w:val="20-03724 (C)"/>
    <w:docVar w:name="jobnDT" w:val="20-03724 (C)   200320"/>
    <w:docVar w:name="jobnDTDT" w:val="20-03724 (C)   200320   200320"/>
    <w:docVar w:name="JobNo" w:val="2003724C"/>
    <w:docVar w:name="LocalDrive" w:val="-1"/>
    <w:docVar w:name="OandT" w:val="th"/>
    <w:docVar w:name="sss1" w:val="CEDAW/C/ZWE/CO/6"/>
    <w:docVar w:name="sss2" w:val="-"/>
    <w:docVar w:name="Symbol1" w:val="CEDAW/C/ZWE/CO/6"/>
    <w:docVar w:name="Symbol2" w:val="-"/>
  </w:docVars>
  <w:rsids>
    <w:rsidRoot w:val="00FB212C"/>
    <w:rsid w:val="00000689"/>
    <w:rsid w:val="0000347C"/>
    <w:rsid w:val="0000715A"/>
    <w:rsid w:val="000074E0"/>
    <w:rsid w:val="000101C8"/>
    <w:rsid w:val="0001169E"/>
    <w:rsid w:val="000125BC"/>
    <w:rsid w:val="00012C27"/>
    <w:rsid w:val="00013CD2"/>
    <w:rsid w:val="00015A02"/>
    <w:rsid w:val="0001645E"/>
    <w:rsid w:val="0001726F"/>
    <w:rsid w:val="00021314"/>
    <w:rsid w:val="00021A2B"/>
    <w:rsid w:val="00023B51"/>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138"/>
    <w:rsid w:val="000A2189"/>
    <w:rsid w:val="000A31F9"/>
    <w:rsid w:val="000B04CB"/>
    <w:rsid w:val="000C0B81"/>
    <w:rsid w:val="000C1786"/>
    <w:rsid w:val="000C4C08"/>
    <w:rsid w:val="000C4DDE"/>
    <w:rsid w:val="000C5208"/>
    <w:rsid w:val="000D1910"/>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3623"/>
    <w:rsid w:val="00114578"/>
    <w:rsid w:val="00114C03"/>
    <w:rsid w:val="00114F57"/>
    <w:rsid w:val="001212F9"/>
    <w:rsid w:val="00121328"/>
    <w:rsid w:val="001241FE"/>
    <w:rsid w:val="00124677"/>
    <w:rsid w:val="00125D3C"/>
    <w:rsid w:val="001267BE"/>
    <w:rsid w:val="0012708E"/>
    <w:rsid w:val="001306F1"/>
    <w:rsid w:val="001306FE"/>
    <w:rsid w:val="00130EE5"/>
    <w:rsid w:val="00131015"/>
    <w:rsid w:val="001329F7"/>
    <w:rsid w:val="00136BD1"/>
    <w:rsid w:val="00140396"/>
    <w:rsid w:val="0014121B"/>
    <w:rsid w:val="00141322"/>
    <w:rsid w:val="0015066B"/>
    <w:rsid w:val="00150D3A"/>
    <w:rsid w:val="00152678"/>
    <w:rsid w:val="00153D29"/>
    <w:rsid w:val="0015414C"/>
    <w:rsid w:val="0015430B"/>
    <w:rsid w:val="00155FC2"/>
    <w:rsid w:val="0015731C"/>
    <w:rsid w:val="001602C9"/>
    <w:rsid w:val="00161E69"/>
    <w:rsid w:val="00161F54"/>
    <w:rsid w:val="00164626"/>
    <w:rsid w:val="0017009B"/>
    <w:rsid w:val="001704A3"/>
    <w:rsid w:val="00170FBE"/>
    <w:rsid w:val="00170FC4"/>
    <w:rsid w:val="001720CC"/>
    <w:rsid w:val="00173F4B"/>
    <w:rsid w:val="00174233"/>
    <w:rsid w:val="001746A8"/>
    <w:rsid w:val="0017506F"/>
    <w:rsid w:val="001845DB"/>
    <w:rsid w:val="001873A2"/>
    <w:rsid w:val="001877C8"/>
    <w:rsid w:val="001944A4"/>
    <w:rsid w:val="00195385"/>
    <w:rsid w:val="001A4A37"/>
    <w:rsid w:val="001B0124"/>
    <w:rsid w:val="001B0DFD"/>
    <w:rsid w:val="001B2814"/>
    <w:rsid w:val="001B4F95"/>
    <w:rsid w:val="001B79D0"/>
    <w:rsid w:val="001C0102"/>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343E"/>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88E"/>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A0B"/>
    <w:rsid w:val="00255FC4"/>
    <w:rsid w:val="002562F6"/>
    <w:rsid w:val="00257053"/>
    <w:rsid w:val="00260C62"/>
    <w:rsid w:val="00263B7B"/>
    <w:rsid w:val="00266257"/>
    <w:rsid w:val="00270D00"/>
    <w:rsid w:val="00271BA5"/>
    <w:rsid w:val="00271BE6"/>
    <w:rsid w:val="00273391"/>
    <w:rsid w:val="0027454D"/>
    <w:rsid w:val="0027574F"/>
    <w:rsid w:val="00276E50"/>
    <w:rsid w:val="00277AAE"/>
    <w:rsid w:val="00280671"/>
    <w:rsid w:val="002807DF"/>
    <w:rsid w:val="002814F9"/>
    <w:rsid w:val="00281A61"/>
    <w:rsid w:val="00281E2B"/>
    <w:rsid w:val="00282D17"/>
    <w:rsid w:val="00283CA7"/>
    <w:rsid w:val="00285DE9"/>
    <w:rsid w:val="00286AD1"/>
    <w:rsid w:val="00287160"/>
    <w:rsid w:val="002871EB"/>
    <w:rsid w:val="00290382"/>
    <w:rsid w:val="0029111A"/>
    <w:rsid w:val="00293025"/>
    <w:rsid w:val="00293D54"/>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1617F"/>
    <w:rsid w:val="00320C99"/>
    <w:rsid w:val="003274A9"/>
    <w:rsid w:val="00327D8B"/>
    <w:rsid w:val="003305F1"/>
    <w:rsid w:val="00331221"/>
    <w:rsid w:val="003349FB"/>
    <w:rsid w:val="003379D1"/>
    <w:rsid w:val="00346223"/>
    <w:rsid w:val="00346AB5"/>
    <w:rsid w:val="00346C74"/>
    <w:rsid w:val="00350AE6"/>
    <w:rsid w:val="00355510"/>
    <w:rsid w:val="00357AB4"/>
    <w:rsid w:val="0036117F"/>
    <w:rsid w:val="00363610"/>
    <w:rsid w:val="00363CC2"/>
    <w:rsid w:val="003649EE"/>
    <w:rsid w:val="003662FF"/>
    <w:rsid w:val="00371BC6"/>
    <w:rsid w:val="00373A15"/>
    <w:rsid w:val="00376C04"/>
    <w:rsid w:val="00381AB0"/>
    <w:rsid w:val="00382EF6"/>
    <w:rsid w:val="00383ACA"/>
    <w:rsid w:val="00384CB1"/>
    <w:rsid w:val="003869FA"/>
    <w:rsid w:val="00390B02"/>
    <w:rsid w:val="00394A02"/>
    <w:rsid w:val="003966E8"/>
    <w:rsid w:val="00397F6A"/>
    <w:rsid w:val="003A1C26"/>
    <w:rsid w:val="003A2BC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2341"/>
    <w:rsid w:val="004044EF"/>
    <w:rsid w:val="00405CAD"/>
    <w:rsid w:val="00413FBC"/>
    <w:rsid w:val="00414423"/>
    <w:rsid w:val="0041733F"/>
    <w:rsid w:val="00420761"/>
    <w:rsid w:val="00426FD4"/>
    <w:rsid w:val="004310A7"/>
    <w:rsid w:val="004320FA"/>
    <w:rsid w:val="0043377F"/>
    <w:rsid w:val="00433853"/>
    <w:rsid w:val="00440B0D"/>
    <w:rsid w:val="00440D73"/>
    <w:rsid w:val="004411AD"/>
    <w:rsid w:val="004424EF"/>
    <w:rsid w:val="00443516"/>
    <w:rsid w:val="0045053B"/>
    <w:rsid w:val="00453BB0"/>
    <w:rsid w:val="00460162"/>
    <w:rsid w:val="004620A8"/>
    <w:rsid w:val="00463C4F"/>
    <w:rsid w:val="0046458E"/>
    <w:rsid w:val="0046667D"/>
    <w:rsid w:val="00466BB5"/>
    <w:rsid w:val="00466E2B"/>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C6B22"/>
    <w:rsid w:val="004D07E1"/>
    <w:rsid w:val="004D1C19"/>
    <w:rsid w:val="004D44B4"/>
    <w:rsid w:val="004D4603"/>
    <w:rsid w:val="004D60D1"/>
    <w:rsid w:val="004E4081"/>
    <w:rsid w:val="004E641B"/>
    <w:rsid w:val="004E739A"/>
    <w:rsid w:val="004F29B8"/>
    <w:rsid w:val="004F3649"/>
    <w:rsid w:val="004F42D7"/>
    <w:rsid w:val="004F4BBB"/>
    <w:rsid w:val="004F4EFB"/>
    <w:rsid w:val="004F5333"/>
    <w:rsid w:val="004F5E26"/>
    <w:rsid w:val="0050413E"/>
    <w:rsid w:val="00507EE8"/>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57C9F"/>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23CE1"/>
    <w:rsid w:val="00632644"/>
    <w:rsid w:val="006328DE"/>
    <w:rsid w:val="006353DE"/>
    <w:rsid w:val="00640671"/>
    <w:rsid w:val="006432CB"/>
    <w:rsid w:val="00646B55"/>
    <w:rsid w:val="006479F1"/>
    <w:rsid w:val="00647A37"/>
    <w:rsid w:val="0065055D"/>
    <w:rsid w:val="00650BEE"/>
    <w:rsid w:val="00651B0B"/>
    <w:rsid w:val="006520FA"/>
    <w:rsid w:val="0065339D"/>
    <w:rsid w:val="0065377D"/>
    <w:rsid w:val="00653969"/>
    <w:rsid w:val="00656340"/>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1779"/>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21C5"/>
    <w:rsid w:val="00715C4B"/>
    <w:rsid w:val="00721BC6"/>
    <w:rsid w:val="00722965"/>
    <w:rsid w:val="00723AAA"/>
    <w:rsid w:val="00724400"/>
    <w:rsid w:val="007319E0"/>
    <w:rsid w:val="00731FBF"/>
    <w:rsid w:val="007328A2"/>
    <w:rsid w:val="00732A10"/>
    <w:rsid w:val="007345AA"/>
    <w:rsid w:val="00735C21"/>
    <w:rsid w:val="00737B00"/>
    <w:rsid w:val="00741472"/>
    <w:rsid w:val="007419FD"/>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1F16"/>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5E81"/>
    <w:rsid w:val="00846462"/>
    <w:rsid w:val="00847383"/>
    <w:rsid w:val="00854560"/>
    <w:rsid w:val="00860742"/>
    <w:rsid w:val="00862B69"/>
    <w:rsid w:val="00862B6B"/>
    <w:rsid w:val="00863767"/>
    <w:rsid w:val="00863910"/>
    <w:rsid w:val="0086691F"/>
    <w:rsid w:val="00867929"/>
    <w:rsid w:val="008722B1"/>
    <w:rsid w:val="00872730"/>
    <w:rsid w:val="00877849"/>
    <w:rsid w:val="00883DB0"/>
    <w:rsid w:val="008843BC"/>
    <w:rsid w:val="00884C8F"/>
    <w:rsid w:val="00891B12"/>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C5F4E"/>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01D2"/>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00D6"/>
    <w:rsid w:val="00941874"/>
    <w:rsid w:val="0094294B"/>
    <w:rsid w:val="00945CD6"/>
    <w:rsid w:val="00946C87"/>
    <w:rsid w:val="0095023C"/>
    <w:rsid w:val="0095295A"/>
    <w:rsid w:val="00953DFC"/>
    <w:rsid w:val="00955F8C"/>
    <w:rsid w:val="00957134"/>
    <w:rsid w:val="00960FAF"/>
    <w:rsid w:val="0096193C"/>
    <w:rsid w:val="00972849"/>
    <w:rsid w:val="00974D7C"/>
    <w:rsid w:val="00975731"/>
    <w:rsid w:val="009769E1"/>
    <w:rsid w:val="00977E0D"/>
    <w:rsid w:val="0098143C"/>
    <w:rsid w:val="00982D5C"/>
    <w:rsid w:val="00986132"/>
    <w:rsid w:val="00986C04"/>
    <w:rsid w:val="009932F9"/>
    <w:rsid w:val="00997BD4"/>
    <w:rsid w:val="009A02E7"/>
    <w:rsid w:val="009A11E3"/>
    <w:rsid w:val="009A2F76"/>
    <w:rsid w:val="009A7BA6"/>
    <w:rsid w:val="009B0F1B"/>
    <w:rsid w:val="009B1250"/>
    <w:rsid w:val="009B378F"/>
    <w:rsid w:val="009B6787"/>
    <w:rsid w:val="009B6D7A"/>
    <w:rsid w:val="009C32BB"/>
    <w:rsid w:val="009C600E"/>
    <w:rsid w:val="009C7B18"/>
    <w:rsid w:val="009D00AA"/>
    <w:rsid w:val="009D0B10"/>
    <w:rsid w:val="009D1072"/>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487"/>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4E2B"/>
    <w:rsid w:val="00A652D9"/>
    <w:rsid w:val="00A662C1"/>
    <w:rsid w:val="00A67E9B"/>
    <w:rsid w:val="00A72E47"/>
    <w:rsid w:val="00A74DBA"/>
    <w:rsid w:val="00A750A5"/>
    <w:rsid w:val="00A778F1"/>
    <w:rsid w:val="00A800EC"/>
    <w:rsid w:val="00A80C53"/>
    <w:rsid w:val="00A90956"/>
    <w:rsid w:val="00A95404"/>
    <w:rsid w:val="00A954C6"/>
    <w:rsid w:val="00A968C5"/>
    <w:rsid w:val="00A96FFB"/>
    <w:rsid w:val="00AA1A81"/>
    <w:rsid w:val="00AA1A91"/>
    <w:rsid w:val="00AA3C28"/>
    <w:rsid w:val="00AA65E5"/>
    <w:rsid w:val="00AA680E"/>
    <w:rsid w:val="00AA759D"/>
    <w:rsid w:val="00AB1592"/>
    <w:rsid w:val="00AB2786"/>
    <w:rsid w:val="00AB5BEE"/>
    <w:rsid w:val="00AB6C15"/>
    <w:rsid w:val="00AC2EAA"/>
    <w:rsid w:val="00AC373F"/>
    <w:rsid w:val="00AC550F"/>
    <w:rsid w:val="00AD4308"/>
    <w:rsid w:val="00AD6611"/>
    <w:rsid w:val="00AD751C"/>
    <w:rsid w:val="00AE259E"/>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1B31"/>
    <w:rsid w:val="00BA1ECB"/>
    <w:rsid w:val="00BA51C0"/>
    <w:rsid w:val="00BA64A9"/>
    <w:rsid w:val="00BA7C36"/>
    <w:rsid w:val="00BB23A4"/>
    <w:rsid w:val="00BB6332"/>
    <w:rsid w:val="00BC0F5C"/>
    <w:rsid w:val="00BC2276"/>
    <w:rsid w:val="00BD1B08"/>
    <w:rsid w:val="00BD1BFF"/>
    <w:rsid w:val="00BD2150"/>
    <w:rsid w:val="00BD4B10"/>
    <w:rsid w:val="00BD6F0D"/>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3380"/>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3ED9"/>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4FB"/>
    <w:rsid w:val="00CA7E8C"/>
    <w:rsid w:val="00CB298A"/>
    <w:rsid w:val="00CB2ADB"/>
    <w:rsid w:val="00CB2B1E"/>
    <w:rsid w:val="00CC053E"/>
    <w:rsid w:val="00CC05C5"/>
    <w:rsid w:val="00CC1E2C"/>
    <w:rsid w:val="00CC213B"/>
    <w:rsid w:val="00CC3E8B"/>
    <w:rsid w:val="00CC462E"/>
    <w:rsid w:val="00CC4E84"/>
    <w:rsid w:val="00CC6182"/>
    <w:rsid w:val="00CC6304"/>
    <w:rsid w:val="00CD225F"/>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40B3"/>
    <w:rsid w:val="00D16A8B"/>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32DA"/>
    <w:rsid w:val="00D754A6"/>
    <w:rsid w:val="00D76541"/>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16A"/>
    <w:rsid w:val="00DE6911"/>
    <w:rsid w:val="00DF0456"/>
    <w:rsid w:val="00DF2A07"/>
    <w:rsid w:val="00DF5B53"/>
    <w:rsid w:val="00DF6385"/>
    <w:rsid w:val="00DF742A"/>
    <w:rsid w:val="00E01273"/>
    <w:rsid w:val="00E0170E"/>
    <w:rsid w:val="00E030F5"/>
    <w:rsid w:val="00E041F4"/>
    <w:rsid w:val="00E050BA"/>
    <w:rsid w:val="00E06CBE"/>
    <w:rsid w:val="00E076AC"/>
    <w:rsid w:val="00E16655"/>
    <w:rsid w:val="00E16A6B"/>
    <w:rsid w:val="00E21275"/>
    <w:rsid w:val="00E22001"/>
    <w:rsid w:val="00E25442"/>
    <w:rsid w:val="00E25A1F"/>
    <w:rsid w:val="00E25D27"/>
    <w:rsid w:val="00E26987"/>
    <w:rsid w:val="00E301F1"/>
    <w:rsid w:val="00E3288B"/>
    <w:rsid w:val="00E34E6A"/>
    <w:rsid w:val="00E35B72"/>
    <w:rsid w:val="00E37B54"/>
    <w:rsid w:val="00E37EEB"/>
    <w:rsid w:val="00E43604"/>
    <w:rsid w:val="00E440B3"/>
    <w:rsid w:val="00E5153D"/>
    <w:rsid w:val="00E56134"/>
    <w:rsid w:val="00E56B5D"/>
    <w:rsid w:val="00E61C81"/>
    <w:rsid w:val="00E62331"/>
    <w:rsid w:val="00E62801"/>
    <w:rsid w:val="00E63A20"/>
    <w:rsid w:val="00E65CAC"/>
    <w:rsid w:val="00E661E8"/>
    <w:rsid w:val="00E66265"/>
    <w:rsid w:val="00E710FB"/>
    <w:rsid w:val="00E730F1"/>
    <w:rsid w:val="00E73CC9"/>
    <w:rsid w:val="00E75847"/>
    <w:rsid w:val="00E75B70"/>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0308"/>
    <w:rsid w:val="00EC25DE"/>
    <w:rsid w:val="00EC669D"/>
    <w:rsid w:val="00EC6F21"/>
    <w:rsid w:val="00EC7887"/>
    <w:rsid w:val="00ED2708"/>
    <w:rsid w:val="00ED27D0"/>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4C39"/>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919"/>
    <w:rsid w:val="00F77B3E"/>
    <w:rsid w:val="00F833CB"/>
    <w:rsid w:val="00F87754"/>
    <w:rsid w:val="00F90A4B"/>
    <w:rsid w:val="00F90C56"/>
    <w:rsid w:val="00F94B3C"/>
    <w:rsid w:val="00F94EAF"/>
    <w:rsid w:val="00F96F4A"/>
    <w:rsid w:val="00F971BD"/>
    <w:rsid w:val="00FA7A95"/>
    <w:rsid w:val="00FB089D"/>
    <w:rsid w:val="00FB212C"/>
    <w:rsid w:val="00FB282B"/>
    <w:rsid w:val="00FB2C57"/>
    <w:rsid w:val="00FB3F3D"/>
    <w:rsid w:val="00FB4F96"/>
    <w:rsid w:val="00FB50DB"/>
    <w:rsid w:val="00FB7036"/>
    <w:rsid w:val="00FC0721"/>
    <w:rsid w:val="00FC1CE4"/>
    <w:rsid w:val="00FC6533"/>
    <w:rsid w:val="00FD4C0F"/>
    <w:rsid w:val="00FD594E"/>
    <w:rsid w:val="00FD7503"/>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A463D0E"/>
  <w15:chartTrackingRefBased/>
  <w15:docId w15:val="{3CB66C96-3E9E-4171-81B0-CF6C4A392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uiPriority w:val="99"/>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uiPriority w:val="99"/>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uiPriority w:val="99"/>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uiPriority w:val="99"/>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SingleTxt"/>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E26987"/>
    <w:rPr>
      <w:color w:val="605E5C"/>
      <w:shd w:val="clear" w:color="auto" w:fill="E1DFDD"/>
    </w:rPr>
  </w:style>
  <w:style w:type="paragraph" w:styleId="af8">
    <w:name w:val="Revision"/>
    <w:hidden/>
    <w:uiPriority w:val="99"/>
    <w:semiHidden/>
    <w:rsid w:val="0046667D"/>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754" TargetMode="External"/><Relationship Id="rId26" Type="http://schemas.openxmlformats.org/officeDocument/2006/relationships/hyperlink" Target="https://undocs.org/ch/S/RES/1820(2008)"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ch/CEDAW/C/ZWE/RQ/6" TargetMode="External"/><Relationship Id="rId34" Type="http://schemas.openxmlformats.org/officeDocument/2006/relationships/hyperlink" Target="https://undocs.org/ch/S/RES/2493(2019)"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753" TargetMode="External"/><Relationship Id="rId25" Type="http://schemas.openxmlformats.org/officeDocument/2006/relationships/hyperlink" Target="https://undocs.org/ch/S/RES/1325(2000)" TargetMode="External"/><Relationship Id="rId33" Type="http://schemas.openxmlformats.org/officeDocument/2006/relationships/hyperlink" Target="https://undocs.org/ch/S/RES/2467(2019)" TargetMode="External"/><Relationship Id="rId38"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ZWE/Q/6" TargetMode="External"/><Relationship Id="rId29" Type="http://schemas.openxmlformats.org/officeDocument/2006/relationships/hyperlink" Target="https://undocs.org/ch/S/RES/1960(20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ZWE/CO/2-5" TargetMode="External"/><Relationship Id="rId32" Type="http://schemas.openxmlformats.org/officeDocument/2006/relationships/hyperlink" Target="https://undocs.org/ch/S/RES/2242(2015)" TargetMode="External"/><Relationship Id="rId37" Type="http://schemas.openxmlformats.org/officeDocument/2006/relationships/hyperlink" Target="https://undocs.org/ch/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A/65/38" TargetMode="External"/><Relationship Id="rId28" Type="http://schemas.openxmlformats.org/officeDocument/2006/relationships/hyperlink" Target="https://undocs.org/ch/S/RES/1889(2009)" TargetMode="External"/><Relationship Id="rId36" Type="http://schemas.openxmlformats.org/officeDocument/2006/relationships/hyperlink" Target="https://undocs.org/ch/CEDAW/C/ZWE/CO/2-5" TargetMode="External"/><Relationship Id="rId10" Type="http://schemas.openxmlformats.org/officeDocument/2006/relationships/footer" Target="footer1.xml"/><Relationship Id="rId19" Type="http://schemas.openxmlformats.org/officeDocument/2006/relationships/hyperlink" Target="https://undocs.org/ch/CEDAW/C/ZWE/6" TargetMode="External"/><Relationship Id="rId31" Type="http://schemas.openxmlformats.org/officeDocument/2006/relationships/hyperlink" Target="https://undocs.org/ch/S/RES/2122(201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ZWE/CO/2-5/Add.1" TargetMode="External"/><Relationship Id="rId27" Type="http://schemas.openxmlformats.org/officeDocument/2006/relationships/hyperlink" Target="https://undocs.org/ch/S/RES/1888(2009)" TargetMode="External"/><Relationship Id="rId30" Type="http://schemas.openxmlformats.org/officeDocument/2006/relationships/hyperlink" Target="https://undocs.org/ch/S/RES/2106(2013)" TargetMode="External"/><Relationship Id="rId35" Type="http://schemas.openxmlformats.org/officeDocument/2006/relationships/hyperlink" Target="https://undocs.org/ch/CEDAW/C/ZWE/CO/2-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F56D4A-CCAE-4648-BDBC-104FA15AD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1993</Words>
  <Characters>11365</Characters>
  <Application>Microsoft Office Word</Application>
  <DocSecurity>0</DocSecurity>
  <Lines>94</Lines>
  <Paragraphs>26</Paragraphs>
  <ScaleCrop>false</ScaleCrop>
  <Company/>
  <LinksUpToDate>false</LinksUpToDate>
  <CharactersWithSpaces>13332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Heng Tan</dc:creator>
  <cp:keywords/>
  <dc:description/>
  <cp:lastModifiedBy>Chinese Text Processing</cp:lastModifiedBy>
  <cp:revision>3</cp:revision>
  <cp:lastPrinted>2020-04-06T15:54:00Z</cp:lastPrinted>
  <dcterms:created xsi:type="dcterms:W3CDTF">2020-04-06T15:54:00Z</dcterms:created>
  <dcterms:modified xsi:type="dcterms:W3CDTF">2020-04-06T15:54:00Z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2003724</vt:lpwstr>
  </property>
  <property fmtid="{D5CDD505-2E9C-101B-9397-08002B2CF9AE}" pid="3" name="ODSRefJobNo">
    <vt:lpwstr>2006183C</vt:lpwstr>
  </property>
  <property fmtid="{D5CDD505-2E9C-101B-9397-08002B2CF9AE}" pid="4" name="Symbol1">
    <vt:lpwstr>CEDAW/C/ZWE/CO/6</vt:lpwstr>
  </property>
  <property fmtid="{D5CDD505-2E9C-101B-9397-08002B2CF9AE}" pid="5" name="Symbol2">
    <vt:lpwstr/>
  </property>
  <property fmtid="{D5CDD505-2E9C-101B-9397-08002B2CF9AE}" pid="6" name="Translator">
    <vt:lpwstr/>
  </property>
  <property fmtid="{D5CDD505-2E9C-101B-9397-08002B2CF9AE}" pid="7" name="Operator">
    <vt:lpwstr>th</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10 March 2020</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关于津巴布韦第六次定期报告的结论性意见*_x000d_</vt:lpwstr>
  </property>
</Properties>
</file>