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DE7" w:rsidRPr="00A6336F" w:rsidRDefault="00194DE7" w:rsidP="00194DE7">
      <w:pPr>
        <w:spacing w:line="240" w:lineRule="auto"/>
        <w:rPr>
          <w:sz w:val="6"/>
        </w:rPr>
        <w:sectPr w:rsidR="00194DE7" w:rsidRPr="00A6336F" w:rsidSect="00183E1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6336F">
        <w:rPr>
          <w:rStyle w:val="CommentReference"/>
          <w:szCs w:val="20"/>
        </w:rPr>
        <w:commentReference w:id="0"/>
      </w:r>
    </w:p>
    <w:p w:rsidR="00194DE7" w:rsidRPr="00A6336F" w:rsidRDefault="00194DE7" w:rsidP="00194DE7">
      <w:pPr>
        <w:pStyle w:val="H1"/>
      </w:pPr>
      <w:r w:rsidRPr="00A6336F">
        <w:lastRenderedPageBreak/>
        <w:t>Comité para la Eliminación de la Discriminación Racial</w:t>
      </w:r>
    </w:p>
    <w:p w:rsidR="00194DE7" w:rsidRPr="00A6336F" w:rsidRDefault="00A6336F" w:rsidP="00194DE7">
      <w:pPr>
        <w:pStyle w:val="H23"/>
      </w:pPr>
      <w:r>
        <w:t>87º</w:t>
      </w:r>
      <w:r w:rsidR="00194DE7" w:rsidRPr="00A6336F">
        <w:t xml:space="preserve"> período de sesiones</w:t>
      </w:r>
    </w:p>
    <w:p w:rsidR="00A6336F" w:rsidRPr="00A6336F" w:rsidRDefault="00A6336F" w:rsidP="00A6336F">
      <w:r w:rsidRPr="00A6336F">
        <w:t>3 a 28 de agosto de 2015</w:t>
      </w:r>
    </w:p>
    <w:p w:rsidR="00A6336F" w:rsidRPr="00A6336F" w:rsidRDefault="00A6336F" w:rsidP="00A6336F">
      <w:r w:rsidRPr="00A6336F">
        <w:t>Tema 4 del programa provisional</w:t>
      </w:r>
    </w:p>
    <w:p w:rsidR="00194DE7" w:rsidRDefault="00A6336F" w:rsidP="00A633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A6336F">
        <w:t>Examen de los informes, observaciones e información presentados</w:t>
      </w:r>
      <w:r>
        <w:br/>
      </w:r>
      <w:r w:rsidRPr="00A6336F">
        <w:t>por los Estados partes en virtud del artículo 9 de la Convención</w:t>
      </w:r>
    </w:p>
    <w:p w:rsidR="00A6336F" w:rsidRPr="00A6336F" w:rsidRDefault="00A6336F" w:rsidP="00A6336F">
      <w:pPr>
        <w:spacing w:line="120" w:lineRule="exact"/>
        <w:rPr>
          <w:sz w:val="10"/>
        </w:rPr>
      </w:pPr>
    </w:p>
    <w:p w:rsidR="00A6336F" w:rsidRPr="00A6336F" w:rsidRDefault="00A6336F" w:rsidP="00A6336F">
      <w:pPr>
        <w:spacing w:line="120" w:lineRule="exact"/>
        <w:rPr>
          <w:sz w:val="10"/>
        </w:rPr>
      </w:pPr>
    </w:p>
    <w:p w:rsidR="00A6336F" w:rsidRPr="00A6336F" w:rsidRDefault="00A6336F" w:rsidP="00A6336F">
      <w:pPr>
        <w:spacing w:line="120" w:lineRule="exact"/>
        <w:rPr>
          <w:sz w:val="10"/>
        </w:rPr>
      </w:pPr>
    </w:p>
    <w:p w:rsidR="00A6336F" w:rsidRDefault="00A6336F" w:rsidP="00A633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6336F">
        <w:t xml:space="preserve">Lista de temas relativa a los informes periódicos </w:t>
      </w:r>
      <w:r>
        <w:t>octavo a </w:t>
      </w:r>
      <w:r w:rsidRPr="00A6336F">
        <w:t>décimo combinados de la ex República Yugoslava de Macedonia (CERD/C/MKD/8-10)</w:t>
      </w:r>
    </w:p>
    <w:p w:rsidR="00A6336F" w:rsidRPr="00A6336F" w:rsidRDefault="00A6336F" w:rsidP="00A6336F">
      <w:pPr>
        <w:pStyle w:val="SingleTxt"/>
        <w:spacing w:after="0" w:line="120" w:lineRule="exact"/>
        <w:rPr>
          <w:sz w:val="10"/>
        </w:rPr>
      </w:pPr>
    </w:p>
    <w:p w:rsidR="00A6336F" w:rsidRPr="00A6336F" w:rsidRDefault="00A6336F" w:rsidP="00A6336F">
      <w:pPr>
        <w:pStyle w:val="SingleTxt"/>
        <w:spacing w:after="0" w:line="120" w:lineRule="exact"/>
        <w:rPr>
          <w:sz w:val="10"/>
        </w:rPr>
      </w:pPr>
    </w:p>
    <w:p w:rsidR="00A6336F" w:rsidRDefault="00A6336F" w:rsidP="00A633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6336F">
        <w:tab/>
        <w:t>Nota del Relator para el país</w:t>
      </w:r>
    </w:p>
    <w:p w:rsidR="00A6336F" w:rsidRDefault="00A6336F" w:rsidP="00A6336F">
      <w:pPr>
        <w:pStyle w:val="SingleTxt"/>
        <w:spacing w:after="0" w:line="120" w:lineRule="exact"/>
        <w:rPr>
          <w:sz w:val="10"/>
        </w:rPr>
      </w:pPr>
    </w:p>
    <w:tbl>
      <w:tblPr>
        <w:tblW w:w="7817"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529"/>
        <w:gridCol w:w="144"/>
      </w:tblGrid>
      <w:tr w:rsidR="00A6336F" w:rsidTr="00A6336F">
        <w:tc>
          <w:tcPr>
            <w:tcW w:w="144" w:type="dxa"/>
            <w:shd w:val="clear" w:color="auto" w:fill="auto"/>
          </w:tcPr>
          <w:p w:rsidR="00A6336F" w:rsidRDefault="00A6336F" w:rsidP="00A6336F">
            <w:pPr>
              <w:pStyle w:val="SingleTxt"/>
              <w:spacing w:after="0" w:line="120" w:lineRule="exact"/>
              <w:ind w:left="0"/>
              <w:rPr>
                <w:sz w:val="10"/>
              </w:rPr>
            </w:pPr>
          </w:p>
        </w:tc>
        <w:tc>
          <w:tcPr>
            <w:tcW w:w="7529" w:type="dxa"/>
            <w:shd w:val="clear" w:color="auto" w:fill="auto"/>
          </w:tcPr>
          <w:p w:rsidR="00A6336F" w:rsidRPr="00A6336F" w:rsidRDefault="00A6336F" w:rsidP="00A633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A6336F" w:rsidRDefault="00C622DC" w:rsidP="00A633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A6336F" w:rsidRPr="00A6336F">
              <w:t xml:space="preserve">El Comité para la Eliminación de la Discriminación Racial decidió en su </w:t>
            </w:r>
            <w:r>
              <w:br/>
            </w:r>
            <w:r w:rsidR="00A6336F" w:rsidRPr="00A6336F">
              <w:t>76º 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siguiente no es exhaustiva. Durante el diálogo con el Estado parte podrán abordarse otros asuntos. No se requieren respuestas por escrito.</w:t>
            </w:r>
          </w:p>
        </w:tc>
        <w:tc>
          <w:tcPr>
            <w:tcW w:w="144" w:type="dxa"/>
            <w:shd w:val="clear" w:color="auto" w:fill="auto"/>
          </w:tcPr>
          <w:p w:rsidR="00A6336F" w:rsidRDefault="00A6336F" w:rsidP="00A6336F">
            <w:pPr>
              <w:pStyle w:val="SingleTxt"/>
            </w:pPr>
          </w:p>
        </w:tc>
      </w:tr>
      <w:tr w:rsidR="00A6336F" w:rsidTr="00A6336F">
        <w:trPr>
          <w:trHeight w:hRule="exact" w:val="115"/>
        </w:trPr>
        <w:tc>
          <w:tcPr>
            <w:tcW w:w="144" w:type="dxa"/>
            <w:shd w:val="clear" w:color="auto" w:fill="auto"/>
          </w:tcPr>
          <w:p w:rsidR="00A6336F" w:rsidRDefault="00A6336F" w:rsidP="00A6336F">
            <w:pPr>
              <w:pStyle w:val="SingleTxt"/>
            </w:pPr>
          </w:p>
        </w:tc>
        <w:tc>
          <w:tcPr>
            <w:tcW w:w="7529" w:type="dxa"/>
            <w:shd w:val="clear" w:color="auto" w:fill="auto"/>
          </w:tcPr>
          <w:p w:rsidR="00A6336F" w:rsidRDefault="00A6336F" w:rsidP="00A6336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A6336F" w:rsidRDefault="00A6336F" w:rsidP="00A6336F">
            <w:pPr>
              <w:pStyle w:val="SingleTxt"/>
              <w:spacing w:after="0" w:line="120" w:lineRule="exact"/>
              <w:ind w:left="0"/>
              <w:rPr>
                <w:sz w:val="10"/>
              </w:rPr>
            </w:pPr>
          </w:p>
        </w:tc>
      </w:tr>
    </w:tbl>
    <w:p w:rsidR="00A6336F" w:rsidRPr="00A6336F" w:rsidRDefault="00A6336F" w:rsidP="00A6336F">
      <w:pPr>
        <w:pStyle w:val="SingleTxt"/>
        <w:spacing w:after="0" w:line="120" w:lineRule="exact"/>
        <w:rPr>
          <w:sz w:val="10"/>
        </w:rPr>
      </w:pPr>
    </w:p>
    <w:p w:rsidR="00A6336F" w:rsidRPr="00A6336F" w:rsidRDefault="00A6336F" w:rsidP="00A6336F">
      <w:pPr>
        <w:pStyle w:val="SingleTxt"/>
        <w:spacing w:after="0" w:line="120" w:lineRule="exact"/>
        <w:rPr>
          <w:sz w:val="10"/>
        </w:rPr>
      </w:pPr>
    </w:p>
    <w:p w:rsidR="00A6336F" w:rsidRDefault="00A6336F" w:rsidP="00A633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6336F">
        <w:t>1.</w:t>
      </w:r>
      <w:r>
        <w:tab/>
      </w:r>
      <w:r w:rsidRPr="00A6336F">
        <w:t>La Convención en el derecho interno; marco institucional y normativo para</w:t>
      </w:r>
      <w:r w:rsidR="001A4FD8">
        <w:br/>
      </w:r>
      <w:r w:rsidRPr="00A6336F">
        <w:t>su aplicación (arts. 2, 5 y 6)</w:t>
      </w:r>
    </w:p>
    <w:p w:rsidR="00A6336F" w:rsidRPr="00A6336F" w:rsidRDefault="00A6336F" w:rsidP="00A6336F">
      <w:pPr>
        <w:pStyle w:val="SingleTxt"/>
        <w:spacing w:after="0" w:line="120" w:lineRule="exact"/>
        <w:rPr>
          <w:sz w:val="10"/>
        </w:rPr>
      </w:pPr>
    </w:p>
    <w:p w:rsidR="00A6336F" w:rsidRPr="00A6336F" w:rsidRDefault="001A4FD8" w:rsidP="001A4FD8">
      <w:pPr>
        <w:pStyle w:val="SingleTxt"/>
      </w:pPr>
      <w:r>
        <w:tab/>
        <w:t>a)</w:t>
      </w:r>
      <w:r>
        <w:tab/>
      </w:r>
      <w:r w:rsidR="00A6336F" w:rsidRPr="00A6336F">
        <w:t>Información detallada, con inclusión de ejemplos concretos, sobre la aplicación de la Ley de Prevención y Protección contra la Discriminación, en particular casos de discriminación examinados por los tribunales (CERD/C/MKD/CO/7, párr. 19; CERD/C/MKD/8-</w:t>
      </w:r>
      <w:r w:rsidR="00E1545F">
        <w:t>1</w:t>
      </w:r>
      <w:r w:rsidR="00A6336F" w:rsidRPr="00A6336F">
        <w:t>0, párrs. 8 a 10);</w:t>
      </w:r>
    </w:p>
    <w:p w:rsidR="00A6336F" w:rsidRPr="00A6336F" w:rsidRDefault="001A4FD8" w:rsidP="001A4FD8">
      <w:pPr>
        <w:pStyle w:val="SingleTxt"/>
      </w:pPr>
      <w:r>
        <w:tab/>
        <w:t>b)</w:t>
      </w:r>
      <w:r>
        <w:tab/>
      </w:r>
      <w:r w:rsidR="00A6336F" w:rsidRPr="00A6336F">
        <w:t>Información sobre los resultados obtenidos por la Estrategia Nacional sobre la Igualdad y la no Discriminación para 2012-2015 (CERD/C/MKD/8-10, párr. 15) y ejemplos de su aplicación, sobre todo en lo que respecta al origen étnico y al género;</w:t>
      </w:r>
    </w:p>
    <w:p w:rsidR="00A6336F" w:rsidRPr="00A6336F" w:rsidRDefault="001A4FD8" w:rsidP="001A4FD8">
      <w:pPr>
        <w:pStyle w:val="SingleTxt"/>
      </w:pPr>
      <w:r>
        <w:tab/>
        <w:t>c)</w:t>
      </w:r>
      <w:r w:rsidR="00E1545F">
        <w:tab/>
      </w:r>
      <w:r w:rsidR="00A6336F" w:rsidRPr="00A6336F">
        <w:t>Información sobre las medidas adoptadas para eliminar los casos de comportamiento indebido por parte de la policía y de malos tratos hacia las minorías étnicas, incluidos los romaníes, así como entre personas de origen macedonio y de origen albanés, cuando uno de esos grupos sea minoría en una zona determinada; información sobre las medidas adoptadas para garantizar la independencia de la Sección de Control Interno, actualmente adscrita al Ministerio del Interior (CERD/C/MKD/8-10, párrs. 38 a 45);</w:t>
      </w:r>
    </w:p>
    <w:p w:rsidR="00A6336F" w:rsidRDefault="001A4FD8" w:rsidP="003651F2">
      <w:pPr>
        <w:pStyle w:val="SingleTxt"/>
        <w:keepNext/>
        <w:keepLines/>
      </w:pPr>
      <w:r>
        <w:lastRenderedPageBreak/>
        <w:tab/>
        <w:t>d)</w:t>
      </w:r>
      <w:r>
        <w:tab/>
      </w:r>
      <w:r w:rsidR="00A6336F" w:rsidRPr="00A6336F">
        <w:t>Información actualizada sobre las denuncias de discriminación recibidas y tramitadas por el Tribunal Constitucional, el Comité para la Prevención y Protección contra la Discriminación y la Oficina del Defensor del Pueblo; información detallada sobre los esfuerzos para aumentar la eficiencia y la independencia del Comité (CERD/C/MKD/8-10, párrs. 31 a 35).</w:t>
      </w:r>
    </w:p>
    <w:p w:rsidR="001A4FD8" w:rsidRPr="001A4FD8" w:rsidRDefault="001A4FD8" w:rsidP="001A4FD8">
      <w:pPr>
        <w:pStyle w:val="SingleTxt"/>
        <w:spacing w:after="0" w:line="120" w:lineRule="exact"/>
        <w:rPr>
          <w:sz w:val="10"/>
        </w:rPr>
      </w:pPr>
    </w:p>
    <w:p w:rsidR="00A6336F" w:rsidRDefault="001A4FD8" w:rsidP="001A4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6336F" w:rsidRPr="00A6336F">
        <w:t>2.</w:t>
      </w:r>
      <w:r>
        <w:tab/>
      </w:r>
      <w:r w:rsidR="00A6336F" w:rsidRPr="00A6336F">
        <w:t>Discriminación contra las minorías nacionales, étnicas y religiosas (arts. 2 a 7)</w:t>
      </w:r>
    </w:p>
    <w:p w:rsidR="001A4FD8" w:rsidRPr="001A4FD8" w:rsidRDefault="001A4FD8" w:rsidP="001A4FD8">
      <w:pPr>
        <w:pStyle w:val="SingleTxt"/>
        <w:spacing w:after="0" w:line="120" w:lineRule="exact"/>
        <w:rPr>
          <w:sz w:val="10"/>
        </w:rPr>
      </w:pPr>
    </w:p>
    <w:p w:rsidR="00A6336F" w:rsidRPr="00A6336F" w:rsidRDefault="001A4FD8" w:rsidP="001A4FD8">
      <w:pPr>
        <w:pStyle w:val="SingleTxt"/>
      </w:pPr>
      <w:r>
        <w:tab/>
        <w:t>a)</w:t>
      </w:r>
      <w:r>
        <w:tab/>
      </w:r>
      <w:r w:rsidR="00A6336F" w:rsidRPr="00A6336F">
        <w:t>Alegaciones de discriminación étnica y atribución de estereotipos en el discurso</w:t>
      </w:r>
      <w:bookmarkStart w:id="1" w:name="_GoBack"/>
      <w:bookmarkEnd w:id="1"/>
      <w:r w:rsidR="00A6336F" w:rsidRPr="00A6336F">
        <w:t xml:space="preserve"> público por parte de políticos y medios de comunicación (entre otros), especialmente entre personas de origen macedonio y de origen albanés; falta de aplicación de las disposiciones jurídicas que prohíben y castigan los delitos de incitación al odio a través de los medios de comun</w:t>
      </w:r>
      <w:r w:rsidR="003651F2">
        <w:t>icación (CERD/C/MKD/CO/7, párr. </w:t>
      </w:r>
      <w:r w:rsidR="00A6336F" w:rsidRPr="00A6336F">
        <w:t>9; CERD/C/MKD/8-10, párr. 123);</w:t>
      </w:r>
    </w:p>
    <w:p w:rsidR="00A6336F" w:rsidRPr="00A6336F" w:rsidRDefault="001A4FD8" w:rsidP="001A4FD8">
      <w:pPr>
        <w:pStyle w:val="SingleTxt"/>
      </w:pPr>
      <w:r>
        <w:tab/>
        <w:t>b)</w:t>
      </w:r>
      <w:r>
        <w:tab/>
      </w:r>
      <w:r w:rsidR="00A6336F" w:rsidRPr="00A6336F">
        <w:t>Esfuerzos para reducir las disparidades étnicas en el acceso a la educación, la vivienda, la salud y el empleo;</w:t>
      </w:r>
    </w:p>
    <w:p w:rsidR="00A6336F" w:rsidRPr="00A6336F" w:rsidRDefault="001A4FD8" w:rsidP="001A4FD8">
      <w:pPr>
        <w:pStyle w:val="SingleTxt"/>
      </w:pPr>
      <w:r>
        <w:tab/>
        <w:t>c)</w:t>
      </w:r>
      <w:r>
        <w:tab/>
      </w:r>
      <w:r w:rsidR="00A6336F" w:rsidRPr="00A6336F">
        <w:t>Doble discriminación que sufren las mujeres pertenecientes a minorías étnicas, en particular las mujeres albanesas y romaníes; supuesta prevalencia de los matrimonios precoces de las niñas romaníes;</w:t>
      </w:r>
    </w:p>
    <w:p w:rsidR="00A6336F" w:rsidRPr="00A6336F" w:rsidRDefault="001A4FD8" w:rsidP="001A4FD8">
      <w:pPr>
        <w:pStyle w:val="SingleTxt"/>
      </w:pPr>
      <w:r>
        <w:tab/>
        <w:t>d)</w:t>
      </w:r>
      <w:r>
        <w:tab/>
      </w:r>
      <w:r w:rsidR="00A6336F" w:rsidRPr="00A6336F">
        <w:t>Información sobre la aplicación del Acuerdo Marco de Ohrid en lo que respecta al reconocimiento de los grupos minoritarios, en particular las minorías menos numerosas, y a su representación en los organismos públicos;</w:t>
      </w:r>
    </w:p>
    <w:p w:rsidR="00A6336F" w:rsidRPr="00A6336F" w:rsidRDefault="001A4FD8" w:rsidP="001A4FD8">
      <w:pPr>
        <w:pStyle w:val="SingleTxt"/>
      </w:pPr>
      <w:r>
        <w:tab/>
        <w:t>e)</w:t>
      </w:r>
      <w:r>
        <w:tab/>
      </w:r>
      <w:r w:rsidR="00A6336F" w:rsidRPr="00A6336F">
        <w:t xml:space="preserve">Información actualizada sobre los progresos realizados para proporcionar servicios de traducción e interpretación jurídica apropiados a las minorías que no son ni macedonias ni albanesas, con objeto de facilitar su acceso al sistema de justicia; información actualizada sobre las medidas adoptadas para aplicar sistemáticamente la legislación que regula el uso de los idiomas </w:t>
      </w:r>
      <w:r>
        <w:t>“</w:t>
      </w:r>
      <w:r w:rsidR="00A6336F" w:rsidRPr="00A6336F">
        <w:t>no mayoritarios</w:t>
      </w:r>
      <w:r>
        <w:t>”</w:t>
      </w:r>
      <w:r w:rsidR="00A6336F" w:rsidRPr="00A6336F">
        <w:t xml:space="preserve"> en procedimientos civiles, penales y administrativos (CERD/C/MKD/CO/7, párr. 13; CERD/MKD/8-10, párrs. 140 y 141);</w:t>
      </w:r>
    </w:p>
    <w:p w:rsidR="00A6336F" w:rsidRPr="00A6336F" w:rsidRDefault="001A4FD8" w:rsidP="001A4FD8">
      <w:pPr>
        <w:pStyle w:val="SingleTxt"/>
      </w:pPr>
      <w:r>
        <w:tab/>
        <w:t>f)</w:t>
      </w:r>
      <w:r>
        <w:tab/>
      </w:r>
      <w:r w:rsidR="00A6336F" w:rsidRPr="00A6336F">
        <w:t>Denuncias de discriminación y violencia contra las minorías religiosas, así como incidentes de daños a lugares de culto de minorías religiosas (A/HRC/13/40/Add. 2, párrs. 22 y 42 a 46);</w:t>
      </w:r>
    </w:p>
    <w:p w:rsidR="00A6336F" w:rsidRPr="00A6336F" w:rsidRDefault="001A4FD8" w:rsidP="001A4FD8">
      <w:pPr>
        <w:pStyle w:val="SingleTxt"/>
      </w:pPr>
      <w:r>
        <w:tab/>
        <w:t>g)</w:t>
      </w:r>
      <w:r>
        <w:tab/>
      </w:r>
      <w:r w:rsidR="00A6336F" w:rsidRPr="00A6336F">
        <w:t>Carencia de documentos personales, como tarjetas de identidad y certificados de nacimiento, por parte de algunos miembros de grupos minoritarios, y las consiguientes repercusiones en el disfrute de sus derechos sociales, económicos y culturales;</w:t>
      </w:r>
    </w:p>
    <w:p w:rsidR="00A6336F" w:rsidRPr="00A6336F" w:rsidRDefault="001A4FD8" w:rsidP="001A4FD8">
      <w:pPr>
        <w:pStyle w:val="SingleTxt"/>
      </w:pPr>
      <w:r>
        <w:tab/>
        <w:t>h)</w:t>
      </w:r>
      <w:r>
        <w:tab/>
      </w:r>
      <w:r w:rsidR="00A6336F" w:rsidRPr="00A6336F">
        <w:t>Información actualizada sobre la aplicación del derecho constitucional a la educación en la lengua materna en el caso de las personas pertenecientes a varias comunidades étnicas (CERD/C/MKD/8-10, párr. 103);</w:t>
      </w:r>
    </w:p>
    <w:p w:rsidR="00A6336F" w:rsidRDefault="001A4FD8" w:rsidP="001A4FD8">
      <w:pPr>
        <w:pStyle w:val="SingleTxt"/>
      </w:pPr>
      <w:r>
        <w:tab/>
        <w:t>i)</w:t>
      </w:r>
      <w:r>
        <w:tab/>
      </w:r>
      <w:r w:rsidR="00A6336F" w:rsidRPr="00A6336F">
        <w:t>Elevada tasa de abandono escolar de los niños de las comunidades albanesa y turca (CERD/C/MKD/CO/7, párr. 17).</w:t>
      </w:r>
    </w:p>
    <w:p w:rsidR="001A4FD8" w:rsidRPr="001A4FD8" w:rsidRDefault="001A4FD8" w:rsidP="001A4FD8">
      <w:pPr>
        <w:pStyle w:val="SingleTxt"/>
        <w:spacing w:after="0" w:line="120" w:lineRule="exact"/>
        <w:rPr>
          <w:sz w:val="10"/>
        </w:rPr>
      </w:pPr>
    </w:p>
    <w:p w:rsidR="00A6336F" w:rsidRDefault="00A6336F" w:rsidP="001A4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336F">
        <w:tab/>
        <w:t>3.</w:t>
      </w:r>
      <w:r w:rsidR="001A4FD8">
        <w:tab/>
      </w:r>
      <w:r w:rsidRPr="00A6336F">
        <w:t xml:space="preserve">Situación de los no ciudadanos, en particular los migrantes, los refugiados </w:t>
      </w:r>
      <w:r w:rsidR="001A4FD8">
        <w:br/>
      </w:r>
      <w:r w:rsidRPr="00A6336F">
        <w:t>y los solicitantes de asilo (arts. 5 y 6)</w:t>
      </w:r>
    </w:p>
    <w:p w:rsidR="001A4FD8" w:rsidRPr="001A4FD8" w:rsidRDefault="001A4FD8" w:rsidP="001A4FD8">
      <w:pPr>
        <w:pStyle w:val="SingleTxt"/>
        <w:spacing w:after="0" w:line="120" w:lineRule="exact"/>
        <w:rPr>
          <w:sz w:val="10"/>
        </w:rPr>
      </w:pPr>
    </w:p>
    <w:p w:rsidR="00A6336F" w:rsidRPr="00A6336F" w:rsidRDefault="001A4FD8" w:rsidP="001A4FD8">
      <w:pPr>
        <w:pStyle w:val="SingleTxt"/>
      </w:pPr>
      <w:r>
        <w:tab/>
        <w:t>a)</w:t>
      </w:r>
      <w:r>
        <w:tab/>
      </w:r>
      <w:r w:rsidR="00A6336F" w:rsidRPr="00A6336F">
        <w:t xml:space="preserve">Detención administrativa de los solicitantes de asilo y los migrantes en situación irregular </w:t>
      </w:r>
      <w:r>
        <w:t>—</w:t>
      </w:r>
      <w:r w:rsidR="00A6336F" w:rsidRPr="00A6336F">
        <w:t>incluidos, al parecer, niños</w:t>
      </w:r>
      <w:r>
        <w:t>—</w:t>
      </w:r>
      <w:r w:rsidR="00A6336F" w:rsidRPr="00A6336F">
        <w:t xml:space="preserve"> en el centro de acogida para extranjeros de Gazi Baba, donde, según se informa, las condiciones de reclusión equivalen a un trato inhumano y degradante (CAT/C/MKD/CO/3, párr. 17); acceso a los servicios sociales, incluida la educación, por los migrantes en situación irregular (CERD/MKD/8-10, párr. 93);</w:t>
      </w:r>
    </w:p>
    <w:p w:rsidR="00A6336F" w:rsidRPr="00A6336F" w:rsidRDefault="001A4FD8" w:rsidP="001A4FD8">
      <w:pPr>
        <w:pStyle w:val="SingleTxt"/>
      </w:pPr>
      <w:r>
        <w:lastRenderedPageBreak/>
        <w:tab/>
        <w:t>b)</w:t>
      </w:r>
      <w:r>
        <w:tab/>
      </w:r>
      <w:r w:rsidR="00A6336F" w:rsidRPr="00A6336F">
        <w:t xml:space="preserve">Alegaciones de que se deniegan o revocan las solicitudes de los refugiados y los solicitantes de asilo aduciendo que constituyen una </w:t>
      </w:r>
      <w:r>
        <w:t>“</w:t>
      </w:r>
      <w:r w:rsidR="00A6336F" w:rsidRPr="00A6336F">
        <w:t>amenaza para la seguridad nacional</w:t>
      </w:r>
      <w:r>
        <w:t>”</w:t>
      </w:r>
      <w:r w:rsidR="00A6336F" w:rsidRPr="00A6336F">
        <w:t xml:space="preserve"> sin que el solicitante pueda impugnar esas decisiones; alegaciones de que se llevan a cabo expulsiones sin realizar una evaluación adecuada del riesgo de la devolución (CAT/C/MKD/CO/3, párr. 17);</w:t>
      </w:r>
    </w:p>
    <w:p w:rsidR="00A6336F" w:rsidRPr="00A6336F" w:rsidRDefault="001A4FD8" w:rsidP="001A4FD8">
      <w:pPr>
        <w:pStyle w:val="SingleTxt"/>
      </w:pPr>
      <w:r>
        <w:tab/>
        <w:t>c)</w:t>
      </w:r>
      <w:r>
        <w:tab/>
      </w:r>
      <w:r w:rsidR="00A6336F" w:rsidRPr="00A6336F">
        <w:t>Más información sobre las enmiendas introducidas en la Ley de Asilo y Protección Temporal (CERD/C/MKD/CO/7, párr. 11; CERD/C/MKD/8-10, párrs. 129 a 133); información actualizada sobre el número de denegaciones de solicitudes de asilo (CERD/C/MKD/CO/7, párr. 11) y sobre las salvaguardias para evitar la devolución;</w:t>
      </w:r>
    </w:p>
    <w:p w:rsidR="00A6336F" w:rsidRDefault="001A4FD8" w:rsidP="001A4FD8">
      <w:pPr>
        <w:pStyle w:val="SingleTxt"/>
      </w:pPr>
      <w:r>
        <w:tab/>
        <w:t>d)</w:t>
      </w:r>
      <w:r>
        <w:tab/>
      </w:r>
      <w:r w:rsidR="00A6336F" w:rsidRPr="00A6336F">
        <w:t>Información sobre la aplicación de la decisión del Tribunal Constitucional de 15 de julio de 2014 que declaraba inconstitucionales algunas enmiendas a la Ley de Documentos de Viaje de los Ciudadanos de la República de Macedonia; información sobre cualquier caso en que se haya denegado la expedición de un pasaporte.</w:t>
      </w:r>
    </w:p>
    <w:p w:rsidR="001A4FD8" w:rsidRPr="001A4FD8" w:rsidRDefault="001A4FD8" w:rsidP="001A4FD8">
      <w:pPr>
        <w:pStyle w:val="SingleTxt"/>
        <w:spacing w:after="0" w:line="120" w:lineRule="exact"/>
        <w:rPr>
          <w:sz w:val="10"/>
        </w:rPr>
      </w:pPr>
    </w:p>
    <w:p w:rsidR="00A6336F" w:rsidRDefault="001A4FD8" w:rsidP="001A4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6336F" w:rsidRPr="00A6336F">
        <w:t>4.</w:t>
      </w:r>
      <w:r>
        <w:tab/>
      </w:r>
      <w:r w:rsidR="00A6336F" w:rsidRPr="00A6336F">
        <w:t>Situación de la comunidad romaní (arts. 2 a 7)</w:t>
      </w:r>
    </w:p>
    <w:p w:rsidR="001A4FD8" w:rsidRPr="001A4FD8" w:rsidRDefault="001A4FD8" w:rsidP="001A4FD8">
      <w:pPr>
        <w:pStyle w:val="SingleTxt"/>
        <w:spacing w:after="0" w:line="120" w:lineRule="exact"/>
        <w:rPr>
          <w:sz w:val="10"/>
        </w:rPr>
      </w:pPr>
    </w:p>
    <w:p w:rsidR="00A6336F" w:rsidRPr="00A6336F" w:rsidRDefault="001A4FD8" w:rsidP="001A4FD8">
      <w:pPr>
        <w:pStyle w:val="SingleTxt"/>
      </w:pPr>
      <w:r>
        <w:tab/>
        <w:t>a)</w:t>
      </w:r>
      <w:r>
        <w:tab/>
      </w:r>
      <w:r w:rsidR="00A6336F" w:rsidRPr="00A6336F">
        <w:t>Información adicional sobre las medidas adoptadas para mejorar el acceso de los romaníes a la educación, el empleo, la vivienda y la atención de la salud; información actualizada sobre la aplicación de la Estrategia Nacional para los Romaníes y sobre la participación del Estado parte en la iniciativa regional Decenio de Integración de los Romaníes 2005-2015; información actualizada sobre los esfuerzos realizados para implicar a las comunidades romaníes en la elaboración y aplicación de políticas y programas que las afecten (CERD/C/MKD/CO/7, párrs. 7 y 16; CERD/C/MKD/8-10, párrs. 20 y 21);</w:t>
      </w:r>
    </w:p>
    <w:p w:rsidR="00A6336F" w:rsidRPr="00A6336F" w:rsidRDefault="001A4FD8" w:rsidP="001A4FD8">
      <w:pPr>
        <w:pStyle w:val="SingleTxt"/>
      </w:pPr>
      <w:r>
        <w:tab/>
        <w:t>b)</w:t>
      </w:r>
      <w:r>
        <w:tab/>
      </w:r>
      <w:r w:rsidR="00A6336F" w:rsidRPr="00A6336F">
        <w:t>Información sobre las salvaguardias existentes para asegurar que la aplicación de la Ley de Legalización de Construcciones Ilegales y de la planificación urbanística local, sobre todo en los asentamientos informales de Kumanovo, Prilep, Bitola y Skopje, no dejará sin hogar a sus habitantes, mayoritariamente romaníes;</w:t>
      </w:r>
    </w:p>
    <w:p w:rsidR="00A6336F" w:rsidRPr="00A6336F" w:rsidRDefault="001A4FD8" w:rsidP="001A4FD8">
      <w:pPr>
        <w:pStyle w:val="SingleTxt"/>
      </w:pPr>
      <w:r>
        <w:tab/>
        <w:t>c)</w:t>
      </w:r>
      <w:r>
        <w:tab/>
      </w:r>
      <w:r w:rsidR="00A6336F" w:rsidRPr="00A6336F">
        <w:t>Elevada tasa de abandono escolar y bajo nivel de asistencia de los niños de las comunidades romaníes (CERD/C/MKD/CO/7, párr. 18; CERD/C/MKD/8-10, párrs. 176 a 181 y 189 a 208); excesiva representación de niños romaníes en establecimientos educativos para alumnos con discapacidad mental;</w:t>
      </w:r>
    </w:p>
    <w:p w:rsidR="00A6336F" w:rsidRDefault="001A4FD8" w:rsidP="001A4FD8">
      <w:pPr>
        <w:pStyle w:val="SingleTxt"/>
      </w:pPr>
      <w:r>
        <w:tab/>
        <w:t>d)</w:t>
      </w:r>
      <w:r>
        <w:tab/>
      </w:r>
      <w:r w:rsidR="00A6336F" w:rsidRPr="00A6336F">
        <w:t>Alegaciones de estereotipos étnicos en los libros de texto escolares, en particular en lo que respecta a los romaníes.</w:t>
      </w:r>
    </w:p>
    <w:p w:rsidR="001A4FD8" w:rsidRPr="00A6336F" w:rsidRDefault="001A4FD8" w:rsidP="001A4FD8">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A4FD8" w:rsidRPr="00A6336F" w:rsidSect="00183E1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2:58:00Z" w:initials="Start">
    <w:p w:rsidR="00194DE7" w:rsidRPr="00A6336F" w:rsidRDefault="00194DE7">
      <w:pPr>
        <w:pStyle w:val="CommentText"/>
        <w:rPr>
          <w:lang w:val="en-US"/>
        </w:rPr>
      </w:pPr>
      <w:r>
        <w:fldChar w:fldCharType="begin"/>
      </w:r>
      <w:r w:rsidRPr="00A6336F">
        <w:rPr>
          <w:rStyle w:val="CommentReference"/>
          <w:lang w:val="en-US"/>
        </w:rPr>
        <w:instrText xml:space="preserve"> </w:instrText>
      </w:r>
      <w:r w:rsidRPr="00A6336F">
        <w:rPr>
          <w:lang w:val="en-US"/>
        </w:rPr>
        <w:instrText>PAGE \# "'Page: '#'</w:instrText>
      </w:r>
      <w:r w:rsidRPr="00A6336F">
        <w:rPr>
          <w:lang w:val="en-US"/>
        </w:rPr>
        <w:br/>
        <w:instrText>'"</w:instrText>
      </w:r>
      <w:r w:rsidRPr="00A6336F">
        <w:rPr>
          <w:rStyle w:val="CommentReference"/>
          <w:lang w:val="en-US"/>
        </w:rPr>
        <w:instrText xml:space="preserve"> </w:instrText>
      </w:r>
      <w:r>
        <w:fldChar w:fldCharType="end"/>
      </w:r>
      <w:r>
        <w:rPr>
          <w:rStyle w:val="CommentReference"/>
        </w:rPr>
        <w:annotationRef/>
      </w:r>
      <w:r w:rsidRPr="00A6336F">
        <w:rPr>
          <w:lang w:val="en-US"/>
        </w:rPr>
        <w:t>&lt;&lt;ODS JOB NO&gt;&gt;N1512604S&lt;&lt;ODS JOB NO&gt;&gt;</w:t>
      </w:r>
    </w:p>
    <w:p w:rsidR="00194DE7" w:rsidRPr="00A6336F" w:rsidRDefault="00194DE7">
      <w:pPr>
        <w:pStyle w:val="CommentText"/>
        <w:rPr>
          <w:lang w:val="fr-CH"/>
        </w:rPr>
      </w:pPr>
      <w:r w:rsidRPr="00A6336F">
        <w:rPr>
          <w:lang w:val="fr-CH"/>
        </w:rPr>
        <w:t>&lt;&lt;ODS DOC SYMBOL1&gt;&gt;CERD/C/MKD/Q/8-10&lt;&lt;ODS DOC SYMBOL1&gt;&gt;</w:t>
      </w:r>
    </w:p>
    <w:p w:rsidR="00194DE7" w:rsidRDefault="00194DE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84D" w:rsidRDefault="0088684D" w:rsidP="008F1E8F">
      <w:pPr>
        <w:spacing w:line="240" w:lineRule="auto"/>
      </w:pPr>
      <w:r>
        <w:separator/>
      </w:r>
    </w:p>
  </w:endnote>
  <w:endnote w:type="continuationSeparator" w:id="0">
    <w:p w:rsidR="0088684D" w:rsidRDefault="0088684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94DE7" w:rsidTr="00194DE7">
      <w:trPr>
        <w:jc w:val="center"/>
      </w:trPr>
      <w:tc>
        <w:tcPr>
          <w:tcW w:w="5126" w:type="dxa"/>
          <w:shd w:val="clear" w:color="auto" w:fill="auto"/>
        </w:tcPr>
        <w:p w:rsidR="00194DE7" w:rsidRPr="00194DE7" w:rsidRDefault="00194DE7" w:rsidP="00194DE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962FE">
            <w:rPr>
              <w:b w:val="0"/>
              <w:color w:val="000000"/>
              <w:w w:val="103"/>
              <w:sz w:val="14"/>
            </w:rPr>
            <w:t>15-09733</w:t>
          </w:r>
          <w:r>
            <w:rPr>
              <w:b w:val="0"/>
              <w:color w:val="000000"/>
              <w:w w:val="103"/>
              <w:sz w:val="14"/>
            </w:rPr>
            <w:fldChar w:fldCharType="end"/>
          </w:r>
        </w:p>
      </w:tc>
      <w:tc>
        <w:tcPr>
          <w:tcW w:w="5127" w:type="dxa"/>
          <w:shd w:val="clear" w:color="auto" w:fill="auto"/>
        </w:tcPr>
        <w:p w:rsidR="00194DE7" w:rsidRPr="00194DE7" w:rsidRDefault="00194DE7" w:rsidP="00194DE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962F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962FE">
            <w:rPr>
              <w:color w:val="000000"/>
              <w:w w:val="103"/>
            </w:rPr>
            <w:t>3</w:t>
          </w:r>
          <w:r>
            <w:rPr>
              <w:color w:val="000000"/>
              <w:w w:val="103"/>
            </w:rPr>
            <w:fldChar w:fldCharType="end"/>
          </w:r>
        </w:p>
      </w:tc>
    </w:tr>
  </w:tbl>
  <w:p w:rsidR="00194DE7" w:rsidRPr="00194DE7" w:rsidRDefault="00194DE7" w:rsidP="00194D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94DE7" w:rsidTr="00194DE7">
      <w:trPr>
        <w:jc w:val="center"/>
      </w:trPr>
      <w:tc>
        <w:tcPr>
          <w:tcW w:w="5126" w:type="dxa"/>
          <w:shd w:val="clear" w:color="auto" w:fill="auto"/>
        </w:tcPr>
        <w:p w:rsidR="00194DE7" w:rsidRPr="00194DE7" w:rsidRDefault="00194DE7" w:rsidP="00194DE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962FE">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962FE">
            <w:rPr>
              <w:color w:val="000000"/>
              <w:w w:val="103"/>
            </w:rPr>
            <w:t>3</w:t>
          </w:r>
          <w:r>
            <w:rPr>
              <w:color w:val="000000"/>
              <w:w w:val="103"/>
            </w:rPr>
            <w:fldChar w:fldCharType="end"/>
          </w:r>
        </w:p>
      </w:tc>
      <w:tc>
        <w:tcPr>
          <w:tcW w:w="5127" w:type="dxa"/>
          <w:shd w:val="clear" w:color="auto" w:fill="auto"/>
        </w:tcPr>
        <w:p w:rsidR="00194DE7" w:rsidRPr="00194DE7" w:rsidRDefault="00194DE7" w:rsidP="00194DE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962FE">
            <w:rPr>
              <w:b w:val="0"/>
              <w:color w:val="000000"/>
              <w:w w:val="103"/>
              <w:sz w:val="14"/>
            </w:rPr>
            <w:t>15-09733</w:t>
          </w:r>
          <w:r>
            <w:rPr>
              <w:b w:val="0"/>
              <w:color w:val="000000"/>
              <w:w w:val="103"/>
              <w:sz w:val="14"/>
            </w:rPr>
            <w:fldChar w:fldCharType="end"/>
          </w:r>
        </w:p>
      </w:tc>
    </w:tr>
  </w:tbl>
  <w:p w:rsidR="00194DE7" w:rsidRPr="00194DE7" w:rsidRDefault="00194DE7" w:rsidP="00194D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DE7" w:rsidRPr="00194DE7" w:rsidRDefault="00194DE7" w:rsidP="00194DE7">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12F22EFD" wp14:editId="70015A5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MKD/Q/8-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MKD/Q/8-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94DE7" w:rsidTr="00194DE7">
      <w:tc>
        <w:tcPr>
          <w:tcW w:w="3859" w:type="dxa"/>
        </w:tcPr>
        <w:p w:rsidR="00194DE7" w:rsidRDefault="00194DE7" w:rsidP="00194DE7">
          <w:pPr>
            <w:pStyle w:val="ReleaseDate"/>
          </w:pPr>
          <w:r>
            <w:t xml:space="preserve">GE.15-09733 (S)    </w:t>
          </w:r>
          <w:r w:rsidR="001A4FD8">
            <w:t>2606</w:t>
          </w:r>
          <w:r>
            <w:t>15    080715</w:t>
          </w:r>
        </w:p>
        <w:p w:rsidR="00194DE7" w:rsidRPr="00194DE7" w:rsidRDefault="00194DE7" w:rsidP="00194DE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*1509733*</w:t>
          </w:r>
        </w:p>
      </w:tc>
      <w:tc>
        <w:tcPr>
          <w:tcW w:w="5127" w:type="dxa"/>
        </w:tcPr>
        <w:p w:rsidR="00194DE7" w:rsidRDefault="00194DE7" w:rsidP="00194DE7">
          <w:pPr>
            <w:pStyle w:val="Footer"/>
            <w:jc w:val="right"/>
            <w:rPr>
              <w:b w:val="0"/>
              <w:sz w:val="20"/>
            </w:rPr>
          </w:pPr>
          <w:r>
            <w:rPr>
              <w:b w:val="0"/>
              <w:sz w:val="20"/>
              <w:lang w:val="es-ES" w:eastAsia="es-ES"/>
            </w:rPr>
            <w:drawing>
              <wp:inline distT="0" distB="0" distL="0" distR="0" wp14:anchorId="7EF4229B" wp14:editId="76E0948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94DE7" w:rsidRPr="00194DE7" w:rsidRDefault="00194DE7" w:rsidP="00194DE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84D" w:rsidRDefault="0088684D" w:rsidP="008F1E8F">
      <w:pPr>
        <w:spacing w:line="240" w:lineRule="auto"/>
      </w:pPr>
      <w:r>
        <w:separator/>
      </w:r>
    </w:p>
  </w:footnote>
  <w:footnote w:type="continuationSeparator" w:id="0">
    <w:p w:rsidR="0088684D" w:rsidRDefault="0088684D"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94DE7" w:rsidTr="00194DE7">
      <w:trPr>
        <w:trHeight w:hRule="exact" w:val="864"/>
        <w:jc w:val="center"/>
      </w:trPr>
      <w:tc>
        <w:tcPr>
          <w:tcW w:w="4882" w:type="dxa"/>
          <w:shd w:val="clear" w:color="auto" w:fill="auto"/>
          <w:vAlign w:val="bottom"/>
        </w:tcPr>
        <w:p w:rsidR="00194DE7" w:rsidRPr="00194DE7" w:rsidRDefault="00194DE7" w:rsidP="00194D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62FE">
            <w:rPr>
              <w:b/>
              <w:color w:val="000000"/>
            </w:rPr>
            <w:t>CERD/C/MKD/Q/8-10</w:t>
          </w:r>
          <w:r>
            <w:rPr>
              <w:b/>
              <w:color w:val="000000"/>
            </w:rPr>
            <w:fldChar w:fldCharType="end"/>
          </w:r>
        </w:p>
      </w:tc>
      <w:tc>
        <w:tcPr>
          <w:tcW w:w="5127" w:type="dxa"/>
          <w:shd w:val="clear" w:color="auto" w:fill="auto"/>
          <w:vAlign w:val="bottom"/>
        </w:tcPr>
        <w:p w:rsidR="00194DE7" w:rsidRDefault="00194DE7" w:rsidP="00194DE7">
          <w:pPr>
            <w:pStyle w:val="Header"/>
          </w:pPr>
        </w:p>
      </w:tc>
    </w:tr>
  </w:tbl>
  <w:p w:rsidR="00194DE7" w:rsidRPr="00194DE7" w:rsidRDefault="00194DE7" w:rsidP="00194DE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94DE7" w:rsidTr="00194DE7">
      <w:trPr>
        <w:trHeight w:hRule="exact" w:val="864"/>
        <w:jc w:val="center"/>
      </w:trPr>
      <w:tc>
        <w:tcPr>
          <w:tcW w:w="4882" w:type="dxa"/>
          <w:shd w:val="clear" w:color="auto" w:fill="auto"/>
          <w:vAlign w:val="bottom"/>
        </w:tcPr>
        <w:p w:rsidR="00194DE7" w:rsidRDefault="00194DE7" w:rsidP="00194DE7">
          <w:pPr>
            <w:pStyle w:val="Header"/>
          </w:pPr>
        </w:p>
      </w:tc>
      <w:tc>
        <w:tcPr>
          <w:tcW w:w="5127" w:type="dxa"/>
          <w:shd w:val="clear" w:color="auto" w:fill="auto"/>
          <w:vAlign w:val="bottom"/>
        </w:tcPr>
        <w:p w:rsidR="00194DE7" w:rsidRPr="00194DE7" w:rsidRDefault="00194DE7" w:rsidP="00194D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62FE">
            <w:rPr>
              <w:b/>
              <w:color w:val="000000"/>
            </w:rPr>
            <w:t>CERD/C/MKD/Q/8-10</w:t>
          </w:r>
          <w:r>
            <w:rPr>
              <w:b/>
              <w:color w:val="000000"/>
            </w:rPr>
            <w:fldChar w:fldCharType="end"/>
          </w:r>
        </w:p>
      </w:tc>
    </w:tr>
  </w:tbl>
  <w:p w:rsidR="00194DE7" w:rsidRPr="00194DE7" w:rsidRDefault="00194DE7" w:rsidP="00194DE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94DE7" w:rsidTr="00194DE7">
      <w:trPr>
        <w:trHeight w:hRule="exact" w:val="864"/>
      </w:trPr>
      <w:tc>
        <w:tcPr>
          <w:tcW w:w="1267" w:type="dxa"/>
          <w:tcBorders>
            <w:bottom w:val="single" w:sz="4" w:space="0" w:color="auto"/>
          </w:tcBorders>
          <w:shd w:val="clear" w:color="auto" w:fill="auto"/>
          <w:vAlign w:val="bottom"/>
        </w:tcPr>
        <w:p w:rsidR="00194DE7" w:rsidRDefault="00194DE7" w:rsidP="00194DE7">
          <w:pPr>
            <w:pStyle w:val="Header"/>
            <w:spacing w:after="120"/>
          </w:pPr>
        </w:p>
      </w:tc>
      <w:tc>
        <w:tcPr>
          <w:tcW w:w="2059" w:type="dxa"/>
          <w:tcBorders>
            <w:bottom w:val="single" w:sz="4" w:space="0" w:color="auto"/>
          </w:tcBorders>
          <w:shd w:val="clear" w:color="auto" w:fill="auto"/>
          <w:vAlign w:val="bottom"/>
        </w:tcPr>
        <w:p w:rsidR="00194DE7" w:rsidRPr="00194DE7" w:rsidRDefault="00194DE7" w:rsidP="00194DE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4DE7" w:rsidRDefault="00194DE7" w:rsidP="00194DE7">
          <w:pPr>
            <w:pStyle w:val="Header"/>
            <w:spacing w:after="120"/>
          </w:pPr>
        </w:p>
      </w:tc>
      <w:tc>
        <w:tcPr>
          <w:tcW w:w="6653" w:type="dxa"/>
          <w:gridSpan w:val="4"/>
          <w:tcBorders>
            <w:bottom w:val="single" w:sz="4" w:space="0" w:color="auto"/>
          </w:tcBorders>
          <w:shd w:val="clear" w:color="auto" w:fill="auto"/>
          <w:vAlign w:val="bottom"/>
        </w:tcPr>
        <w:p w:rsidR="00194DE7" w:rsidRPr="00194DE7" w:rsidRDefault="00194DE7" w:rsidP="00194DE7">
          <w:pPr>
            <w:spacing w:after="80" w:line="240" w:lineRule="auto"/>
            <w:jc w:val="right"/>
            <w:rPr>
              <w:position w:val="-4"/>
            </w:rPr>
          </w:pPr>
          <w:r>
            <w:rPr>
              <w:position w:val="-4"/>
              <w:sz w:val="40"/>
            </w:rPr>
            <w:t>CERD</w:t>
          </w:r>
          <w:r>
            <w:rPr>
              <w:position w:val="-4"/>
            </w:rPr>
            <w:t>/C/MKD/Q/8-10</w:t>
          </w:r>
        </w:p>
      </w:tc>
    </w:tr>
    <w:tr w:rsidR="00194DE7" w:rsidRPr="00194DE7" w:rsidTr="00194DE7">
      <w:trPr>
        <w:gridAfter w:val="1"/>
        <w:wAfter w:w="18" w:type="dxa"/>
        <w:trHeight w:hRule="exact" w:val="2880"/>
      </w:trPr>
      <w:tc>
        <w:tcPr>
          <w:tcW w:w="1267" w:type="dxa"/>
          <w:tcBorders>
            <w:top w:val="single" w:sz="4" w:space="0" w:color="auto"/>
            <w:bottom w:val="single" w:sz="12" w:space="0" w:color="auto"/>
          </w:tcBorders>
          <w:shd w:val="clear" w:color="auto" w:fill="auto"/>
        </w:tcPr>
        <w:p w:rsidR="00194DE7" w:rsidRPr="00194DE7" w:rsidRDefault="00194DE7" w:rsidP="00194DE7">
          <w:pPr>
            <w:pStyle w:val="Header"/>
            <w:spacing w:before="120"/>
            <w:jc w:val="center"/>
          </w:pPr>
          <w:r>
            <w:t xml:space="preserve"> </w:t>
          </w:r>
          <w:r>
            <w:rPr>
              <w:lang w:val="es-ES" w:eastAsia="es-ES"/>
            </w:rPr>
            <w:drawing>
              <wp:inline distT="0" distB="0" distL="0" distR="0" wp14:anchorId="6C9288D7" wp14:editId="4C9889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94DE7" w:rsidRPr="00194DE7" w:rsidRDefault="00194DE7" w:rsidP="00194DE7">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194DE7" w:rsidRPr="00A6336F" w:rsidRDefault="00194DE7" w:rsidP="00194DE7">
          <w:pPr>
            <w:pStyle w:val="Header"/>
            <w:spacing w:before="109"/>
            <w:rPr>
              <w:lang w:val="es-ES"/>
            </w:rPr>
          </w:pPr>
        </w:p>
      </w:tc>
      <w:tc>
        <w:tcPr>
          <w:tcW w:w="3280" w:type="dxa"/>
          <w:tcBorders>
            <w:top w:val="single" w:sz="4" w:space="0" w:color="auto"/>
            <w:bottom w:val="single" w:sz="12" w:space="0" w:color="auto"/>
          </w:tcBorders>
          <w:shd w:val="clear" w:color="auto" w:fill="auto"/>
        </w:tcPr>
        <w:p w:rsidR="00194DE7" w:rsidRDefault="00194DE7" w:rsidP="00194DE7">
          <w:pPr>
            <w:pStyle w:val="Distribution"/>
            <w:spacing w:before="240"/>
          </w:pPr>
          <w:r>
            <w:t>Distr. general</w:t>
          </w:r>
        </w:p>
        <w:p w:rsidR="00194DE7" w:rsidRDefault="00194DE7" w:rsidP="00194DE7">
          <w:pPr>
            <w:pStyle w:val="Publication"/>
          </w:pPr>
          <w:r>
            <w:t>15 de junio de 2015</w:t>
          </w:r>
        </w:p>
        <w:p w:rsidR="00194DE7" w:rsidRDefault="00194DE7" w:rsidP="00194DE7">
          <w:r>
            <w:t>Español</w:t>
          </w:r>
        </w:p>
        <w:p w:rsidR="00194DE7" w:rsidRDefault="00194DE7" w:rsidP="00194DE7">
          <w:pPr>
            <w:pStyle w:val="Original"/>
          </w:pPr>
          <w:r>
            <w:t>Original: inglés</w:t>
          </w:r>
          <w:r w:rsidR="00A6336F">
            <w:br/>
            <w:t>Español, francés e inglés únicamente</w:t>
          </w:r>
        </w:p>
        <w:p w:rsidR="00194DE7" w:rsidRPr="00194DE7" w:rsidRDefault="00194DE7" w:rsidP="00194DE7"/>
      </w:tc>
    </w:tr>
  </w:tbl>
  <w:p w:rsidR="00194DE7" w:rsidRPr="00A6336F" w:rsidRDefault="00194DE7" w:rsidP="00194DE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5546"/>
    <w:multiLevelType w:val="hybridMultilevel"/>
    <w:tmpl w:val="26DC2C5C"/>
    <w:lvl w:ilvl="0" w:tplc="0C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9CB594C"/>
    <w:multiLevelType w:val="singleLevel"/>
    <w:tmpl w:val="625E2FAE"/>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D8E0DB4"/>
    <w:multiLevelType w:val="singleLevel"/>
    <w:tmpl w:val="625E2FAE"/>
    <w:lvl w:ilvl="0">
      <w:start w:val="1"/>
      <w:numFmt w:val="decimal"/>
      <w:lvlRestart w:val="0"/>
      <w:lvlText w:val="%1."/>
      <w:lvlJc w:val="left"/>
      <w:pPr>
        <w:tabs>
          <w:tab w:val="num" w:pos="475"/>
        </w:tabs>
        <w:ind w:left="0" w:firstLine="0"/>
      </w:pPr>
      <w:rPr>
        <w:spacing w:val="0"/>
        <w:w w:val="100"/>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45DB1B6B"/>
    <w:multiLevelType w:val="singleLevel"/>
    <w:tmpl w:val="625E2FAE"/>
    <w:lvl w:ilvl="0">
      <w:start w:val="1"/>
      <w:numFmt w:val="decimal"/>
      <w:lvlRestart w:val="0"/>
      <w:lvlText w:val="%1."/>
      <w:lvlJc w:val="left"/>
      <w:pPr>
        <w:tabs>
          <w:tab w:val="num" w:pos="475"/>
        </w:tabs>
        <w:ind w:left="0" w:firstLine="0"/>
      </w:pPr>
      <w:rPr>
        <w:spacing w:val="0"/>
        <w:w w:val="100"/>
      </w:rPr>
    </w:lvl>
  </w:abstractNum>
  <w:abstractNum w:abstractNumId="7">
    <w:nsid w:val="47037AEA"/>
    <w:multiLevelType w:val="hybridMultilevel"/>
    <w:tmpl w:val="0E6CC3FE"/>
    <w:lvl w:ilvl="0" w:tplc="0C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96C68F7"/>
    <w:multiLevelType w:val="hybridMultilevel"/>
    <w:tmpl w:val="5BC04802"/>
    <w:lvl w:ilvl="0" w:tplc="0C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5CB071B"/>
    <w:multiLevelType w:val="hybridMultilevel"/>
    <w:tmpl w:val="2600549A"/>
    <w:lvl w:ilvl="0" w:tplc="0C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95C7008"/>
    <w:multiLevelType w:val="singleLevel"/>
    <w:tmpl w:val="625E2FAE"/>
    <w:lvl w:ilvl="0">
      <w:start w:val="1"/>
      <w:numFmt w:val="decimal"/>
      <w:lvlRestart w:val="0"/>
      <w:lvlText w:val="%1."/>
      <w:lvlJc w:val="left"/>
      <w:pPr>
        <w:tabs>
          <w:tab w:val="num" w:pos="475"/>
        </w:tabs>
        <w:ind w:left="0" w:firstLine="0"/>
      </w:pPr>
      <w:rPr>
        <w:spacing w:val="0"/>
        <w:w w:val="100"/>
      </w:rPr>
    </w:lvl>
  </w:abstractNum>
  <w:abstractNum w:abstractNumId="1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3"/>
  </w:num>
  <w:num w:numId="3">
    <w:abstractNumId w:val="9"/>
  </w:num>
  <w:num w:numId="4">
    <w:abstractNumId w:val="12"/>
  </w:num>
  <w:num w:numId="5">
    <w:abstractNumId w:val="5"/>
  </w:num>
  <w:num w:numId="6">
    <w:abstractNumId w:val="0"/>
  </w:num>
  <w:num w:numId="7">
    <w:abstractNumId w:val="7"/>
  </w:num>
  <w:num w:numId="8">
    <w:abstractNumId w:val="8"/>
  </w:num>
  <w:num w:numId="9">
    <w:abstractNumId w:val="10"/>
  </w:num>
  <w:num w:numId="10">
    <w:abstractNumId w:val="4"/>
  </w:num>
  <w:num w:numId="11">
    <w:abstractNumId w:val="11"/>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33*"/>
    <w:docVar w:name="CreationDt" w:val="7/8/2015 12:58 PM"/>
    <w:docVar w:name="DocCategory" w:val="Doc"/>
    <w:docVar w:name="DocType" w:val="Final"/>
    <w:docVar w:name="DutyStation" w:val="Geneva"/>
    <w:docVar w:name="FooterJN" w:val="15-09733"/>
    <w:docVar w:name="jobn" w:val="15-09733 (S)"/>
    <w:docVar w:name="jobnDT" w:val="15-09733 (S)   080715"/>
    <w:docVar w:name="jobnDTDT" w:val="15-09733 (S)   080715   080715"/>
    <w:docVar w:name="JobNo" w:val="1509733S"/>
    <w:docVar w:name="JobNo2" w:val="151260412:58 PM"/>
    <w:docVar w:name="LocalDrive" w:val="0"/>
    <w:docVar w:name="OandT" w:val="Mabel"/>
    <w:docVar w:name="PaperSize" w:val="A4"/>
    <w:docVar w:name="sss1" w:val="CERD/C/MKD/Q/8-10"/>
    <w:docVar w:name="sss2" w:val="-"/>
    <w:docVar w:name="Symbol1" w:val="CERD/C/MKD/Q/8-10"/>
    <w:docVar w:name="Symbol2" w:val="-"/>
  </w:docVars>
  <w:rsids>
    <w:rsidRoot w:val="0088684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62FE"/>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3E1D"/>
    <w:rsid w:val="00186A14"/>
    <w:rsid w:val="00187C4A"/>
    <w:rsid w:val="00190B00"/>
    <w:rsid w:val="00194DE7"/>
    <w:rsid w:val="00195EFF"/>
    <w:rsid w:val="001A2E38"/>
    <w:rsid w:val="001A2FAC"/>
    <w:rsid w:val="001A4FD8"/>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121D"/>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1A1A"/>
    <w:rsid w:val="0035601E"/>
    <w:rsid w:val="003626AF"/>
    <w:rsid w:val="00363CCE"/>
    <w:rsid w:val="00364682"/>
    <w:rsid w:val="00364F73"/>
    <w:rsid w:val="003651F2"/>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0EE"/>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684D"/>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336F"/>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36D1C"/>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622DC"/>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45F"/>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2F05"/>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94DE7"/>
    <w:pPr>
      <w:spacing w:line="240" w:lineRule="auto"/>
    </w:pPr>
    <w:rPr>
      <w:szCs w:val="20"/>
    </w:rPr>
  </w:style>
  <w:style w:type="character" w:customStyle="1" w:styleId="CommentTextChar">
    <w:name w:val="Comment Text Char"/>
    <w:basedOn w:val="DefaultParagraphFont"/>
    <w:link w:val="CommentText"/>
    <w:rsid w:val="00194DE7"/>
    <w:rPr>
      <w:rFonts w:ascii="Times New Roman" w:hAnsi="Times New Roman"/>
      <w:spacing w:val="4"/>
      <w:w w:val="103"/>
      <w:lang w:val="es-ES"/>
    </w:rPr>
  </w:style>
  <w:style w:type="paragraph" w:styleId="CommentSubject">
    <w:name w:val="annotation subject"/>
    <w:basedOn w:val="CommentText"/>
    <w:next w:val="CommentText"/>
    <w:link w:val="CommentSubjectChar"/>
    <w:rsid w:val="00194DE7"/>
    <w:rPr>
      <w:b/>
      <w:bCs/>
    </w:rPr>
  </w:style>
  <w:style w:type="character" w:customStyle="1" w:styleId="CommentSubjectChar">
    <w:name w:val="Comment Subject Char"/>
    <w:basedOn w:val="CommentTextChar"/>
    <w:link w:val="CommentSubject"/>
    <w:rsid w:val="00194DE7"/>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94DE7"/>
    <w:pPr>
      <w:spacing w:line="240" w:lineRule="auto"/>
    </w:pPr>
    <w:rPr>
      <w:szCs w:val="20"/>
    </w:rPr>
  </w:style>
  <w:style w:type="character" w:customStyle="1" w:styleId="CommentTextChar">
    <w:name w:val="Comment Text Char"/>
    <w:basedOn w:val="DefaultParagraphFont"/>
    <w:link w:val="CommentText"/>
    <w:rsid w:val="00194DE7"/>
    <w:rPr>
      <w:rFonts w:ascii="Times New Roman" w:hAnsi="Times New Roman"/>
      <w:spacing w:val="4"/>
      <w:w w:val="103"/>
      <w:lang w:val="es-ES"/>
    </w:rPr>
  </w:style>
  <w:style w:type="paragraph" w:styleId="CommentSubject">
    <w:name w:val="annotation subject"/>
    <w:basedOn w:val="CommentText"/>
    <w:next w:val="CommentText"/>
    <w:link w:val="CommentSubjectChar"/>
    <w:rsid w:val="00194DE7"/>
    <w:rPr>
      <w:b/>
      <w:bCs/>
    </w:rPr>
  </w:style>
  <w:style w:type="character" w:customStyle="1" w:styleId="CommentSubjectChar">
    <w:name w:val="Comment Subject Char"/>
    <w:basedOn w:val="CommentTextChar"/>
    <w:link w:val="CommentSubject"/>
    <w:rsid w:val="00194DE7"/>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D41C2-5CC6-48F2-942F-ACBC9D8CD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1202</Words>
  <Characters>6616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7803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2015-07-08T12:18:00Z</cp:lastPrinted>
  <dcterms:created xsi:type="dcterms:W3CDTF">2015-07-08T12:18:00Z</dcterms:created>
  <dcterms:modified xsi:type="dcterms:W3CDTF">2015-07-08T12:18:00Z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1509733</vt:lpwstr>
  </property>
  <property fmtid="{D5CDD505-2E9C-101B-9397-08002B2CF9AE}" pid="3" name="ODSRefJobNo">
    <vt:lpwstr>1512604</vt:lpwstr>
  </property>
  <property fmtid="{D5CDD505-2E9C-101B-9397-08002B2CF9AE}" pid="4" name="Symbol1">
    <vt:lpwstr>CERD/C/MKD/Q/8-10</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junio de 2015</vt:lpwstr>
  </property>
  <property fmtid="{D5CDD505-2E9C-101B-9397-08002B2CF9AE}" pid="8" name="Original">
    <vt:lpwstr>inglés</vt:lpwstr>
  </property>
  <property fmtid="{D5CDD505-2E9C-101B-9397-08002B2CF9AE}" pid="9" name="Release Date">
    <vt:lpwstr>080715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