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A3CA2BA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75C1A01" w14:textId="77777777" w:rsidR="002D5AAC" w:rsidRDefault="002D5AAC" w:rsidP="00E6353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35E652A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75BDD11" w14:textId="51C62A48" w:rsidR="002D5AAC" w:rsidRDefault="00E6353B" w:rsidP="00E6353B">
            <w:pPr>
              <w:jc w:val="right"/>
            </w:pPr>
            <w:r w:rsidRPr="00E6353B">
              <w:rPr>
                <w:sz w:val="40"/>
              </w:rPr>
              <w:t>CCPR</w:t>
            </w:r>
            <w:r>
              <w:t>/C/PAK/CO/2</w:t>
            </w:r>
          </w:p>
        </w:tc>
      </w:tr>
      <w:tr w:rsidR="002D5AAC" w:rsidRPr="00D83D10" w14:paraId="09C2B45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3B935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1089682" wp14:editId="2182D4B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F9014F2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D93A08D" w14:textId="77777777" w:rsidR="002D5AAC" w:rsidRPr="00E6353B" w:rsidRDefault="00E6353B" w:rsidP="00BC3629">
            <w:pPr>
              <w:spacing w:before="240"/>
              <w:rPr>
                <w:lang w:val="en-US"/>
              </w:rPr>
            </w:pPr>
            <w:r w:rsidRPr="00E6353B">
              <w:rPr>
                <w:lang w:val="en-US"/>
              </w:rPr>
              <w:t>Distr.: General</w:t>
            </w:r>
          </w:p>
          <w:p w14:paraId="6744A12C" w14:textId="77777777" w:rsidR="00E6353B" w:rsidRPr="00E6353B" w:rsidRDefault="00E6353B" w:rsidP="00E6353B">
            <w:pPr>
              <w:spacing w:line="240" w:lineRule="exact"/>
              <w:rPr>
                <w:lang w:val="en-US"/>
              </w:rPr>
            </w:pPr>
            <w:r w:rsidRPr="00E6353B">
              <w:rPr>
                <w:lang w:val="en-US"/>
              </w:rPr>
              <w:t>2 December 2024</w:t>
            </w:r>
          </w:p>
          <w:p w14:paraId="1443F242" w14:textId="77777777" w:rsidR="00E6353B" w:rsidRPr="00E6353B" w:rsidRDefault="00E6353B" w:rsidP="00E6353B">
            <w:pPr>
              <w:spacing w:line="240" w:lineRule="exact"/>
              <w:rPr>
                <w:lang w:val="en-US"/>
              </w:rPr>
            </w:pPr>
            <w:r w:rsidRPr="00E6353B">
              <w:rPr>
                <w:lang w:val="en-US"/>
              </w:rPr>
              <w:t>Russian</w:t>
            </w:r>
          </w:p>
          <w:p w14:paraId="6580657F" w14:textId="6C785F8E" w:rsidR="00E6353B" w:rsidRPr="00E6353B" w:rsidRDefault="00E6353B" w:rsidP="00E6353B">
            <w:pPr>
              <w:spacing w:line="240" w:lineRule="exact"/>
              <w:rPr>
                <w:lang w:val="en-US"/>
              </w:rPr>
            </w:pPr>
            <w:r w:rsidRPr="00E6353B">
              <w:rPr>
                <w:lang w:val="en-US"/>
              </w:rPr>
              <w:t>Original: English</w:t>
            </w:r>
          </w:p>
        </w:tc>
      </w:tr>
    </w:tbl>
    <w:p w14:paraId="04D644C7" w14:textId="77777777" w:rsidR="00E6353B" w:rsidRPr="00524988" w:rsidRDefault="00E6353B" w:rsidP="00E6353B">
      <w:pPr>
        <w:spacing w:before="120"/>
        <w:rPr>
          <w:b/>
          <w:sz w:val="24"/>
          <w:szCs w:val="24"/>
        </w:rPr>
      </w:pPr>
      <w:r w:rsidRPr="00524988">
        <w:rPr>
          <w:b/>
          <w:bCs/>
          <w:sz w:val="24"/>
          <w:szCs w:val="24"/>
        </w:rPr>
        <w:t>Комитет по правам человека</w:t>
      </w:r>
    </w:p>
    <w:p w14:paraId="2B1939EC" w14:textId="77777777" w:rsidR="00E6353B" w:rsidRPr="00571D42" w:rsidRDefault="00E6353B" w:rsidP="00E6353B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Пакистана</w:t>
      </w:r>
      <w:r w:rsidRPr="00740C2B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01CFCBFC" w14:textId="77777777" w:rsidR="00E6353B" w:rsidRPr="00571D42" w:rsidRDefault="00E6353B" w:rsidP="00E6353B">
      <w:pPr>
        <w:pStyle w:val="SingleTxtG"/>
      </w:pPr>
      <w:r>
        <w:t>1.</w:t>
      </w:r>
      <w:r>
        <w:tab/>
        <w:t>Комитет рассмотрел второй периодический доклад Пакистана</w:t>
      </w:r>
      <w:r w:rsidRPr="00C12EDF">
        <w:rPr>
          <w:rStyle w:val="aa"/>
        </w:rPr>
        <w:footnoteReference w:id="2"/>
      </w:r>
      <w:r>
        <w:t xml:space="preserve"> на своих 4154-м и 4155-м заседаниях</w:t>
      </w:r>
      <w:r w:rsidRPr="00C12EDF">
        <w:rPr>
          <w:rStyle w:val="aa"/>
        </w:rPr>
        <w:footnoteReference w:id="3"/>
      </w:r>
      <w:r>
        <w:t>, состоявшихся 17 и 18 октября 2024 года. На своем 4175</w:t>
      </w:r>
      <w:r w:rsidRPr="00524988">
        <w:noBreakHyphen/>
      </w:r>
      <w:r>
        <w:t>м</w:t>
      </w:r>
      <w:r>
        <w:rPr>
          <w:lang w:val="en-US"/>
        </w:rPr>
        <w:t> </w:t>
      </w:r>
      <w:r>
        <w:t xml:space="preserve">заседании, состоявшемся 1 ноября 2024 года, он принял настоящие заключительные замечания. </w:t>
      </w:r>
    </w:p>
    <w:p w14:paraId="1BD12D55" w14:textId="77777777" w:rsidR="00E6353B" w:rsidRPr="00571D42" w:rsidRDefault="00E6353B" w:rsidP="00E6353B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42C4E4DB" w14:textId="77777777" w:rsidR="00E6353B" w:rsidRPr="00571D42" w:rsidRDefault="00E6353B" w:rsidP="00E6353B">
      <w:pPr>
        <w:pStyle w:val="SingleTxtG"/>
      </w:pPr>
      <w:r>
        <w:t>2.</w:t>
      </w:r>
      <w:r>
        <w:tab/>
        <w:t>Комитет приветствует представление второго периодического доклада Пакистана и содержащуюся в нем информацию. Он выражает признательность за возможность возобновить конструктивный диалог с высокопоставленной делегацией государства-участника о мерах, принятых в отчетный период для осуществления положений Пакта. Комитет выражает признательность государству-участнику за его письменные ответы</w:t>
      </w:r>
      <w:r w:rsidRPr="00C12EDF">
        <w:rPr>
          <w:rStyle w:val="aa"/>
        </w:rPr>
        <w:footnoteReference w:id="4"/>
      </w:r>
      <w:r>
        <w:t xml:space="preserve"> на перечень вопросов</w:t>
      </w:r>
      <w:r w:rsidRPr="00C12EDF">
        <w:rPr>
          <w:rStyle w:val="aa"/>
        </w:rPr>
        <w:footnoteReference w:id="5"/>
      </w:r>
      <w:r>
        <w:t>, которые были дополнены устными ответами делегации, а также за дополнительную информацию, предоставленную ему в письменном виде.</w:t>
      </w:r>
    </w:p>
    <w:p w14:paraId="168C8146" w14:textId="77777777" w:rsidR="00E6353B" w:rsidRPr="00571D42" w:rsidRDefault="00E6353B" w:rsidP="00E6353B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27481A7F" w14:textId="77777777" w:rsidR="00E6353B" w:rsidRPr="00571D42" w:rsidRDefault="00E6353B" w:rsidP="00BC4158">
      <w:pPr>
        <w:pStyle w:val="SingleTxtG"/>
      </w:pPr>
      <w:r>
        <w:t>3.</w:t>
      </w:r>
      <w:r>
        <w:tab/>
        <w:t>Комитет приветствует принятие государством-участником следующих законодательных и политических мер:</w:t>
      </w:r>
    </w:p>
    <w:p w14:paraId="142D393B" w14:textId="77777777" w:rsidR="00E6353B" w:rsidRPr="00571D42" w:rsidRDefault="00E6353B" w:rsidP="00E6353B">
      <w:pPr>
        <w:pStyle w:val="SingleTxtG"/>
        <w:ind w:firstLine="567"/>
      </w:pPr>
      <w:r>
        <w:t>a)</w:t>
      </w:r>
      <w:r>
        <w:tab/>
        <w:t>Национальной рамочной гендерной политики, 2022 год;</w:t>
      </w:r>
    </w:p>
    <w:p w14:paraId="25F93DAA" w14:textId="77777777" w:rsidR="00E6353B" w:rsidRPr="00571D42" w:rsidRDefault="00E6353B" w:rsidP="00E6353B">
      <w:pPr>
        <w:pStyle w:val="SingleTxtG"/>
        <w:ind w:firstLine="567"/>
      </w:pPr>
      <w:r>
        <w:t>b)</w:t>
      </w:r>
      <w:r>
        <w:tab/>
        <w:t>Закона провинции Хайбер-Пахтунхва о домашнем насилии в отношении женщин (предупреждение и защита), 2021 год;</w:t>
      </w:r>
    </w:p>
    <w:p w14:paraId="65BF6332" w14:textId="77777777" w:rsidR="00E6353B" w:rsidRPr="00571D42" w:rsidRDefault="00E6353B" w:rsidP="00E6353B">
      <w:pPr>
        <w:pStyle w:val="SingleTxtG"/>
        <w:ind w:firstLine="567"/>
      </w:pPr>
      <w:r>
        <w:t>c)</w:t>
      </w:r>
      <w:r>
        <w:tab/>
        <w:t>Закона о защите журналистов и работников СМИ, 2021 год;</w:t>
      </w:r>
    </w:p>
    <w:p w14:paraId="7A4D5718" w14:textId="77777777" w:rsidR="00E6353B" w:rsidRPr="00571D42" w:rsidRDefault="00E6353B" w:rsidP="00E6353B">
      <w:pPr>
        <w:pStyle w:val="SingleTxtG"/>
        <w:ind w:firstLine="567"/>
      </w:pPr>
      <w:r>
        <w:t>d)</w:t>
      </w:r>
      <w:r>
        <w:tab/>
        <w:t>Закона о правовой помощи и правосудии, 2020 год;</w:t>
      </w:r>
    </w:p>
    <w:p w14:paraId="04131D12" w14:textId="77777777" w:rsidR="00E6353B" w:rsidRPr="00571D42" w:rsidRDefault="00E6353B" w:rsidP="00E6353B">
      <w:pPr>
        <w:pStyle w:val="SingleTxtG"/>
        <w:ind w:firstLine="567"/>
      </w:pPr>
      <w:r>
        <w:t>e)</w:t>
      </w:r>
      <w:r>
        <w:tab/>
        <w:t>Закона о предотвращении торговли людьми, 2018 год;</w:t>
      </w:r>
    </w:p>
    <w:p w14:paraId="6C4EFE00" w14:textId="77777777" w:rsidR="00E6353B" w:rsidRPr="00571D42" w:rsidRDefault="00E6353B" w:rsidP="00E6353B">
      <w:pPr>
        <w:pStyle w:val="SingleTxtG"/>
        <w:ind w:firstLine="567"/>
      </w:pPr>
      <w:r>
        <w:t>f)</w:t>
      </w:r>
      <w:r>
        <w:tab/>
        <w:t>Закона о системе отправления правосудия в отношении несовершеннолетних, 2018 год;</w:t>
      </w:r>
    </w:p>
    <w:p w14:paraId="2D732443" w14:textId="77777777" w:rsidR="00E6353B" w:rsidRPr="00571D42" w:rsidRDefault="00E6353B" w:rsidP="003E2862">
      <w:pPr>
        <w:pStyle w:val="SingleTxtG"/>
        <w:ind w:firstLine="567"/>
      </w:pPr>
      <w:bookmarkStart w:id="0" w:name="_Hlk179978431"/>
      <w:r>
        <w:t>g)</w:t>
      </w:r>
      <w:r>
        <w:tab/>
        <w:t>Закона о трансгендерных лицах (защита прав), 2018 год;</w:t>
      </w:r>
      <w:bookmarkEnd w:id="0"/>
    </w:p>
    <w:p w14:paraId="3542E54C" w14:textId="77777777" w:rsidR="00E6353B" w:rsidRPr="00225D66" w:rsidRDefault="00E6353B" w:rsidP="00E6353B">
      <w:pPr>
        <w:pStyle w:val="SingleTxtG"/>
        <w:ind w:firstLine="567"/>
        <w:rPr>
          <w:rStyle w:val="aa"/>
          <w:sz w:val="20"/>
          <w:vertAlign w:val="baseline"/>
        </w:rPr>
      </w:pPr>
      <w:r>
        <w:lastRenderedPageBreak/>
        <w:t>h)</w:t>
      </w:r>
      <w:r>
        <w:tab/>
        <w:t>Закона о предупреждении преступлений, связанных с использованием кислоты и ожогами, 2018 год.</w:t>
      </w:r>
    </w:p>
    <w:p w14:paraId="62636EF9" w14:textId="77777777" w:rsidR="00E6353B" w:rsidRPr="00571D42" w:rsidRDefault="00E6353B" w:rsidP="00E6353B">
      <w:pPr>
        <w:pStyle w:val="H1G"/>
      </w:pPr>
      <w:r>
        <w:rPr>
          <w:bCs/>
        </w:rPr>
        <w:tab/>
        <w:t>C.</w:t>
      </w:r>
      <w:r>
        <w:tab/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1BA5228C" w14:textId="77777777" w:rsidR="00E6353B" w:rsidRPr="00571D42" w:rsidRDefault="00E6353B" w:rsidP="00E6353B">
      <w:pPr>
        <w:pStyle w:val="H23G"/>
      </w:pPr>
      <w:bookmarkStart w:id="1" w:name="_Toc529980681"/>
      <w:r>
        <w:tab/>
      </w:r>
      <w:r>
        <w:tab/>
      </w:r>
      <w:r>
        <w:rPr>
          <w:bCs/>
        </w:rPr>
        <w:t>Конституционная и правовая основа осуществления Пакта и оговорки</w:t>
      </w:r>
      <w:bookmarkEnd w:id="1"/>
    </w:p>
    <w:p w14:paraId="292B1167" w14:textId="77777777" w:rsidR="00E6353B" w:rsidRPr="00571D42" w:rsidRDefault="00E6353B" w:rsidP="00E6353B">
      <w:pPr>
        <w:pStyle w:val="SingleTxtG"/>
      </w:pPr>
      <w:r>
        <w:t>4.</w:t>
      </w:r>
      <w:r>
        <w:tab/>
        <w:t>Комитет отмечает законодательство, принятое на федеральном уровне и на уровне провинций со времени последнего обзора, включая список, предоставленный делегацией государства-участника. Тем не менее он по-прежнему обеспокоен тем, что не все права, закрепленные в Пакте, были должным образом инкорпорированы во внутреннюю правовую систему. Отмечая тенденцию к более широкому применению Пакта Верховным судом и некоторыми национальными судами, он выражает обеспокоенность в связи с тем, что эта практика по-прежнему осуществляется по усмотрению суда. Комитет сожалеет о том, что государство-участник сохраняет свои оговорки к статьям 3 и 25 Пакта (ст. 2).</w:t>
      </w:r>
    </w:p>
    <w:p w14:paraId="74476D43" w14:textId="77777777" w:rsidR="00E6353B" w:rsidRPr="00571D42" w:rsidRDefault="00E6353B" w:rsidP="00E6353B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C12EDF">
        <w:rPr>
          <w:rStyle w:val="aa"/>
        </w:rPr>
        <w:footnoteReference w:id="6"/>
      </w:r>
      <w:r>
        <w:rPr>
          <w:b/>
          <w:bCs/>
        </w:rPr>
        <w:t xml:space="preserve"> государству-участнику следует обеспечить, чтобы все положения Пакта были полностью инкорпорированы в национальную правовую систему и реализовались в полной мере.</w:t>
      </w:r>
      <w:r>
        <w:t xml:space="preserve"> </w:t>
      </w:r>
      <w:r>
        <w:rPr>
          <w:b/>
          <w:bCs/>
        </w:rPr>
        <w:t>Государству-участнику следует также обеспечить толкование и применение внутреннего законодательства в полном соответствии с его обязательствами по Пакту.</w:t>
      </w:r>
      <w:r>
        <w:t xml:space="preserve"> </w:t>
      </w:r>
      <w:r>
        <w:rPr>
          <w:b/>
          <w:bCs/>
        </w:rPr>
        <w:t>Кроме того, государству-участнику следует обеспечить, чтобы все права, закрепленные в Пакте, применялись национальными судами на всех уровнях, в том числе путем повышения уровня подготовки судей, прокуроров, адвокатов и государственных служащих по вопросам, связанным с Пактом.</w:t>
      </w:r>
      <w:r>
        <w:t xml:space="preserve"> </w:t>
      </w:r>
      <w:r>
        <w:rPr>
          <w:b/>
          <w:bCs/>
        </w:rPr>
        <w:t>В соответствии с предыдущей рекомендацией Комитета</w:t>
      </w:r>
      <w:r w:rsidRPr="00C12EDF">
        <w:rPr>
          <w:rStyle w:val="aa"/>
        </w:rPr>
        <w:footnoteReference w:id="7"/>
      </w:r>
      <w:r>
        <w:rPr>
          <w:b/>
          <w:bCs/>
        </w:rPr>
        <w:t xml:space="preserve"> государству-участнику следует предпринять конкретные шаги по снятию своих оговорок к статьям 3 и 25 для обеспечения полного и эффективного применения Пакта, а также рассмотреть возможность присоединения к первому Факультативному протоколу к Пакту.</w:t>
      </w:r>
    </w:p>
    <w:p w14:paraId="7337A32A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387B7DF7" w14:textId="77777777" w:rsidR="00E6353B" w:rsidRPr="00571D42" w:rsidRDefault="00E6353B" w:rsidP="00E6353B">
      <w:pPr>
        <w:pStyle w:val="SingleTxtG"/>
      </w:pPr>
      <w:r>
        <w:t>6.</w:t>
      </w:r>
      <w:r>
        <w:tab/>
        <w:t>Комитет приветствует аккредитацию Глобальным альянсом национальных правозащитных учреждений Национальной комиссии по правам человека со статусом «А» в апреле 2024 года. Однако он по-прежнему обеспокоен тем, что некоторые положения Закона о Национальной комиссии по правам человека 2012 года ограничивают возможности Комиссии проводить полноценные расследования по жалобам на нарушения прав человека военнослужащими и заявлениям о действиях или практике спецслужб, которые противоречат правам человека или несовместимы с ними. Он обеспокоен также тем, что нынешний процесс отбора и назначения членов Комиссии не предусматривает широкого участия организаций гражданского общества (ст. 2).</w:t>
      </w:r>
      <w:bookmarkStart w:id="2" w:name="_Hlk179975223"/>
      <w:bookmarkEnd w:id="2"/>
    </w:p>
    <w:p w14:paraId="749C425F" w14:textId="77777777" w:rsidR="00E6353B" w:rsidRPr="00571D42" w:rsidRDefault="00E6353B" w:rsidP="00E6353B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C12EDF">
        <w:rPr>
          <w:rStyle w:val="aa"/>
        </w:rPr>
        <w:footnoteReference w:id="8"/>
      </w:r>
      <w:r>
        <w:rPr>
          <w:b/>
          <w:bCs/>
        </w:rPr>
        <w:t xml:space="preserve"> государству-участнику следует обеспечить, чтобы Национальная комиссия по правам человека обладала полномочиями по расследованию всех утверждений о нарушениях прав человека, совершенных сотрудниками спецслужб и вооруженных сил.</w:t>
      </w:r>
      <w:r>
        <w:t xml:space="preserve"> </w:t>
      </w:r>
      <w:r>
        <w:rPr>
          <w:b/>
          <w:bCs/>
        </w:rPr>
        <w:t>Ему следует также продолжать свои усилия по обеспечению полного соответствия Национальной комиссии принципам, касающимся статуса национальных учреждений, занимающихся поощрением и защитой прав человека (Парижские принципы), в том числе путем выполнения рекомендаций Глобального альянса национальных правозащитных учреждений, в частности в отношении надлежащего участия организаций гражданского общества в процессе отбора и назначения членов Комиссии.</w:t>
      </w:r>
      <w:r>
        <w:t xml:space="preserve"> </w:t>
      </w:r>
      <w:r>
        <w:rPr>
          <w:b/>
          <w:bCs/>
        </w:rPr>
        <w:t>Кроме того, ему следует обеспечить предоставление Национальной комиссии людских, финансовых и технических ресурсов, необходимых для эффективного выполнения ее задач.</w:t>
      </w:r>
    </w:p>
    <w:p w14:paraId="29AB27F4" w14:textId="77777777" w:rsidR="00E6353B" w:rsidRPr="00571D42" w:rsidRDefault="00E6353B" w:rsidP="00E6353B">
      <w:pPr>
        <w:pStyle w:val="H23G"/>
      </w:pPr>
      <w:bookmarkStart w:id="3" w:name="_Hlk180340202"/>
      <w:r>
        <w:tab/>
      </w:r>
      <w:r>
        <w:tab/>
      </w:r>
      <w:r>
        <w:rPr>
          <w:bCs/>
        </w:rPr>
        <w:t>Меры по борьбе с коррупцией</w:t>
      </w:r>
    </w:p>
    <w:bookmarkEnd w:id="3"/>
    <w:p w14:paraId="262895C8" w14:textId="77777777" w:rsidR="00E6353B" w:rsidRPr="00571D42" w:rsidRDefault="00E6353B" w:rsidP="00E6353B">
      <w:pPr>
        <w:pStyle w:val="SingleTxtG"/>
      </w:pPr>
      <w:r>
        <w:t>8.</w:t>
      </w:r>
      <w:r>
        <w:tab/>
        <w:t>Отмечая меры, принятые государством-участником для борьбы с коррупцией, Комитет обеспокоен сообщениями о том, что коррупция по-прежнему распространена на всех уровнях, в том числе в судебной системе, что к сотрудникам судебных и военных органов применяются только внутренние дисциплинарные меры и что механизмы привлечения к ответственности государственных должностных лиц зачастую применяются избирательно и по политическим мотивам. Несмотря на принятие Закона провинции Хайбер-Пахтунхва о Комиссии по защите информаторов и бдительности от 2016 года, Комитет выражает сожаление в связи с отсутствием всеобъемлющего законодательства о защите информаторов на федеральном уровне и на уровне провинций (ст. 2 и 25).</w:t>
      </w:r>
    </w:p>
    <w:p w14:paraId="7E06E0D6" w14:textId="77777777" w:rsidR="00E6353B" w:rsidRPr="00571D42" w:rsidRDefault="00E6353B" w:rsidP="00E6353B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 активизировать свои усилия по предупреждению и искоренению коррупции на всех уровнях и, в частности:</w:t>
      </w:r>
    </w:p>
    <w:p w14:paraId="68EC6102" w14:textId="77777777" w:rsidR="00E6353B" w:rsidRPr="00182ACE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a)</w:t>
      </w:r>
      <w:r w:rsidRPr="00182ACE">
        <w:rPr>
          <w:b/>
          <w:bCs/>
        </w:rPr>
        <w:tab/>
        <w:t>обеспечить эффективное применение антикоррупционного законодательства, укрепить механизмы и процедуры борьбы с коррупцией и обеспечить, чтобы в отношении сотрудников судебных органов, военнослужащих и других государственных должностных лиц действовали эффективные, независимые и прозрачные механизмы борьбы с коррупцией;</w:t>
      </w:r>
    </w:p>
    <w:p w14:paraId="4F527FE3" w14:textId="77777777" w:rsidR="00E6353B" w:rsidRPr="00182ACE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  <w:t>обеспечить оперативное, тщательное и беспристрастное расследование всех заявлений о коррупции, а также привлечение виновных к ответственности и, в случае осуждения, назначение им наказаний, соразмерных тяжести совершенного преступления;</w:t>
      </w:r>
    </w:p>
    <w:p w14:paraId="2B011277" w14:textId="77777777" w:rsidR="00E6353B" w:rsidRPr="00182ACE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  <w:t>обеспечить эффективную подготовку сотрудников правоохранительных органов, прокуроров и судей по вопросам выявления и расследования случаев коррупции и связанных с ней преступлений и привлечения к ответственности за них;</w:t>
      </w:r>
    </w:p>
    <w:p w14:paraId="632E2164" w14:textId="77777777" w:rsidR="00E6353B" w:rsidRPr="00182ACE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  <w:t>обеспечить эффективную защиту информаторов и свидетелей, в том числе путем принятия соответствующего законодательства и создания механизмов защиты.</w:t>
      </w:r>
    </w:p>
    <w:p w14:paraId="7BC3E213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24C4F08F" w14:textId="77777777" w:rsidR="00E6353B" w:rsidRPr="00571D42" w:rsidRDefault="00E6353B" w:rsidP="00E6353B">
      <w:pPr>
        <w:pStyle w:val="SingleTxtG"/>
      </w:pPr>
      <w:r>
        <w:t>10.</w:t>
      </w:r>
      <w:r>
        <w:tab/>
        <w:t xml:space="preserve">Несмотря на положения Конституции, касающиеся недопущения дискриминации и равенства перед законом, Комитет обеспокоен тем, что внутренняя нормативно-правовая база не обеспечивает защиту от дискриминации по всем признакам, охватываемым Пактом. Он обеспокоен также сообщениями о дискриминации в отношении лиц, принадлежащих к этническим и религиозным меньшинствам, включая меньшинства христиан, </w:t>
      </w:r>
      <w:proofErr w:type="spellStart"/>
      <w:r>
        <w:t>ахмадитов</w:t>
      </w:r>
      <w:proofErr w:type="spellEnd"/>
      <w:r>
        <w:t>, белуджи, индуистов, пуштунов и сикхов, а также о дискриминации в отношении женщин и девочек, лесбиянок, геев, бисексуальных, трансгендерных и интерсекс-людей, а также мигрантов, беженцев и просителей убежища (ст. 2, 3 и 26).</w:t>
      </w:r>
    </w:p>
    <w:p w14:paraId="324D68F4" w14:textId="77777777" w:rsidR="00E6353B" w:rsidRPr="00571D42" w:rsidRDefault="00E6353B" w:rsidP="00E6353B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Государству-участнику следует обеспечить, чтобы каждый человек мог пользоваться правами человека, закрепленными в Пакте, без какой-либо дискриминации.</w:t>
      </w:r>
      <w:r>
        <w:t xml:space="preserve"> </w:t>
      </w:r>
      <w:r>
        <w:rPr>
          <w:b/>
          <w:bCs/>
        </w:rPr>
        <w:t>В частности, ему следует:</w:t>
      </w:r>
    </w:p>
    <w:p w14:paraId="5EC02BA9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bookmarkStart w:id="4" w:name="_Hlk180399968"/>
      <w:r w:rsidRPr="00182ACE">
        <w:rPr>
          <w:b/>
          <w:bCs/>
        </w:rPr>
        <w:t>a)</w:t>
      </w:r>
      <w:r w:rsidRPr="00182ACE">
        <w:rPr>
          <w:b/>
          <w:bCs/>
        </w:rPr>
        <w:tab/>
      </w:r>
      <w:r>
        <w:rPr>
          <w:b/>
          <w:bCs/>
        </w:rPr>
        <w:t>принять всеобъемлющее законодательство, запрещающее дискриминацию, включая перекрестную, прямую и косвенную дискриминацию, во всех сферах и по всем признакам, запрещенным Пактом, и обеспечить доступ жертв к эффективным и надлежащим средствам правовой защиты;</w:t>
      </w:r>
      <w:bookmarkEnd w:id="4"/>
    </w:p>
    <w:p w14:paraId="0D57D621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усилить мониторинг и механизмы подачи жалоб на дискриминацию и обеспечить оперативное и эффективное расследование всех актов дискриминации, надлежащее наказание виновных и предоставление жертвам эффективных средств правовой защиты;</w:t>
      </w:r>
    </w:p>
    <w:p w14:paraId="7DBE5A65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принять действенные меры по эффективному предотвращению актов дискриминации и безнаказанности, в том числе путем проведения программ подготовки и повышения информированности для государственных служащих, сотрудников правоохранительных органов, судебной системы, прокуроров, религиозных и общественных лидеров, а также путем поощрения уважения к многообразию среди широкой общественности.</w:t>
      </w:r>
      <w:bookmarkStart w:id="5" w:name="_Hlk180405054"/>
    </w:p>
    <w:p w14:paraId="0A9ECD8E" w14:textId="77777777" w:rsidR="00E6353B" w:rsidRPr="00571D42" w:rsidRDefault="00E6353B" w:rsidP="00E6353B">
      <w:pPr>
        <w:pStyle w:val="H23G"/>
      </w:pPr>
      <w:bookmarkStart w:id="6" w:name="_Hlk180405007"/>
      <w:r>
        <w:tab/>
      </w:r>
      <w:r>
        <w:tab/>
      </w:r>
      <w:r>
        <w:rPr>
          <w:bCs/>
        </w:rPr>
        <w:t>Сексуальная ориентация и гендерная идентичность</w:t>
      </w:r>
      <w:bookmarkEnd w:id="6"/>
    </w:p>
    <w:bookmarkEnd w:id="5"/>
    <w:p w14:paraId="0940739E" w14:textId="77777777" w:rsidR="00E6353B" w:rsidRPr="00571D42" w:rsidRDefault="00E6353B" w:rsidP="00E6353B">
      <w:pPr>
        <w:pStyle w:val="SingleTxtG"/>
      </w:pPr>
      <w:r>
        <w:t>12.</w:t>
      </w:r>
      <w:r>
        <w:tab/>
        <w:t xml:space="preserve">Приветствуя принятие Закона о трансгендерных лицах (защита прав) 2018 года, Комитет обеспокоен решением Федерального шариатского суда Исламабада от мая 2023 года об отмене подпунктов 1 f) и n) </w:t>
      </w:r>
      <w:proofErr w:type="spellStart"/>
      <w:r>
        <w:t>iii</w:t>
      </w:r>
      <w:proofErr w:type="spellEnd"/>
      <w:r>
        <w:t>) статьи 2, статей 3 и 7 Закона, что существенно ограничивает сферу охвата предоставляемой в соответствии с Законом защиты. Он обеспокоен также сообщениями о различных законодательных инициативах по внесению регрессивных поправок в Закон, в том числе по отмене положения о самоидентификации и введению требования о проведении интрузивных медицинских осмотров для определения гендерного статуса, по замене термина «трансгендерный» термином «интерсекс» («</w:t>
      </w:r>
      <w:proofErr w:type="spellStart"/>
      <w:r>
        <w:t>хунса</w:t>
      </w:r>
      <w:proofErr w:type="spellEnd"/>
      <w:r>
        <w:t xml:space="preserve">») и по введению уголовной ответственности за предоставление </w:t>
      </w:r>
      <w:r w:rsidRPr="00115BD8">
        <w:t>гендерно ориентированн</w:t>
      </w:r>
      <w:r>
        <w:t>ых медицинских услуг. Кроме того, он обеспокоен продолжающейся дискриминацией, насилием, ненавистническими высказываниями и преступлениями на почве ненависти в отношении лесбиянок, геев, бисексуальных, трансгендерных и интерсекс-людей со стороны государственных и частных субъектов, тем, что жертвы не сообщают о нарушениях из-за страха мести, а также непроведением оперативных и тщательных расследований, что приводит к безнаказанности виновных. Он обеспокоен также сообщениями о том, что дети и подростки из числа интерсекс-людей подвергаются необратимым и инвазивным медицинским вмешательствам. Помимо этого, он по</w:t>
      </w:r>
      <w:r>
        <w:noBreakHyphen/>
        <w:t>прежнему обеспокоен тем, что однополые отношения по обоюдному согласию между совершеннолетними лицами все еще уголовно наказуемы (ст. 2, 3, 17 и 26).</w:t>
      </w:r>
    </w:p>
    <w:p w14:paraId="08A01C44" w14:textId="77777777" w:rsidR="00E6353B" w:rsidRPr="00571D42" w:rsidRDefault="00E6353B" w:rsidP="00E6353B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 активизировать свои усилия по предотвращению и пресечению всех форм дискриминации и насилия в отношении лесбиянок, геев, бисексуальных, трансгендерных и интерсекс-людей.</w:t>
      </w:r>
      <w:r>
        <w:t xml:space="preserve"> </w:t>
      </w:r>
      <w:r>
        <w:rPr>
          <w:b/>
          <w:bCs/>
        </w:rPr>
        <w:t>Ему следует, в частности:</w:t>
      </w:r>
    </w:p>
    <w:p w14:paraId="01690219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a)</w:t>
      </w:r>
      <w:r w:rsidRPr="00182ACE">
        <w:rPr>
          <w:b/>
          <w:bCs/>
        </w:rPr>
        <w:tab/>
      </w:r>
      <w:r>
        <w:rPr>
          <w:b/>
          <w:bCs/>
        </w:rPr>
        <w:t>принять нормативно-правовую базу в целях прямого запрета и предотвращения дискриминации, преследования, ненавистнических высказываний и преступлений на почве ненависти в отношении лесбиянок, геев, бисексуальных, трансгендерных и интерсекс-людей;</w:t>
      </w:r>
    </w:p>
    <w:p w14:paraId="34821EB2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соблюдать и укреплять положения Закона о трансгендерных лицах (защита прав) 2018 года, а также отменить или не принимать законодательные или иные меры, ограничивающие сферу охвата предоставляемой в соответствии с ним защиты;</w:t>
      </w:r>
    </w:p>
    <w:p w14:paraId="7EE0738B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обеспечить проведение оперативных и эффективных расследований по всем заявлениям о дискриминации или насилии на почве сексуальной ориентации или гендерной идентичности жертвы, привлечение виновных к ответственности и, в случае осуждения, назначение им наказания, соразмерного тяжести совершенного преступления, а также предоставление жертвам эффективного доступа к средствам судебной защиты, полному возмещению ущерба и другим средствам защиты;</w:t>
      </w:r>
    </w:p>
    <w:p w14:paraId="03BDA1E2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положить конец практике необратимых и инвазивных медицинских вмешательств, особенно хирургическим операциям, в отношении интерсекс</w:t>
      </w:r>
      <w:r>
        <w:rPr>
          <w:b/>
          <w:bCs/>
        </w:rPr>
        <w:noBreakHyphen/>
        <w:t>детей, которые еще не в состоянии дать своего полностью осознанного и свободного на то согласия, если только такие вмешательства не являются абсолютной медицинской необходимостью;</w:t>
      </w:r>
    </w:p>
    <w:p w14:paraId="1CF81912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e)</w:t>
      </w:r>
      <w:r w:rsidRPr="00182ACE">
        <w:rPr>
          <w:b/>
          <w:bCs/>
        </w:rPr>
        <w:tab/>
      </w:r>
      <w:r>
        <w:rPr>
          <w:b/>
          <w:bCs/>
        </w:rPr>
        <w:t>отменить уголовную ответственность за однополые отношения по обоюдному согласию между совершеннолетними лицами.</w:t>
      </w:r>
    </w:p>
    <w:p w14:paraId="74E68354" w14:textId="77777777" w:rsidR="00E6353B" w:rsidRPr="00571D42" w:rsidRDefault="00E6353B" w:rsidP="00E6353B">
      <w:pPr>
        <w:pStyle w:val="H23G"/>
      </w:pPr>
      <w:bookmarkStart w:id="7" w:name="_Hlk180410217"/>
      <w:r>
        <w:tab/>
      </w:r>
      <w:r>
        <w:tab/>
      </w:r>
      <w:r>
        <w:rPr>
          <w:bCs/>
        </w:rPr>
        <w:t>Гендерное равенство</w:t>
      </w:r>
    </w:p>
    <w:bookmarkEnd w:id="7"/>
    <w:p w14:paraId="4A492BC5" w14:textId="77777777" w:rsidR="00E6353B" w:rsidRPr="00571D42" w:rsidRDefault="00E6353B" w:rsidP="00E6353B">
      <w:pPr>
        <w:pStyle w:val="SingleTxtG"/>
      </w:pPr>
      <w:r>
        <w:t>14.</w:t>
      </w:r>
      <w:r>
        <w:tab/>
        <w:t>Приветствуя различные меры, принятые государством-участником для поощрения гендерного равенства, Комитет обеспокоен сохраняющимися дискриминационными стереотипами и глубоко укоренившимися патриархальными представлениями о роли и обязанностях женщин, от которых особенно страдают женщины и девочки в сельских и бедных районах. Он обеспокоен также низкой представленностью женщин в общественной и политической жизни, особенно на руководящих должностях. Отмечая усилия по гармонизации и повышению минимального возраста вступления в брак, Комитет по-прежнему глубоко обеспокоен тем, что в законах некоторых провинций минимальный возраст вступления в брак различен для девочек (16 лет) и мальчиков (18 лет) (ст. 2, 3, 23, 24, 25 и 26).</w:t>
      </w:r>
    </w:p>
    <w:p w14:paraId="742100F3" w14:textId="77777777" w:rsidR="00E6353B" w:rsidRPr="00571D42" w:rsidRDefault="00E6353B" w:rsidP="00E6353B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 активизировать меры по обеспечению де</w:t>
      </w:r>
      <w:r>
        <w:rPr>
          <w:b/>
          <w:bCs/>
        </w:rPr>
        <w:noBreakHyphen/>
        <w:t>юре и де-факто равенства между мужчинами и женщинами и бороться с патриархальными представлениями и стереотипами относительно ролей и обязанностей женщин и мужчин в семье и обществе в целом.</w:t>
      </w:r>
      <w:r>
        <w:t xml:space="preserve"> </w:t>
      </w:r>
      <w:r>
        <w:rPr>
          <w:b/>
          <w:bCs/>
        </w:rPr>
        <w:t>Государству-участнику следует также активизировать свои усилия по расширению полного и равноправного участия женщин в политической, экономической и общественной жизни, в частности на руководящих должностях, в том числе путем принятия специальных мер и активизации гражданского просвещения девушек и женщин, а также проведения информационно-просветительских мероприятий, посвященных важности участия женщин в процессах принятия решений.</w:t>
      </w:r>
      <w:r>
        <w:t xml:space="preserve"> </w:t>
      </w:r>
      <w:r>
        <w:rPr>
          <w:b/>
          <w:bCs/>
        </w:rPr>
        <w:t>Государству-участнику следует внести изменения в действующее законодательство, с тем чтобы установить минимальный возраст вступления в брак на уровне 18 лет для девушек и юношей без исключения на всей территории государства-участника.</w:t>
      </w:r>
    </w:p>
    <w:p w14:paraId="312E690F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Насилие в отношении женщин, включая домашнее насилие</w:t>
      </w:r>
    </w:p>
    <w:p w14:paraId="5C8124D0" w14:textId="77777777" w:rsidR="00E6353B" w:rsidRPr="00571D42" w:rsidRDefault="00E6353B" w:rsidP="00E6353B">
      <w:pPr>
        <w:pStyle w:val="SingleTxtG"/>
      </w:pPr>
      <w:r>
        <w:t>16.</w:t>
      </w:r>
      <w:r>
        <w:tab/>
        <w:t>Комитет принимает к сведению меры, принятые государством-участником для борьбы с насилием в отношении женщин, такие как Закон о борьбе с изнасилованиями (расследование и судебное разбирательство) 2021 года и Закон провинции Хайбер</w:t>
      </w:r>
      <w:r>
        <w:noBreakHyphen/>
        <w:t>Пахтунхва о домашнем насилии в отношении женщин (предупреждение и защита) 2021 года. Однако Комитет по-прежнему обеспокоен высоким уровнем насилия в отношении женщин и девочек, включая убийства, изнасилования, похищения и домашнее насилие, а также недостаточным уровнем помощи жертвам и крайне низкими показателями вынесения обвинительных приговоров за такие преступления, что приводит к безнаказанности виновных. Он обеспокоен также отсутствием всеобъемлющего законодательства о борьбе с домашним насилием на всей территории страны и тем, что изнасилование в браке не является уголовно наказуемым деянием. Он по-прежнему обеспокоен тем, что по-прежнему распространены так называемые убийства «в защиту чести», что в некоторых из таких случаев применяются, как сообщается, законы о «</w:t>
      </w:r>
      <w:proofErr w:type="spellStart"/>
      <w:r>
        <w:t>кисас</w:t>
      </w:r>
      <w:proofErr w:type="spellEnd"/>
      <w:r>
        <w:t>» (равном возмездии) и «</w:t>
      </w:r>
      <w:proofErr w:type="spellStart"/>
      <w:r>
        <w:t>дият</w:t>
      </w:r>
      <w:proofErr w:type="spellEnd"/>
      <w:r>
        <w:t>» (денежной компенсации) и что некоторые племенные советы (джирга и панчаяты) в отдаленных районах продолжают осуществлять юрисдикцию по таким делам, несмотря на постановление Верховного суда от 2019 года, в котором эти племенные советы были признаны незаконными (ст. 2, 3, 6, 7, 24 и 26).</w:t>
      </w:r>
      <w:bookmarkStart w:id="8" w:name="_Hlk180418949"/>
      <w:bookmarkEnd w:id="8"/>
    </w:p>
    <w:p w14:paraId="616E1A86" w14:textId="77777777" w:rsidR="00E6353B" w:rsidRPr="00571D42" w:rsidRDefault="00E6353B" w:rsidP="00E6353B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продолжать свои усилия по предотвращению, пресечению и искоренению всех форм гендерного насилия в отношении женщин.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57FC7426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a)</w:t>
      </w:r>
      <w:r w:rsidRPr="00182ACE">
        <w:rPr>
          <w:b/>
          <w:bCs/>
        </w:rPr>
        <w:tab/>
      </w:r>
      <w:r>
        <w:rPr>
          <w:b/>
          <w:bCs/>
        </w:rPr>
        <w:t>обеспечить, чтобы его национальное законодательство содержало положения о запрете всех форм насилия в отношении женщин, включая изнасилования в браке, и наказании за них, а также о предоставлении действенной защиты жертвам, в том числе посредством скорейшего принятия и введения в действие законопроекта о домашнем насилии (предупреждение и защита) и обеспечения полного соответствия нормативно-правовой базы положениям Пакта;</w:t>
      </w:r>
    </w:p>
    <w:p w14:paraId="0B00BE1C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гарантировать тщательное и оперативное расследование всех случаев насилия и вредной практики в отношении женщин и девочек, привлечение виновных к ответственности и, в случае осуждения, вынесение им наказаний, соразмерных тяжести совершенного преступления, и обеспечить доступ жертв к эффективным средствам правовой защиты, предоставление им полного возмещения ущерба, а также доступа к надлежащей защите и помощи;</w:t>
      </w:r>
    </w:p>
    <w:p w14:paraId="3689E5A7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обеспечить наличие приютов для жертв на всей территории страны, укрепить службы юридической, медицинской, финансовой и психологической поддержки, выделять достаточные финансовые и людские ресурсы для приютов и центров защиты женщин и регулярно осуществлять мониторинг этих служб;</w:t>
      </w:r>
    </w:p>
    <w:p w14:paraId="633C1B52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обеспечить эффективное применение законов о борьбе с убийствами в защиту чести и всех других законов, криминализирующих насилие в отношении женщин, запрета практик «</w:t>
      </w:r>
      <w:proofErr w:type="spellStart"/>
      <w:r>
        <w:rPr>
          <w:b/>
          <w:bCs/>
        </w:rPr>
        <w:t>кисас</w:t>
      </w:r>
      <w:proofErr w:type="spellEnd"/>
      <w:r>
        <w:rPr>
          <w:b/>
          <w:bCs/>
        </w:rPr>
        <w:t>» и «</w:t>
      </w:r>
      <w:proofErr w:type="spellStart"/>
      <w:r>
        <w:rPr>
          <w:b/>
          <w:bCs/>
        </w:rPr>
        <w:t>дият</w:t>
      </w:r>
      <w:proofErr w:type="spellEnd"/>
      <w:r>
        <w:rPr>
          <w:b/>
          <w:bCs/>
        </w:rPr>
        <w:t>», а также постановления Верховного суда о незаконности системы джирги и панчаятов.</w:t>
      </w:r>
    </w:p>
    <w:p w14:paraId="13F108F6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Добровольное прерывание беременности, сексуальные и репродуктивные права</w:t>
      </w:r>
    </w:p>
    <w:p w14:paraId="20F175A0" w14:textId="77777777" w:rsidR="00E6353B" w:rsidRPr="00571D42" w:rsidRDefault="00E6353B" w:rsidP="00E6353B">
      <w:pPr>
        <w:pStyle w:val="SingleTxtG"/>
      </w:pPr>
      <w:r>
        <w:t>18.</w:t>
      </w:r>
      <w:r>
        <w:tab/>
        <w:t>Комитет по-прежнему обеспокоен тем, что прерывание беременности в государстве-участнике является уголовно наказуемым деянием, за исключением случаев, когда речь идет о спасении жизни женщины или «необходимом лечении» — термин, не имеющий четкого определения в законе, что заставляет женщин прибегать к небезопасным, подпольным абортам, подвергающим опасности их жизнь и здоровье. Он обеспокоен также сообщениями о том, что медицинские работники часто отказываются делать аборты или предоставлять услуги по уходу после аборта из-за личных убеждений, а члены семьи людей, обращающихся за услугами по прерыванию беременности, подвергаются судебному преследованию за пособничество и подстрекательство. Кроме того, он обеспокоен высокими показателями материнской смертности и ограниченным доступом к противозачаточным средствам, а также к информации и услугам в области сексуального и репродуктивного здоровья (ст. 2, 3, 6, 7, 17 и 26).</w:t>
      </w:r>
    </w:p>
    <w:p w14:paraId="6A3A2DB3" w14:textId="77777777" w:rsidR="00E6353B" w:rsidRPr="00571D42" w:rsidRDefault="00E6353B" w:rsidP="00E6353B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В соответствии со статьей 6 Пакта и в свете замечания общего порядка № 36 (2018) Комитета о праве на жизнь (пункт 8) государству-участнику следует:</w:t>
      </w:r>
    </w:p>
    <w:p w14:paraId="54F81D2B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a)</w:t>
      </w:r>
      <w:r w:rsidRPr="00182ACE">
        <w:rPr>
          <w:b/>
          <w:bCs/>
        </w:rPr>
        <w:tab/>
      </w:r>
      <w:r>
        <w:rPr>
          <w:b/>
          <w:bCs/>
        </w:rPr>
        <w:t>внести поправки в свое законодательство, чтобы гарантировать безопасный, законный и реализуемый на практике доступ к услугам по прерыванию беременности в тех случаях, когда жизнь или здоровье беременной женщины или девочки находятся под угрозой или когда вынашивание плода до срока может причинить им существенный вред или страдания, особенно в тех случаях, когда беременность наступила в результате изнасилования или инцеста или когда плод нежизнеспособен;</w:t>
      </w:r>
    </w:p>
    <w:p w14:paraId="4D83DF19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принять все необходимые меры для обеспечения того, чтобы отказ медицинских работников от выполнения своих обязанностей по соображениям совести не препятствовал эффективному и равному доступу женщин и девочек по всей стране к конфиденциальным, законным и безопасным услугам по прерыванию беременности и уходу после аборта;</w:t>
      </w:r>
    </w:p>
    <w:p w14:paraId="5712B22C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внести поправки в законодательство, в том числе в статьи 338, 338</w:t>
      </w:r>
      <w:r>
        <w:rPr>
          <w:b/>
          <w:bCs/>
        </w:rPr>
        <w:noBreakHyphen/>
        <w:t>A, 338-B и 338-C Уголовного кодекса Пакистана, с тем чтобы женщины и девочки, прибегающие к услугам по прерыванию беременности, медицинские работники, предоставляющие такие услуги, и лица, которые помогают женщинам и девочкам сделать аборт, например члены семьи, не подвергались уголовному преследованию;</w:t>
      </w:r>
    </w:p>
    <w:p w14:paraId="034A3800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активизировать свои усилия по снижению высоких показателей материнской смертности и облегчить доступ женщин, мужчин и подростков по всей стране к услугам и просвещению в области сексуального и репродуктивного здоровья, а также к широкому спектру доступных методов контрацепции.</w:t>
      </w:r>
    </w:p>
    <w:p w14:paraId="51530EB2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</w:p>
    <w:p w14:paraId="7A67B36E" w14:textId="77777777" w:rsidR="00E6353B" w:rsidRPr="00571D42" w:rsidRDefault="00E6353B" w:rsidP="00E6353B">
      <w:pPr>
        <w:pStyle w:val="SingleTxtG"/>
      </w:pPr>
      <w:r>
        <w:t>20.</w:t>
      </w:r>
      <w:r>
        <w:tab/>
        <w:t>Комитет приветствует принятие таких мер, как Закон Пакистана об изменении климата 2017 года и Национальный план Пакистана в области адаптации 2023 года. Он, однако, обеспокоен негативным воздействием загрязнения, деградации окружающей среды, изменения климата и стихийных бедствий на осуществление прав человека — в частности, права на жизнь – населением, в особенности людьми, проживающими в сельских районах, и находящимися в неблагоприятном положении группами, которые несоразмерно больше страдают от сильных наводнений. Комитет сожалеет об отсутствии достаточной информации об устойчивой политике, принятой государством-участником для защиты людей, в том числе наиболее уязвимых, от воздействия деградации окружающей среды и изменения климата (ст. 6).</w:t>
      </w:r>
    </w:p>
    <w:p w14:paraId="775B81F6" w14:textId="77777777" w:rsidR="00E6353B" w:rsidRPr="00571D42" w:rsidRDefault="00E6353B" w:rsidP="00E6353B">
      <w:pPr>
        <w:pStyle w:val="SingleTxtG"/>
      </w:pPr>
      <w:r>
        <w:t>21.</w:t>
      </w:r>
      <w:r>
        <w:tab/>
      </w:r>
      <w:r>
        <w:rPr>
          <w:b/>
          <w:bCs/>
        </w:rPr>
        <w:t>В соответствии со статьей 6 Пакта и в свете замечания общего порядка № 36 (2018) Комитета о праве на жизнь государству-участнику следует активизировать свои усилия по смягчению последствий изменения климата и деградации окружающей среды, принять устойчивую политику по предупреждению и обеспечить ее эффективное осуществление вместе с нормативно-правовой базой, в том числе в том, что касается предупреждения бедствий и обеспечения готовности к ним, а также принять надлежащие меры для применения основанного на предосторожности подхода в целях эффективной защиты людей от негативных последствий деградации окружающей среды, изменения климата и стихийных бедствий.</w:t>
      </w:r>
    </w:p>
    <w:p w14:paraId="0C95B614" w14:textId="77777777" w:rsidR="00E6353B" w:rsidRPr="00571D42" w:rsidRDefault="00E6353B" w:rsidP="00E6353B">
      <w:pPr>
        <w:pStyle w:val="H23G"/>
      </w:pPr>
      <w:bookmarkStart w:id="9" w:name="_Hlk180514747"/>
      <w:r>
        <w:tab/>
      </w:r>
      <w:r>
        <w:tab/>
      </w:r>
      <w:r>
        <w:rPr>
          <w:bCs/>
        </w:rPr>
        <w:t>Смертная казнь</w:t>
      </w:r>
    </w:p>
    <w:bookmarkEnd w:id="9"/>
    <w:p w14:paraId="6676CC8B" w14:textId="77777777" w:rsidR="00E6353B" w:rsidRPr="00571D42" w:rsidRDefault="00E6353B" w:rsidP="00E6353B">
      <w:pPr>
        <w:pStyle w:val="SingleTxtG"/>
      </w:pPr>
      <w:r>
        <w:t>22.</w:t>
      </w:r>
      <w:r>
        <w:tab/>
        <w:t>Приветствуя отмену смертной казни за диверсии на железной дороге в 2022 году и за преступления, связанные с наркотиками, в 2023 году, Комитет по</w:t>
      </w:r>
      <w:r>
        <w:noBreakHyphen/>
        <w:t xml:space="preserve">прежнему обеспокоен тем, что внутреннее законодательство предусматривает наказание в виде смертной казни за более чем 30 преступлений, включая ненасильственные преступления, которые не соответствуют критерию «наиболее тяжких преступлений» по смыслу Пакта, в том числе за богохульство. Несмотря на информацию, предоставленную государством-участником, Комитет обеспокоен сообщениями о ненадлежащих процедурах определения возраста, в результате которых несовершеннолетние обвиняются в преступлениях, караемых смертной казнью, и отсутствием законодательных положений, запрещающих приговаривать к смерти и казнить лиц с психосоциальными или интеллектуальными нарушениями, после вынесения Верховным судом решения по делу </w:t>
      </w:r>
      <w:proofErr w:type="spellStart"/>
      <w:r w:rsidRPr="00BF5206">
        <w:rPr>
          <w:i/>
          <w:iCs/>
        </w:rPr>
        <w:t>Сафии</w:t>
      </w:r>
      <w:proofErr w:type="spellEnd"/>
      <w:r w:rsidRPr="00BF5206">
        <w:rPr>
          <w:i/>
          <w:iCs/>
        </w:rPr>
        <w:t xml:space="preserve"> Бано</w:t>
      </w:r>
      <w:r>
        <w:t xml:space="preserve"> (2021 год). Он сожалеет об отсутствии информации о количестве дел, которые связаны с вынесением смертных приговоров и по которым было принято решение о помиловании или смягчении наказания (ст. 2, 6 и 24).</w:t>
      </w:r>
    </w:p>
    <w:p w14:paraId="7691E1EF" w14:textId="77777777" w:rsidR="00E6353B" w:rsidRPr="00571D42" w:rsidRDefault="00E6353B" w:rsidP="00E6353B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В свете замечания общего порядка № 36 (2018) Комитета о праве на жизнь государству-участнику следует воздерживаться от приведения в исполнение смертных приговоров, соблюдая де-факто мораторий на них, предпринять конкретные шаги по введению моратория на смертную казнь де-юре и рассмотреть возможность ее отмены, а также присоединения ко второму Факультативному протоколу к Пакту, направленному на отмену смертной казни.</w:t>
      </w:r>
      <w:r>
        <w:t xml:space="preserve"> </w:t>
      </w:r>
      <w:r>
        <w:rPr>
          <w:b/>
          <w:bCs/>
        </w:rPr>
        <w:t>Если смертная казнь будет сохранена, государству-участнику следует:</w:t>
      </w:r>
    </w:p>
    <w:p w14:paraId="55958E2D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a)</w:t>
      </w:r>
      <w:r w:rsidRPr="00182ACE">
        <w:rPr>
          <w:b/>
          <w:bCs/>
        </w:rPr>
        <w:tab/>
      </w:r>
      <w:r>
        <w:rPr>
          <w:b/>
          <w:bCs/>
        </w:rPr>
        <w:t>обеспечить, чтобы она назначалась только за самые тяжкие преступления, связанные с умышленным убийством;</w:t>
      </w:r>
    </w:p>
    <w:p w14:paraId="657C3407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гарантировать, чтобы помилование или смягчение приговора было возможно во всех случаях, и разработать всеобъемлющие правила подачи и рассмотрения ходатайств о помиловании, соответствующие международным стандартам, обеспечивая прозрачность, определенность, соблюдение надлежащей процедуры и объективность;</w:t>
      </w:r>
    </w:p>
    <w:p w14:paraId="68E4EF05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гарантировать, чтобы смертная казнь не применялась к лицам, которым на момент совершения преступления не исполнилось 18 лет, путем внесения поправок в Закон о системе отправления правосудия в отношении несовершеннолетних 2018 года, обеспечив обращение с обвиняемым как с ребенком, если остаются сомнения относительно его возраста на момент совершения преступления, и разработав эффективную и независимую процедуру определения возраста;</w:t>
      </w:r>
    </w:p>
    <w:p w14:paraId="31B28409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 xml:space="preserve">обеспечить выполнение решения Верховного суда по делу </w:t>
      </w:r>
      <w:proofErr w:type="spellStart"/>
      <w:r w:rsidRPr="009551C6">
        <w:rPr>
          <w:b/>
          <w:bCs/>
          <w:i/>
          <w:iCs/>
        </w:rPr>
        <w:t>Сафии</w:t>
      </w:r>
      <w:proofErr w:type="spellEnd"/>
      <w:r w:rsidRPr="009551C6">
        <w:rPr>
          <w:b/>
          <w:bCs/>
          <w:i/>
          <w:iCs/>
        </w:rPr>
        <w:t xml:space="preserve"> Бано</w:t>
      </w:r>
      <w:r>
        <w:rPr>
          <w:b/>
          <w:bCs/>
        </w:rPr>
        <w:t xml:space="preserve"> (2021 года) и принять законодательство, запрещающее приговаривать к смерти и казнить людей с психосоциальными или интеллектуальными нарушениями.</w:t>
      </w:r>
    </w:p>
    <w:p w14:paraId="2880125B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Насильственные исчезновения и внесудебные казни</w:t>
      </w:r>
    </w:p>
    <w:p w14:paraId="544CF2AB" w14:textId="77777777" w:rsidR="00E6353B" w:rsidRPr="00571D42" w:rsidRDefault="00E6353B" w:rsidP="00E6353B">
      <w:pPr>
        <w:pStyle w:val="SingleTxtG"/>
      </w:pPr>
      <w:r>
        <w:t>24.</w:t>
      </w:r>
      <w:r>
        <w:tab/>
        <w:t>Комитет глубоко обеспокоен сообщениями об увеличении числа насильственных исчезновений, в том числе кратковременных, пыток, внесудебных казней и казней без надлежащего судебного разбирательства, предположительно совершаемых военнослужащими, сотрудниками полиции и спецслужб, в том числе экстерриториальных, в отношении правозащитников, журналистов, студентов, политических активистов, представителей этнических и религиозных меньшинств, государственных служащих, включая членов Сената и Национальной ассамблеи, а также политических оппонентов и членов их семей. Он обеспокоен также отсутствием информации о судебных расследованиях и преследовании виновных, а также сообщениями, указывающими на тревожную степень безнаказанности в связи с зарегистрированными случаями, что приводит к дальнейшим нарушениям. Он по</w:t>
      </w:r>
      <w:r>
        <w:noBreakHyphen/>
        <w:t xml:space="preserve">прежнему обеспокоен отсутствием в национальном законодательстве четко установленной уголовной ответственности за насильственные исчезновения и сообщениями о том, что Национальная комиссия по расследованию насильственных исчезновений недостаточно независима и что ее работа до сих пор не привела ни к одному случаю </w:t>
      </w:r>
      <w:r w:rsidRPr="009C55F5">
        <w:t>осуждени</w:t>
      </w:r>
      <w:r>
        <w:t>я</w:t>
      </w:r>
      <w:r w:rsidRPr="009C55F5">
        <w:t xml:space="preserve"> в уголовном порядке </w:t>
      </w:r>
      <w:r>
        <w:t>по делам о насильственных исчезновениях (ст. 2, 6, 7, 9, 14 и 16).</w:t>
      </w:r>
    </w:p>
    <w:p w14:paraId="27065A25" w14:textId="77777777" w:rsidR="00E6353B" w:rsidRPr="00571D42" w:rsidRDefault="00E6353B" w:rsidP="00E6353B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 принять срочные меры для устранения и предотвращения практики насильственных исчезновений.</w:t>
      </w:r>
      <w:r>
        <w:t xml:space="preserve"> </w:t>
      </w:r>
      <w:r>
        <w:rPr>
          <w:b/>
          <w:bCs/>
        </w:rPr>
        <w:t>В частности, ему следует:</w:t>
      </w:r>
    </w:p>
    <w:p w14:paraId="39BD16FB" w14:textId="11762034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a)</w:t>
      </w:r>
      <w:r w:rsidRPr="00182ACE">
        <w:rPr>
          <w:b/>
          <w:bCs/>
        </w:rPr>
        <w:tab/>
      </w:r>
      <w:r>
        <w:rPr>
          <w:b/>
          <w:bCs/>
        </w:rPr>
        <w:t>пересмотреть законодательство для обеспечения того, чтобы все формы насильственного исчезновения, включая кратковременные исчезновения, имели четкое определение в уголовном законодательстве, а</w:t>
      </w:r>
      <w:r w:rsidR="009E57C6">
        <w:rPr>
          <w:b/>
          <w:bCs/>
        </w:rPr>
        <w:t> </w:t>
      </w:r>
      <w:r>
        <w:rPr>
          <w:b/>
          <w:bCs/>
        </w:rPr>
        <w:t>соответствующие наказания были соразмерны тяжести преступления в соответствии с международными стандартами, и обеспечить, чтобы законодательные инициативы, касающиеся насильственных исчезновений, разрабатывались при конструктивном и информированном участии гражданского общества, включая семьи жертв;</w:t>
      </w:r>
    </w:p>
    <w:p w14:paraId="26277759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пересмотреть Положения о действиях (в помощь гражданской власти) 2011 года с целью их отмены или приведения в соответствие с международными стандартами и обеспечить, чтобы никто не содержался под стражей тайно или без связи с внешним миром;</w:t>
      </w:r>
    </w:p>
    <w:p w14:paraId="531A54D7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принять все необходимые меры для борьбы с безнаказанностью и обеспечить оперативное, беспристрастное и тщательное расследование всех заявлений и сообщений о насильственных исчезновениях, внесудебных казнях и казнях без надлежащего судебного разбирательства обычными судами, привлечение виновных к ответственности и, в случае признания их виновными, назначение им мер наказания, соразмерных тяжести совершенных преступлений;</w:t>
      </w:r>
    </w:p>
    <w:p w14:paraId="3435AF32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устанавливать участь и местонахождение пропавших без вести лиц, а в случае смерти — устанавливать их личность и возвращать их останки, а также обеспечить, чтобы семьи регулярно информировались о ходе и результатах расследований и получали официальные административные документы, а также чтобы им предоставлялось полное и надлежащее возмещение ущерба;</w:t>
      </w:r>
    </w:p>
    <w:p w14:paraId="0A8EEB02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e)</w:t>
      </w:r>
      <w:r w:rsidRPr="00182ACE">
        <w:rPr>
          <w:b/>
          <w:bCs/>
        </w:rPr>
        <w:tab/>
      </w:r>
      <w:r>
        <w:rPr>
          <w:b/>
          <w:bCs/>
        </w:rPr>
        <w:t>оценить мандат Комиссии по расследованию насильственных исчезновений и влияние ее работы с целью обеспечения полной независимости, беспристрастности, прозрачности и эффективности этого учреждения в том, что касается доступа к правосудию, средствам правовой защиты и возмещению ущерба для жертв и их семей, а также предотвращения и пресечения безнаказанности, и обеспечить проведение конструктивных консультаций и информированное участие гражданского общества в этом процессе;</w:t>
      </w:r>
    </w:p>
    <w:p w14:paraId="27DA5709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f)</w:t>
      </w:r>
      <w:r w:rsidRPr="00182ACE">
        <w:rPr>
          <w:b/>
          <w:bCs/>
        </w:rPr>
        <w:tab/>
      </w:r>
      <w:r>
        <w:rPr>
          <w:b/>
          <w:bCs/>
        </w:rPr>
        <w:t>рассмотреть возможность присоединения к Международной конвенции для защиты всех лиц от насильственных исчезновений.</w:t>
      </w:r>
    </w:p>
    <w:p w14:paraId="7E49CDA8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70639A9E" w14:textId="77777777" w:rsidR="00E6353B" w:rsidRPr="00571D42" w:rsidRDefault="00E6353B" w:rsidP="00E6353B">
      <w:pPr>
        <w:pStyle w:val="SingleTxtG"/>
      </w:pPr>
      <w:r>
        <w:t>26.</w:t>
      </w:r>
      <w:r>
        <w:tab/>
        <w:t>Признавая необходимость принятия государством-участником мер по борьбе с терроризмом, Комитет по-прежнему обеспокоен весьма широким определением «терроризма», содержащимся в Законе о борьбе с терроризмом 1997 года, несмотря на решение Верховного суда по делу</w:t>
      </w:r>
      <w:r>
        <w:rPr>
          <w:i/>
          <w:iCs/>
        </w:rPr>
        <w:t xml:space="preserve"> </w:t>
      </w:r>
      <w:proofErr w:type="spellStart"/>
      <w:r w:rsidRPr="00C64A66">
        <w:rPr>
          <w:i/>
          <w:iCs/>
        </w:rPr>
        <w:t>Ghulam</w:t>
      </w:r>
      <w:proofErr w:type="spellEnd"/>
      <w:r w:rsidRPr="00524988">
        <w:t xml:space="preserve"> </w:t>
      </w:r>
      <w:proofErr w:type="spellStart"/>
      <w:r w:rsidRPr="00734BAA">
        <w:rPr>
          <w:i/>
          <w:iCs/>
        </w:rPr>
        <w:t>Hussain</w:t>
      </w:r>
      <w:proofErr w:type="spellEnd"/>
      <w:r w:rsidRPr="00524988">
        <w:rPr>
          <w:i/>
          <w:iCs/>
        </w:rPr>
        <w:t xml:space="preserve"> </w:t>
      </w:r>
      <w:r w:rsidRPr="00734BAA">
        <w:rPr>
          <w:i/>
          <w:iCs/>
        </w:rPr>
        <w:t>v</w:t>
      </w:r>
      <w:r w:rsidRPr="00524988">
        <w:rPr>
          <w:i/>
          <w:iCs/>
        </w:rPr>
        <w:t xml:space="preserve">. </w:t>
      </w:r>
      <w:r w:rsidRPr="00734BAA">
        <w:rPr>
          <w:i/>
          <w:iCs/>
        </w:rPr>
        <w:t>the</w:t>
      </w:r>
      <w:r w:rsidRPr="00524988">
        <w:rPr>
          <w:i/>
          <w:iCs/>
        </w:rPr>
        <w:t xml:space="preserve"> </w:t>
      </w:r>
      <w:r w:rsidRPr="00734BAA">
        <w:rPr>
          <w:i/>
          <w:iCs/>
        </w:rPr>
        <w:t>State</w:t>
      </w:r>
      <w:r w:rsidRPr="00524988">
        <w:t xml:space="preserve"> </w:t>
      </w:r>
      <w:r>
        <w:t>(</w:t>
      </w:r>
      <w:r w:rsidRPr="001A2426">
        <w:rPr>
          <w:i/>
          <w:iCs/>
        </w:rPr>
        <w:t>Гулам Хуссейн против государства</w:t>
      </w:r>
      <w:r w:rsidRPr="001A2426">
        <w:t>)</w:t>
      </w:r>
      <w:r>
        <w:t xml:space="preserve"> (2019 год) об ограничении сферы охвата этого определения. Он обеспокоен также тем, что этот закон позволяет сотрудникам полиции обыскивать и арестовывать людей без ордера, разрешает использовать признания, сделанные во время содержания под стражей в полиции, в качестве доказательств в суде и устанавливает короткие сроки для проведения расследования и судебного разбирательства. Он по-прежнему обеспокоен верховенством этого закона на основании статьи 32 над другими законами, включая Закон о системе отправления правосудия в отношении несовершеннолетних 2018 года и Указ о системе правосудия в отношении несовершеннолетних 2000 года, что фактически позволяет судам по делам, связанным с терроризмом, осуществлять юрисдикцию в отношении несовершеннолетних. Он обеспокоен также сообщениями о непропорциональном воздействии применения этого закона на правозащитников, представителей этнических и религиозных групп, журналистов, диссидентов и активистов (ст. 2, 4, 7, 9, 14 и 15).</w:t>
      </w:r>
    </w:p>
    <w:p w14:paraId="382F9184" w14:textId="12FAC14D" w:rsidR="00E6353B" w:rsidRPr="00571D42" w:rsidRDefault="00E6353B" w:rsidP="00E6353B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C12EDF">
        <w:rPr>
          <w:rStyle w:val="aa"/>
        </w:rPr>
        <w:footnoteReference w:id="9"/>
      </w:r>
      <w:r>
        <w:rPr>
          <w:b/>
          <w:bCs/>
        </w:rPr>
        <w:t xml:space="preserve"> государству-участнику следует в срочном порядке пересмотреть Закон о борьбе с терроризмом 1997 года и обеспечить, чтобы определение терроризма было ясным и четким и соответствовало принципам законности, правовой определенности и предсказуемости.</w:t>
      </w:r>
      <w:r>
        <w:t xml:space="preserve"> </w:t>
      </w:r>
      <w:r>
        <w:rPr>
          <w:b/>
          <w:bCs/>
        </w:rPr>
        <w:t>Государству-участнику следует также внести поправки в этот закон, чтобы прямо запретить осуществление судами по делам, связанным с терроризмом, юрисдикции в отношении несовершеннолетних правонарушителей и включить в него процессуальные гарантии в соответствии со статьями 14 и 15 Пакта.</w:t>
      </w:r>
      <w:r>
        <w:t xml:space="preserve"> </w:t>
      </w:r>
      <w:r>
        <w:rPr>
          <w:b/>
          <w:bCs/>
        </w:rPr>
        <w:t>Государству-участнику следует обеспечить, чтобы этот закон и другие законы о борьбе с терроризмом не использовались и не применялись для необоснованного ограничения каких-либо прав, закрепленных в Пакте, в</w:t>
      </w:r>
      <w:r w:rsidR="008035BD">
        <w:rPr>
          <w:b/>
          <w:bCs/>
        </w:rPr>
        <w:t> </w:t>
      </w:r>
      <w:r>
        <w:rPr>
          <w:b/>
          <w:bCs/>
        </w:rPr>
        <w:t>частности права на жизнь, свободу и личную неприкосновенность, процессуальных гарантий и свободы выражения мнений и ассоциации, или для преследования правозащитников, представителей этнических и религиозных групп, журналистов, диссидентов и активистов.</w:t>
      </w:r>
    </w:p>
    <w:p w14:paraId="13EE4102" w14:textId="77777777" w:rsidR="00E6353B" w:rsidRPr="00571D42" w:rsidRDefault="00E6353B" w:rsidP="00E6353B">
      <w:pPr>
        <w:pStyle w:val="H23G"/>
        <w:rPr>
          <w:bCs/>
        </w:rPr>
      </w:pPr>
      <w:bookmarkStart w:id="10" w:name="_Hlk180526080"/>
      <w:r>
        <w:tab/>
      </w:r>
      <w:r>
        <w:tab/>
      </w:r>
      <w:r>
        <w:rPr>
          <w:bCs/>
        </w:rPr>
        <w:t>Запрещение пыток и других жестоких, бесчеловечных или унижающих достоинство видов обращения</w:t>
      </w:r>
      <w:bookmarkEnd w:id="10"/>
    </w:p>
    <w:p w14:paraId="3640AB37" w14:textId="02E80722" w:rsidR="00E6353B" w:rsidRPr="00571D42" w:rsidRDefault="00E6353B" w:rsidP="00E6353B">
      <w:pPr>
        <w:pStyle w:val="SingleTxtG"/>
      </w:pPr>
      <w:r>
        <w:t>28.</w:t>
      </w:r>
      <w:r>
        <w:tab/>
        <w:t>Приветствуя принятие Закона о пытках и смерти в местах лишения свободы (предупреждение и наказание) 2022 года, Комитет обеспокоен тем, что в нем не содержится определения пытки и не предусмотрено конкретное и надлежащее наказание, соразмерное характеру или тяжести преступления в виде пытки, в полном соответствии с Пактом и другими международными стандартами. Комитет по</w:t>
      </w:r>
      <w:r w:rsidR="001020F7">
        <w:noBreakHyphen/>
      </w:r>
      <w:r>
        <w:t>прежнему обеспокоен сообщениями о широко распространенной практике применения пыток и жестокого обращения в местах содержания под стражей сотрудниками полиции, вооруженных сил и спецслужб, что приводит к смертям в местах лишения свободы. Он по-прежнему обеспокоен также крайне низким числом судебных разбирательств по делам о пытках, возбужденных после принятия Закона, и</w:t>
      </w:r>
      <w:r w:rsidR="00553283">
        <w:t> </w:t>
      </w:r>
      <w:r>
        <w:t>непроведением оперативных и эффективных расследований по заявлениям о пытках или жестоком обращении, а также тем, что виновные редко привлекаются к ответственности. Кроме того, он обеспокоен отсутствием независимых механизмов надзора и расследования (ст. 7, 9 и 10).</w:t>
      </w:r>
    </w:p>
    <w:p w14:paraId="69F52D60" w14:textId="77777777" w:rsidR="00E6353B" w:rsidRPr="00571D42" w:rsidRDefault="00E6353B" w:rsidP="00E6353B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 xml:space="preserve">Государству-участнику следует принять незамедлительные меры для прекращения пыток и других форм жестокого, бесчеловечного или унижающего достоинство обращения и </w:t>
      </w:r>
      <w:proofErr w:type="spellStart"/>
      <w:r>
        <w:rPr>
          <w:b/>
          <w:bCs/>
        </w:rPr>
        <w:t>накaзания</w:t>
      </w:r>
      <w:proofErr w:type="spellEnd"/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7DDAB841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a)</w:t>
      </w:r>
      <w:r w:rsidRPr="00182ACE">
        <w:rPr>
          <w:b/>
          <w:bCs/>
        </w:rPr>
        <w:tab/>
      </w:r>
      <w:r>
        <w:rPr>
          <w:b/>
          <w:bCs/>
        </w:rPr>
        <w:t>внести поправки в свои законы, с тем чтобы обеспечить запрещение всех элементов преступления в виде пытки в соответствии с Пактом и другими международными стандартами и наказание за них, и ускорить принятие нормативных актов в соответствии с Законом о пытках и смерти в местах лишения свободы (предупреждение и наказание) для его полного и эффективного осуществления;</w:t>
      </w:r>
    </w:p>
    <w:p w14:paraId="4ADB8388" w14:textId="01FD4F92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проводить тщательные, независимые и беспристрастные расследования по всем заявлениям о пытках и жестоком обращении, а также в связи со случаями смерти во время содержания под стражей в соответствии с применимыми международными стандартами (Руководство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Миннесотский протокол по расследованию предположительно незаконного лишения жизни), привлекать виновных к ответственности и, в</w:t>
      </w:r>
      <w:r w:rsidR="009C20F4">
        <w:rPr>
          <w:b/>
          <w:bCs/>
        </w:rPr>
        <w:t> </w:t>
      </w:r>
      <w:r>
        <w:rPr>
          <w:b/>
          <w:bCs/>
        </w:rPr>
        <w:t>случае осуждения, назначать им наказания, соразмерные тяжести совершенного преступления, и предоставлять жертвам полное возмещение ущерба;</w:t>
      </w:r>
    </w:p>
    <w:p w14:paraId="6251E43A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принимать все необходимые меры для предотвращения пыток и других жестоких, бесчеловечных или унижающих достоинство видов обращения и наказания, в том числе посредством усиления подготовки судей, прокуроров, сотрудников правоохранительных органов и судебно-медицинского персонала в области прав человека, включая подготовку по вопросам международных стандартов в области прав человека, таких как Принципы эффективного ведения опроса в ходе расследования и сбора информации (Принципы Мендеса);</w:t>
      </w:r>
    </w:p>
    <w:p w14:paraId="7AAD6D84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обеспечить всем лицам, лишенным свободы, доступ к независимому, безопасному и эффективному механизму подачи жалоб для проведения расследований по заявлениям о пытках и жестоком обращении и гарантировать защиту заявителей от репрессий.</w:t>
      </w:r>
    </w:p>
    <w:p w14:paraId="6A4F6918" w14:textId="77777777" w:rsidR="00E6353B" w:rsidRPr="00571D42" w:rsidRDefault="00E6353B" w:rsidP="00E6353B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Условия содержания под стражей и обращение с лицами, лишенными свободы</w:t>
      </w:r>
    </w:p>
    <w:p w14:paraId="037FBF93" w14:textId="77777777" w:rsidR="00E6353B" w:rsidRPr="00571D42" w:rsidRDefault="00E6353B" w:rsidP="00E6353B">
      <w:pPr>
        <w:pStyle w:val="SingleTxtG"/>
      </w:pPr>
      <w:r>
        <w:t>30.</w:t>
      </w:r>
      <w:r>
        <w:tab/>
        <w:t>Отмечая инициативы государства-участника по улучшению условий содержания в местах лишения свободы, Комитет по-прежнему обеспокоен высоким уровнем переполненности этих мест и недостаточным доступом к питанию, чистой воде, санитарным услугам, средствам женской гигиены и медицинскому обслуживанию. Он обеспокоен также сообщениями о жестоком обращении с женщинами-заключенными, включая сексуальное насилие, и о том, что лица, обвиняемые в богохульстве, часто помещаются в одиночные камеры на длительные периоды времени. Он по-прежнему обеспокоен широко распространенной практикой длительного содержания под стражей до суда (ст. 7, 10, 14 и 26).</w:t>
      </w:r>
    </w:p>
    <w:p w14:paraId="56E5158F" w14:textId="77777777" w:rsidR="00E6353B" w:rsidRPr="00E6353B" w:rsidRDefault="00E6353B" w:rsidP="00E6353B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обеспечить полное соответствие условий содержания под стражей применимым стандартам в области прав человека (Минимальные стандартные правила Организации Объединенных Наций в отношении обращения с заключенными (Правила Нельсона Манделы),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</w:t>
      </w:r>
      <w:proofErr w:type="spellStart"/>
      <w:r>
        <w:rPr>
          <w:b/>
          <w:bCs/>
        </w:rPr>
        <w:t>Бангкокские</w:t>
      </w:r>
      <w:proofErr w:type="spellEnd"/>
      <w:r>
        <w:rPr>
          <w:b/>
          <w:bCs/>
        </w:rPr>
        <w:t xml:space="preserve"> правила), и Минимальные стандартные правила Организации Объединенных Наций в отношении мер, не связанных с тюремным заключением (Токийские правила)).</w:t>
      </w:r>
      <w:r>
        <w:t xml:space="preserve"> </w:t>
      </w:r>
      <w:r>
        <w:rPr>
          <w:b/>
          <w:bCs/>
        </w:rPr>
        <w:t>Ему следует, в частности:</w:t>
      </w:r>
    </w:p>
    <w:p w14:paraId="2D7900C4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a)</w:t>
      </w:r>
      <w:r w:rsidRPr="00182ACE">
        <w:rPr>
          <w:b/>
          <w:bCs/>
        </w:rPr>
        <w:tab/>
      </w:r>
      <w:r>
        <w:rPr>
          <w:b/>
          <w:bCs/>
        </w:rPr>
        <w:t>принять незамедлительные меры для значительного снижения уровня переполненности тюрем, улучшения условий содержания под стражей и обеспечения надлежащего доступа к пище, чистой воде, санитарии, средствам женской гигиены и медицинскому обслуживанию для лиц, содержащихся во всех местах лишения свободы;</w:t>
      </w:r>
    </w:p>
    <w:p w14:paraId="161F35AC" w14:textId="06D36ADC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 xml:space="preserve">обеспечить надлежащее расследование всех заявлений о насилии в отношении женщин-заключенных, включая </w:t>
      </w:r>
      <w:r w:rsidR="00C76A04">
        <w:rPr>
          <w:b/>
          <w:bCs/>
        </w:rPr>
        <w:t>сексуальное</w:t>
      </w:r>
      <w:r>
        <w:rPr>
          <w:b/>
          <w:bCs/>
        </w:rPr>
        <w:t xml:space="preserve"> насилие, привлечение виновных к ответственности и, в случае осуждения, назначение им наказаний, соразмерных тяжести совершенного преступления;</w:t>
      </w:r>
    </w:p>
    <w:p w14:paraId="465AD27D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воздерживаться от длительного содержания людей в одиночных камерах;</w:t>
      </w:r>
    </w:p>
    <w:p w14:paraId="2549D86F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сократить использование предварительного заключения и расширить применение мер, не связанных с лишением свободы;</w:t>
      </w:r>
    </w:p>
    <w:p w14:paraId="1D00D7B1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e)</w:t>
      </w:r>
      <w:r w:rsidRPr="00182ACE">
        <w:rPr>
          <w:b/>
          <w:bCs/>
        </w:rPr>
        <w:tab/>
      </w:r>
      <w:r>
        <w:rPr>
          <w:b/>
          <w:bCs/>
        </w:rPr>
        <w:t>рассмотреть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и создания национального превентивного механизма.</w:t>
      </w:r>
    </w:p>
    <w:p w14:paraId="445F7213" w14:textId="77777777" w:rsidR="00E6353B" w:rsidRPr="00571D42" w:rsidRDefault="00E6353B" w:rsidP="00E6353B">
      <w:pPr>
        <w:pStyle w:val="H23G"/>
        <w:rPr>
          <w:bCs/>
        </w:rPr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</w:t>
      </w:r>
    </w:p>
    <w:p w14:paraId="1CA81567" w14:textId="77777777" w:rsidR="00E6353B" w:rsidRPr="00571D42" w:rsidRDefault="00E6353B" w:rsidP="00E6353B">
      <w:pPr>
        <w:pStyle w:val="SingleTxtG"/>
      </w:pPr>
      <w:r>
        <w:t>32.</w:t>
      </w:r>
      <w:r>
        <w:tab/>
        <w:t>Комитет приветствует принятие Закона о предотвращении торговли людьми 2018 года и создание в 2022 году Национального координационного комитета по борьбе с торговлей людьми. Вместе с тем он обеспокоен масштабами торговли людьми, а также принудительного и кабального труда, особенно в таких сферах, как работа на кирпичных заводах, сельское хозяйство и домашняя работа, а также другими формами злоупотреблений, такими как сексуальное насилие над детьми, работающими в качестве домашней прислуги. Он по-прежнему обеспокоен низкими показателями вынесения обвинительных приговоров и непредоставлением надлежащего убежища, помощи и услуг по реабилитации жертвам (ст. 2, 7, 8 и 26).</w:t>
      </w:r>
    </w:p>
    <w:p w14:paraId="7749C35E" w14:textId="77777777" w:rsidR="00E6353B" w:rsidRPr="00571D42" w:rsidRDefault="00E6353B" w:rsidP="00E6353B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принять все необходимые меры для эффективного предупреждения, пресечения и наказания торговли людьми, принудительного и кабального труда.</w:t>
      </w:r>
      <w:r>
        <w:t xml:space="preserve"> </w:t>
      </w:r>
      <w:r>
        <w:rPr>
          <w:b/>
          <w:bCs/>
        </w:rPr>
        <w:t>В частности, ему следует:</w:t>
      </w:r>
    </w:p>
    <w:p w14:paraId="63D8DAC4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 w:rsidRPr="00182ACE">
        <w:rPr>
          <w:b/>
          <w:bCs/>
        </w:rPr>
        <w:t>)</w:t>
      </w:r>
      <w:r w:rsidRPr="00182ACE">
        <w:rPr>
          <w:b/>
          <w:bCs/>
        </w:rPr>
        <w:tab/>
      </w:r>
      <w:r>
        <w:rPr>
          <w:b/>
          <w:bCs/>
        </w:rPr>
        <w:t>создать механизмы систематического и регулярного мониторинга рабочих мест в формальном и неформальном секторах, включая домашний труд, с целью предупреждения принудительного и кабального труда и других форм злоупотреблений и эксплуатации, включая сексуальное насилие в отношении детей, работающих в качестве домашней прислуги;</w:t>
      </w:r>
    </w:p>
    <w:p w14:paraId="114D8785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обеспечить оперативное, тщательное и беспристрастное расследование случаев торговли людьми и принудительного или кабального труда, надлежащее наказание виновных и предоставление жертвам полного возмещения ущерба;</w:t>
      </w:r>
    </w:p>
    <w:p w14:paraId="6654A586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удвоить свои усилия по выявлению жертв торговли людьми, принудительного и кабального труда и предоставлять им соответствующую защиту и помощь, обеспечив надлежащий географический охват и качество приютов, особенно в сельских и маргинализированных районах;</w:t>
      </w:r>
    </w:p>
    <w:p w14:paraId="585EE5F6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выделять достаточные финансовые, технические и людские ресурсы всем учреждениям, отвечающим за предотвращение, пресечение и наказание торговли людьми и принудительного и кабального труда, а также учреждениям, предоставляющим защиту и помощь жертвам;</w:t>
      </w:r>
    </w:p>
    <w:p w14:paraId="4BA8F7DE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e)</w:t>
      </w:r>
      <w:r w:rsidRPr="00182ACE">
        <w:rPr>
          <w:b/>
          <w:bCs/>
        </w:rPr>
        <w:tab/>
      </w:r>
      <w:r>
        <w:rPr>
          <w:b/>
          <w:bCs/>
        </w:rPr>
        <w:t>изучать и устранять коренные причины сохраняющейся практики принудительного и кабального труда и усовершенствовать политику по ее предупреждению.</w:t>
      </w:r>
    </w:p>
    <w:p w14:paraId="2C39CFE6" w14:textId="77777777" w:rsidR="00E6353B" w:rsidRPr="00F8221D" w:rsidRDefault="00E6353B" w:rsidP="00E6353B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Свобода передвижения</w:t>
      </w:r>
    </w:p>
    <w:p w14:paraId="40E972A3" w14:textId="7E18CA3C" w:rsidR="00E6353B" w:rsidRPr="00571D42" w:rsidRDefault="00E6353B" w:rsidP="00E6353B">
      <w:pPr>
        <w:pStyle w:val="SingleTxtG"/>
      </w:pPr>
      <w:bookmarkStart w:id="11" w:name="_Hlk180618928"/>
      <w:r>
        <w:t>34.</w:t>
      </w:r>
      <w:r>
        <w:tab/>
        <w:t xml:space="preserve">Комитет по-прежнему обеспокоен сообщениями о частом использовании списка контроля выезжающих лиц, списка, содержащегося в </w:t>
      </w:r>
      <w:r w:rsidR="00E02E0B">
        <w:t>четвертом</w:t>
      </w:r>
      <w:r>
        <w:t xml:space="preserve"> приложении к Закону о борьбе с терроризмом 1997 года и других контрольных списков и мер, используемых для произвольного ограничения свободы передвижения инакомыслящих лиц, журналистов, активистов, представителей этнических меньшинств и правозащитников, что приводит к конфискации их паспортов, их задержанию и контролю за их передвижением, как в недавних случаях с Сэмми Дин </w:t>
      </w:r>
      <w:proofErr w:type="spellStart"/>
      <w:r>
        <w:t>Балоч</w:t>
      </w:r>
      <w:proofErr w:type="spellEnd"/>
      <w:r>
        <w:t xml:space="preserve"> в сентябре 2024 года и </w:t>
      </w:r>
      <w:proofErr w:type="spellStart"/>
      <w:r>
        <w:t>Махранг</w:t>
      </w:r>
      <w:proofErr w:type="spellEnd"/>
      <w:r>
        <w:t xml:space="preserve"> </w:t>
      </w:r>
      <w:proofErr w:type="spellStart"/>
      <w:r>
        <w:t>Балоч</w:t>
      </w:r>
      <w:proofErr w:type="spellEnd"/>
      <w:r>
        <w:t xml:space="preserve"> в октябре 2024 года. Он обеспокоен также требованием к лицам, подающим заявления на получение паспортов или национальных удостоверений личности, указывать свою религиозную принадлежность, что представляет собой дискриминацию по отношению к </w:t>
      </w:r>
      <w:proofErr w:type="spellStart"/>
      <w:r>
        <w:t>ахмадитам</w:t>
      </w:r>
      <w:proofErr w:type="spellEnd"/>
      <w:r>
        <w:t>, поскольку для получения этих официальных документов они вынуждены объявлять себя немусульманами, что противоречит их убеждениям и самоидентификации (ст. 2, 12 и 26).</w:t>
      </w:r>
      <w:bookmarkEnd w:id="11"/>
    </w:p>
    <w:p w14:paraId="56DFA703" w14:textId="77777777" w:rsidR="00E6353B" w:rsidRPr="00571D42" w:rsidRDefault="00E6353B" w:rsidP="00E6353B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C12EDF">
        <w:rPr>
          <w:rStyle w:val="aa"/>
        </w:rPr>
        <w:footnoteReference w:id="10"/>
      </w:r>
      <w:r>
        <w:rPr>
          <w:b/>
          <w:bCs/>
        </w:rPr>
        <w:t xml:space="preserve"> государству-участнику следует пересмотреть свою нормативно-правовую базу и политику в отношении списка контроля выезжающих лиц, «черного» списка, контрольного списка паспортов и контрольного списка виз и внести в них изменения, с тем чтобы привести их в соответствие со статьей 12 Пакта, обеспечить, чтобы они не ограничивали свободу передвижения на необоснованных основаниях, и создать независимые и эффективные механизмы надзора, включая возможность обращения в суд, для предотвращения произвольных ограничений свободы передвижения.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его законодательные и политические рамки, касающиеся процедур подачи заявлений на получение паспорта и национального удостоверения личности, полностью соответствовали положениям Пакта, в частности статьям 2, 12 и 26, в том числе путем отмены требования об обязательном указании религиозной принадлежности.</w:t>
      </w:r>
    </w:p>
    <w:p w14:paraId="5D170916" w14:textId="77777777" w:rsidR="00E6353B" w:rsidRPr="00571D42" w:rsidRDefault="00E6353B" w:rsidP="00E6353B">
      <w:pPr>
        <w:pStyle w:val="H23G"/>
      </w:pPr>
      <w:bookmarkStart w:id="12" w:name="_Hlk180666541"/>
      <w:r>
        <w:tab/>
      </w:r>
      <w:r>
        <w:tab/>
      </w:r>
      <w:r>
        <w:rPr>
          <w:bCs/>
        </w:rPr>
        <w:t>Обращение с иностранцами, включая беженцев и просителей убежища</w:t>
      </w:r>
      <w:bookmarkEnd w:id="12"/>
    </w:p>
    <w:p w14:paraId="57C47984" w14:textId="4E7857D3" w:rsidR="00E6353B" w:rsidRPr="00571D42" w:rsidRDefault="00E6353B" w:rsidP="00E6353B">
      <w:pPr>
        <w:pStyle w:val="SingleTxtG"/>
      </w:pPr>
      <w:r>
        <w:t>36.</w:t>
      </w:r>
      <w:r>
        <w:tab/>
        <w:t xml:space="preserve">Комитет приветствует решение государства-участника продлить до июня 2025 года срок действия регистрационных карточек — удостоверений личности, которые имеют более 1,4 </w:t>
      </w:r>
      <w:r w:rsidR="00AB0B5D">
        <w:t>млн</w:t>
      </w:r>
      <w:r>
        <w:t xml:space="preserve"> афганских беженцев. Однако он по-прежнему обеспокоен отсутствием законодательных и институциональных рамок, регулирующих предоставление защиты беженцам и просителям убежища и устанавливающих процедуру предоставления убежища. Он обеспокоен также принятием в сентябре 2023 года Плана по репатриации незаконно находящихся в стране иностранцев, которое привело, как сообщается, к принудительной депортации большого числа афганцев без индивидуальной оценки их потребностей в защите. Кроме того, он обеспокоен сообщениями о том, что после принятия Плана многие афганские граждане, проживающие в государстве-участнике, столкнулись с усилившимся преследованием со стороны правоохранительных органов, что еще больше осложнило их и без того нестабильное положение, в том числе в отношении доступа к жилью и занятости, и что некоторые из них были вынуждены спешно уехать в Афганистан, опасаясь ареста и помещения под стражу (ст. 7, 9, 12, 13 и 24).</w:t>
      </w:r>
    </w:p>
    <w:p w14:paraId="2776A5B4" w14:textId="77777777" w:rsidR="00E6353B" w:rsidRPr="00571D42" w:rsidRDefault="00E6353B" w:rsidP="00E6353B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В соответствии с рекомендациями Комитета по ликвидации расовой дискриминации</w:t>
      </w:r>
      <w:r w:rsidRPr="00C12EDF">
        <w:rPr>
          <w:rStyle w:val="aa"/>
        </w:rPr>
        <w:footnoteReference w:id="11"/>
      </w:r>
      <w:r>
        <w:rPr>
          <w:b/>
          <w:bCs/>
        </w:rPr>
        <w:t xml:space="preserve"> государству-участнику следует активизировать усилия по принятию закона об убежище и беженцах, устанавливающего процедуру предоставления убежища согласно соответствующим международным стандартам, и обеспечить эффективную защиту лиц, нуждающихся в международной защите, от принудительного возвращения.</w:t>
      </w:r>
      <w:r>
        <w:t xml:space="preserve"> </w:t>
      </w:r>
      <w:r>
        <w:rPr>
          <w:b/>
          <w:bCs/>
        </w:rPr>
        <w:t>Государству-участнику следует обеспечить также, чтобы содержание иммигрантов под стражей применялось только в качестве крайней меры и на как можно более ограниченной основе, расширить применение альтернатив содержанию под стражей, основанных на уважении прав человека, и обеспечить наличие у содержащихся под стражей лиц доступа к бесплатной юридической помощи и услугам устного перевода, а также соответствие условий их жизни и обращения с ними международным стандартам.</w:t>
      </w:r>
      <w:r>
        <w:t xml:space="preserve"> </w:t>
      </w:r>
      <w:r>
        <w:rPr>
          <w:b/>
          <w:bCs/>
        </w:rPr>
        <w:t>Государству-участнику следует рассмотреть возможность ратификации Конвенции о статусе беженцев 1951 года и Протокола, касающегося статуса беженцев, 1967 года.</w:t>
      </w:r>
    </w:p>
    <w:p w14:paraId="0DBFC1AF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Регистрация рождения и безгражданство</w:t>
      </w:r>
    </w:p>
    <w:p w14:paraId="10762181" w14:textId="1592A5F0" w:rsidR="00E6353B" w:rsidRPr="00571D42" w:rsidRDefault="00E6353B" w:rsidP="00E6353B">
      <w:pPr>
        <w:pStyle w:val="SingleTxtG"/>
      </w:pPr>
      <w:r>
        <w:t>38.</w:t>
      </w:r>
      <w:r>
        <w:tab/>
        <w:t>Признавая предпринятые государством-участником усилия, Комитет по</w:t>
      </w:r>
      <w:r w:rsidR="00EC7FFA">
        <w:noBreakHyphen/>
      </w:r>
      <w:r>
        <w:t xml:space="preserve">прежнему обеспокоен низким уровнем регистрации рождений, в том числе детей из числа беженцев, просителей убежища и апатридов, что негативно сказывается на их правовой защите и осуществлении ими прав человека, в том числе в области здравоохранения и образования. Отмечая, что Закон о гражданстве Пакистана 1951 года включает принцип </w:t>
      </w:r>
      <w:proofErr w:type="spellStart"/>
      <w:r>
        <w:t>jus</w:t>
      </w:r>
      <w:proofErr w:type="spellEnd"/>
      <w:r w:rsidR="009534EA">
        <w:t> </w:t>
      </w:r>
      <w:proofErr w:type="spellStart"/>
      <w:r>
        <w:t>soli</w:t>
      </w:r>
      <w:proofErr w:type="spellEnd"/>
      <w:r>
        <w:t xml:space="preserve"> и предусматривает, что каждый ребенок, родившийся на территории государства-участника, имеет право на гражданство Пакистана, Комитет обеспокоен сообщениями о том, что доступ к гражданству остается весьма затруднительным для некоторых детей, родившихся в Пакистане, включая афганских детей и детей из общин бенгальцев, бихари и </w:t>
      </w:r>
      <w:proofErr w:type="spellStart"/>
      <w:r>
        <w:t>рохинджа</w:t>
      </w:r>
      <w:proofErr w:type="spellEnd"/>
      <w:r>
        <w:t>, в результате чего они становятся лицами без гражданства (ст. 2, 16, 24 и 26).</w:t>
      </w:r>
    </w:p>
    <w:p w14:paraId="1EF01DEB" w14:textId="4E119589" w:rsidR="00E6353B" w:rsidRPr="00571D42" w:rsidRDefault="00E6353B" w:rsidP="00E6353B">
      <w:pPr>
        <w:ind w:left="1134" w:right="1133"/>
        <w:jc w:val="both"/>
      </w:pPr>
      <w:r>
        <w:t>39.</w:t>
      </w:r>
      <w:r>
        <w:tab/>
      </w:r>
      <w:r>
        <w:rPr>
          <w:b/>
          <w:bCs/>
        </w:rPr>
        <w:t>Государству-участнику следует активизировать свои усилия по содействию выдаче свидетельств о рождении всем детям, родившимся в Пакистане, включая детей из числа беженцев, просителей убежища и апатридов, и проводить кампании, особенно в отдаленных районах страны, с целью повышения осведомленности о процедуре регистрации рождения и важности регистрации рождения для всех детей.</w:t>
      </w:r>
      <w:r>
        <w:t xml:space="preserve"> </w:t>
      </w:r>
      <w:r>
        <w:rPr>
          <w:b/>
          <w:bCs/>
        </w:rPr>
        <w:t>Государству-участнику следует обеспечить применение законов о гражданстве без какой-либо дискриминации и принимать все необходимые меры для предотвращения безгражданства, в том числе путем удовлетворения ходатайств о предоставлении гражданства детям</w:t>
      </w:r>
      <w:r w:rsidR="00D23D0B">
        <w:rPr>
          <w:b/>
          <w:bCs/>
        </w:rPr>
        <w:noBreakHyphen/>
      </w:r>
      <w:r>
        <w:rPr>
          <w:b/>
          <w:bCs/>
        </w:rPr>
        <w:t>иностранцам, которым грозит безгражданство.</w:t>
      </w:r>
      <w:r>
        <w:t xml:space="preserve"> </w:t>
      </w:r>
      <w:r>
        <w:rPr>
          <w:b/>
          <w:bCs/>
        </w:rPr>
        <w:t>Государству-участнику следует рассмотреть также возможность присоединения к Конвенции о статусе апатридов 1954 года и Конвенции о сокращении безгражданства 1961 года.</w:t>
      </w:r>
    </w:p>
    <w:p w14:paraId="7CB881DB" w14:textId="77777777" w:rsidR="00E6353B" w:rsidRPr="00524988" w:rsidRDefault="00E6353B" w:rsidP="00E6353B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</w:p>
    <w:p w14:paraId="4D5AA552" w14:textId="77777777" w:rsidR="00E6353B" w:rsidRPr="00571D42" w:rsidRDefault="00E6353B" w:rsidP="00E6353B">
      <w:pPr>
        <w:pStyle w:val="SingleTxtG"/>
      </w:pPr>
      <w:bookmarkStart w:id="13" w:name="_Hlk180609972"/>
      <w:r>
        <w:t>40.</w:t>
      </w:r>
      <w:r>
        <w:tab/>
        <w:t>Принимая к сведению информацию, предоставленную делегацией государства-участника в ходе диалога по предлагаемой двадцать шестой конституционной поправке и процессу ее принятия, Комитет обеспокоен непроведением предварительных, широких, прозрачных и конструктивных консультаций по этому предложению с судьями, прокурорами, адвокатами, коллегиями адвокатов и гражданским обществом. Его особую обеспокоенность, учитывая влияние этих изменений на независимость судебной власти и на процесс назначения судей, в том числе в связи с воссозданием Судебной комиссии, вызывает назначение председателя Верховного суда через специальный парламентский комитет и создание в Верховном и Высоком судах коллегий по конституционным вопросам, которые будут формироваться Судебной комиссией. Комитет сожалеет об отсутствии информации о нормативно-правовой базе и институциональных механизмах, гарантирующих независимость прокуроров, а также о механизмах их приема на работу, назначения, продвижения по службе, принятия в отношении них дисциплинарных мер и их отстранения от службы. Он обеспокоен также сообщениями о том, что судьи и прокуроры, занимающиеся делами, имеющими политический резонанс, и делами, связанными с коррупцией, терроризмом и богохульством, часто подвергаются преследованию, запугиванию и угрозам, в том числе со стороны негосударственных субъектов (ст. 2, 8 и 14).</w:t>
      </w:r>
      <w:bookmarkStart w:id="14" w:name="_Hlk180611599"/>
      <w:bookmarkEnd w:id="13"/>
      <w:bookmarkEnd w:id="14"/>
    </w:p>
    <w:p w14:paraId="298510E2" w14:textId="77777777" w:rsidR="00E6353B" w:rsidRPr="00571D42" w:rsidRDefault="00E6353B" w:rsidP="00E6353B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В соответствии со статьей 14 Пакта и в свете замечания общего порядка № 32 (2007) Комитета о праве на равенство перед судами и трибуналами и на справедливое судебное разбирательство государству-участнику следует принять все необходимые меры для обеспечения в законодательстве и на практике полной независимости, беспристрастности и безопасности судей и прокуроров.</w:t>
      </w:r>
      <w:r>
        <w:t xml:space="preserve"> </w:t>
      </w:r>
      <w:r>
        <w:rPr>
          <w:b/>
          <w:bCs/>
        </w:rPr>
        <w:t>В частности, ему следует пересмотреть конституционные и законодательные рамки, касающиеся независимости судебной власти и процесса назначения судей, в том числе путем проведения прозрачных и широких консультаций с общественностью, чтобы привести их в соответствие с Пактом и применимыми международными стандартами, такими как Основные принципы независимости судебных органов.</w:t>
      </w:r>
      <w:r>
        <w:t xml:space="preserve"> </w:t>
      </w:r>
      <w:r>
        <w:rPr>
          <w:b/>
          <w:bCs/>
        </w:rPr>
        <w:t>Государству-участнику следует также принять конкретные меры для того, чтобы судьи и прокуроры при принятии решений не подвергались никаким формам политического давления, преследования, запугивания, угроз или иного незаконного воздействия, в том числе путем приведения процедур отбора, назначения, продвижения по службе и отстранения от должности судей и прокуроров и принятия в отношении них дисциплинарных мер в соответствие с положениями Пакта и применимыми международными стандартами.</w:t>
      </w:r>
      <w:r>
        <w:t xml:space="preserve"> </w:t>
      </w:r>
      <w:r>
        <w:rPr>
          <w:b/>
          <w:bCs/>
        </w:rPr>
        <w:t>Кроме того, государству-участнику следует предоставлять системе правосудия надлежащие людские и финансовые ресурсы.</w:t>
      </w:r>
    </w:p>
    <w:p w14:paraId="70E57CA0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Военные суды</w:t>
      </w:r>
    </w:p>
    <w:p w14:paraId="2EEAEDC1" w14:textId="67CF05FC" w:rsidR="00E6353B" w:rsidRPr="00571D42" w:rsidRDefault="00E6353B" w:rsidP="00E6353B">
      <w:pPr>
        <w:pStyle w:val="SingleTxtG"/>
      </w:pPr>
      <w:r>
        <w:t>42.</w:t>
      </w:r>
      <w:r>
        <w:tab/>
        <w:t>Комитет по-прежнему обеспокоен использованием Закона об армии Пакистана 1952 года для привлечения к уголовной ответственности гражданских лиц в военных судах. Он обеспокоен также сообщениями о том, что процент обвинительных приговоров, выносимых военными судами, чрезвычайно высок и что в большинстве дел, рассмотренных в период с 2015 по 2019 год, осужденные были приговорены к смертной казни. Кроме того, он обеспокоен тем, что военные суды недостаточно независимы и что гражданские лица, судимые военными судами, не пользуются теми же процессуальными гарантиями, которые предусмотрены в гражданской судебной системе. Принимая к сведению постановление Верховного суда от октября 2023 года, в соответствии с которым судебное преследование гражданских лиц военными судами было объявлено неконституционным и противоречащим международным стандартам в области прав человека, Комитет сожалеет, что действие постановления было приостановлено. Комитет обеспокоен тем, что гражданские лица, чьи дела по</w:t>
      </w:r>
      <w:r w:rsidR="002E0198">
        <w:noBreakHyphen/>
      </w:r>
      <w:r>
        <w:t>прежнему находятся на рассмотрении военных судов, не могут быть освобождены до тех пор, пока Верховный суд не вынесет окончательного постановления (ст. 2 и 14).</w:t>
      </w:r>
    </w:p>
    <w:p w14:paraId="05AFC0AF" w14:textId="77777777" w:rsidR="00E6353B" w:rsidRPr="00571D42" w:rsidRDefault="00E6353B" w:rsidP="00E6353B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В соответствии со статьями 14 и 15 Пакта и в свете замечания общего порядка № 32 (2007) Комитета о праве на равенство перед судами и трибуналами и на справедливое судебное разбирательство, а также в связи с предыдущими рекомендациями Комитета</w:t>
      </w:r>
      <w:r w:rsidRPr="00C12EDF">
        <w:rPr>
          <w:rStyle w:val="aa"/>
        </w:rPr>
        <w:footnoteReference w:id="12"/>
      </w:r>
      <w:r>
        <w:rPr>
          <w:b/>
          <w:bCs/>
        </w:rPr>
        <w:t xml:space="preserve"> государству-участнику следует принять незамедлительные меры по пересмотру законодательства о военных судах, отменить их юрисдикцию в отношении гражданских лиц и их право выносить смертные приговоры и привести осуществляемое ими производство в полное соответствие со статьями 14 и 15 Пакта для обеспечения справедливого судебного разбирательства.</w:t>
      </w:r>
      <w:r>
        <w:t xml:space="preserve"> </w:t>
      </w:r>
      <w:r>
        <w:rPr>
          <w:b/>
          <w:bCs/>
        </w:rPr>
        <w:t>Государству-участнику следует также освободить под залог всех гражданских лиц, содержащихся под стражей по решению военных судов.</w:t>
      </w:r>
    </w:p>
    <w:p w14:paraId="427FBC8F" w14:textId="77777777" w:rsidR="00E6353B" w:rsidRPr="00571D42" w:rsidRDefault="00E6353B" w:rsidP="00E6353B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3971A2A0" w14:textId="77777777" w:rsidR="00E6353B" w:rsidRPr="00571D42" w:rsidRDefault="00E6353B" w:rsidP="00E6353B">
      <w:pPr>
        <w:pStyle w:val="SingleTxtG"/>
      </w:pPr>
      <w:r>
        <w:t>44.</w:t>
      </w:r>
      <w:r>
        <w:tab/>
        <w:t>Комитет по-прежнему обеспокоен тем, что Закон о предотвращении электронных преступлений 2016 года предоставляет властям чрезмерно широкие полномочия по доступу к личным данным, их хранению и передаче иностранным правительствам без разрешения суда и достаточного надзора. Он обеспокоен также сообщениями об усилении мер и механизмов наблюдения в государстве-участнике, таких как: a) разрешение, выданное Межведомственной разведке в июле 2024 года на перехват телефонных звонков и текстовых сообщений граждан в соответствии с пунктом 1 статьи 54 Закона Пакистана о телекоммуникациях (реорганизация) 1996 года; и b) внедрение системы массового наблюдения (Система организации законного перехвата), которая была навязана телекоммуникационным компаниям и которая делает возможным перехват данных и телекоммуникационных записей до 4 млн пользователей без какого-либо надзора со стороны регулирующих органов или судебного разрешения. Кроме того, он обеспокоен сообщениями о том, что спецслужбы ведут целенаправленное наблюдение и мониторинг за отдельными лицами, в частности за правозащитниками, журналистами, политическими активистами, политиками и лицами, критикующими правительство, в том числе с использованием цифровых технологий, таких как шпионское программное обеспечение (ст. 17 и 19).</w:t>
      </w:r>
    </w:p>
    <w:p w14:paraId="5778A472" w14:textId="77777777" w:rsidR="00E6353B" w:rsidRPr="00571D42" w:rsidRDefault="00E6353B" w:rsidP="00E6353B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 незамедлительно принять всеобъемлющий закон о защите данных, обеспечивающий прозрачность, подотчетность и защиту конфиденциальности данных в соответствии с международными стандартами в области прав человека.</w:t>
      </w:r>
      <w:r>
        <w:t xml:space="preserve"> </w:t>
      </w:r>
      <w:r>
        <w:rPr>
          <w:b/>
          <w:bCs/>
        </w:rPr>
        <w:t>Государству-участнику следует обеспечить, чтобы законодательство, касающееся слежки, регулирования контента и данных и связанной с этим деятельности, а также любого другого вмешательства в частную жизнь, полностью соответствовало статье 17 Пакта и принципам законности, соразмерности и необходимости.</w:t>
      </w:r>
      <w:r>
        <w:t xml:space="preserve"> </w:t>
      </w:r>
      <w:r>
        <w:rPr>
          <w:b/>
          <w:bCs/>
        </w:rPr>
        <w:t>Государству-участнику следует создать независимые механизмы надзора, включая независимый и беспристрастный судебный контроль за деятельностью по наблюдению, и обеспечить доступ к эффективным средствам правовой защиты.</w:t>
      </w:r>
    </w:p>
    <w:p w14:paraId="4A499ED4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убеждений, недискриминация и запрещение пропаганды национальной, расовой или религиозной ненависти</w:t>
      </w:r>
    </w:p>
    <w:p w14:paraId="055EF6B2" w14:textId="77777777" w:rsidR="00E6353B" w:rsidRPr="00571D42" w:rsidRDefault="00E6353B" w:rsidP="00E6353B">
      <w:pPr>
        <w:pStyle w:val="SingleTxtG"/>
      </w:pPr>
      <w:r>
        <w:t>46.</w:t>
      </w:r>
      <w:r>
        <w:tab/>
        <w:t xml:space="preserve">Комитет глубоко обеспокоен сообщениями о росте масштабов дискриминации, ненавистнических высказываний, преступлений на почве ненависти, насильственных действий толпы, преследования и запугивания в отношении религиозных меньшинств, в частности меньшинств христиан, </w:t>
      </w:r>
      <w:proofErr w:type="spellStart"/>
      <w:r>
        <w:t>ахмадитов</w:t>
      </w:r>
      <w:proofErr w:type="spellEnd"/>
      <w:r>
        <w:t xml:space="preserve">, индуистов, шиитов и сикхов, а также о разрушении их мест отправления культа и кладбищ, как это произошло в </w:t>
      </w:r>
      <w:proofErr w:type="spellStart"/>
      <w:r>
        <w:t>Джаранвале</w:t>
      </w:r>
      <w:proofErr w:type="spellEnd"/>
      <w:r>
        <w:t xml:space="preserve"> в августе 2023 года. Он обеспокоен также непредоставлением эффективной защиты этим меньшинствам со стороны властей и отсутствием ответственности за эти преступления. Он по-прежнему обеспокоен законами о богохульстве, в том числе статьями 295 и 298 Уголовного кодекса Пакистана, предусматривающими суровые наказания, включая смертную казнь, которые оказывают непропорционально сильное воздействие на религиозные меньшинства. Помимо этого, он обеспокоен ростом числа лиц, лишенных свободы по обвинению в богохульстве, большим числом дел о богохульстве, основанных на ложных обвинениях, насилием в отношении обвиняемых в богохульстве, поощрением самосуда и заявлениями о привлечении к ответственности лиц, в особенности молодых людей, за богохульство в сети согласно законам о киберпреступности (ст. 2, 14, 18, 19 и 26).</w:t>
      </w:r>
    </w:p>
    <w:p w14:paraId="272ACFAD" w14:textId="488F6144" w:rsidR="00E6353B" w:rsidRPr="00571D42" w:rsidRDefault="00E6353B" w:rsidP="00E6353B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В соответствии со статьей 18 Пакта, в свете замечания общего порядка № 22 (1993) Комитета о свободе мысли, совести и религии, а также в соответствии с предыдущими рекомендациями Комитета</w:t>
      </w:r>
      <w:r w:rsidRPr="00C12EDF">
        <w:rPr>
          <w:rStyle w:val="aa"/>
        </w:rPr>
        <w:footnoteReference w:id="13"/>
      </w:r>
      <w:r w:rsidR="00D128BB">
        <w:rPr>
          <w:b/>
          <w:bCs/>
        </w:rPr>
        <w:t xml:space="preserve"> </w:t>
      </w:r>
      <w:r>
        <w:rPr>
          <w:b/>
          <w:bCs/>
        </w:rPr>
        <w:t>государству-участнику следует обеспечить уважение свободы мысли, совести и религии для всех и предупреждать, пресекать и устранять все формы дискриминации и насилия в отношении религиозных меньшинств.</w:t>
      </w:r>
      <w:r>
        <w:t xml:space="preserve"> </w:t>
      </w:r>
      <w:r>
        <w:rPr>
          <w:b/>
          <w:bCs/>
        </w:rPr>
        <w:t>В частности, ему следует:</w:t>
      </w:r>
    </w:p>
    <w:p w14:paraId="306DDE7D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 w:rsidRPr="00182ACE">
        <w:rPr>
          <w:b/>
          <w:bCs/>
        </w:rPr>
        <w:t>)</w:t>
      </w:r>
      <w:r w:rsidRPr="00182ACE">
        <w:rPr>
          <w:b/>
          <w:bCs/>
        </w:rPr>
        <w:tab/>
      </w:r>
      <w:r>
        <w:rPr>
          <w:b/>
          <w:bCs/>
        </w:rPr>
        <w:t>активизировать свои усилия по предотвращению и оперативному, тщательному, независимому и беспристрастному расследованию всех актов дискриминации и насилия, а также случаев ненавистнических высказываний и подстрекательства к публичному насилию в отношении религиозных меньшинств, и обеспечить, чтобы виновные, включая сотрудников центральных, региональных и местных органов власти, правоохранительных органов и лиц, подстрекающих к насилию через громкоговорители, расположенные на мечетях, или иным образом, привлекались к ответственности и, в случае осуждения, несли наказание, соразмерное тяжести совершенного преступления, а жертвы получали возмещение ущерба;</w:t>
      </w:r>
    </w:p>
    <w:p w14:paraId="01FD358F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принимать эффективные меры по предотвращению физических нападений и разрушения мест отправления культа и кладбищ, а также предоставлять надлежащее возмещение ущерба всем затронутым общинам, в том числе путем восстановления мест отправления культа и предоставления компенсации всем пострадавшим лицам;</w:t>
      </w:r>
    </w:p>
    <w:p w14:paraId="69FC61C0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отменить все законы о богохульстве или внести в них изменения в соответствии со строгими требованиями Пакта, положить конец использованию законодательства о киберпреступности, включая Закон о предотвращении электронных преступлений 2016 года, для судебного преследования и помещения под стражу лиц, обвиняемых в нарушении законов о богохульстве в Интернете, а также провести эффективное расследование утверждений о массовом злоупотреблении законодательством о богохульстве в контексте законов о киберпреступности и опубликовать результаты этого расследования;</w:t>
      </w:r>
    </w:p>
    <w:p w14:paraId="123EE270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принимать все необходимые меры для предотвращения насильственных нападений на лиц, обвиняемых в богохульстве, в особенности на тех, кто находится под стражей в полиции или под арестом, и расследовать эти нападения, включая случаи самосуда толпы и убийства, обеспечив преследование, осуждение и соответствующее наказание всех виновных;</w:t>
      </w:r>
    </w:p>
    <w:p w14:paraId="1181AB72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e)</w:t>
      </w:r>
      <w:r w:rsidRPr="00182ACE">
        <w:rPr>
          <w:b/>
          <w:bCs/>
        </w:rPr>
        <w:tab/>
      </w:r>
      <w:r>
        <w:rPr>
          <w:b/>
          <w:bCs/>
        </w:rPr>
        <w:t>обеспечить, чтобы все лица, подстрекающие к насилию в связи с обвинениями в богохульстве или участвующие в нем, а также те, кто ложно обвиняет других в богохульстве, привлекались к ответственности и получали соответствующие наказания.</w:t>
      </w:r>
    </w:p>
    <w:p w14:paraId="369AF634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Свобода выражения мнений и безопасность журналистов и правозащитников</w:t>
      </w:r>
    </w:p>
    <w:p w14:paraId="71E3EECC" w14:textId="606729F5" w:rsidR="00E6353B" w:rsidRPr="00571D42" w:rsidRDefault="00E6353B" w:rsidP="00E6353B">
      <w:pPr>
        <w:pStyle w:val="SingleTxtG"/>
      </w:pPr>
      <w:r>
        <w:t>48.</w:t>
      </w:r>
      <w:r>
        <w:tab/>
        <w:t>Комитет обеспокоен произвольными ограничениями, как в законодательстве, так и на практике, в отношении свободы выражения мнений в Интернете и вне его. Такие ограничения включают широкомасштабные и угрожающе частые отключения Интернета, включая, например, отключение Интернета и социальных сетей во время протестов в мае 2023 года и приостановку услуг мобильного Интернета в день всеобщих выборов в 2024 году, а также блокировку платформ социальных сетей и онлайн-контента на нечетко определенных основаниях. Комитет обеспокоен также тем, что уголовные законы о диффамации, богохульстве, подстрекательстве к мятежу и борьбе с терроризмом, а также другие недавно принятые законы оказывают сдерживающее воздействие на осуществление свободы выражения мнений журналистами, активистами, правозащитниками и представителями этнических и религиозных меньшинств. К таким законам относятся Уголовный кодекс Пакистана (статьи 124-A, 295</w:t>
      </w:r>
      <w:r w:rsidR="00B715BC">
        <w:t>–</w:t>
      </w:r>
      <w:r>
        <w:t>298, 499 и 500), Закон о предотвращении электронных преступлений 2016 года, Правила удаления и блокировки незаконного контента в сети (процедуры, надзор и гарантии) 2021 года, Закон об Управлении по регулированию электронных СМИ Пакистана (поправка) 2023 года, Закон о государственной тайне (поправка) 2023 года, Закон об армии Пакистана (поправка) 2023 года и Закон провинции Пенджаб о диффамации 2024 года. Кроме того, Комитет обеспокоен сообщениями об усилении принуждения и цензуры в отношении средств массовой информации за трансляцию критики правительства, военных и спецслужб, включая закрытие и приостановку лицензий телевизионных каналов, в частности Управлением по регулированию электронных СМИ Пакистана. Отмечая принятие в 2021 году Закона о защите журналистов и работников СМИ, Комитет по-прежнему обеспокоен частыми сообщениями о насильственных исчезновениях, пытках, убийствах, угрозах, преследовании и запугивании журналистов, правозащитников и представителей гражданского общества, воспринимаемых как лица, критически настроенные по отношению к правительству или занимающиеся острыми вопросами, со стороны государственных и негосударственных субъектов, а также высоким уровнем безнаказанности за эти преступления (ст. 6, 7, 19 и 20).</w:t>
      </w:r>
    </w:p>
    <w:p w14:paraId="504CF401" w14:textId="77777777" w:rsidR="00E6353B" w:rsidRPr="00571D42" w:rsidRDefault="00E6353B" w:rsidP="00E6353B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В соответствии со статьей 19 Пакта и в свете замечания общего порядка № 34 (2011) Комитета о свободе мнений и их выражения государству-участнику следует:</w:t>
      </w:r>
    </w:p>
    <w:p w14:paraId="3339B9C8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 w:rsidRPr="00182ACE">
        <w:rPr>
          <w:b/>
          <w:bCs/>
        </w:rPr>
        <w:t>)</w:t>
      </w:r>
      <w:r w:rsidRPr="00182ACE">
        <w:rPr>
          <w:b/>
          <w:bCs/>
        </w:rPr>
        <w:tab/>
      </w:r>
      <w:r>
        <w:rPr>
          <w:b/>
          <w:bCs/>
        </w:rPr>
        <w:t>принять незамедлительные меры для обеспечения того, чтобы каждый человек мог беспрепятственно осуществлять право на свободное выражение мнений онлайн и офлайн, в том числе путем пересмотра или отмены вышеупомянутого законодательства и отказа от мер, необоснованно ограничивающих свободу выражения мнений, таких как отключение Интернета, блокировка веб-сайтов и онлайн-ресурсов и запрет платформ социальных сетей, а также путем создания независимого и эффективного надзорного органа для рассмотрения и мониторинга решений, касающихся цензуры и нарушения работы Интернета, и обеспечения того, чтобы любые ограничения на осуществление свободы выражения мнений соответствовали строгим условиям, изложенным в Пакте;</w:t>
      </w:r>
    </w:p>
    <w:p w14:paraId="48990B51" w14:textId="1A8BE9C2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воздерживаться от принятия любых мер или законов, которые могут привести к дальнейшим необоснованным ограничениям осуществления права на свободное выражение мнений, таких как использование общенациональной системы брандмауэров и законопроект об электронной безопасности 2023 года, и</w:t>
      </w:r>
      <w:r w:rsidR="00824978">
        <w:rPr>
          <w:b/>
          <w:bCs/>
        </w:rPr>
        <w:t> </w:t>
      </w:r>
      <w:r>
        <w:rPr>
          <w:b/>
          <w:bCs/>
        </w:rPr>
        <w:t>обеспечить проведение широких консультаций с соответствующими заинтересованными сторонами, включая организации гражданского общества, журналистов, работников СМИ и техническое сообщество;</w:t>
      </w:r>
    </w:p>
    <w:p w14:paraId="3253FE37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рассмотреть возможность отмены уголовной ответственности за диффамацию и обеспечить, чтобы уголовное законодательство и законы о подстрекательстве к мятежу и борьбе с терроризмом не использовались для того, чтобы заглушить голоса журналистов, правозащитников, представителей этнических и религиозных меньшинств и инакомыслящих;</w:t>
      </w:r>
    </w:p>
    <w:p w14:paraId="5B4C4B03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обеспечить расследование всех заявлений о насильственных исчезновениях, пытках, убийствах и запугивании журналистов, правозащитников и представителей гражданского общества, привлечение виновных к ответственности и их надлежащее наказание, а также предоставление жертвам соответствующего возмещения ущерба;</w:t>
      </w:r>
    </w:p>
    <w:p w14:paraId="18E6936D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e)</w:t>
      </w:r>
      <w:r w:rsidRPr="00182ACE">
        <w:rPr>
          <w:b/>
          <w:bCs/>
        </w:rPr>
        <w:tab/>
      </w:r>
      <w:r>
        <w:rPr>
          <w:b/>
          <w:bCs/>
        </w:rPr>
        <w:t>гарантировать, чтобы правозащитники, журналисты и представители гражданского общества могли осуществлять свою деятельность безопасно, свободно и независимо, не опасаясь преследования, запугивания, притеснений или репрессий;</w:t>
      </w:r>
    </w:p>
    <w:p w14:paraId="60B26E33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f)</w:t>
      </w:r>
      <w:r w:rsidRPr="00182ACE">
        <w:rPr>
          <w:b/>
          <w:bCs/>
        </w:rPr>
        <w:tab/>
      </w:r>
      <w:r>
        <w:rPr>
          <w:b/>
          <w:bCs/>
        </w:rPr>
        <w:t>принимать все необходимые меры для сохранения подлинного плюрализма в медиа-ландшафте и обеспечения безопасных и благоприятных условий для работы журналистов, в том числе путем полноценного осуществления Закона о защите журналистов и работников СМИ 2021 года и скорейшего создания Комиссии по защите журналистов и работников СМИ, что предусмотрено статьей 12 Закона.</w:t>
      </w:r>
    </w:p>
    <w:p w14:paraId="383A7DCF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</w:p>
    <w:p w14:paraId="36F93B87" w14:textId="2BB577B1" w:rsidR="00E6353B" w:rsidRPr="00571D42" w:rsidRDefault="00E6353B" w:rsidP="00E6353B">
      <w:pPr>
        <w:pStyle w:val="SingleTxtG"/>
      </w:pPr>
      <w:r>
        <w:t>50.</w:t>
      </w:r>
      <w:r>
        <w:tab/>
        <w:t>Комитет обеспокоен законодательством, необоснованно ограничивающим осуществление права на мирные собрания, включая Закон о мирных собраниях и охране общественного порядка 2024 года и статью 14 Закона провинции Хайбер</w:t>
      </w:r>
      <w:r w:rsidR="00551C3B">
        <w:noBreakHyphen/>
      </w:r>
      <w:r>
        <w:t>Пахтунхва о гражданской администрации (предоставление государственных услуг и благое управление) 2020 года. Он обеспокоен также сообщениями о том, что в соответствии со статьей 144 Уголовно-процессуального кодекса часто вводятся полные запреты на проведение собраний, в частности для того, чтобы не допустить собраний, которые правительство считает нежелательными. Кроме того, он</w:t>
      </w:r>
      <w:r w:rsidR="00FF34AF">
        <w:t> </w:t>
      </w:r>
      <w:r>
        <w:t>обеспокоен использованием в Уголовном кодексе Пакистана, Законе о борьбе с терроризмом 1997 года и Постановлении о поддержании общественного порядка 1960 года положений о подстрекательстве к мятежу и незаконных собраниях, которое приводит к длительным задержаниям участников акций протеста, в особенности правозащитников, политических оппонентов, активистов и представителей этнических и религиозных меньшинств. Помимо этого, Комитет обеспокоен сообщениями о повторяющихся случаях запугивания, насильственных исчезновений, пыток, чрезмерного применения силы и массовых и произвольных арестов участников собраний, как, например, в случае марша «</w:t>
      </w:r>
      <w:proofErr w:type="spellStart"/>
      <w:r>
        <w:t>Аурат</w:t>
      </w:r>
      <w:proofErr w:type="spellEnd"/>
      <w:r>
        <w:t xml:space="preserve">» (Женский марш), марша против геноцида белуджи, «Белуджи раджи </w:t>
      </w:r>
      <w:proofErr w:type="spellStart"/>
      <w:r>
        <w:t>мачи</w:t>
      </w:r>
      <w:proofErr w:type="spellEnd"/>
      <w:r>
        <w:t xml:space="preserve">» (Национальное собрание белуджи) и «Пуштун </w:t>
      </w:r>
      <w:proofErr w:type="spellStart"/>
      <w:r>
        <w:t>кауми</w:t>
      </w:r>
      <w:proofErr w:type="spellEnd"/>
      <w:r>
        <w:t xml:space="preserve"> джирга» (Национальный суд пуштунов), а также других акций протеста и собраний (ст. 2, 6, 7, 9, 19, 21 и 26).</w:t>
      </w:r>
      <w:bookmarkStart w:id="15" w:name="_Hlk183766738"/>
      <w:bookmarkStart w:id="16" w:name="_Hlk180608585"/>
      <w:bookmarkEnd w:id="15"/>
      <w:bookmarkEnd w:id="16"/>
    </w:p>
    <w:p w14:paraId="126D6EE8" w14:textId="77777777" w:rsidR="00E6353B" w:rsidRPr="00571D42" w:rsidRDefault="00E6353B" w:rsidP="00E6353B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В соответствии со статьей 21 Пакта и в свете замечания общего порядка № 37 (2020) Комитета о праве на мирные собрания государству-участнику следует:</w:t>
      </w:r>
    </w:p>
    <w:p w14:paraId="0B446AFD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a)</w:t>
      </w:r>
      <w:r w:rsidRPr="00182ACE">
        <w:rPr>
          <w:b/>
          <w:bCs/>
        </w:rPr>
        <w:tab/>
      </w:r>
      <w:r>
        <w:rPr>
          <w:b/>
          <w:bCs/>
        </w:rPr>
        <w:t>привести свою законодательную базу, регулирующую мирные собрания, в полное соответствие с Пактом и обеспечить, чтобы любые вводимые ограничения строго соответствовали статье 21 Пакта;</w:t>
      </w:r>
    </w:p>
    <w:p w14:paraId="5AC921EF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обеспечить оперативное, беспристрастное и эффективное расследование всех заявлений о чрезмерном применении силы, насильственных исчезновениях, пытках и произвольных задержаниях, привлечение виновных к ответственности и предоставление всем лицам, пострадавшим от таких действий, полного возмещения ущерба;</w:t>
      </w:r>
    </w:p>
    <w:p w14:paraId="7127A63D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гарантировать в законодательстве и на практике полное осуществление права на мирные собрания, в том числе женскими организациями, организациями этнических и религиозных меньшинств, оппозиционными группами и политическими партиями, и обеспечить полностью свободное освещение этих собраний в средствах массовой информации;</w:t>
      </w:r>
    </w:p>
    <w:p w14:paraId="192158E4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обеспечить надлежащую подготовку сотрудников правоохранительных органов по применению силы и использованию ненасильственных средств контроля над толпой в соответствии с Основными принципами применения силы и огнестрельного оружия должностными лицами по поддержанию правопорядка и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деятельности.</w:t>
      </w:r>
    </w:p>
    <w:p w14:paraId="2F5BD781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</w:p>
    <w:p w14:paraId="71673DF0" w14:textId="76588651" w:rsidR="00E6353B" w:rsidRPr="00571D42" w:rsidRDefault="00E6353B" w:rsidP="00E6353B">
      <w:pPr>
        <w:pStyle w:val="SingleTxtG"/>
      </w:pPr>
      <w:r>
        <w:t>52.</w:t>
      </w:r>
      <w:r>
        <w:tab/>
        <w:t xml:space="preserve">Комитет по-прежнему обеспокоен тем, что нормативно-правовая и политическая база и процедуры, регулирующие деятельность национальных и международных неправительственных организаций, включая политику 2015 года по регулированию деятельности международных неправительственных организаций в Пакистане, политику 2022 года в отношении местных неправительственных и некоммерческих организаций, получающих иностранные взносы, и Закон провинции Пенджаб о благотворительных организациях 2018 года, неоправданно ограничивают осуществление права на свободу ассоциации. Он особенно обеспокоен тем, что эти политика и законодательство устанавливают сложные и дорогостоящие процедуры ежегодной регистрации и ограничительные правила в отношении иностранного финансирования, а также предоставляют властям широкие полномочия по мониторингу, что, по сообщениям, приводит к постоянным расследованиям и преследованию со стороны органов безопасности и других государственных учреждений. Он обеспокоен также несколькими случаями, когда организации гражданского общества и низовые движения этнических меньшинств произвольно включались в список запрещенных организаций, содержащийся в </w:t>
      </w:r>
      <w:r w:rsidR="00CB69DE">
        <w:t>первом</w:t>
      </w:r>
      <w:r>
        <w:t xml:space="preserve"> приложении к Закону о борьбе с терроризмом 1997 года. Кроме того, он выражает обеспокоенность в связи с давним запретом на деятельность студенческих союзов и сообщениями о том, что от учащихся университетов требуют подписывать заявления об отказе от любой политической деятельности в качестве предварительного условия для поступления в университет, а также о том, что студенты, в особенности белуджи и пуштуны, часто подвергаются произвольным дисциплинарным слушаниям и отстраняются от занятий из-за своей политической деятельности (ст. 2, 22 и 26).</w:t>
      </w:r>
    </w:p>
    <w:p w14:paraId="20C0045E" w14:textId="77777777" w:rsidR="00E6353B" w:rsidRPr="00571D42" w:rsidRDefault="00E6353B" w:rsidP="00E6353B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Государству-участнику следует принимать все необходимые меры для обеспечения эффективного осуществления права на свободу ассоциации, привести свою политику, нормативно-правовую базу и процедуры регистрации в полное соответствие с Пактом и обеспечить, чтобы любые вводимые ограничения строго соответствовали статье 22 Пакта.</w:t>
      </w:r>
      <w:r>
        <w:t xml:space="preserve"> </w:t>
      </w:r>
      <w:r>
        <w:rPr>
          <w:b/>
          <w:bCs/>
        </w:rPr>
        <w:t>Государству-участнику следует также снять все необоснованные ограничения на получение организациями гражданского общества международного и внутреннего финансирования и прекратить использование Закона о борьбе с терроризмом 1997 года для криминализации организаций гражданского общества и низовых движений.</w:t>
      </w:r>
      <w:r>
        <w:t xml:space="preserve"> </w:t>
      </w:r>
      <w:r>
        <w:rPr>
          <w:b/>
          <w:bCs/>
        </w:rPr>
        <w:t>Государству-участнику следует принять необходимые меры для отмены запрета на деятельность студенческих союзов на всей территории страны и прекратить осуществление любых мер или практики, которые необоснованно ограничивают право на мирные собрания и свободу ассоциации, выражения мнений и убеждений студентов, включая политические убеждения и политическую деятельность в университетах.</w:t>
      </w:r>
    </w:p>
    <w:p w14:paraId="01745E72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Права ребенка</w:t>
      </w:r>
    </w:p>
    <w:p w14:paraId="6857FC26" w14:textId="79D50F5C" w:rsidR="00E6353B" w:rsidRPr="00571D42" w:rsidRDefault="00E6353B" w:rsidP="00E6353B">
      <w:pPr>
        <w:pStyle w:val="SingleTxtG"/>
      </w:pPr>
      <w:r>
        <w:t>54.</w:t>
      </w:r>
      <w:r>
        <w:tab/>
        <w:t xml:space="preserve">Комитет принимает к сведению меры, принятые государством-участником для защиты прав ребенка, такие как принятие Закона о Национальной комиссии по правам ребенка 2017 года. Однако он обеспокоен сообщениями о сохраняющейся практике похищения девочек, принадлежащих к религиозным меньшинствам, и принуждения их к вступлению в брак </w:t>
      </w:r>
      <w:r w:rsidR="002722ED">
        <w:t>—</w:t>
      </w:r>
      <w:r>
        <w:t xml:space="preserve"> независимо от их возраста и действующего законодательства </w:t>
      </w:r>
      <w:r w:rsidR="002722ED">
        <w:t>—</w:t>
      </w:r>
      <w:r>
        <w:t xml:space="preserve"> и обращению в ислам под угрозой насилия, что приводит к изнасилованиям, торговле людьми и другим формам сексуального и гендерного насилия в отношении этих девочек. Он обеспокоен также сообщениями о повсеместной безнаказанности в связи с такими случаями. Кроме того, он обеспокоен тем, что в ходе расследований жертвы обычно не возвращаются в свои семьи, а</w:t>
      </w:r>
      <w:r w:rsidR="00082AAC">
        <w:t> </w:t>
      </w:r>
      <w:r>
        <w:t>вынуждены оставаться со своими похитителями, в том числе с членами организованных преступных групп, или без каких-либо на то оснований помещаются в неподходящие альтернативные учреждения по уходу, при этом стандарты защиты детей практически не учитываются, что подвергает жертв еще большему риску эксплуатации, злоупотреблений и вредной практики (ст. 23, 24 и 26).</w:t>
      </w:r>
    </w:p>
    <w:p w14:paraId="12713B9D" w14:textId="77777777" w:rsidR="00E6353B" w:rsidRPr="00571D42" w:rsidRDefault="00E6353B" w:rsidP="00E6353B">
      <w:pPr>
        <w:pStyle w:val="SingleTxtG"/>
      </w:pPr>
      <w:r>
        <w:t>55.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C12EDF">
        <w:rPr>
          <w:rStyle w:val="aa"/>
        </w:rPr>
        <w:footnoteReference w:id="14"/>
      </w:r>
      <w:r>
        <w:rPr>
          <w:b/>
          <w:bCs/>
        </w:rPr>
        <w:t>, а также в соответствии с рекомендациями Комитета по ликвидации расовой дискриминации</w:t>
      </w:r>
      <w:r w:rsidRPr="00C12EDF">
        <w:rPr>
          <w:rStyle w:val="aa"/>
        </w:rPr>
        <w:footnoteReference w:id="15"/>
      </w:r>
      <w:r>
        <w:rPr>
          <w:b/>
          <w:bCs/>
        </w:rPr>
        <w:t xml:space="preserve"> государству-участнику следует активизировать свои усилия по искоренению практики насильственного обращения в другую веру и принудительных браков девочек, в том числе путем укрепления своей нормативно-правовой базы и механизмов правоприменения.</w:t>
      </w:r>
      <w:r>
        <w:t xml:space="preserve"> </w:t>
      </w:r>
      <w:r>
        <w:rPr>
          <w:b/>
          <w:bCs/>
        </w:rPr>
        <w:t>Государству-участнику следует обеспечить также оперативное, беспристрастное и эффективное расследование всех утверждений о насильственном обращении в другую веру и принудительных браках девочек, привлечение виновных к ответственности и доступ всех жертв к эффективным средствам правовой защиты и службам поддержки, включая надлежащие убежища, бесплатную юридическую помощь, психологическую помощь и программы реабилитации.</w:t>
      </w:r>
    </w:p>
    <w:p w14:paraId="1D08B401" w14:textId="77777777" w:rsidR="00E6353B" w:rsidRPr="00571D42" w:rsidRDefault="00E6353B" w:rsidP="00E6353B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</w:p>
    <w:p w14:paraId="71EE4627" w14:textId="41057DC9" w:rsidR="00E6353B" w:rsidRPr="00571D42" w:rsidRDefault="00E6353B" w:rsidP="00E6353B">
      <w:pPr>
        <w:pStyle w:val="SingleTxtG"/>
      </w:pPr>
      <w:r>
        <w:t>56.</w:t>
      </w:r>
      <w:r>
        <w:tab/>
        <w:t>Комитет отмечает меры, принятые государством-участником для поощрения участия и представленности женщин и лиц, принадлежащих к меньшинствам, в</w:t>
      </w:r>
      <w:r w:rsidR="00416ED3">
        <w:t> </w:t>
      </w:r>
      <w:r>
        <w:t xml:space="preserve">общественной и политической жизни, включая введение квот в национальных и провинциальных ассамблеях. Однако он по-прежнему обеспокоен тем, что квоты для меньшинств распространяются только на религиозные меньшинства. Он обеспокоен сообщениями о частых случаях преследования, запугивания, угроз и насилия в отношении женщин за осуществление ими своего права голосовать или участвовать в политической или общественной жизни, особенно в тех районах или общинах, где широко распространены гендерные стереотипы и патриархальные структуры. Он обеспокоен также сообщениями о недостаточном уровне просвещения в области гражданских и политических прав, что приводит к тому, что молодые люди, особенно из находящихся в неблагоприятном положении групп населения, не участвуют в политической жизни и, таким образом, фактически оказываются исключенными из политических и избирательных процессов. Кроме того, он обеспокоен требованием к </w:t>
      </w:r>
      <w:proofErr w:type="spellStart"/>
      <w:r>
        <w:t>ахмадитам</w:t>
      </w:r>
      <w:proofErr w:type="spellEnd"/>
      <w:r>
        <w:t xml:space="preserve"> объявлять себя немусульманами, чтобы зарегистрироваться в избирательном списке, или регистрироваться в отдельном списке немусульман, что оказывает неблагоприятное и дискриминационное воздействие на осуществление прав </w:t>
      </w:r>
      <w:proofErr w:type="spellStart"/>
      <w:r>
        <w:t>ахмадитов</w:t>
      </w:r>
      <w:proofErr w:type="spellEnd"/>
      <w:r>
        <w:t xml:space="preserve"> на голосование, свободу религии и самоидентификацию (ст. 2, 18, 25 и 26).</w:t>
      </w:r>
    </w:p>
    <w:p w14:paraId="5D06446C" w14:textId="77777777" w:rsidR="00E6353B" w:rsidRPr="00571D42" w:rsidRDefault="00E6353B" w:rsidP="00E6353B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C12EDF">
        <w:rPr>
          <w:rStyle w:val="aa"/>
        </w:rPr>
        <w:footnoteReference w:id="16"/>
      </w:r>
      <w:r>
        <w:rPr>
          <w:b/>
          <w:bCs/>
        </w:rPr>
        <w:t xml:space="preserve"> государству-участнику следует принять все необходимые меры для обеспечения полного и эффективного осуществления прав, закрепленных в статье 25 Пакта, всеми гражданами, включая женщин и представителей этнических и религиозных меньшинств.</w:t>
      </w:r>
      <w:r>
        <w:t xml:space="preserve"> </w:t>
      </w:r>
      <w:r>
        <w:rPr>
          <w:b/>
          <w:bCs/>
        </w:rPr>
        <w:t>В частности, ему следует:</w:t>
      </w:r>
    </w:p>
    <w:p w14:paraId="547BBF9F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a)</w:t>
      </w:r>
      <w:r w:rsidRPr="00182ACE">
        <w:rPr>
          <w:b/>
          <w:bCs/>
        </w:rPr>
        <w:tab/>
      </w:r>
      <w:r>
        <w:rPr>
          <w:b/>
          <w:bCs/>
        </w:rPr>
        <w:t>пересмотреть режим временных специальных мер, включая квоты для меньшинств, с тем чтобы обеспечить их применение также и к этническим меньшинствам;</w:t>
      </w:r>
    </w:p>
    <w:p w14:paraId="2A730F2E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b)</w:t>
      </w:r>
      <w:r w:rsidRPr="00182ACE">
        <w:rPr>
          <w:b/>
          <w:bCs/>
        </w:rPr>
        <w:tab/>
      </w:r>
      <w:r>
        <w:rPr>
          <w:b/>
          <w:bCs/>
        </w:rPr>
        <w:t>удвоить свои усилия по борьбе с патриархальными взглядами и стереотипами, приводящими к фактическому лишению женщин права голоса и их исключению из общественной и политической жизни, особенно в сельских районах, и обеспечить эффективное расследование всех заявлений о запугивании, угрозах и насилии в отношении женщин за осуществление ими своего права на участие в ведении государственных дел и привлечение виновных к ответственности;</w:t>
      </w:r>
    </w:p>
    <w:p w14:paraId="1B1A1814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c)</w:t>
      </w:r>
      <w:r w:rsidRPr="00182ACE">
        <w:rPr>
          <w:b/>
          <w:bCs/>
        </w:rPr>
        <w:tab/>
      </w:r>
      <w:r>
        <w:rPr>
          <w:b/>
          <w:bCs/>
        </w:rPr>
        <w:t>разработать или усилить просветительские программы по гражданским и политическим правам и информационно-просветительские мероприятия, посвященные важности участия молодых людей и женщин в ведении государственных дел;</w:t>
      </w:r>
    </w:p>
    <w:p w14:paraId="531A6BDD" w14:textId="77777777" w:rsidR="00E6353B" w:rsidRPr="00571D42" w:rsidRDefault="00E6353B" w:rsidP="00E6353B">
      <w:pPr>
        <w:pStyle w:val="SingleTxtG"/>
        <w:ind w:firstLine="567"/>
        <w:rPr>
          <w:b/>
          <w:bCs/>
        </w:rPr>
      </w:pPr>
      <w:r w:rsidRPr="00182ACE">
        <w:rPr>
          <w:b/>
          <w:bCs/>
        </w:rPr>
        <w:t>d)</w:t>
      </w:r>
      <w:r w:rsidRPr="00182ACE">
        <w:rPr>
          <w:b/>
          <w:bCs/>
        </w:rPr>
        <w:tab/>
      </w:r>
      <w:r>
        <w:rPr>
          <w:b/>
          <w:bCs/>
        </w:rPr>
        <w:t>привести свое избирательное законодательство в полное соответствие с Пактом, в частности за счет отмены дискриминационных положений и включения всех голосующих в избирательные списки независимо от их религиозных взглядов, и гарантировать равное пользование правами, закрепленными в статье 25 Пакта, всеми гражданами.</w:t>
      </w:r>
    </w:p>
    <w:p w14:paraId="37A8EAC2" w14:textId="77777777" w:rsidR="00E6353B" w:rsidRPr="00571D42" w:rsidRDefault="00E6353B" w:rsidP="00E6353B">
      <w:pPr>
        <w:pStyle w:val="H1G"/>
      </w:pPr>
      <w:r>
        <w:rPr>
          <w:bCs/>
        </w:rPr>
        <w:tab/>
        <w:t>D.</w:t>
      </w:r>
      <w:r>
        <w:tab/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6642D669" w14:textId="77777777" w:rsidR="00E6353B" w:rsidRPr="00571D42" w:rsidRDefault="00E6353B" w:rsidP="00E6353B">
      <w:pPr>
        <w:pStyle w:val="SingleTxtG"/>
        <w:tabs>
          <w:tab w:val="clear" w:pos="2268"/>
          <w:tab w:val="left" w:pos="1134"/>
        </w:tabs>
        <w:rPr>
          <w:b/>
          <w:bCs/>
        </w:rPr>
      </w:pPr>
      <w:bookmarkStart w:id="17" w:name="_Hlk168404895"/>
      <w:r>
        <w:t>58.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своего второго периодического доклада и настоящих заключительных замечаний в целях повышения осведомленности о закрепленных в Пакте правах среди работников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доклада, письменных ответов на подготовленный Комитетом перечень вопросов и настоящих заключительных замечаний на официальные языки государства-участника и рассмотреть возможность их перевода на иные языки, широко используемые в государстве-участнике.</w:t>
      </w:r>
      <w:bookmarkEnd w:id="17"/>
    </w:p>
    <w:p w14:paraId="2D28745B" w14:textId="77777777" w:rsidR="00E6353B" w:rsidRPr="00571D42" w:rsidRDefault="00E6353B" w:rsidP="00E6353B">
      <w:pPr>
        <w:pStyle w:val="SingleTxtG"/>
        <w:tabs>
          <w:tab w:val="clear" w:pos="2268"/>
          <w:tab w:val="left" w:pos="1134"/>
        </w:tabs>
        <w:spacing w:before="240" w:after="0"/>
        <w:rPr>
          <w:b/>
          <w:bCs/>
        </w:rPr>
      </w:pPr>
      <w:r>
        <w:t>59.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8 ноября 2027 года информацию о выполнении рекомендаций, вынесенных Комитетом в вышеизложенных пунктах 27 (меры по борьбе с терроризмом), 40 (независимость судебных органов) и 49 (свобода выражения мнений и безопасность журналистов и правозащитников).</w:t>
      </w:r>
    </w:p>
    <w:p w14:paraId="0404845B" w14:textId="77777777" w:rsidR="00E6353B" w:rsidRDefault="00E6353B" w:rsidP="00E6353B">
      <w:pPr>
        <w:pStyle w:val="SingleTxtG"/>
        <w:tabs>
          <w:tab w:val="clear" w:pos="2268"/>
          <w:tab w:val="left" w:pos="1134"/>
        </w:tabs>
        <w:spacing w:before="240" w:after="0"/>
        <w:rPr>
          <w:b/>
          <w:bCs/>
        </w:rPr>
      </w:pPr>
      <w:r>
        <w:t>60.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2030 году перечень вопросов Комитета до представления доклада и должно будет представить в течение одного года свои ответы, которые составят его третий периодический доклад.</w:t>
      </w:r>
      <w:r>
        <w:t xml:space="preserve"> </w:t>
      </w:r>
      <w:r>
        <w:rPr>
          <w:b/>
          <w:bCs/>
        </w:rPr>
        <w:t>Комитет просит также государство-участник при подготовке своего доклада провести широкие консультации с представителями гражданского общества и действующими в стране неправительственными организациями.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21 200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2032 году в Женеве.</w:t>
      </w:r>
    </w:p>
    <w:p w14:paraId="49A64803" w14:textId="7470223B" w:rsidR="00CF7A96" w:rsidRPr="00CF7A96" w:rsidRDefault="00CF7A96" w:rsidP="00CF7A96">
      <w:pPr>
        <w:pStyle w:val="SingleTxtG"/>
        <w:tabs>
          <w:tab w:val="clear" w:pos="2268"/>
          <w:tab w:val="left" w:pos="1134"/>
        </w:tabs>
        <w:spacing w:before="240" w:after="0"/>
        <w:jc w:val="center"/>
        <w:rPr>
          <w:b/>
          <w:bCs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F7A96" w:rsidRPr="00CF7A96" w:rsidSect="00E635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4F84F" w14:textId="77777777" w:rsidR="00E40351" w:rsidRPr="00A312BC" w:rsidRDefault="00E40351" w:rsidP="00A312BC"/>
  </w:endnote>
  <w:endnote w:type="continuationSeparator" w:id="0">
    <w:p w14:paraId="6B4F7989" w14:textId="77777777" w:rsidR="00E40351" w:rsidRPr="00A312BC" w:rsidRDefault="00E4035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0B8C8" w14:textId="2567D792" w:rsidR="00E6353B" w:rsidRPr="00E6353B" w:rsidRDefault="00E6353B">
    <w:pPr>
      <w:pStyle w:val="a8"/>
    </w:pPr>
    <w:r w:rsidRPr="00E6353B">
      <w:rPr>
        <w:b/>
        <w:sz w:val="18"/>
      </w:rPr>
      <w:fldChar w:fldCharType="begin"/>
    </w:r>
    <w:r w:rsidRPr="00E6353B">
      <w:rPr>
        <w:b/>
        <w:sz w:val="18"/>
      </w:rPr>
      <w:instrText xml:space="preserve"> PAGE  \* MERGEFORMAT </w:instrText>
    </w:r>
    <w:r w:rsidRPr="00E6353B">
      <w:rPr>
        <w:b/>
        <w:sz w:val="18"/>
      </w:rPr>
      <w:fldChar w:fldCharType="separate"/>
    </w:r>
    <w:r w:rsidRPr="00E6353B">
      <w:rPr>
        <w:b/>
        <w:noProof/>
        <w:sz w:val="18"/>
      </w:rPr>
      <w:t>2</w:t>
    </w:r>
    <w:r w:rsidRPr="00E6353B">
      <w:rPr>
        <w:b/>
        <w:sz w:val="18"/>
      </w:rPr>
      <w:fldChar w:fldCharType="end"/>
    </w:r>
    <w:r>
      <w:rPr>
        <w:b/>
        <w:sz w:val="18"/>
      </w:rPr>
      <w:tab/>
    </w:r>
    <w:r>
      <w:t>GE.24-21076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8A662" w14:textId="7FBD807B" w:rsidR="00E6353B" w:rsidRPr="00E6353B" w:rsidRDefault="00E6353B" w:rsidP="00E6353B">
    <w:pPr>
      <w:pStyle w:val="a8"/>
      <w:tabs>
        <w:tab w:val="clear" w:pos="9639"/>
        <w:tab w:val="right" w:pos="9638"/>
      </w:tabs>
      <w:rPr>
        <w:b/>
        <w:sz w:val="18"/>
      </w:rPr>
    </w:pPr>
    <w:r>
      <w:t>GE.24-21076</w:t>
    </w:r>
    <w:r>
      <w:tab/>
    </w:r>
    <w:r w:rsidRPr="00E6353B">
      <w:rPr>
        <w:b/>
        <w:sz w:val="18"/>
      </w:rPr>
      <w:fldChar w:fldCharType="begin"/>
    </w:r>
    <w:r w:rsidRPr="00E6353B">
      <w:rPr>
        <w:b/>
        <w:sz w:val="18"/>
      </w:rPr>
      <w:instrText xml:space="preserve"> PAGE  \* MERGEFORMAT </w:instrText>
    </w:r>
    <w:r w:rsidRPr="00E6353B">
      <w:rPr>
        <w:b/>
        <w:sz w:val="18"/>
      </w:rPr>
      <w:fldChar w:fldCharType="separate"/>
    </w:r>
    <w:r w:rsidRPr="00E6353B">
      <w:rPr>
        <w:b/>
        <w:noProof/>
        <w:sz w:val="18"/>
      </w:rPr>
      <w:t>3</w:t>
    </w:r>
    <w:r w:rsidRPr="00E6353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F639" w14:textId="63A5FB4C" w:rsidR="00042B72" w:rsidRPr="00E6353B" w:rsidRDefault="00E6353B" w:rsidP="00E6353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3D0AC4E" wp14:editId="55BCB94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</w:t>
    </w:r>
    <w:proofErr w:type="gramStart"/>
    <w:r>
      <w:t>21076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BB0E388" wp14:editId="42965B2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161224  290125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BEBD2" w14:textId="77777777" w:rsidR="00E40351" w:rsidRPr="001075E9" w:rsidRDefault="00E4035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380F8B2" w14:textId="77777777" w:rsidR="00E40351" w:rsidRDefault="00E4035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30F171E" w14:textId="0DB901CB" w:rsidR="00E6353B" w:rsidRPr="00571D42" w:rsidRDefault="00E6353B" w:rsidP="00E6353B">
      <w:pPr>
        <w:pStyle w:val="ad"/>
      </w:pPr>
      <w:r>
        <w:tab/>
      </w:r>
      <w:r w:rsidRPr="003E2862">
        <w:rPr>
          <w:sz w:val="20"/>
        </w:rPr>
        <w:t>*</w:t>
      </w:r>
      <w:r w:rsidRPr="003E2862">
        <w:rPr>
          <w:sz w:val="20"/>
        </w:rPr>
        <w:tab/>
      </w:r>
      <w:r>
        <w:t xml:space="preserve">Приняты Комитетом на его </w:t>
      </w:r>
      <w:r w:rsidR="005D5E7F">
        <w:t>сто сорок второй</w:t>
      </w:r>
      <w:r>
        <w:t xml:space="preserve"> сессии (14 октября </w:t>
      </w:r>
      <w:r w:rsidRPr="003C666D">
        <w:t>—</w:t>
      </w:r>
      <w:r>
        <w:t xml:space="preserve"> 7 ноября 2024 года).</w:t>
      </w:r>
    </w:p>
  </w:footnote>
  <w:footnote w:id="2">
    <w:p w14:paraId="04F6B2D8" w14:textId="05B647A5" w:rsidR="00E6353B" w:rsidRPr="00571D42" w:rsidRDefault="00E6353B" w:rsidP="00E6353B">
      <w:pPr>
        <w:pStyle w:val="ad"/>
        <w:rPr>
          <w:lang w:val="de-CH"/>
        </w:rPr>
      </w:pPr>
      <w:r w:rsidRPr="00061AC8">
        <w:tab/>
      </w:r>
      <w:r w:rsidRPr="00C12EDF">
        <w:rPr>
          <w:rStyle w:val="aa"/>
        </w:rPr>
        <w:footnoteRef/>
      </w:r>
      <w:r w:rsidRPr="00571D42">
        <w:rPr>
          <w:lang w:val="de-CH"/>
        </w:rPr>
        <w:tab/>
      </w:r>
      <w:hyperlink r:id="rId1" w:history="1">
        <w:r w:rsidR="00D4563A" w:rsidRPr="00CE4CA7">
          <w:rPr>
            <w:rStyle w:val="af1"/>
            <w:lang w:val="de-CH"/>
          </w:rPr>
          <w:t>CCPR/C/PAK/2</w:t>
        </w:r>
      </w:hyperlink>
      <w:r w:rsidRPr="00571D42">
        <w:rPr>
          <w:lang w:val="de-CH"/>
        </w:rPr>
        <w:t>.</w:t>
      </w:r>
    </w:p>
  </w:footnote>
  <w:footnote w:id="3">
    <w:p w14:paraId="0737ACE3" w14:textId="7CF2B27C" w:rsidR="00E6353B" w:rsidRPr="00571D42" w:rsidRDefault="00E6353B" w:rsidP="00E6353B">
      <w:pPr>
        <w:pStyle w:val="ad"/>
        <w:rPr>
          <w:lang w:val="de-CH"/>
        </w:rPr>
      </w:pPr>
      <w:r w:rsidRPr="00571D42">
        <w:rPr>
          <w:lang w:val="de-CH"/>
        </w:rPr>
        <w:tab/>
      </w:r>
      <w:r w:rsidRPr="00C12EDF">
        <w:rPr>
          <w:rStyle w:val="aa"/>
        </w:rPr>
        <w:footnoteRef/>
      </w:r>
      <w:r w:rsidRPr="00571D42">
        <w:rPr>
          <w:lang w:val="de-CH"/>
        </w:rPr>
        <w:tab/>
      </w:r>
      <w:r w:rsidR="00D4563A">
        <w:t>См</w:t>
      </w:r>
      <w:r w:rsidR="00D4563A" w:rsidRPr="00571D42">
        <w:rPr>
          <w:lang w:val="de-CH"/>
        </w:rPr>
        <w:t xml:space="preserve">. </w:t>
      </w:r>
      <w:hyperlink r:id="rId2" w:history="1">
        <w:r w:rsidR="00D4563A" w:rsidRPr="00CE4CA7">
          <w:rPr>
            <w:rStyle w:val="af1"/>
            <w:lang w:val="de-CH"/>
          </w:rPr>
          <w:t>CCPR/C/SR.4154</w:t>
        </w:r>
      </w:hyperlink>
      <w:r w:rsidR="00D4563A" w:rsidRPr="00571D42">
        <w:rPr>
          <w:lang w:val="de-CH"/>
        </w:rPr>
        <w:t xml:space="preserve"> </w:t>
      </w:r>
      <w:r w:rsidR="00D4563A">
        <w:t>и</w:t>
      </w:r>
      <w:r w:rsidR="00D4563A" w:rsidRPr="00571D42">
        <w:rPr>
          <w:lang w:val="de-CH"/>
        </w:rPr>
        <w:t xml:space="preserve"> </w:t>
      </w:r>
      <w:hyperlink r:id="rId3" w:history="1">
        <w:r w:rsidR="00D4563A" w:rsidRPr="00CE4CA7">
          <w:rPr>
            <w:rStyle w:val="af1"/>
            <w:lang w:val="de-CH"/>
          </w:rPr>
          <w:t>CCPR/C/SR.4155</w:t>
        </w:r>
      </w:hyperlink>
      <w:r w:rsidRPr="00571D42">
        <w:rPr>
          <w:lang w:val="de-CH"/>
        </w:rPr>
        <w:t>.</w:t>
      </w:r>
    </w:p>
  </w:footnote>
  <w:footnote w:id="4">
    <w:p w14:paraId="7DF03E94" w14:textId="77777777" w:rsidR="00E6353B" w:rsidRPr="00571D42" w:rsidRDefault="00E6353B" w:rsidP="00E6353B">
      <w:pPr>
        <w:pStyle w:val="ad"/>
        <w:rPr>
          <w:lang w:val="de-CH"/>
        </w:rPr>
      </w:pPr>
      <w:r w:rsidRPr="00571D42">
        <w:rPr>
          <w:lang w:val="de-CH"/>
        </w:rPr>
        <w:tab/>
      </w:r>
      <w:r w:rsidRPr="00C12EDF">
        <w:rPr>
          <w:rStyle w:val="aa"/>
        </w:rPr>
        <w:footnoteRef/>
      </w:r>
      <w:r w:rsidRPr="00571D42">
        <w:rPr>
          <w:lang w:val="de-CH"/>
        </w:rPr>
        <w:tab/>
      </w:r>
      <w:r w:rsidR="001F055E">
        <w:fldChar w:fldCharType="begin"/>
      </w:r>
      <w:r w:rsidR="001F055E" w:rsidRPr="00D83D10">
        <w:rPr>
          <w:lang w:val="fr-CH"/>
        </w:rPr>
        <w:instrText>HYPERLINK "http://undocs.org/en/CCPR/C/PAK/RQ/2"</w:instrText>
      </w:r>
      <w:r w:rsidR="001F055E">
        <w:fldChar w:fldCharType="separate"/>
      </w:r>
      <w:r w:rsidRPr="00CE4CA7">
        <w:rPr>
          <w:rStyle w:val="af1"/>
          <w:lang w:val="de-CH"/>
        </w:rPr>
        <w:t>CCPR/C/PAK/RQ/2</w:t>
      </w:r>
      <w:r w:rsidR="001F055E">
        <w:rPr>
          <w:rStyle w:val="af1"/>
          <w:lang w:val="de-CH"/>
        </w:rPr>
        <w:fldChar w:fldCharType="end"/>
      </w:r>
      <w:r w:rsidRPr="00571D42">
        <w:rPr>
          <w:lang w:val="de-CH"/>
        </w:rPr>
        <w:t>.</w:t>
      </w:r>
    </w:p>
  </w:footnote>
  <w:footnote w:id="5">
    <w:p w14:paraId="049DA3DD" w14:textId="77777777" w:rsidR="00E6353B" w:rsidRPr="00D83D10" w:rsidRDefault="00E6353B" w:rsidP="00E6353B">
      <w:pPr>
        <w:pStyle w:val="ad"/>
        <w:rPr>
          <w:lang w:val="fr-CH"/>
        </w:rPr>
      </w:pPr>
      <w:r w:rsidRPr="00571D42">
        <w:rPr>
          <w:lang w:val="de-CH"/>
        </w:rPr>
        <w:tab/>
      </w:r>
      <w:r w:rsidRPr="00C12EDF">
        <w:rPr>
          <w:rStyle w:val="aa"/>
        </w:rPr>
        <w:footnoteRef/>
      </w:r>
      <w:r w:rsidRPr="00D83D10">
        <w:rPr>
          <w:lang w:val="fr-CH"/>
        </w:rPr>
        <w:tab/>
      </w:r>
      <w:r w:rsidR="001F055E">
        <w:fldChar w:fldCharType="begin"/>
      </w:r>
      <w:r w:rsidR="001F055E" w:rsidRPr="00D83D10">
        <w:rPr>
          <w:lang w:val="fr-CH"/>
        </w:rPr>
        <w:instrText>HYPERLINK "http://undocs.org/en/CCPR/C/PAK/Q/2"</w:instrText>
      </w:r>
      <w:r w:rsidR="001F055E">
        <w:fldChar w:fldCharType="separate"/>
      </w:r>
      <w:r w:rsidRPr="00D83D10">
        <w:rPr>
          <w:rStyle w:val="af1"/>
          <w:lang w:val="fr-CH"/>
        </w:rPr>
        <w:t>CCPR/C/PAK/Q/2</w:t>
      </w:r>
      <w:r w:rsidR="001F055E">
        <w:rPr>
          <w:rStyle w:val="af1"/>
          <w:lang w:val="en-US"/>
        </w:rPr>
        <w:fldChar w:fldCharType="end"/>
      </w:r>
      <w:r w:rsidRPr="00D83D10">
        <w:rPr>
          <w:lang w:val="fr-CH"/>
        </w:rPr>
        <w:t>.</w:t>
      </w:r>
    </w:p>
  </w:footnote>
  <w:footnote w:id="6">
    <w:p w14:paraId="2EA3FE92" w14:textId="77777777" w:rsidR="00E6353B" w:rsidRPr="00E6353B" w:rsidRDefault="00E6353B" w:rsidP="00E6353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D83D10">
        <w:rPr>
          <w:lang w:val="fr-CH"/>
        </w:rPr>
        <w:tab/>
      </w:r>
      <w:r w:rsidRPr="00C12EDF">
        <w:rPr>
          <w:rStyle w:val="aa"/>
        </w:rPr>
        <w:footnoteRef/>
      </w:r>
      <w:r w:rsidRPr="00571D42">
        <w:rPr>
          <w:lang w:val="en-US"/>
        </w:rPr>
        <w:tab/>
      </w:r>
      <w:r w:rsidR="001F055E">
        <w:fldChar w:fldCharType="begin"/>
      </w:r>
      <w:r w:rsidR="001F055E" w:rsidRPr="00D83D10">
        <w:rPr>
          <w:lang w:val="en-US"/>
        </w:rPr>
        <w:instrText>HYPERLINK "http://undocs.org/ru/CCPR/C/PAK/CO/1"</w:instrText>
      </w:r>
      <w:r w:rsidR="001F055E">
        <w:fldChar w:fldCharType="separate"/>
      </w:r>
      <w:r w:rsidRPr="00CE4CA7">
        <w:rPr>
          <w:rStyle w:val="af1"/>
          <w:lang w:val="en-US"/>
        </w:rPr>
        <w:t>CCPR/C/PAK/CO/1</w:t>
      </w:r>
      <w:r w:rsidR="001F055E">
        <w:rPr>
          <w:rStyle w:val="af1"/>
          <w:lang w:val="en-US"/>
        </w:rPr>
        <w:fldChar w:fldCharType="end"/>
      </w:r>
      <w:r w:rsidRPr="00571D42">
        <w:rPr>
          <w:lang w:val="en-US"/>
        </w:rPr>
        <w:t xml:space="preserve">, </w:t>
      </w:r>
      <w:r>
        <w:t>п</w:t>
      </w:r>
      <w:r w:rsidRPr="00571D42">
        <w:rPr>
          <w:lang w:val="en-US"/>
        </w:rPr>
        <w:t>. 6.</w:t>
      </w:r>
    </w:p>
  </w:footnote>
  <w:footnote w:id="7">
    <w:p w14:paraId="646A0419" w14:textId="77777777" w:rsidR="00E6353B" w:rsidRPr="00571D42" w:rsidRDefault="00E6353B" w:rsidP="00E6353B">
      <w:pPr>
        <w:pStyle w:val="ad"/>
        <w:widowControl w:val="0"/>
        <w:tabs>
          <w:tab w:val="clear" w:pos="1021"/>
          <w:tab w:val="right" w:pos="1020"/>
        </w:tabs>
      </w:pPr>
      <w:r w:rsidRPr="00571D42">
        <w:rPr>
          <w:lang w:val="en-US"/>
        </w:rPr>
        <w:tab/>
      </w:r>
      <w:r w:rsidRPr="00C12EDF">
        <w:rPr>
          <w:rStyle w:val="aa"/>
        </w:rPr>
        <w:footnoteRef/>
      </w:r>
      <w:r>
        <w:tab/>
        <w:t>Там же, п. 8.</w:t>
      </w:r>
    </w:p>
  </w:footnote>
  <w:footnote w:id="8">
    <w:p w14:paraId="522C23D9" w14:textId="77777777" w:rsidR="00E6353B" w:rsidRPr="00571D42" w:rsidRDefault="00E6353B" w:rsidP="00E6353B">
      <w:pPr>
        <w:pStyle w:val="ad"/>
        <w:widowControl w:val="0"/>
        <w:tabs>
          <w:tab w:val="clear" w:pos="1021"/>
          <w:tab w:val="right" w:pos="1020"/>
        </w:tabs>
      </w:pPr>
      <w:r w:rsidRPr="00760015">
        <w:tab/>
      </w:r>
      <w:r w:rsidRPr="00C12EDF">
        <w:rPr>
          <w:rStyle w:val="aa"/>
        </w:rPr>
        <w:footnoteRef/>
      </w:r>
      <w:r>
        <w:tab/>
        <w:t>Там же, п. 10.</w:t>
      </w:r>
    </w:p>
  </w:footnote>
  <w:footnote w:id="9">
    <w:p w14:paraId="026823D6" w14:textId="77777777" w:rsidR="00E6353B" w:rsidRPr="00571D42" w:rsidRDefault="00E6353B" w:rsidP="00E6353B">
      <w:pPr>
        <w:pStyle w:val="ad"/>
        <w:widowControl w:val="0"/>
        <w:tabs>
          <w:tab w:val="clear" w:pos="1021"/>
          <w:tab w:val="right" w:pos="1020"/>
        </w:tabs>
      </w:pPr>
      <w:r w:rsidRPr="00760015">
        <w:tab/>
      </w:r>
      <w:r w:rsidRPr="00C12EDF">
        <w:rPr>
          <w:rStyle w:val="aa"/>
        </w:rPr>
        <w:footnoteRef/>
      </w:r>
      <w:r>
        <w:tab/>
        <w:t>Там же, п. 22.</w:t>
      </w:r>
    </w:p>
  </w:footnote>
  <w:footnote w:id="10">
    <w:p w14:paraId="703380B6" w14:textId="77777777" w:rsidR="00E6353B" w:rsidRPr="00571D42" w:rsidRDefault="00E6353B" w:rsidP="00E6353B">
      <w:pPr>
        <w:pStyle w:val="ad"/>
        <w:widowControl w:val="0"/>
        <w:tabs>
          <w:tab w:val="clear" w:pos="1021"/>
          <w:tab w:val="right" w:pos="1020"/>
        </w:tabs>
      </w:pPr>
      <w:r w:rsidRPr="00760015">
        <w:tab/>
      </w:r>
      <w:r w:rsidRPr="00C12EDF">
        <w:rPr>
          <w:rStyle w:val="aa"/>
        </w:rPr>
        <w:footnoteRef/>
      </w:r>
      <w:r>
        <w:tab/>
        <w:t>Там же, п. 30.</w:t>
      </w:r>
    </w:p>
  </w:footnote>
  <w:footnote w:id="11">
    <w:p w14:paraId="02DDBA43" w14:textId="77777777" w:rsidR="00E6353B" w:rsidRPr="00E6353B" w:rsidRDefault="00E6353B" w:rsidP="00E6353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60015">
        <w:tab/>
      </w:r>
      <w:r w:rsidRPr="00C12EDF">
        <w:rPr>
          <w:rStyle w:val="aa"/>
        </w:rPr>
        <w:footnoteRef/>
      </w:r>
      <w:r w:rsidRPr="00571D42">
        <w:rPr>
          <w:lang w:val="en-US"/>
        </w:rPr>
        <w:tab/>
      </w:r>
      <w:r w:rsidR="001F055E">
        <w:fldChar w:fldCharType="begin"/>
      </w:r>
      <w:r w:rsidR="001F055E" w:rsidRPr="00D83D10">
        <w:rPr>
          <w:lang w:val="en-US"/>
        </w:rPr>
        <w:instrText>HYPERLINK "http://undocs.org/ru/CERD/C/PAK/CO/24-26"</w:instrText>
      </w:r>
      <w:r w:rsidR="001F055E">
        <w:fldChar w:fldCharType="separate"/>
      </w:r>
      <w:r w:rsidRPr="00CE4CA7">
        <w:rPr>
          <w:rStyle w:val="af1"/>
          <w:lang w:val="en-US"/>
        </w:rPr>
        <w:t>CERD/C/PAK/CO/24-26</w:t>
      </w:r>
      <w:r w:rsidR="001F055E">
        <w:rPr>
          <w:rStyle w:val="af1"/>
          <w:lang w:val="en-US"/>
        </w:rPr>
        <w:fldChar w:fldCharType="end"/>
      </w:r>
      <w:r w:rsidRPr="00571D42">
        <w:rPr>
          <w:lang w:val="en-US"/>
        </w:rPr>
        <w:t xml:space="preserve">, </w:t>
      </w:r>
      <w:r>
        <w:t>п</w:t>
      </w:r>
      <w:r w:rsidRPr="00571D42">
        <w:rPr>
          <w:lang w:val="en-US"/>
        </w:rPr>
        <w:t>. 32.</w:t>
      </w:r>
    </w:p>
  </w:footnote>
  <w:footnote w:id="12">
    <w:p w14:paraId="0F3F555D" w14:textId="77777777" w:rsidR="00E6353B" w:rsidRPr="00E6353B" w:rsidRDefault="00E6353B" w:rsidP="00E6353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571D42">
        <w:rPr>
          <w:lang w:val="en-US"/>
        </w:rPr>
        <w:tab/>
      </w:r>
      <w:r w:rsidRPr="00C12EDF">
        <w:rPr>
          <w:rStyle w:val="aa"/>
        </w:rPr>
        <w:footnoteRef/>
      </w:r>
      <w:r w:rsidRPr="00571D42">
        <w:rPr>
          <w:lang w:val="en-US"/>
        </w:rPr>
        <w:tab/>
      </w:r>
      <w:r w:rsidR="001F055E">
        <w:fldChar w:fldCharType="begin"/>
      </w:r>
      <w:r w:rsidR="001F055E" w:rsidRPr="00D83D10">
        <w:rPr>
          <w:lang w:val="en-US"/>
        </w:rPr>
        <w:instrText>HYPERLINK "http://undocs.org/ru/CCPR/C/PAK/CO/1"</w:instrText>
      </w:r>
      <w:r w:rsidR="001F055E">
        <w:fldChar w:fldCharType="separate"/>
      </w:r>
      <w:r w:rsidRPr="00CE4CA7">
        <w:rPr>
          <w:rStyle w:val="af1"/>
          <w:lang w:val="en-US"/>
        </w:rPr>
        <w:t>CCPR/C/PAK/CO/1</w:t>
      </w:r>
      <w:r w:rsidR="001F055E">
        <w:rPr>
          <w:rStyle w:val="af1"/>
          <w:lang w:val="en-US"/>
        </w:rPr>
        <w:fldChar w:fldCharType="end"/>
      </w:r>
      <w:r w:rsidRPr="00571D42">
        <w:rPr>
          <w:lang w:val="en-US"/>
        </w:rPr>
        <w:t xml:space="preserve">, </w:t>
      </w:r>
      <w:r>
        <w:t>п</w:t>
      </w:r>
      <w:r w:rsidRPr="00571D42">
        <w:rPr>
          <w:lang w:val="en-US"/>
        </w:rPr>
        <w:t>. 24.</w:t>
      </w:r>
    </w:p>
  </w:footnote>
  <w:footnote w:id="13">
    <w:p w14:paraId="0BBA8D09" w14:textId="77777777" w:rsidR="00E6353B" w:rsidRPr="00571D42" w:rsidRDefault="00E6353B" w:rsidP="00E6353B">
      <w:pPr>
        <w:pStyle w:val="ad"/>
        <w:widowControl w:val="0"/>
        <w:tabs>
          <w:tab w:val="clear" w:pos="1021"/>
          <w:tab w:val="right" w:pos="1020"/>
        </w:tabs>
      </w:pPr>
      <w:r w:rsidRPr="00571D42">
        <w:rPr>
          <w:lang w:val="en-US"/>
        </w:rPr>
        <w:tab/>
      </w:r>
      <w:r w:rsidRPr="00C12EDF">
        <w:rPr>
          <w:rStyle w:val="aa"/>
        </w:rPr>
        <w:footnoteRef/>
      </w:r>
      <w:r>
        <w:tab/>
        <w:t>Там же, п. 34.</w:t>
      </w:r>
    </w:p>
  </w:footnote>
  <w:footnote w:id="14">
    <w:p w14:paraId="0EC137E3" w14:textId="77777777" w:rsidR="00E6353B" w:rsidRPr="00571D42" w:rsidRDefault="00E6353B" w:rsidP="00E6353B">
      <w:pPr>
        <w:pStyle w:val="ad"/>
        <w:widowControl w:val="0"/>
        <w:tabs>
          <w:tab w:val="clear" w:pos="1021"/>
          <w:tab w:val="right" w:pos="1020"/>
        </w:tabs>
      </w:pPr>
      <w:r w:rsidRPr="00760015">
        <w:tab/>
      </w:r>
      <w:r w:rsidRPr="00C12EDF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42 и 44.</w:t>
      </w:r>
    </w:p>
  </w:footnote>
  <w:footnote w:id="15">
    <w:p w14:paraId="2589B9FC" w14:textId="77777777" w:rsidR="00E6353B" w:rsidRPr="00E6353B" w:rsidRDefault="00E6353B" w:rsidP="00E6353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60015">
        <w:tab/>
      </w:r>
      <w:r w:rsidRPr="00C12EDF">
        <w:rPr>
          <w:rStyle w:val="aa"/>
        </w:rPr>
        <w:footnoteRef/>
      </w:r>
      <w:r w:rsidRPr="00571D42">
        <w:rPr>
          <w:lang w:val="en-US"/>
        </w:rPr>
        <w:tab/>
      </w:r>
      <w:r w:rsidR="001F055E">
        <w:fldChar w:fldCharType="begin"/>
      </w:r>
      <w:r w:rsidR="001F055E" w:rsidRPr="00D83D10">
        <w:rPr>
          <w:lang w:val="en-US"/>
        </w:rPr>
        <w:instrText>HYPERLINK "http://undocs.org/ru/CERD/C/PAK/CO/24-26"</w:instrText>
      </w:r>
      <w:r w:rsidR="001F055E">
        <w:fldChar w:fldCharType="separate"/>
      </w:r>
      <w:r w:rsidRPr="00CE4CA7">
        <w:rPr>
          <w:rStyle w:val="af1"/>
          <w:lang w:val="en-US"/>
        </w:rPr>
        <w:t>CERD/C/PAK/CO/24-26</w:t>
      </w:r>
      <w:r w:rsidR="001F055E">
        <w:rPr>
          <w:rStyle w:val="af1"/>
          <w:lang w:val="en-US"/>
        </w:rPr>
        <w:fldChar w:fldCharType="end"/>
      </w:r>
      <w:r w:rsidRPr="00571D42">
        <w:rPr>
          <w:lang w:val="en-US"/>
        </w:rPr>
        <w:t xml:space="preserve">, </w:t>
      </w:r>
      <w:r>
        <w:t>п</w:t>
      </w:r>
      <w:r w:rsidRPr="00571D42">
        <w:rPr>
          <w:lang w:val="en-US"/>
        </w:rPr>
        <w:t>. 26.</w:t>
      </w:r>
    </w:p>
  </w:footnote>
  <w:footnote w:id="16">
    <w:p w14:paraId="2FB0CD11" w14:textId="77777777" w:rsidR="00E6353B" w:rsidRPr="00E6353B" w:rsidRDefault="00E6353B" w:rsidP="00E6353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571D42">
        <w:rPr>
          <w:lang w:val="en-US"/>
        </w:rPr>
        <w:tab/>
      </w:r>
      <w:r w:rsidRPr="00C12EDF">
        <w:rPr>
          <w:rStyle w:val="aa"/>
        </w:rPr>
        <w:footnoteRef/>
      </w:r>
      <w:r w:rsidRPr="00571D42">
        <w:rPr>
          <w:lang w:val="en-US"/>
        </w:rPr>
        <w:tab/>
      </w:r>
      <w:r w:rsidR="001F055E">
        <w:fldChar w:fldCharType="begin"/>
      </w:r>
      <w:r w:rsidR="001F055E" w:rsidRPr="00D83D10">
        <w:rPr>
          <w:lang w:val="en-US"/>
        </w:rPr>
        <w:instrText>HYPERLINK "http://undocs.org/ru/CCPR/C/PAK/CO/1"</w:instrText>
      </w:r>
      <w:r w:rsidR="001F055E">
        <w:fldChar w:fldCharType="separate"/>
      </w:r>
      <w:r w:rsidRPr="00CE4CA7">
        <w:rPr>
          <w:rStyle w:val="af1"/>
          <w:lang w:val="en-US"/>
        </w:rPr>
        <w:t>CCPR/C/PAK/CO/1</w:t>
      </w:r>
      <w:r w:rsidR="001F055E">
        <w:rPr>
          <w:rStyle w:val="af1"/>
          <w:lang w:val="en-US"/>
        </w:rPr>
        <w:fldChar w:fldCharType="end"/>
      </w:r>
      <w:r w:rsidRPr="00571D42">
        <w:rPr>
          <w:lang w:val="en-US"/>
        </w:rPr>
        <w:t xml:space="preserve">, </w:t>
      </w:r>
      <w:r>
        <w:t>п</w:t>
      </w:r>
      <w:r w:rsidRPr="00571D42">
        <w:rPr>
          <w:lang w:val="en-US"/>
        </w:rPr>
        <w:t>. 48.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C0670" w14:textId="46D2463D" w:rsidR="00E6353B" w:rsidRPr="00E6353B" w:rsidRDefault="001F055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6353B">
      <w:t>CCPR/C/PAK/CO/2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43EBB" w14:textId="4B467541" w:rsidR="00E6353B" w:rsidRPr="00E6353B" w:rsidRDefault="001F055E" w:rsidP="00E6353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6353B">
      <w:t>CCPR/C/PAK/CO/2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2F1C0" w14:textId="77777777" w:rsidR="00E6353B" w:rsidRDefault="00E6353B" w:rsidP="00E6353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351"/>
    <w:rsid w:val="00033EE1"/>
    <w:rsid w:val="000358F2"/>
    <w:rsid w:val="00042B72"/>
    <w:rsid w:val="000558BD"/>
    <w:rsid w:val="00072CDE"/>
    <w:rsid w:val="00082AAC"/>
    <w:rsid w:val="000B57E7"/>
    <w:rsid w:val="000B6373"/>
    <w:rsid w:val="000F09DF"/>
    <w:rsid w:val="000F61B2"/>
    <w:rsid w:val="001020F7"/>
    <w:rsid w:val="001075E9"/>
    <w:rsid w:val="00180183"/>
    <w:rsid w:val="0018024D"/>
    <w:rsid w:val="0018649F"/>
    <w:rsid w:val="00195BD0"/>
    <w:rsid w:val="00196389"/>
    <w:rsid w:val="001B3EF6"/>
    <w:rsid w:val="001C1832"/>
    <w:rsid w:val="001C7A89"/>
    <w:rsid w:val="001D447B"/>
    <w:rsid w:val="00225D66"/>
    <w:rsid w:val="00254812"/>
    <w:rsid w:val="00254F8E"/>
    <w:rsid w:val="002722ED"/>
    <w:rsid w:val="00296058"/>
    <w:rsid w:val="002A2EFC"/>
    <w:rsid w:val="002A79AD"/>
    <w:rsid w:val="002B0F39"/>
    <w:rsid w:val="002C0E18"/>
    <w:rsid w:val="002C405C"/>
    <w:rsid w:val="002D5AAC"/>
    <w:rsid w:val="002E00F0"/>
    <w:rsid w:val="002E0198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872B8"/>
    <w:rsid w:val="003958D0"/>
    <w:rsid w:val="003B00E5"/>
    <w:rsid w:val="003B6E64"/>
    <w:rsid w:val="003E2862"/>
    <w:rsid w:val="00407B78"/>
    <w:rsid w:val="00416ED3"/>
    <w:rsid w:val="00424203"/>
    <w:rsid w:val="00432527"/>
    <w:rsid w:val="00451025"/>
    <w:rsid w:val="00452493"/>
    <w:rsid w:val="00454E07"/>
    <w:rsid w:val="00472C5C"/>
    <w:rsid w:val="00494720"/>
    <w:rsid w:val="004969B2"/>
    <w:rsid w:val="004D3165"/>
    <w:rsid w:val="004E0F86"/>
    <w:rsid w:val="004F219B"/>
    <w:rsid w:val="0050108D"/>
    <w:rsid w:val="00513081"/>
    <w:rsid w:val="00517901"/>
    <w:rsid w:val="00526683"/>
    <w:rsid w:val="005329FF"/>
    <w:rsid w:val="005513F3"/>
    <w:rsid w:val="00551C3B"/>
    <w:rsid w:val="00553283"/>
    <w:rsid w:val="00564814"/>
    <w:rsid w:val="005709E0"/>
    <w:rsid w:val="00572E19"/>
    <w:rsid w:val="00587C1C"/>
    <w:rsid w:val="00595018"/>
    <w:rsid w:val="005961C8"/>
    <w:rsid w:val="005C0954"/>
    <w:rsid w:val="005D4BE4"/>
    <w:rsid w:val="005D5E7F"/>
    <w:rsid w:val="005D7914"/>
    <w:rsid w:val="005E2B41"/>
    <w:rsid w:val="005F0B42"/>
    <w:rsid w:val="0060280B"/>
    <w:rsid w:val="0064521B"/>
    <w:rsid w:val="00666B97"/>
    <w:rsid w:val="00673A56"/>
    <w:rsid w:val="00681A10"/>
    <w:rsid w:val="006A1470"/>
    <w:rsid w:val="006A1ED8"/>
    <w:rsid w:val="006B2B50"/>
    <w:rsid w:val="006B3942"/>
    <w:rsid w:val="006C2031"/>
    <w:rsid w:val="006D461A"/>
    <w:rsid w:val="006E513F"/>
    <w:rsid w:val="006F35EE"/>
    <w:rsid w:val="007021FF"/>
    <w:rsid w:val="007117DB"/>
    <w:rsid w:val="00712895"/>
    <w:rsid w:val="00740C2B"/>
    <w:rsid w:val="0075523D"/>
    <w:rsid w:val="00757357"/>
    <w:rsid w:val="00787D3A"/>
    <w:rsid w:val="00791B9D"/>
    <w:rsid w:val="008035BD"/>
    <w:rsid w:val="00824978"/>
    <w:rsid w:val="00825F8D"/>
    <w:rsid w:val="00834B71"/>
    <w:rsid w:val="0084473D"/>
    <w:rsid w:val="00862594"/>
    <w:rsid w:val="0086445C"/>
    <w:rsid w:val="008759CC"/>
    <w:rsid w:val="008934FA"/>
    <w:rsid w:val="00894693"/>
    <w:rsid w:val="008A08D7"/>
    <w:rsid w:val="008B6909"/>
    <w:rsid w:val="008F1412"/>
    <w:rsid w:val="00906890"/>
    <w:rsid w:val="00911881"/>
    <w:rsid w:val="00911BE4"/>
    <w:rsid w:val="00931A71"/>
    <w:rsid w:val="00951972"/>
    <w:rsid w:val="009534EA"/>
    <w:rsid w:val="009608F3"/>
    <w:rsid w:val="009918E2"/>
    <w:rsid w:val="009A24AC"/>
    <w:rsid w:val="009C20F4"/>
    <w:rsid w:val="009C4D31"/>
    <w:rsid w:val="009D21FD"/>
    <w:rsid w:val="009E57C6"/>
    <w:rsid w:val="00A14DA8"/>
    <w:rsid w:val="00A312BC"/>
    <w:rsid w:val="00A34D07"/>
    <w:rsid w:val="00A65181"/>
    <w:rsid w:val="00A84021"/>
    <w:rsid w:val="00A84D35"/>
    <w:rsid w:val="00A85D63"/>
    <w:rsid w:val="00A917B3"/>
    <w:rsid w:val="00AB0B5D"/>
    <w:rsid w:val="00AB4B51"/>
    <w:rsid w:val="00AC5C64"/>
    <w:rsid w:val="00AD6F87"/>
    <w:rsid w:val="00B10CC7"/>
    <w:rsid w:val="00B136DB"/>
    <w:rsid w:val="00B277AB"/>
    <w:rsid w:val="00B539E7"/>
    <w:rsid w:val="00B62458"/>
    <w:rsid w:val="00B715BC"/>
    <w:rsid w:val="00BC18B2"/>
    <w:rsid w:val="00BC3629"/>
    <w:rsid w:val="00BC4158"/>
    <w:rsid w:val="00BD33EE"/>
    <w:rsid w:val="00BF1A04"/>
    <w:rsid w:val="00C0177C"/>
    <w:rsid w:val="00C03130"/>
    <w:rsid w:val="00C106D6"/>
    <w:rsid w:val="00C46D5A"/>
    <w:rsid w:val="00C57498"/>
    <w:rsid w:val="00C60F0C"/>
    <w:rsid w:val="00C76A04"/>
    <w:rsid w:val="00C805C9"/>
    <w:rsid w:val="00C92939"/>
    <w:rsid w:val="00CA1679"/>
    <w:rsid w:val="00CB151C"/>
    <w:rsid w:val="00CB69DE"/>
    <w:rsid w:val="00CC43CB"/>
    <w:rsid w:val="00CD1A62"/>
    <w:rsid w:val="00CD75BA"/>
    <w:rsid w:val="00CE5A1A"/>
    <w:rsid w:val="00CE6321"/>
    <w:rsid w:val="00CF55F6"/>
    <w:rsid w:val="00CF7A96"/>
    <w:rsid w:val="00D128BB"/>
    <w:rsid w:val="00D23D0B"/>
    <w:rsid w:val="00D33D63"/>
    <w:rsid w:val="00D4563A"/>
    <w:rsid w:val="00D6769A"/>
    <w:rsid w:val="00D83D10"/>
    <w:rsid w:val="00D90028"/>
    <w:rsid w:val="00D90138"/>
    <w:rsid w:val="00D9090B"/>
    <w:rsid w:val="00D928F7"/>
    <w:rsid w:val="00DA0B17"/>
    <w:rsid w:val="00DD1D1E"/>
    <w:rsid w:val="00DD78D1"/>
    <w:rsid w:val="00DE32CD"/>
    <w:rsid w:val="00DF71B9"/>
    <w:rsid w:val="00E005F7"/>
    <w:rsid w:val="00E02E0B"/>
    <w:rsid w:val="00E06BEE"/>
    <w:rsid w:val="00E40351"/>
    <w:rsid w:val="00E46656"/>
    <w:rsid w:val="00E6353B"/>
    <w:rsid w:val="00E73F76"/>
    <w:rsid w:val="00EA2C9F"/>
    <w:rsid w:val="00EA420E"/>
    <w:rsid w:val="00EC7FFA"/>
    <w:rsid w:val="00ED0BDA"/>
    <w:rsid w:val="00EF1360"/>
    <w:rsid w:val="00EF3220"/>
    <w:rsid w:val="00F43903"/>
    <w:rsid w:val="00F64504"/>
    <w:rsid w:val="00F94155"/>
    <w:rsid w:val="00F9783F"/>
    <w:rsid w:val="00FC6153"/>
    <w:rsid w:val="00FC636C"/>
    <w:rsid w:val="00FD0A65"/>
    <w:rsid w:val="00FD2EF7"/>
    <w:rsid w:val="00FE447E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503A0"/>
  <w15:docId w15:val="{0F53F3E8-7E32-4691-997C-DD829EA7E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E6353B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4155" TargetMode="External"/><Relationship Id="rId2" Type="http://schemas.openxmlformats.org/officeDocument/2006/relationships/hyperlink" Target="http://undocs.org/en/CCPR/C/SR.4154" TargetMode="External"/><Relationship Id="rId1" Type="http://schemas.openxmlformats.org/officeDocument/2006/relationships/hyperlink" Target="http://undocs.org/en/CCPR/C/PAK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21</Pages>
  <Words>8834</Words>
  <Characters>61487</Characters>
  <Application>Microsoft Office Word</Application>
  <DocSecurity>0</DocSecurity>
  <Lines>1060</Lines>
  <Paragraphs>195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70126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CCPR/C/PAK/CO/2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2025-01-29T15:12:00Z</dcterms:created>
  <dcterms:modified xsi:type="dcterms:W3CDTF">2025-01-29T15:12:00Z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