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ECE" w:rsidRDefault="00312ECE">
      <w:pPr>
        <w:spacing w:line="60" w:lineRule="exact"/>
        <w:rPr>
          <w:sz w:val="6"/>
        </w:rPr>
        <w:sectPr w:rsidR="00312ECE">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312ECE" w:rsidRDefault="00312ECE">
      <w:pPr>
        <w:spacing w:line="60" w:lineRule="exact"/>
        <w:rPr>
          <w:sz w:val="6"/>
        </w:rPr>
      </w:pPr>
    </w:p>
    <w:p w:rsidR="00312ECE" w:rsidRDefault="00312ECE">
      <w:pPr>
        <w:pStyle w:val="SingleTxt"/>
        <w:ind w:left="0"/>
        <w:rPr>
          <w:rFonts w:ascii="SimHei" w:eastAsia="SimHei" w:hint="eastAsia"/>
          <w:color w:val="FF0000"/>
          <w:sz w:val="24"/>
        </w:rPr>
      </w:pPr>
      <w:r>
        <w:rPr>
          <w:rFonts w:ascii="SimHei" w:eastAsia="SimHei" w:hint="eastAsia"/>
          <w:color w:val="FF0000"/>
          <w:sz w:val="24"/>
        </w:rPr>
        <w:t>消除对妇女歧视委员会</w:t>
      </w:r>
    </w:p>
    <w:p w:rsidR="00312ECE" w:rsidRDefault="00312ECE">
      <w:pPr>
        <w:pStyle w:val="SingleTxt"/>
      </w:pPr>
    </w:p>
    <w:p w:rsidR="00312ECE" w:rsidRDefault="00312EC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审议缔约国根据《消除对妇女一切形式歧视公约》第18条</w:t>
      </w:r>
      <w:r>
        <w:br/>
      </w:r>
      <w:r>
        <w:rPr>
          <w:rFonts w:hint="eastAsia"/>
        </w:rPr>
        <w:t>提交的报告</w:t>
      </w:r>
    </w:p>
    <w:p w:rsidR="00312ECE" w:rsidRDefault="00312EC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312ECE" w:rsidRDefault="00312EC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312ECE" w:rsidRDefault="00312EC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缔约国的初次、第二次和第三次合并定期报告</w:t>
      </w:r>
      <w:r>
        <w:rPr>
          <w:vertAlign w:val="superscript"/>
        </w:rPr>
        <w:t xml:space="preserve"> </w:t>
      </w:r>
      <w:r>
        <w:rPr>
          <w:rFonts w:hint="eastAsia"/>
          <w:vertAlign w:val="superscript"/>
        </w:rPr>
        <w:t>*</w:t>
      </w:r>
      <w:r>
        <w:rPr>
          <w:rFonts w:hint="eastAsia"/>
        </w:rPr>
        <w:t xml:space="preserve"> </w:t>
      </w:r>
    </w:p>
    <w:p w:rsidR="00312ECE" w:rsidRDefault="00312ECE">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312ECE" w:rsidRDefault="00312ECE">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312ECE" w:rsidRDefault="00312ECE">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拉脱维亚</w:t>
      </w:r>
    </w:p>
    <w:p w:rsidR="00312ECE" w:rsidRDefault="00312ECE">
      <w:pPr>
        <w:pStyle w:val="SingleTxt"/>
      </w:pPr>
    </w:p>
    <w:p w:rsidR="00312ECE" w:rsidRDefault="00312ECE">
      <w:pPr>
        <w:framePr w:w="9792" w:h="432" w:hSpace="180" w:wrap="around" w:hAnchor="page" w:x="1210" w:yAlign="bottom"/>
        <w:spacing w:line="100" w:lineRule="exact"/>
        <w:rPr>
          <w:sz w:val="10"/>
        </w:rPr>
      </w:pPr>
    </w:p>
    <w:p w:rsidR="00312ECE" w:rsidRDefault="00312ECE">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type="topAndBottom" anchorx="page"/>
            <w10:anchorlock/>
          </v:line>
        </w:pict>
      </w:r>
    </w:p>
    <w:p w:rsidR="00312ECE" w:rsidRDefault="00312ECE">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vertAlign w:val="superscript"/>
        </w:rPr>
        <w:t>*</w:t>
      </w:r>
      <w:r>
        <w:rPr>
          <w:sz w:val="18"/>
        </w:rPr>
        <w:tab/>
      </w:r>
      <w:r>
        <w:rPr>
          <w:rFonts w:hint="eastAsia"/>
          <w:sz w:val="18"/>
        </w:rPr>
        <w:t>本报告印发时未经正式编辑。</w:t>
      </w:r>
    </w:p>
    <w:p w:rsidR="00312ECE" w:rsidRDefault="00312ECE">
      <w:pPr>
        <w:pStyle w:val="SingleTxt"/>
      </w:pPr>
    </w:p>
    <w:p w:rsidR="00312ECE" w:rsidRDefault="00312ECE">
      <w:pPr>
        <w:pStyle w:val="HCh"/>
        <w:spacing w:line="120" w:lineRule="exact"/>
        <w:rPr>
          <w:sz w:val="10"/>
        </w:rPr>
      </w:pPr>
      <w:r>
        <w:br w:type="page"/>
      </w:r>
    </w:p>
    <w:p w:rsidR="00312ECE" w:rsidRDefault="00312ECE">
      <w:pPr>
        <w:pStyle w:val="HCh"/>
        <w:spacing w:after="120"/>
        <w:rPr>
          <w:rFonts w:eastAsia="SimSun"/>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12ECE">
        <w:tblPrEx>
          <w:tblCellMar>
            <w:top w:w="0" w:type="dxa"/>
            <w:bottom w:w="0" w:type="dxa"/>
          </w:tblCellMar>
        </w:tblPrEx>
        <w:tc>
          <w:tcPr>
            <w:tcW w:w="1060" w:type="dxa"/>
          </w:tcPr>
          <w:p w:rsidR="00312ECE" w:rsidRDefault="00312ECE">
            <w:pPr>
              <w:spacing w:after="120" w:line="240" w:lineRule="auto"/>
              <w:jc w:val="right"/>
              <w:rPr>
                <w:rFonts w:eastAsia="KaiTi_GB2312"/>
                <w:color w:val="0000FF"/>
                <w:sz w:val="16"/>
              </w:rPr>
            </w:pPr>
          </w:p>
        </w:tc>
        <w:tc>
          <w:tcPr>
            <w:tcW w:w="7315" w:type="dxa"/>
          </w:tcPr>
          <w:p w:rsidR="00312ECE" w:rsidRDefault="00312ECE">
            <w:pPr>
              <w:spacing w:after="120" w:line="240" w:lineRule="auto"/>
              <w:rPr>
                <w:rFonts w:eastAsia="KaiTi_GB2312"/>
                <w:color w:val="0000FF"/>
                <w:sz w:val="16"/>
              </w:rPr>
            </w:pPr>
          </w:p>
        </w:tc>
        <w:tc>
          <w:tcPr>
            <w:tcW w:w="994" w:type="dxa"/>
          </w:tcPr>
          <w:p w:rsidR="00312ECE" w:rsidRDefault="00312ECE">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312ECE" w:rsidRDefault="00312ECE">
            <w:pPr>
              <w:spacing w:after="120" w:line="240" w:lineRule="auto"/>
              <w:jc w:val="right"/>
              <w:rPr>
                <w:rFonts w:eastAsia="KaiTi_GB2312"/>
                <w:color w:val="0000FF"/>
                <w:sz w:val="16"/>
              </w:rPr>
            </w:pPr>
            <w:r>
              <w:rPr>
                <w:rFonts w:eastAsia="KaiTi_GB2312" w:hint="eastAsia"/>
                <w:color w:val="0000FF"/>
                <w:sz w:val="16"/>
              </w:rPr>
              <w:t>页次</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80"/>
            </w:pPr>
            <w:r>
              <w:rPr>
                <w:rFonts w:hint="eastAsia"/>
              </w:rPr>
              <w:t>导言</w:t>
            </w:r>
            <w:r>
              <w:tab/>
            </w:r>
            <w:r>
              <w:tab/>
            </w:r>
          </w:p>
        </w:tc>
        <w:tc>
          <w:tcPr>
            <w:tcW w:w="994" w:type="dxa"/>
            <w:vAlign w:val="bottom"/>
          </w:tcPr>
          <w:p w:rsidR="00312ECE" w:rsidRDefault="00312ECE">
            <w:pPr>
              <w:spacing w:after="140"/>
              <w:ind w:right="28"/>
              <w:jc w:val="right"/>
            </w:pPr>
            <w:r>
              <w:t>1-3</w:t>
            </w:r>
          </w:p>
        </w:tc>
        <w:tc>
          <w:tcPr>
            <w:tcW w:w="533" w:type="dxa"/>
            <w:vAlign w:val="bottom"/>
          </w:tcPr>
          <w:p w:rsidR="00312ECE" w:rsidRDefault="00312ECE">
            <w:pPr>
              <w:spacing w:after="140"/>
              <w:ind w:right="57"/>
              <w:jc w:val="right"/>
            </w:pPr>
            <w:r>
              <w:t>3</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《公约》第1条</w:t>
            </w:r>
            <w:r>
              <w:tab/>
            </w:r>
          </w:p>
        </w:tc>
        <w:tc>
          <w:tcPr>
            <w:tcW w:w="994" w:type="dxa"/>
            <w:vAlign w:val="bottom"/>
          </w:tcPr>
          <w:p w:rsidR="00312ECE" w:rsidRDefault="00312ECE">
            <w:pPr>
              <w:spacing w:after="140"/>
              <w:ind w:right="28"/>
              <w:jc w:val="right"/>
            </w:pPr>
            <w:r>
              <w:t>4-6</w:t>
            </w:r>
          </w:p>
        </w:tc>
        <w:tc>
          <w:tcPr>
            <w:tcW w:w="533" w:type="dxa"/>
            <w:vAlign w:val="bottom"/>
          </w:tcPr>
          <w:p w:rsidR="00312ECE" w:rsidRDefault="00312ECE">
            <w:pPr>
              <w:spacing w:after="140"/>
              <w:ind w:right="57"/>
              <w:jc w:val="right"/>
            </w:pPr>
            <w:r>
              <w:t>3</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《公约》第2条</w:t>
            </w:r>
            <w:r>
              <w:tab/>
            </w:r>
          </w:p>
        </w:tc>
        <w:tc>
          <w:tcPr>
            <w:tcW w:w="994" w:type="dxa"/>
            <w:vAlign w:val="bottom"/>
          </w:tcPr>
          <w:p w:rsidR="00312ECE" w:rsidRDefault="00312ECE">
            <w:pPr>
              <w:spacing w:after="140"/>
              <w:ind w:right="28"/>
              <w:jc w:val="right"/>
            </w:pPr>
            <w:r>
              <w:t>7-13</w:t>
            </w:r>
          </w:p>
        </w:tc>
        <w:tc>
          <w:tcPr>
            <w:tcW w:w="533" w:type="dxa"/>
            <w:vAlign w:val="bottom"/>
          </w:tcPr>
          <w:p w:rsidR="00312ECE" w:rsidRDefault="00312ECE">
            <w:pPr>
              <w:spacing w:after="140"/>
              <w:ind w:right="57"/>
              <w:jc w:val="right"/>
            </w:pPr>
            <w:r>
              <w:t>3</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《公约》第3条</w:t>
            </w:r>
            <w:r>
              <w:tab/>
            </w:r>
            <w:r>
              <w:tab/>
            </w:r>
          </w:p>
        </w:tc>
        <w:tc>
          <w:tcPr>
            <w:tcW w:w="994" w:type="dxa"/>
            <w:vAlign w:val="bottom"/>
          </w:tcPr>
          <w:p w:rsidR="00312ECE" w:rsidRDefault="00312ECE">
            <w:pPr>
              <w:spacing w:after="140"/>
              <w:ind w:right="28"/>
              <w:jc w:val="right"/>
            </w:pPr>
            <w:r>
              <w:t>14-19</w:t>
            </w:r>
          </w:p>
        </w:tc>
        <w:tc>
          <w:tcPr>
            <w:tcW w:w="533" w:type="dxa"/>
            <w:vAlign w:val="bottom"/>
          </w:tcPr>
          <w:p w:rsidR="00312ECE" w:rsidRDefault="00312ECE">
            <w:pPr>
              <w:spacing w:after="140"/>
              <w:ind w:right="57"/>
              <w:jc w:val="right"/>
            </w:pPr>
            <w:r>
              <w:t>4</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《公约》第4条</w:t>
            </w:r>
            <w:r>
              <w:tab/>
            </w:r>
          </w:p>
        </w:tc>
        <w:tc>
          <w:tcPr>
            <w:tcW w:w="994" w:type="dxa"/>
            <w:vAlign w:val="bottom"/>
          </w:tcPr>
          <w:p w:rsidR="00312ECE" w:rsidRDefault="00312ECE">
            <w:pPr>
              <w:spacing w:after="140"/>
              <w:ind w:right="28"/>
              <w:jc w:val="right"/>
            </w:pPr>
            <w:r>
              <w:t>20</w:t>
            </w:r>
          </w:p>
        </w:tc>
        <w:tc>
          <w:tcPr>
            <w:tcW w:w="533" w:type="dxa"/>
            <w:vAlign w:val="bottom"/>
          </w:tcPr>
          <w:p w:rsidR="00312ECE" w:rsidRDefault="00312ECE">
            <w:pPr>
              <w:spacing w:after="140"/>
              <w:ind w:right="57"/>
              <w:jc w:val="right"/>
            </w:pPr>
            <w:r>
              <w:t>5</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《公约》第5条</w:t>
            </w:r>
            <w:r>
              <w:tab/>
            </w:r>
          </w:p>
        </w:tc>
        <w:tc>
          <w:tcPr>
            <w:tcW w:w="994" w:type="dxa"/>
            <w:vAlign w:val="bottom"/>
          </w:tcPr>
          <w:p w:rsidR="00312ECE" w:rsidRDefault="00312ECE">
            <w:pPr>
              <w:spacing w:after="140"/>
              <w:ind w:right="28"/>
              <w:jc w:val="right"/>
            </w:pPr>
            <w:r>
              <w:t>21-35</w:t>
            </w:r>
          </w:p>
        </w:tc>
        <w:tc>
          <w:tcPr>
            <w:tcW w:w="533" w:type="dxa"/>
            <w:vAlign w:val="bottom"/>
          </w:tcPr>
          <w:p w:rsidR="00312ECE" w:rsidRDefault="00312ECE">
            <w:pPr>
              <w:spacing w:after="140"/>
              <w:ind w:right="57"/>
              <w:jc w:val="right"/>
            </w:pPr>
            <w:r>
              <w:t>5</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《公约》第6条</w:t>
            </w:r>
            <w:r>
              <w:tab/>
            </w:r>
          </w:p>
        </w:tc>
        <w:tc>
          <w:tcPr>
            <w:tcW w:w="994" w:type="dxa"/>
            <w:vAlign w:val="bottom"/>
          </w:tcPr>
          <w:p w:rsidR="00312ECE" w:rsidRDefault="00312ECE">
            <w:pPr>
              <w:spacing w:after="140"/>
              <w:ind w:right="28"/>
              <w:jc w:val="right"/>
            </w:pPr>
            <w:r>
              <w:t>36-46</w:t>
            </w:r>
          </w:p>
        </w:tc>
        <w:tc>
          <w:tcPr>
            <w:tcW w:w="533" w:type="dxa"/>
            <w:vAlign w:val="bottom"/>
          </w:tcPr>
          <w:p w:rsidR="00312ECE" w:rsidRDefault="00312ECE">
            <w:pPr>
              <w:spacing w:after="140"/>
              <w:ind w:right="57"/>
              <w:jc w:val="right"/>
            </w:pPr>
            <w:r>
              <w:t>8</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《公约》第7条</w:t>
            </w:r>
            <w:r>
              <w:tab/>
            </w:r>
          </w:p>
        </w:tc>
        <w:tc>
          <w:tcPr>
            <w:tcW w:w="994" w:type="dxa"/>
            <w:vAlign w:val="bottom"/>
          </w:tcPr>
          <w:p w:rsidR="00312ECE" w:rsidRDefault="00312ECE">
            <w:pPr>
              <w:spacing w:after="140"/>
              <w:ind w:right="28"/>
              <w:jc w:val="right"/>
            </w:pPr>
            <w:r>
              <w:t>47-66</w:t>
            </w:r>
          </w:p>
        </w:tc>
        <w:tc>
          <w:tcPr>
            <w:tcW w:w="533" w:type="dxa"/>
            <w:vAlign w:val="bottom"/>
          </w:tcPr>
          <w:p w:rsidR="00312ECE" w:rsidRDefault="00312ECE">
            <w:pPr>
              <w:spacing w:after="140"/>
              <w:ind w:right="57"/>
              <w:jc w:val="right"/>
            </w:pPr>
            <w:r>
              <w:t>11</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《公约》第8条</w:t>
            </w:r>
            <w:r>
              <w:tab/>
            </w:r>
          </w:p>
        </w:tc>
        <w:tc>
          <w:tcPr>
            <w:tcW w:w="994" w:type="dxa"/>
            <w:vAlign w:val="bottom"/>
          </w:tcPr>
          <w:p w:rsidR="00312ECE" w:rsidRDefault="00312ECE">
            <w:pPr>
              <w:spacing w:after="140"/>
              <w:ind w:right="28"/>
              <w:jc w:val="right"/>
            </w:pPr>
            <w:r>
              <w:t>67-71</w:t>
            </w:r>
          </w:p>
        </w:tc>
        <w:tc>
          <w:tcPr>
            <w:tcW w:w="533" w:type="dxa"/>
            <w:vAlign w:val="bottom"/>
          </w:tcPr>
          <w:p w:rsidR="00312ECE" w:rsidRDefault="00312ECE">
            <w:pPr>
              <w:spacing w:after="140"/>
              <w:ind w:right="57"/>
              <w:jc w:val="right"/>
            </w:pPr>
            <w:r>
              <w:t>16</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《公约》第9条</w:t>
            </w:r>
            <w:r>
              <w:tab/>
            </w:r>
          </w:p>
        </w:tc>
        <w:tc>
          <w:tcPr>
            <w:tcW w:w="994" w:type="dxa"/>
            <w:vAlign w:val="bottom"/>
          </w:tcPr>
          <w:p w:rsidR="00312ECE" w:rsidRDefault="00312ECE">
            <w:pPr>
              <w:spacing w:after="140"/>
              <w:ind w:right="28"/>
              <w:jc w:val="right"/>
            </w:pPr>
            <w:r>
              <w:t>72-83</w:t>
            </w:r>
          </w:p>
        </w:tc>
        <w:tc>
          <w:tcPr>
            <w:tcW w:w="533" w:type="dxa"/>
            <w:vAlign w:val="bottom"/>
          </w:tcPr>
          <w:p w:rsidR="00312ECE" w:rsidRDefault="00312ECE">
            <w:pPr>
              <w:spacing w:after="140"/>
              <w:ind w:right="57"/>
              <w:jc w:val="right"/>
            </w:pPr>
            <w:r>
              <w:t>17</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w:t>
            </w:r>
            <w:r>
              <w:t>0</w:t>
            </w:r>
            <w:r>
              <w:rPr>
                <w:rFonts w:hint="eastAsia"/>
              </w:rPr>
              <w:t>条</w:t>
            </w:r>
            <w:r>
              <w:tab/>
            </w:r>
          </w:p>
        </w:tc>
        <w:tc>
          <w:tcPr>
            <w:tcW w:w="994" w:type="dxa"/>
            <w:vAlign w:val="bottom"/>
          </w:tcPr>
          <w:p w:rsidR="00312ECE" w:rsidRDefault="00312ECE">
            <w:pPr>
              <w:spacing w:after="140"/>
              <w:ind w:right="28"/>
              <w:jc w:val="right"/>
            </w:pPr>
            <w:r>
              <w:t>84-119</w:t>
            </w:r>
          </w:p>
        </w:tc>
        <w:tc>
          <w:tcPr>
            <w:tcW w:w="533" w:type="dxa"/>
            <w:vAlign w:val="bottom"/>
          </w:tcPr>
          <w:p w:rsidR="00312ECE" w:rsidRDefault="00312ECE">
            <w:pPr>
              <w:spacing w:after="140"/>
              <w:ind w:right="57"/>
              <w:jc w:val="right"/>
            </w:pPr>
            <w:r>
              <w:t>19</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w:t>
            </w:r>
            <w:r>
              <w:t>1</w:t>
            </w:r>
            <w:r>
              <w:rPr>
                <w:rFonts w:hint="eastAsia"/>
              </w:rPr>
              <w:t>条</w:t>
            </w:r>
            <w:r>
              <w:tab/>
            </w:r>
          </w:p>
        </w:tc>
        <w:tc>
          <w:tcPr>
            <w:tcW w:w="994" w:type="dxa"/>
            <w:vAlign w:val="bottom"/>
          </w:tcPr>
          <w:p w:rsidR="00312ECE" w:rsidRDefault="00312ECE">
            <w:pPr>
              <w:spacing w:after="140"/>
              <w:ind w:right="28"/>
              <w:jc w:val="right"/>
            </w:pPr>
            <w:r>
              <w:t>120-220</w:t>
            </w:r>
          </w:p>
        </w:tc>
        <w:tc>
          <w:tcPr>
            <w:tcW w:w="533" w:type="dxa"/>
            <w:vAlign w:val="bottom"/>
          </w:tcPr>
          <w:p w:rsidR="00312ECE" w:rsidRDefault="00312ECE">
            <w:pPr>
              <w:spacing w:after="140"/>
              <w:ind w:right="57"/>
              <w:jc w:val="right"/>
            </w:pPr>
            <w:r>
              <w:t>25</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w:t>
            </w:r>
            <w:r>
              <w:t>2</w:t>
            </w:r>
            <w:r>
              <w:rPr>
                <w:rFonts w:hint="eastAsia"/>
              </w:rPr>
              <w:t>条</w:t>
            </w:r>
            <w:r>
              <w:tab/>
            </w:r>
          </w:p>
        </w:tc>
        <w:tc>
          <w:tcPr>
            <w:tcW w:w="994" w:type="dxa"/>
            <w:vAlign w:val="bottom"/>
          </w:tcPr>
          <w:p w:rsidR="00312ECE" w:rsidRDefault="00312ECE">
            <w:pPr>
              <w:spacing w:after="140"/>
              <w:ind w:right="28"/>
              <w:jc w:val="right"/>
            </w:pPr>
            <w:r>
              <w:t>221-238</w:t>
            </w:r>
          </w:p>
        </w:tc>
        <w:tc>
          <w:tcPr>
            <w:tcW w:w="533" w:type="dxa"/>
            <w:vAlign w:val="bottom"/>
          </w:tcPr>
          <w:p w:rsidR="00312ECE" w:rsidRDefault="00312ECE">
            <w:pPr>
              <w:spacing w:after="140"/>
              <w:ind w:right="57"/>
              <w:jc w:val="right"/>
            </w:pPr>
            <w:r>
              <w:t>45</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w:t>
            </w:r>
            <w:r>
              <w:t>3</w:t>
            </w:r>
            <w:r>
              <w:rPr>
                <w:rFonts w:hint="eastAsia"/>
              </w:rPr>
              <w:t>条</w:t>
            </w:r>
            <w:r>
              <w:tab/>
            </w:r>
          </w:p>
        </w:tc>
        <w:tc>
          <w:tcPr>
            <w:tcW w:w="994" w:type="dxa"/>
            <w:vAlign w:val="bottom"/>
          </w:tcPr>
          <w:p w:rsidR="00312ECE" w:rsidRDefault="00312ECE">
            <w:pPr>
              <w:spacing w:after="140"/>
              <w:ind w:right="28"/>
              <w:jc w:val="right"/>
            </w:pPr>
            <w:r>
              <w:t>239-256</w:t>
            </w:r>
          </w:p>
        </w:tc>
        <w:tc>
          <w:tcPr>
            <w:tcW w:w="533" w:type="dxa"/>
            <w:vAlign w:val="bottom"/>
          </w:tcPr>
          <w:p w:rsidR="00312ECE" w:rsidRDefault="00312ECE">
            <w:pPr>
              <w:spacing w:after="140"/>
              <w:ind w:right="57"/>
              <w:jc w:val="right"/>
            </w:pPr>
            <w:r>
              <w:t>49</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w:t>
            </w:r>
            <w:r>
              <w:t>4</w:t>
            </w:r>
            <w:r>
              <w:rPr>
                <w:rFonts w:hint="eastAsia"/>
              </w:rPr>
              <w:t>条</w:t>
            </w:r>
            <w:r>
              <w:tab/>
            </w:r>
          </w:p>
        </w:tc>
        <w:tc>
          <w:tcPr>
            <w:tcW w:w="994" w:type="dxa"/>
            <w:vAlign w:val="bottom"/>
          </w:tcPr>
          <w:p w:rsidR="00312ECE" w:rsidRDefault="00312ECE">
            <w:pPr>
              <w:spacing w:after="140"/>
              <w:ind w:right="28"/>
              <w:jc w:val="right"/>
            </w:pPr>
            <w:r>
              <w:t>257-284</w:t>
            </w:r>
          </w:p>
        </w:tc>
        <w:tc>
          <w:tcPr>
            <w:tcW w:w="533" w:type="dxa"/>
            <w:vAlign w:val="bottom"/>
          </w:tcPr>
          <w:p w:rsidR="00312ECE" w:rsidRDefault="00312ECE">
            <w:pPr>
              <w:spacing w:after="140"/>
              <w:ind w:right="57"/>
              <w:jc w:val="right"/>
            </w:pPr>
            <w:r>
              <w:t>52</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w:t>
            </w:r>
            <w:r>
              <w:t>5</w:t>
            </w:r>
            <w:r>
              <w:rPr>
                <w:rFonts w:hint="eastAsia"/>
              </w:rPr>
              <w:t>条</w:t>
            </w:r>
            <w:r>
              <w:tab/>
            </w:r>
          </w:p>
        </w:tc>
        <w:tc>
          <w:tcPr>
            <w:tcW w:w="994" w:type="dxa"/>
            <w:vAlign w:val="bottom"/>
          </w:tcPr>
          <w:p w:rsidR="00312ECE" w:rsidRDefault="00312ECE">
            <w:pPr>
              <w:spacing w:after="140"/>
              <w:ind w:right="28"/>
              <w:jc w:val="right"/>
            </w:pPr>
            <w:r>
              <w:t>285-297</w:t>
            </w:r>
          </w:p>
        </w:tc>
        <w:tc>
          <w:tcPr>
            <w:tcW w:w="533" w:type="dxa"/>
            <w:vAlign w:val="bottom"/>
          </w:tcPr>
          <w:p w:rsidR="00312ECE" w:rsidRDefault="00312ECE">
            <w:pPr>
              <w:spacing w:after="140"/>
              <w:ind w:right="57"/>
              <w:jc w:val="right"/>
            </w:pPr>
            <w:r>
              <w:t>57</w:t>
            </w:r>
          </w:p>
        </w:tc>
      </w:tr>
      <w:tr w:rsidR="00312ECE">
        <w:tblPrEx>
          <w:tblCellMar>
            <w:top w:w="0" w:type="dxa"/>
            <w:bottom w:w="0" w:type="dxa"/>
          </w:tblCellMar>
        </w:tblPrEx>
        <w:trPr>
          <w:cantSplit/>
        </w:trPr>
        <w:tc>
          <w:tcPr>
            <w:tcW w:w="8375" w:type="dxa"/>
            <w:gridSpan w:val="2"/>
          </w:tcPr>
          <w:p w:rsidR="00312ECE" w:rsidRDefault="00312ECE">
            <w:pPr>
              <w:tabs>
                <w:tab w:val="right" w:pos="1080"/>
                <w:tab w:val="right" w:leader="dot" w:pos="8381"/>
              </w:tabs>
              <w:spacing w:after="140"/>
              <w:ind w:left="1021"/>
            </w:pPr>
            <w:r>
              <w:rPr>
                <w:rFonts w:hint="eastAsia"/>
              </w:rPr>
              <w:t>《公约》第1</w:t>
            </w:r>
            <w:r>
              <w:t>6</w:t>
            </w:r>
            <w:r>
              <w:rPr>
                <w:rFonts w:hint="eastAsia"/>
              </w:rPr>
              <w:t>条</w:t>
            </w:r>
            <w:r>
              <w:tab/>
            </w:r>
          </w:p>
        </w:tc>
        <w:tc>
          <w:tcPr>
            <w:tcW w:w="994" w:type="dxa"/>
            <w:vAlign w:val="bottom"/>
          </w:tcPr>
          <w:p w:rsidR="00312ECE" w:rsidRDefault="00312ECE">
            <w:pPr>
              <w:spacing w:after="140"/>
              <w:ind w:right="28"/>
              <w:jc w:val="right"/>
            </w:pPr>
            <w:r>
              <w:t>298-338</w:t>
            </w:r>
          </w:p>
        </w:tc>
        <w:tc>
          <w:tcPr>
            <w:tcW w:w="533" w:type="dxa"/>
            <w:vAlign w:val="bottom"/>
          </w:tcPr>
          <w:p w:rsidR="00312ECE" w:rsidRDefault="00312ECE">
            <w:pPr>
              <w:spacing w:after="140"/>
              <w:ind w:right="57"/>
              <w:jc w:val="right"/>
            </w:pPr>
            <w:r>
              <w:t>60</w:t>
            </w:r>
          </w:p>
        </w:tc>
      </w:tr>
    </w:tbl>
    <w:p w:rsidR="00312ECE" w:rsidRDefault="00312ECE"/>
    <w:p w:rsidR="00312ECE" w:rsidRDefault="00312ECE">
      <w:pPr>
        <w:pStyle w:val="SingleTxt"/>
      </w:pPr>
    </w:p>
    <w:p w:rsidR="00312ECE" w:rsidRDefault="00312EC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tab/>
      </w:r>
      <w:r>
        <w:rPr>
          <w:rFonts w:hint="eastAsia"/>
        </w:rPr>
        <w:t>导言</w:t>
      </w:r>
    </w:p>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1．</w:t>
      </w:r>
      <w:r>
        <w:tab/>
      </w:r>
      <w:r>
        <w:rPr>
          <w:rFonts w:hint="eastAsia"/>
        </w:rPr>
        <w:t>1979年12月18日《消除对妇女一切形式歧视公约》（以下简称《公约》）自1992年5月14日在拉脱维亚共和国生效。该国在执行《公约》时依据了《公约》的规定及其第18条的要求。有关《公约》执行情况的初次报告介绍了该国的法律行为以及它对保护妇女权利及消除一切形式歧视的政治和法律态度。</w:t>
      </w:r>
    </w:p>
    <w:p w:rsidR="00312ECE" w:rsidRDefault="00312ECE">
      <w:pPr>
        <w:pStyle w:val="SingleTxt"/>
        <w:rPr>
          <w:rFonts w:hint="eastAsia"/>
        </w:rPr>
      </w:pPr>
      <w:r>
        <w:rPr>
          <w:rFonts w:hint="eastAsia"/>
        </w:rPr>
        <w:t>2．</w:t>
      </w:r>
      <w:r>
        <w:tab/>
      </w:r>
      <w:r>
        <w:rPr>
          <w:rFonts w:hint="eastAsia"/>
        </w:rPr>
        <w:t>为拟订本报告，成立了一个特别工作小组，其成员包括外交部、司法部、内务部、福利部以及文化部的代表。根据1998年3月17日“关于部长内阁在国际人权事务机构的代表权”第92号法规，由部门内阁授权的一名代表担任上述特别工作小组负责人。对该特别工作小组起草的报告的意见和建议由以下机构提出，它们是：拉脱维亚大学法学院人权问题研究所、国家人权办公室、拉脱维亚两性平等协会、拉脱维亚计划生育和性健康协会，妇女资源中心以及自由工会联合会。</w:t>
      </w:r>
    </w:p>
    <w:p w:rsidR="00312ECE" w:rsidRDefault="00312ECE">
      <w:pPr>
        <w:pStyle w:val="SingleTxt"/>
        <w:rPr>
          <w:rFonts w:hint="eastAsia"/>
        </w:rPr>
      </w:pPr>
      <w:r>
        <w:rPr>
          <w:rFonts w:hint="eastAsia"/>
        </w:rPr>
        <w:t>3．</w:t>
      </w:r>
      <w:r>
        <w:tab/>
      </w:r>
      <w:r>
        <w:rPr>
          <w:rFonts w:hint="eastAsia"/>
        </w:rPr>
        <w:t>2003年4月16日，部长内阁审查通过了将初次、第二次和第三次定期报告合并在一起的增订报告。</w:t>
      </w:r>
    </w:p>
    <w:p w:rsidR="00312ECE" w:rsidRDefault="00312ECE">
      <w:pPr>
        <w:pStyle w:val="SingleTxt"/>
        <w:rPr>
          <w:rFonts w:ascii="SimHei" w:eastAsia="SimHei" w:hint="eastAsia"/>
          <w:color w:val="FF0000"/>
        </w:rPr>
      </w:pPr>
      <w:r>
        <w:rPr>
          <w:rFonts w:ascii="SimHei" w:eastAsia="SimHei" w:hint="eastAsia"/>
          <w:color w:val="FF0000"/>
        </w:rPr>
        <w:t>第1条</w:t>
      </w:r>
    </w:p>
    <w:p w:rsidR="00312ECE" w:rsidRDefault="00312ECE">
      <w:pPr>
        <w:pStyle w:val="SingleTxt"/>
        <w:rPr>
          <w:rFonts w:hint="eastAsia"/>
        </w:rPr>
      </w:pPr>
      <w:r>
        <w:rPr>
          <w:rFonts w:hint="eastAsia"/>
        </w:rPr>
        <w:t>4．</w:t>
      </w:r>
      <w:r>
        <w:tab/>
      </w:r>
      <w:r>
        <w:rPr>
          <w:rFonts w:hint="eastAsia"/>
        </w:rPr>
        <w:t>拉脱维亚自恢复独立后，批准了很多国际人权文书，这些文书禁止一切形式的歧视，包括禁止在社会、经济和政治方面对妇女的歧视。1966年12月16日《公民及政治权利国际盟约》及1952年12月20日《妇女政治权利公约》对拉脱维亚均是有约束效力。另外，应当指出，拉脱维亚业已批准1950年《欧洲保护人权与基本自由公约》，该公约第14条规定无歧视地行使《公约》提及的权利与自由。</w:t>
      </w:r>
    </w:p>
    <w:p w:rsidR="00312ECE" w:rsidRDefault="00312ECE">
      <w:pPr>
        <w:pStyle w:val="SingleTxt"/>
        <w:rPr>
          <w:rFonts w:hint="eastAsia"/>
        </w:rPr>
      </w:pPr>
      <w:r>
        <w:rPr>
          <w:rFonts w:hint="eastAsia"/>
        </w:rPr>
        <w:t>5．</w:t>
      </w:r>
      <w:r>
        <w:tab/>
      </w:r>
      <w:r>
        <w:rPr>
          <w:rFonts w:hint="eastAsia"/>
        </w:rPr>
        <w:t>拉脱维亚宪法规定，“国家应根据对拉脱维亚具有约束力的现行宪法、法律及国际条约承认并保护基本人权”，除宪法外，禁止歧视原则和平等原则也规定，“拉脱维亚公民在法律和法院面前人人平等。人权应当不受歧视地予以行使。”因此，拉脱维亚妇女在宪法关于“基本人权”一章规定的人权各个领域享有一切权利。</w:t>
      </w:r>
    </w:p>
    <w:p w:rsidR="00312ECE" w:rsidRDefault="00312ECE">
      <w:pPr>
        <w:pStyle w:val="SingleTxt"/>
        <w:rPr>
          <w:rFonts w:hint="eastAsia"/>
        </w:rPr>
      </w:pPr>
      <w:r>
        <w:rPr>
          <w:rFonts w:hint="eastAsia"/>
        </w:rPr>
        <w:t>6．</w:t>
      </w:r>
      <w:r>
        <w:tab/>
      </w:r>
      <w:r>
        <w:rPr>
          <w:rFonts w:hint="eastAsia"/>
        </w:rPr>
        <w:t>拉脱维亚立法对妇女在政治、经济、社会、文化、公民或其他任何领域行使和享有的权利，没有作出任何限制规定，无论她们的婚姻状况如何。</w:t>
      </w:r>
    </w:p>
    <w:p w:rsidR="00312ECE" w:rsidRDefault="00312ECE">
      <w:pPr>
        <w:pStyle w:val="SingleTxt"/>
        <w:rPr>
          <w:rFonts w:ascii="SimHei" w:eastAsia="SimHei" w:hint="eastAsia"/>
          <w:color w:val="FF0000"/>
        </w:rPr>
      </w:pPr>
      <w:r>
        <w:rPr>
          <w:rFonts w:ascii="SimHei" w:eastAsia="SimHei" w:hint="eastAsia"/>
          <w:color w:val="FF0000"/>
        </w:rPr>
        <w:t>第2条</w:t>
      </w:r>
    </w:p>
    <w:p w:rsidR="00312ECE" w:rsidRDefault="00312ECE">
      <w:pPr>
        <w:pStyle w:val="SingleTxt"/>
        <w:rPr>
          <w:rFonts w:hint="eastAsia"/>
        </w:rPr>
      </w:pPr>
      <w:r>
        <w:rPr>
          <w:rFonts w:hint="eastAsia"/>
        </w:rPr>
        <w:t>7．</w:t>
      </w:r>
      <w:r>
        <w:tab/>
      </w:r>
      <w:r>
        <w:rPr>
          <w:rFonts w:hint="eastAsia"/>
        </w:rPr>
        <w:t>不受歧视地行使个人权利根据宪法第91条得到宪法的保障，并且纳入了宪法第8章。</w:t>
      </w:r>
      <w:r>
        <w:rPr>
          <w:rStyle w:val="FootnoteReference"/>
        </w:rPr>
        <w:footnoteReference w:id="1"/>
      </w:r>
      <w:r>
        <w:t xml:space="preserve"> </w:t>
      </w:r>
      <w:r>
        <w:rPr>
          <w:rFonts w:hint="eastAsia"/>
        </w:rPr>
        <w:t>拉脱维亚两性平等协会在对拉脱维亚有关《公约》执行情况的国别报告草案发表评论意见时指出，拉脱维亚的法规不包含间接歧视定义。在这方面应当强调，这类定义载于2002年6月1日生效的新的《劳工法》。</w:t>
      </w:r>
    </w:p>
    <w:p w:rsidR="00312ECE" w:rsidRDefault="00312ECE">
      <w:pPr>
        <w:pStyle w:val="SingleTxt"/>
        <w:spacing w:after="120"/>
        <w:rPr>
          <w:rFonts w:hint="eastAsia"/>
        </w:rPr>
      </w:pPr>
      <w:r>
        <w:rPr>
          <w:rFonts w:hint="eastAsia"/>
        </w:rPr>
        <w:t>8．</w:t>
      </w:r>
      <w:r>
        <w:tab/>
      </w:r>
      <w:r>
        <w:rPr>
          <w:rFonts w:hint="eastAsia"/>
        </w:rPr>
        <w:t>此外，禁止对妇女的歧视在特定人权领域的其他规范法中均有述及，譬如，《教育法》规定，拉脱维亚共和国全体公民及每个人都有权取得拉脱维亚共和国签发的非公民护照，凡取得永久居留证的人，以及欧洲联盟成员国已取得临时居留证的人士及其子女，不论其财产状况及社会地位、种族、国籍、性别、宗教和政治信仰、健康状况、职业及居住地如何，都有接受教育的同等权利。</w:t>
      </w:r>
    </w:p>
    <w:p w:rsidR="00312ECE" w:rsidRDefault="00312ECE">
      <w:pPr>
        <w:pStyle w:val="SingleTxt"/>
        <w:spacing w:after="120"/>
        <w:rPr>
          <w:rFonts w:hint="eastAsia"/>
        </w:rPr>
      </w:pPr>
      <w:r>
        <w:rPr>
          <w:rFonts w:hint="eastAsia"/>
        </w:rPr>
        <w:t>9．</w:t>
      </w:r>
      <w:r>
        <w:tab/>
      </w:r>
      <w:r>
        <w:rPr>
          <w:rFonts w:hint="eastAsia"/>
        </w:rPr>
        <w:t>《“广播电视”法》规定，节目不得包含有辱国家名誉和尊严的煽动国家、种族、性别或宗教仇恨的内容。《“广告宣传”法》规定，禁止在广告宣传中因肤色、性别、年龄、宗教、政治信仰或者其他信仰、民族或社会血统、财产状况或其他情况，以种族理由对个人实施歧视。</w:t>
      </w:r>
    </w:p>
    <w:p w:rsidR="00312ECE" w:rsidRDefault="00312ECE">
      <w:pPr>
        <w:pStyle w:val="SingleTxt"/>
        <w:spacing w:after="120"/>
        <w:rPr>
          <w:rFonts w:hint="eastAsia"/>
        </w:rPr>
      </w:pPr>
      <w:r>
        <w:rPr>
          <w:rFonts w:hint="eastAsia"/>
        </w:rPr>
        <w:t>10．根据《宪法》，人人享有自由及个人不受侵犯的权利。任何人的自由均不得被剥夺，或者他/她的自由在拉脱维亚不得以除法律规定以外的任何其他方式受到限制。《刑事诉讼法》和《民事诉讼法》载有剥夺妇女某些权利或者以性别差别为由限制享有某些权利的规定。</w:t>
      </w:r>
    </w:p>
    <w:p w:rsidR="00312ECE" w:rsidRDefault="00312ECE">
      <w:pPr>
        <w:pStyle w:val="SingleTxt"/>
        <w:spacing w:after="120"/>
        <w:rPr>
          <w:rFonts w:hint="eastAsia"/>
        </w:rPr>
      </w:pPr>
      <w:r>
        <w:rPr>
          <w:rFonts w:hint="eastAsia"/>
        </w:rPr>
        <w:t>11．</w:t>
      </w:r>
      <w:r>
        <w:tab/>
      </w:r>
      <w:r>
        <w:rPr>
          <w:rFonts w:hint="eastAsia"/>
        </w:rPr>
        <w:t>《“司法部门”法》对司法部门的基本原则做出了规定，并且规定在法律和法院面前人人平等，人人享有受法律保护的同等权利。在拉脱维亚，法院做裁决时不考虑当事人的血统、社会及财产状况、种族及国籍、性别、教育、语言、宗教信仰、职业类型及性质、居住地、政治或其他观点。司法部门的这项基本原则保证妇女无论其职业、血统、社会、宗教或文化信仰如何，都有权在与男子平等的基础上，在拉脱维亚法院机构保护其基本权利和自由不受损害。</w:t>
      </w:r>
    </w:p>
    <w:p w:rsidR="00312ECE" w:rsidRDefault="00312ECE">
      <w:pPr>
        <w:pStyle w:val="SingleTxt"/>
        <w:spacing w:after="120"/>
        <w:rPr>
          <w:rFonts w:hint="eastAsia"/>
        </w:rPr>
      </w:pPr>
      <w:r>
        <w:rPr>
          <w:rFonts w:hint="eastAsia"/>
        </w:rPr>
        <w:t>12．公共机构按规范法规的规定采取的行动，并受这些法规制约，而且还要与宪法保持一致，从而保证两性平等原则得到遵守。要求消除任何个人、企业或者组织对妇女歧视的立法规范载入了与相关领域的立法法律中。</w:t>
      </w:r>
    </w:p>
    <w:p w:rsidR="00312ECE" w:rsidRDefault="00312ECE">
      <w:pPr>
        <w:pStyle w:val="SingleTxt"/>
        <w:spacing w:after="120"/>
        <w:rPr>
          <w:rFonts w:hint="eastAsia"/>
        </w:rPr>
      </w:pPr>
      <w:r>
        <w:rPr>
          <w:rFonts w:hint="eastAsia"/>
        </w:rPr>
        <w:t>13．社区固有的习俗以及在行使权利时的做法在享有各种权利的可能性方面避免强调男女的作用。拉脱维亚《刑法典》和《刑事诉讼法》所规定的法律规范都对妇女带有歧视性。</w:t>
      </w:r>
    </w:p>
    <w:p w:rsidR="00312ECE" w:rsidRDefault="00312ECE">
      <w:pPr>
        <w:pStyle w:val="SingleTxt"/>
        <w:spacing w:after="120"/>
        <w:rPr>
          <w:rFonts w:ascii="SimHei" w:eastAsia="SimHei" w:hint="eastAsia"/>
          <w:color w:val="FF0000"/>
        </w:rPr>
      </w:pPr>
      <w:r>
        <w:rPr>
          <w:rFonts w:ascii="SimHei" w:eastAsia="SimHei" w:hint="eastAsia"/>
          <w:color w:val="FF0000"/>
        </w:rPr>
        <w:t>第3条</w:t>
      </w:r>
    </w:p>
    <w:p w:rsidR="00312ECE" w:rsidRDefault="00312ECE">
      <w:pPr>
        <w:pStyle w:val="SingleTxt"/>
        <w:spacing w:after="120"/>
        <w:rPr>
          <w:rFonts w:hint="eastAsia"/>
        </w:rPr>
      </w:pPr>
      <w:r>
        <w:rPr>
          <w:rFonts w:hint="eastAsia"/>
        </w:rPr>
        <w:t>14．拉脱维亚为促进男女平等，禁止性别歧视和从法规角度促进妇女发展提供了规范性依据。</w:t>
      </w:r>
    </w:p>
    <w:p w:rsidR="00312ECE" w:rsidRDefault="00312ECE">
      <w:pPr>
        <w:pStyle w:val="SingleTxt"/>
        <w:spacing w:after="120"/>
        <w:rPr>
          <w:rFonts w:hint="eastAsia"/>
        </w:rPr>
      </w:pPr>
      <w:r>
        <w:rPr>
          <w:rFonts w:hint="eastAsia"/>
        </w:rPr>
        <w:t>15．福利部社会政策发展司于1999年1月成为协调拉脱维亚两性平等问题的主管机构。2000年设立了公共融合及两性平等司。</w:t>
      </w:r>
    </w:p>
    <w:p w:rsidR="00312ECE" w:rsidRDefault="00312ECE">
      <w:pPr>
        <w:pStyle w:val="SingleTxt"/>
        <w:rPr>
          <w:rFonts w:hint="eastAsia"/>
        </w:rPr>
      </w:pPr>
      <w:r>
        <w:rPr>
          <w:rFonts w:hint="eastAsia"/>
        </w:rPr>
        <w:t>16．两性平等问题协调员的主要任务是如下：在福利部协调两性平等问题，与其他公共机构及非政府组织合作；举办研讨会，收集整理有关两性平等问题及该领域发展趋势的材料；与国际组织及其专家就性别平等问题开展合作；制定有关性别平等问题的提案和项目。</w:t>
      </w:r>
    </w:p>
    <w:p w:rsidR="00312ECE" w:rsidRDefault="00312ECE">
      <w:pPr>
        <w:pStyle w:val="SingleTxt"/>
      </w:pPr>
      <w:r>
        <w:rPr>
          <w:rFonts w:hint="eastAsia"/>
        </w:rPr>
        <w:t>17．</w:t>
      </w:r>
      <w:r>
        <w:tab/>
      </w:r>
      <w:r>
        <w:rPr>
          <w:rFonts w:hint="eastAsia"/>
        </w:rPr>
        <w:t>2001年10月16日，部长内阁通过了在拉脱维亚执行两性平等的构想。这个构想纳入了负责解决两性平等问题的制度机构。2001年底，一个协调两性平等工作组成立，其成员由各部、非政府组织以及研究机构的代表组成。工作组的任务是：拟订执行两性平等计划草案，协调将两性平等原则纳入现行及预定的政策文件及法律行为的努力。拉脱维亚两性平等协会对《公约》执行情况报告发表评论意见时指出，在通过上述构想时，建立促进两性平等中心及制定审查与性别有关的纠纷的机制没有被接受。拉脱维亚两性平等协会认为，这项决定应在今后重新审议，因为它的设想是每个欧盟成员国都必须创建促进两性平等的机构。</w:t>
      </w:r>
      <w:r>
        <w:rPr>
          <w:rStyle w:val="FootnoteReference"/>
        </w:rPr>
        <w:footnoteReference w:id="2"/>
      </w:r>
    </w:p>
    <w:p w:rsidR="00312ECE" w:rsidRDefault="00312ECE">
      <w:pPr>
        <w:pStyle w:val="SingleTxt"/>
        <w:rPr>
          <w:rFonts w:hint="eastAsia"/>
        </w:rPr>
      </w:pPr>
      <w:r>
        <w:rPr>
          <w:rFonts w:hint="eastAsia"/>
        </w:rPr>
        <w:t>18．国家人权办公室指出，按规定，两性平等受现行法律的保障，但这只不过是在生活各个领域真正实现两性平等的依据。它说明，应当特别重视这些法律规定的切实执行。</w:t>
      </w:r>
    </w:p>
    <w:p w:rsidR="00312ECE" w:rsidRDefault="00312ECE">
      <w:pPr>
        <w:pStyle w:val="SingleTxt"/>
        <w:rPr>
          <w:rFonts w:hint="eastAsia"/>
        </w:rPr>
      </w:pPr>
      <w:r>
        <w:rPr>
          <w:rFonts w:hint="eastAsia"/>
        </w:rPr>
        <w:t>19．为保证妇女的全面发展和进步，保障妇女在与男子同等的基础上享有并行使人权与基本自由而在各个领域举办的特别活动，将在讨论《公约》具体条款时进一步说明。</w:t>
      </w:r>
    </w:p>
    <w:p w:rsidR="00312ECE" w:rsidRDefault="00312ECE">
      <w:pPr>
        <w:pStyle w:val="SingleTxt"/>
        <w:rPr>
          <w:rFonts w:ascii="SimHei" w:eastAsia="SimHei" w:hint="eastAsia"/>
          <w:color w:val="FF0000"/>
        </w:rPr>
      </w:pPr>
      <w:r>
        <w:rPr>
          <w:rFonts w:ascii="SimHei" w:eastAsia="SimHei" w:hint="eastAsia"/>
          <w:color w:val="FF0000"/>
        </w:rPr>
        <w:t>第4条</w:t>
      </w:r>
    </w:p>
    <w:p w:rsidR="00312ECE" w:rsidRDefault="00312ECE">
      <w:pPr>
        <w:pStyle w:val="SingleTxt"/>
        <w:rPr>
          <w:rFonts w:hint="eastAsia"/>
        </w:rPr>
      </w:pPr>
      <w:r>
        <w:rPr>
          <w:rFonts w:hint="eastAsia"/>
        </w:rPr>
        <w:t>20．由于两性平等得到宪法保障，因此，拉脱维亚没有专门采取旨在促进事实上平等的特别措施。有关为保证妇女在不同领域的发展和进步而举行的各种活动的资料，见《公约》特定条款。</w:t>
      </w:r>
    </w:p>
    <w:p w:rsidR="00312ECE" w:rsidRDefault="00312ECE">
      <w:pPr>
        <w:pStyle w:val="SingleTxt"/>
        <w:rPr>
          <w:rFonts w:ascii="SimHei" w:eastAsia="SimHei" w:hint="eastAsia"/>
          <w:color w:val="FF0000"/>
        </w:rPr>
      </w:pPr>
      <w:r>
        <w:rPr>
          <w:rFonts w:ascii="SimHei" w:eastAsia="SimHei" w:hint="eastAsia"/>
          <w:color w:val="FF0000"/>
        </w:rPr>
        <w:t>第5条</w:t>
      </w:r>
    </w:p>
    <w:p w:rsidR="00312ECE" w:rsidRDefault="00312ECE">
      <w:pPr>
        <w:pStyle w:val="SingleTxt"/>
        <w:rPr>
          <w:rFonts w:hint="eastAsia"/>
        </w:rPr>
      </w:pPr>
      <w:r>
        <w:rPr>
          <w:rFonts w:hint="eastAsia"/>
        </w:rPr>
        <w:t>21．拉脱维亚男女社会文化行为的发展是由国家的历史和文化决定的，这种历史及文化受该国各种政治制度和主流文化形式的影响。需要提及的最重要影响是拉脱维亚古老族裔居民的传统文化，基督教传统及教会法规范，第一次世界大战至第二次世界大战独立期间的民主及专制主义传统，苏联统治期间的文化及妇女的社会地位，自恢复独立以来形成的政治及社区文化传统。</w:t>
      </w:r>
    </w:p>
    <w:p w:rsidR="00312ECE" w:rsidRDefault="00312ECE">
      <w:pPr>
        <w:pStyle w:val="SingleTxt"/>
        <w:rPr>
          <w:rFonts w:hint="eastAsia"/>
        </w:rPr>
      </w:pPr>
      <w:r>
        <w:rPr>
          <w:rFonts w:hint="eastAsia"/>
        </w:rPr>
        <w:t>22．拉脱维亚古族裔居民的传统文化基础是父权制农民家庭，在这样的家庭，妇女大多充当母亲角色。在这方面，妇女特别受人尊重并且拥有特权，但在社会结构方面，妇女占有的地位是父权制家庭模式所特有的。</w:t>
      </w:r>
    </w:p>
    <w:p w:rsidR="00312ECE" w:rsidRDefault="00312ECE">
      <w:pPr>
        <w:pStyle w:val="SingleTxt"/>
        <w:rPr>
          <w:rFonts w:hint="eastAsia"/>
        </w:rPr>
      </w:pPr>
      <w:r>
        <w:rPr>
          <w:rFonts w:hint="eastAsia"/>
        </w:rPr>
        <w:t>23．基督教传统及教会法规范对拉脱维亚社会妇女角色的影响主要与天主教（在拉脱维亚东部的Latgale）及路德教（在拉脱维亚北部和西部的Kurzeme和Vidzeme）有关；这两种宗教是拉脱维亚信奉人数最多的教派。但在苏联统治期间，这种传统丧失了它的大多数影响。</w:t>
      </w:r>
    </w:p>
    <w:p w:rsidR="00312ECE" w:rsidRDefault="00312ECE">
      <w:pPr>
        <w:pStyle w:val="SingleTxt"/>
        <w:spacing w:after="120"/>
        <w:rPr>
          <w:rFonts w:hint="eastAsia"/>
        </w:rPr>
      </w:pPr>
      <w:r>
        <w:rPr>
          <w:rFonts w:hint="eastAsia"/>
        </w:rPr>
        <w:t>24．民主传统及两性平等传统在拉脱维亚版图被纳入俄罗斯帝国期间，发展速度相对较快，原因是人口的教育及生活水平较高。在1905年革命期间以及第一次世界大战爆发前公民社会形成的进程中，两性活动被看作是对这些观念已经根植于整个社会的首次确认。</w:t>
      </w:r>
    </w:p>
    <w:p w:rsidR="00312ECE" w:rsidRDefault="00312ECE">
      <w:pPr>
        <w:pStyle w:val="SingleTxt"/>
        <w:spacing w:after="120"/>
        <w:rPr>
          <w:rFonts w:hint="eastAsia"/>
        </w:rPr>
      </w:pPr>
      <w:r>
        <w:rPr>
          <w:rFonts w:hint="eastAsia"/>
        </w:rPr>
        <w:t>25．1918年建国后，妇女在与男子平等的基础上取得了政治及公民权利，这种权利在民主及专制期间也得到了广泛行使。</w:t>
      </w:r>
    </w:p>
    <w:p w:rsidR="00312ECE" w:rsidRDefault="00312ECE">
      <w:pPr>
        <w:pStyle w:val="SingleTxt"/>
        <w:spacing w:after="120"/>
        <w:rPr>
          <w:rFonts w:hint="eastAsia"/>
        </w:rPr>
      </w:pPr>
      <w:r>
        <w:rPr>
          <w:rFonts w:hint="eastAsia"/>
        </w:rPr>
        <w:t>26．在苏维埃时期，在男女平等问题上形成了一种无理性的观念，其后果是社会平等功能未受到重视，妇女的生理和心理需求被忽视，尽管此种观念建立在普遍承认妇女的权利及真正执行这些权利的基础上，但结果通常适得其反，损害了妇女作为社会正式成员的人格。</w:t>
      </w:r>
    </w:p>
    <w:p w:rsidR="00312ECE" w:rsidRDefault="00312ECE">
      <w:pPr>
        <w:pStyle w:val="SingleTxt"/>
        <w:spacing w:after="120"/>
        <w:rPr>
          <w:rFonts w:hint="eastAsia"/>
        </w:rPr>
      </w:pPr>
      <w:r>
        <w:rPr>
          <w:rFonts w:hint="eastAsia"/>
        </w:rPr>
        <w:t>27．自拉脱维亚1991年恢复独立以来，该国对两性平等问题的态度正在逐步改变。社区有机会接触有关女权主义者运动、妇女组织的活动、各种运动以及政党和协会的活动的材料，这些都与陈规定型观念的变化有关。总的来说，各大众媒介都在逐渐以更加一致的方式揭示在两性平等问题上公众舆论定型观念的改变。在解决两性平等问题方面，给出了各种相互关系模型，对两性平等问题的评价更加宽容。日益受到重视的是强调妇女个人的选择及其意义。自2000年5月起，拉脱维亚两性平等协会开始在拉脱维亚运作，并作为非政府组织协助国家机构促进两性平等。</w:t>
      </w:r>
    </w:p>
    <w:p w:rsidR="00312ECE" w:rsidRDefault="00312ECE">
      <w:pPr>
        <w:pStyle w:val="SingleTxt"/>
        <w:spacing w:after="120"/>
        <w:rPr>
          <w:rFonts w:hint="eastAsia"/>
        </w:rPr>
      </w:pPr>
      <w:r>
        <w:rPr>
          <w:rFonts w:hint="eastAsia"/>
        </w:rPr>
        <w:t>28．拉脱维亚妇女直接及间接参与两性平等问题的解决。为解决这个问题召开了各种会议，（2001年5月，由福利部和拉脱维亚两性平等协会共同举办了首次两性平等问题全国会议）。女作家、女哲学家、女演员、女实业家以及女政治家在公开表明她们对生活的看法和态度时，显示了妇女的知识能力以及对两性平等问题的各种观点。</w:t>
      </w:r>
    </w:p>
    <w:p w:rsidR="00312ECE" w:rsidRDefault="00312ECE">
      <w:pPr>
        <w:pStyle w:val="SingleTxt"/>
        <w:spacing w:after="120"/>
        <w:rPr>
          <w:rFonts w:hint="eastAsia"/>
        </w:rPr>
      </w:pPr>
      <w:r>
        <w:rPr>
          <w:rFonts w:hint="eastAsia"/>
        </w:rPr>
        <w:t>29．大众媒介对妇女社会角色的看法受到如下事实的明显影响，即拉脱维亚大多数通俗杂志和日报都是由妇女有效经营着，妇女在实业界取得的成功在消除习惯性社会角色分工的陈规定型观念方面，其威力比发表的文章及出版物要大。例如，拉脱维亚最大一家日报“Diena”的总编辑是S.Elerte。同样，“Zurnals　Santa”出版社出版的男女性周刊及月刊的数量最多，发行量最大，其负责人是S. Dancberga-Anca。拉脱维亚两性平等协会对拉脱维亚执行《公约》情况的国别报告草案发表评论意见时承认，担任要职的一些妇女一般都没能消除现有的陈规定型观念，为了进行比较，另请参阅下文关于妇女、雇主及担任重要公职的妇女情况报告提供的数据。拉脱维亚两性平等协会还指出，直到现在，有关两性平等的出版物和广播产生的影响依然无足轻重，为使公众对男女有一正确的认识，非政府组织和其他各种组织都必须认识到开展有系统、有计划的工作的必要性。</w:t>
      </w:r>
    </w:p>
    <w:p w:rsidR="00312ECE" w:rsidRDefault="00312ECE">
      <w:pPr>
        <w:pStyle w:val="SingleTxt"/>
        <w:rPr>
          <w:rFonts w:hint="eastAsia"/>
        </w:rPr>
      </w:pPr>
      <w:r>
        <w:rPr>
          <w:rFonts w:hint="eastAsia"/>
        </w:rPr>
        <w:t>30．</w:t>
      </w:r>
      <w:r>
        <w:tab/>
      </w:r>
      <w:r>
        <w:rPr>
          <w:rFonts w:hint="eastAsia"/>
        </w:rPr>
        <w:t>拉脱维亚有两个国家电视频道及两大商业电视频道。在新闻机构、文化及艺术栏目以及家庭栏目供职的大多数记者是女性。两类电视频道播放的家庭节目强调父母双方对家庭负有同等义务及照料责任，在事业发展方面有同等机会。</w:t>
      </w:r>
    </w:p>
    <w:p w:rsidR="00312ECE" w:rsidRDefault="00312ECE">
      <w:pPr>
        <w:pStyle w:val="SingleTxt"/>
        <w:rPr>
          <w:rFonts w:hint="eastAsia"/>
        </w:rPr>
      </w:pPr>
      <w:r>
        <w:rPr>
          <w:rFonts w:hint="eastAsia"/>
        </w:rPr>
        <w:t>31．</w:t>
      </w:r>
      <w:r>
        <w:tab/>
      </w:r>
      <w:r>
        <w:rPr>
          <w:rFonts w:hint="eastAsia"/>
        </w:rPr>
        <w:t>在拉脱维亚国家广播电台及商业广播电台的广播节目中，感觉不到有任何男子与妇女特别对立的内容。可以感受到，妇女的职业素养及其事业的成功得到了强调。电台的广播节目在讨论公共问题时，往往会承认妇女行使自由选择权的重要性。</w:t>
      </w:r>
    </w:p>
    <w:p w:rsidR="00312ECE" w:rsidRDefault="00312ECE">
      <w:pPr>
        <w:pStyle w:val="SingleTxt"/>
        <w:rPr>
          <w:rFonts w:hint="eastAsia"/>
        </w:rPr>
      </w:pPr>
      <w:r>
        <w:rPr>
          <w:rFonts w:hint="eastAsia"/>
        </w:rPr>
        <w:t>32．</w:t>
      </w:r>
      <w:r>
        <w:tab/>
      </w:r>
      <w:r>
        <w:rPr>
          <w:rFonts w:hint="eastAsia"/>
        </w:rPr>
        <w:t>拉脱维亚的公众舆论也受拉脱维亚及斯堪的那维亚国家不断扩大的合作的影响，这些国家的妇女解放运动向来声势强大，并且证明了其重要性及可持续性。该国召开了有北欧国家及波罗的海国家妇女参加的各种会议。拉脱维亚两性平等协会在它评论意见中指出，拉脱维亚代表参加了联合国1995年北京会议以及2000年北京+5活动（纽约、日内瓦和维尔纽斯）。</w:t>
      </w:r>
    </w:p>
    <w:p w:rsidR="00312ECE" w:rsidRDefault="00312ECE">
      <w:pPr>
        <w:pStyle w:val="SingleTxt"/>
        <w:rPr>
          <w:rFonts w:hint="eastAsia"/>
        </w:rPr>
      </w:pPr>
      <w:r>
        <w:rPr>
          <w:rFonts w:hint="eastAsia"/>
        </w:rPr>
        <w:t>33．</w:t>
      </w:r>
      <w:r>
        <w:tab/>
      </w:r>
      <w:r>
        <w:rPr>
          <w:rFonts w:hint="eastAsia"/>
        </w:rPr>
        <w:t>国家人权办公室在评论意见中通报说，它收到了对家庭暴力提出的少数申诉，但即使没有及时解决的家庭暴力申诉或悲剧性案件很少，也使在个人安全方面对妇女的歧视成为拉脱维亚的一个现实问题。尽管法律规定要对人身暴力负刑事责任，但国家人权办公室认为，如果妇女受到的人身伤害不能被视为严重或者至少是中度伤害，拉脱维亚执法机构就不会对家庭人身暴力现象给予充分重视。此外，法律没有界定工作或者家庭中的心理暴力，也没有对这类暴力制定任何预防机制。国家人权办公室认为，由于这些原因，妇女不愿向执法机构举报暴力案件，如果没有国家的支持，没有国家及地方对暴力受害者的社会援助，并且不修订《刑法》，也不改变警方对家庭暴力的态度（即不把家庭暴力简单地看成一种家庭纠纷，而是看作一种犯罪），这个问题将得不到解决。</w:t>
      </w:r>
    </w:p>
    <w:p w:rsidR="00312ECE" w:rsidRDefault="00312ECE">
      <w:pPr>
        <w:pStyle w:val="SingleTxt"/>
        <w:rPr>
          <w:rFonts w:hint="eastAsia"/>
        </w:rPr>
      </w:pPr>
      <w:r>
        <w:rPr>
          <w:rFonts w:hint="eastAsia"/>
        </w:rPr>
        <w:t>34．为了解决家庭中对妇女的暴力问题，国家警察局中央刑事警察委员会与危机中心“Skalbes”开展了多年合作。该中心雇员（心理学家、精神病学家以及社会工作者，为处于危机状态的人士提供匿名援助）为国家警官举办了教育及情况介绍研讨会，研讨人们在危机状态下的反应、家庭暴力以及缓解压力等问题，例如，2002年在这项合作范围内，两个小组，即国家警官小组和妇女小组接受了如何处理性虐待受害者问题的训练。因此，目前在里加、里加区、尤尔马拉以及瓦尔米耶拉遭到性虐待的妇女可能会向警官提出申诉，参加上述训练课程的妇女学会了与性虐待受害者进行沟通的技巧以及减小压力的策略。另外，国家警察局也与其他非政府组织开展了合作，例如，在向性虐待及性暴力受害妇女提供医疗及心理援助领域，与医疗中心“Genders”和“拉脱维亚所罗斯基金会” 进行了合作，参与了各个领域的共同项目；交流了信息，并与为暴力受害妇女提供援助的Socila康复中心进行了合作。另外，还成立了多学科小组，医务人员以及心理和社会援助组织的雇员在这个小组内与国家警察局和地方警官讨论了各种棘手问题，并审议了各种特定的家庭暴力行为；为了在具体情况下为个人提供必要的援助，心理学家参与国家警察局与当地警方的联合现场检查得到了保证。根据内务部信息中心有关家庭犯罪的数据，2000年对家庭暴力提出了三次刑事诉讼，但到2001年增加到13次。这一信息表明，暴力受害妇女越来越信任警方并且变得越来越勇敢，敢于举报暴力罪行；同时表明警官对家庭暴力问题有了更深入的了解。</w:t>
      </w:r>
    </w:p>
    <w:p w:rsidR="00312ECE" w:rsidRDefault="00312ECE">
      <w:pPr>
        <w:pStyle w:val="SingleTxt"/>
        <w:spacing w:after="120"/>
        <w:rPr>
          <w:rFonts w:hint="eastAsia"/>
        </w:rPr>
      </w:pPr>
      <w:r>
        <w:rPr>
          <w:rFonts w:hint="eastAsia"/>
        </w:rPr>
        <w:t>35．拉脱维亚两性平等协会在它的评论意见中指出，2001年晚些时候进行的“人们对两性平等问题的认识及态度”调查表明，拉脱维亚社会认为性别限制仍然存在。在这项调查中，拉脱维亚居民最常提出的是对权利的各种不同限制（60.2%），而在机会方面，这种回答不大常见（36.7%）。同样，调查对象承认，现实生活中，在机会方面对女性的限制更多（47.4%）。拉脱维亚两性平等协会还认为大众媒介使用“妇女文学”、“妇女世界”等字眼具有消极影响，而且是对不同社会角色的存在的确认。</w:t>
      </w:r>
    </w:p>
    <w:p w:rsidR="00312ECE" w:rsidRDefault="00312ECE">
      <w:pPr>
        <w:pStyle w:val="SingleTxt"/>
        <w:spacing w:after="120"/>
        <w:rPr>
          <w:rFonts w:ascii="SimHei" w:eastAsia="SimHei" w:hint="eastAsia"/>
          <w:color w:val="FF0000"/>
        </w:rPr>
      </w:pPr>
      <w:r>
        <w:rPr>
          <w:rFonts w:ascii="SimHei" w:eastAsia="SimHei" w:hint="eastAsia"/>
          <w:color w:val="FF0000"/>
        </w:rPr>
        <w:t>第6条</w:t>
      </w:r>
    </w:p>
    <w:p w:rsidR="00312ECE" w:rsidRDefault="00312ECE">
      <w:pPr>
        <w:pStyle w:val="SingleTxt"/>
        <w:spacing w:after="120"/>
        <w:rPr>
          <w:rFonts w:hint="eastAsia"/>
        </w:rPr>
      </w:pPr>
      <w:r>
        <w:rPr>
          <w:rFonts w:hint="eastAsia"/>
        </w:rPr>
        <w:t>36．拉脱维亚恢复独立后，在防止对人的性剥削方面履行了国际承诺。1949年12月2日《禁止贩卖人口及取缔意图营利使人卖淫的公约》自1992年7月13日起在拉脱维亚生效，根据上述公约，卖淫不得被认可为是一种职业，国家警察局对此也持同样的观点。</w:t>
      </w:r>
    </w:p>
    <w:p w:rsidR="00312ECE" w:rsidRDefault="00312ECE">
      <w:pPr>
        <w:pStyle w:val="SingleTxt"/>
        <w:spacing w:after="120"/>
        <w:rPr>
          <w:rFonts w:hint="eastAsia"/>
        </w:rPr>
      </w:pPr>
      <w:r>
        <w:rPr>
          <w:rFonts w:hint="eastAsia"/>
        </w:rPr>
        <w:t>37．根据部长内阁2001年5月22日“关于限制卖淫”的第210号法规第11条，拉脱维亚禁止第三方促进卖淫的任何活动。上述法规概括了禁止促进卖淫活动的范围，包括妓院的维护和经营，故意为这类机构提供资金，或者参与为这类机构提供资金。如果此类行为在实施行政处罚后一年内多次发生，则违反这些法规应负行政责任和刑事责任。</w:t>
      </w:r>
    </w:p>
    <w:p w:rsidR="00312ECE" w:rsidRDefault="00312ECE">
      <w:pPr>
        <w:pStyle w:val="SingleTxt"/>
        <w:spacing w:after="120"/>
        <w:rPr>
          <w:rFonts w:hint="eastAsia"/>
        </w:rPr>
      </w:pPr>
      <w:r>
        <w:rPr>
          <w:rFonts w:hint="eastAsia"/>
        </w:rPr>
        <w:t>38．此外，《刑法》对在卖淫及意图营利使人卖淫领域的其他刑事犯罪应负的刑事责任做了规定。第164条“强迫从事卖淫”对如下制裁做出了规定，即剥夺长达三年的自由，或者拘捕，或者处以不超过最低月工资六倍的罚金。当事人恶意利用其信用，或者采取欺诈手段，以及利用他对犯罪人的依附关系或者他的无助状态从事卖淫的，应处以剥夺五年自由，或者不超过最低月工资100-200倍的罚款，并且没收或者不没收财产。引诱或者强迫未成年人（不满18岁）从事卖淫，或者为未成年人提供卖淫场所的，可处以剥夺六年自由的刑罚，并且没收或者不没收财产。诱使或强迫青少年（不满14岁）从事卖淫，或者为他们卖淫提供场所的，可处以剥夺5-12年自由，并处以没收或者不没收财产。</w:t>
      </w:r>
    </w:p>
    <w:p w:rsidR="00312ECE" w:rsidRDefault="00312ECE">
      <w:pPr>
        <w:pStyle w:val="SingleTxt"/>
        <w:spacing w:after="120"/>
        <w:rPr>
          <w:rFonts w:hint="eastAsia"/>
        </w:rPr>
      </w:pPr>
      <w:r>
        <w:rPr>
          <w:rFonts w:hint="eastAsia"/>
        </w:rPr>
        <w:t>39．《刑法》第165条对靠卖淫为生的责任作出了规定。诱奸为谋取物质利益卖淫的人的，可处以剥夺四年自由，并处以没收或者不没收财产。同样的行为，如果根据前述协定由一群人实施，或者如果对未成年人（不满18岁）实施，拉脱维亚法律的规定是剥夺八年的自由并处没收财产。其次，同样的行为，如果根据前述协定由一群人实施，或者如果对未成年人（不满14岁）实施，应处以剥夺5</w:t>
      </w:r>
      <w:r>
        <w:t>-</w:t>
      </w:r>
      <w:r>
        <w:rPr>
          <w:rFonts w:hint="eastAsia"/>
        </w:rPr>
        <w:t>12年自由，并处没收财产。</w:t>
      </w:r>
    </w:p>
    <w:p w:rsidR="00312ECE" w:rsidRDefault="00312ECE">
      <w:pPr>
        <w:pStyle w:val="SingleTxt"/>
        <w:rPr>
          <w:rFonts w:hint="eastAsia"/>
        </w:rPr>
      </w:pPr>
      <w:r>
        <w:rPr>
          <w:rFonts w:hint="eastAsia"/>
        </w:rPr>
        <w:t>40．修订的《刑法》自2000年6月15日起生效，其第165.1条确认将当事人送到国外从事营利性卖淫是一种犯罪行为。根据上述条款，凡征得当事人同意并将他送到国外从事营利性卖淫的，可处以剥夺四年自由。同样的行为，如果是为了谋取物质利益而实施，或者是对未成年人实施，应处以剥夺十年自由，并处以没收或者不没收财产。上述行为如果由有组织的团伙实施，或者针对未成年人实施，应处以剥夺8</w:t>
      </w:r>
      <w:r>
        <w:t>-</w:t>
      </w:r>
      <w:r>
        <w:rPr>
          <w:rFonts w:hint="eastAsia"/>
        </w:rPr>
        <w:t>15年的自由，并处以没收财产。</w:t>
      </w:r>
    </w:p>
    <w:p w:rsidR="00312ECE" w:rsidRDefault="00312ECE">
      <w:pPr>
        <w:pStyle w:val="SingleTxt"/>
        <w:rPr>
          <w:rFonts w:hint="eastAsia"/>
        </w:rPr>
      </w:pPr>
      <w:r>
        <w:rPr>
          <w:rFonts w:hint="eastAsia"/>
        </w:rPr>
        <w:t>41．进口、制作、公开展示，利用广告宣传或者以其他方式散发有关或者描绘儿童性虐待、兽奸、奸尸或者带有色情性质的暴力的色情材料，或者为了同样目的持有该等材料的人，适用的刑罚是剥夺不超过三年的自由，或者处以不超过最低月工资50倍的罚款，并处以没收或者不没收财产。对于利用未成年人制作（制造）色情材料的人，适用的刑罚是剥夺不超过六年的自由，或者处以不超过最低月工资80倍的罚款，并处以没收或者不没收财产。对于利用青少年制作（制造）色情材料的人，适用的刑罚是剥夺不少于5年但又不超过12年的自由，并处以没收或者不没收财产。</w:t>
      </w:r>
    </w:p>
    <w:p w:rsidR="00312ECE" w:rsidRDefault="00312ECE">
      <w:pPr>
        <w:pStyle w:val="SingleTxt"/>
        <w:rPr>
          <w:rFonts w:ascii="SimHei" w:eastAsia="SimHei"/>
          <w:color w:val="FF0000"/>
        </w:rPr>
      </w:pPr>
      <w:r>
        <w:rPr>
          <w:rFonts w:ascii="SimHei" w:eastAsia="SimHei" w:hint="eastAsia"/>
          <w:color w:val="FF0000"/>
        </w:rPr>
        <w:t>根据《刑法》提起刑事（受害人是妇女）的统计数据</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5"/>
        <w:gridCol w:w="396"/>
        <w:gridCol w:w="394"/>
        <w:gridCol w:w="394"/>
        <w:gridCol w:w="394"/>
        <w:gridCol w:w="394"/>
        <w:gridCol w:w="394"/>
        <w:gridCol w:w="394"/>
        <w:gridCol w:w="394"/>
        <w:gridCol w:w="394"/>
        <w:gridCol w:w="394"/>
        <w:gridCol w:w="394"/>
        <w:gridCol w:w="394"/>
        <w:gridCol w:w="394"/>
        <w:gridCol w:w="442"/>
      </w:tblGrid>
      <w:tr w:rsidR="00312ECE">
        <w:tblPrEx>
          <w:tblCellMar>
            <w:top w:w="0" w:type="dxa"/>
            <w:bottom w:w="0" w:type="dxa"/>
          </w:tblCellMar>
        </w:tblPrEx>
        <w:tc>
          <w:tcPr>
            <w:tcW w:w="2552" w:type="dxa"/>
          </w:tcPr>
          <w:p w:rsidR="00312ECE" w:rsidRDefault="00312ECE">
            <w:pPr>
              <w:spacing w:line="320" w:lineRule="atLeast"/>
              <w:rPr>
                <w:rFonts w:ascii="KaiTi_GB2312" w:eastAsia="KaiTi_GB2312" w:hint="eastAsia"/>
                <w:color w:val="0000FF"/>
                <w:sz w:val="14"/>
              </w:rPr>
            </w:pPr>
          </w:p>
        </w:tc>
        <w:tc>
          <w:tcPr>
            <w:tcW w:w="510" w:type="dxa"/>
            <w:gridSpan w:val="2"/>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1995年</w:t>
            </w:r>
          </w:p>
        </w:tc>
        <w:tc>
          <w:tcPr>
            <w:tcW w:w="510" w:type="dxa"/>
            <w:gridSpan w:val="2"/>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1996年</w:t>
            </w:r>
          </w:p>
        </w:tc>
        <w:tc>
          <w:tcPr>
            <w:tcW w:w="510" w:type="dxa"/>
            <w:gridSpan w:val="2"/>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1997年</w:t>
            </w:r>
          </w:p>
        </w:tc>
        <w:tc>
          <w:tcPr>
            <w:tcW w:w="510" w:type="dxa"/>
            <w:gridSpan w:val="2"/>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1998年</w:t>
            </w:r>
          </w:p>
        </w:tc>
        <w:tc>
          <w:tcPr>
            <w:tcW w:w="510" w:type="dxa"/>
            <w:gridSpan w:val="2"/>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1999年</w:t>
            </w:r>
          </w:p>
        </w:tc>
        <w:tc>
          <w:tcPr>
            <w:tcW w:w="510" w:type="dxa"/>
            <w:gridSpan w:val="2"/>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2000年</w:t>
            </w:r>
          </w:p>
        </w:tc>
        <w:tc>
          <w:tcPr>
            <w:tcW w:w="1096" w:type="dxa"/>
            <w:gridSpan w:val="2"/>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2001年</w:t>
            </w:r>
          </w:p>
        </w:tc>
      </w:tr>
      <w:tr w:rsidR="00312ECE">
        <w:tblPrEx>
          <w:tblCellMar>
            <w:top w:w="0" w:type="dxa"/>
            <w:bottom w:w="0" w:type="dxa"/>
          </w:tblCellMar>
        </w:tblPrEx>
        <w:tc>
          <w:tcPr>
            <w:tcW w:w="2552" w:type="dxa"/>
          </w:tcPr>
          <w:p w:rsidR="00312ECE" w:rsidRDefault="00312ECE">
            <w:pPr>
              <w:spacing w:line="320" w:lineRule="atLeast"/>
              <w:rPr>
                <w:rFonts w:ascii="KaiTi_GB2312" w:eastAsia="KaiTi_GB2312" w:hint="eastAsia"/>
                <w:color w:val="0000FF"/>
                <w:sz w:val="14"/>
              </w:rPr>
            </w:pPr>
            <w:r>
              <w:rPr>
                <w:rFonts w:ascii="KaiTi_GB2312" w:eastAsia="KaiTi_GB2312" w:hint="eastAsia"/>
                <w:color w:val="0000FF"/>
                <w:sz w:val="14"/>
              </w:rPr>
              <w:t>《刑法》条款</w:t>
            </w:r>
          </w:p>
        </w:tc>
        <w:tc>
          <w:tcPr>
            <w:tcW w:w="510" w:type="dxa"/>
          </w:tcPr>
          <w:p w:rsidR="00312ECE" w:rsidRDefault="00312ECE">
            <w:pPr>
              <w:pStyle w:val="Footer"/>
              <w:spacing w:line="32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510" w:type="dxa"/>
          </w:tcPr>
          <w:p w:rsidR="00312ECE" w:rsidRDefault="00312ECE">
            <w:pPr>
              <w:spacing w:line="320" w:lineRule="atLeast"/>
              <w:jc w:val="center"/>
              <w:rPr>
                <w:rFonts w:ascii="KaiTi_GB2312" w:eastAsia="KaiTi_GB2312" w:hint="eastAsia"/>
                <w:color w:val="0000FF"/>
                <w:sz w:val="14"/>
              </w:rPr>
            </w:pPr>
            <w:r>
              <w:rPr>
                <w:rFonts w:ascii="KaiTi_GB2312" w:eastAsia="KaiTi_GB2312" w:hint="eastAsia"/>
                <w:color w:val="0000FF"/>
                <w:sz w:val="14"/>
              </w:rPr>
              <w:t>返聘</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第152条</w:t>
            </w:r>
            <w:r>
              <w:rPr>
                <w:sz w:val="17"/>
              </w:rPr>
              <w:br/>
            </w:r>
            <w:r>
              <w:rPr>
                <w:rFonts w:hint="eastAsia"/>
                <w:sz w:val="17"/>
              </w:rPr>
              <w:t>非法剥夺自由</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rFonts w:hint="eastAsia"/>
                <w:sz w:val="17"/>
              </w:rPr>
            </w:pPr>
            <w:r>
              <w:rPr>
                <w:rFonts w:hint="eastAsia"/>
                <w:sz w:val="17"/>
              </w:rPr>
              <w:t>-</w:t>
            </w:r>
          </w:p>
        </w:tc>
        <w:tc>
          <w:tcPr>
            <w:tcW w:w="510" w:type="dxa"/>
          </w:tcPr>
          <w:p w:rsidR="00312ECE" w:rsidRDefault="00312ECE">
            <w:pPr>
              <w:spacing w:before="20" w:after="40" w:line="260" w:lineRule="exact"/>
              <w:jc w:val="center"/>
              <w:rPr>
                <w:sz w:val="17"/>
              </w:rPr>
            </w:pPr>
            <w:r>
              <w:rPr>
                <w:sz w:val="17"/>
              </w:rPr>
              <w:t>5</w:t>
            </w:r>
          </w:p>
        </w:tc>
        <w:tc>
          <w:tcPr>
            <w:tcW w:w="510" w:type="dxa"/>
          </w:tcPr>
          <w:p w:rsidR="00312ECE" w:rsidRDefault="00312ECE">
            <w:pPr>
              <w:spacing w:before="20" w:after="40" w:line="260" w:lineRule="exact"/>
              <w:jc w:val="center"/>
              <w:rPr>
                <w:sz w:val="17"/>
              </w:rPr>
            </w:pPr>
            <w:r>
              <w:rPr>
                <w:sz w:val="17"/>
              </w:rPr>
              <w:t>3</w:t>
            </w:r>
          </w:p>
        </w:tc>
        <w:tc>
          <w:tcPr>
            <w:tcW w:w="510" w:type="dxa"/>
          </w:tcPr>
          <w:p w:rsidR="00312ECE" w:rsidRDefault="00312ECE">
            <w:pPr>
              <w:spacing w:before="20" w:after="40" w:line="260" w:lineRule="exact"/>
              <w:jc w:val="center"/>
              <w:rPr>
                <w:rFonts w:hint="eastAsia"/>
                <w:sz w:val="17"/>
              </w:rPr>
            </w:pPr>
            <w:r>
              <w:rPr>
                <w:rFonts w:hint="eastAsia"/>
                <w:sz w:val="17"/>
              </w:rPr>
              <w:t>-</w:t>
            </w:r>
          </w:p>
        </w:tc>
        <w:tc>
          <w:tcPr>
            <w:tcW w:w="510" w:type="dxa"/>
          </w:tcPr>
          <w:p w:rsidR="00312ECE" w:rsidRDefault="00312ECE">
            <w:pPr>
              <w:spacing w:before="20" w:after="40" w:line="260" w:lineRule="exact"/>
              <w:jc w:val="center"/>
              <w:rPr>
                <w:rFonts w:hint="eastAsia"/>
                <w:sz w:val="17"/>
              </w:rPr>
            </w:pPr>
            <w:r>
              <w:rPr>
                <w:rFonts w:hint="eastAsia"/>
                <w:sz w:val="17"/>
              </w:rPr>
              <w:t>-</w:t>
            </w:r>
          </w:p>
        </w:tc>
        <w:tc>
          <w:tcPr>
            <w:tcW w:w="510" w:type="dxa"/>
          </w:tcPr>
          <w:p w:rsidR="00312ECE" w:rsidRDefault="00312ECE">
            <w:pPr>
              <w:spacing w:before="20" w:after="40" w:line="260" w:lineRule="exact"/>
              <w:jc w:val="center"/>
              <w:rPr>
                <w:sz w:val="17"/>
              </w:rPr>
            </w:pPr>
            <w:r>
              <w:rPr>
                <w:sz w:val="17"/>
              </w:rPr>
              <w:t>7</w:t>
            </w:r>
          </w:p>
        </w:tc>
        <w:tc>
          <w:tcPr>
            <w:tcW w:w="510" w:type="dxa"/>
          </w:tcPr>
          <w:p w:rsidR="00312ECE" w:rsidRDefault="00312ECE">
            <w:pPr>
              <w:spacing w:before="20" w:after="40" w:line="260" w:lineRule="exact"/>
              <w:jc w:val="center"/>
              <w:rPr>
                <w:sz w:val="17"/>
              </w:rPr>
            </w:pPr>
            <w:r>
              <w:rPr>
                <w:sz w:val="17"/>
              </w:rPr>
              <w:t>6</w:t>
            </w:r>
          </w:p>
        </w:tc>
        <w:tc>
          <w:tcPr>
            <w:tcW w:w="510" w:type="dxa"/>
          </w:tcPr>
          <w:p w:rsidR="00312ECE" w:rsidRDefault="00312ECE">
            <w:pPr>
              <w:spacing w:before="20" w:after="40" w:line="260" w:lineRule="exact"/>
              <w:jc w:val="center"/>
              <w:rPr>
                <w:sz w:val="17"/>
              </w:rPr>
            </w:pPr>
            <w:r>
              <w:rPr>
                <w:sz w:val="17"/>
              </w:rPr>
              <w:t>2</w:t>
            </w:r>
          </w:p>
        </w:tc>
        <w:tc>
          <w:tcPr>
            <w:tcW w:w="510" w:type="dxa"/>
          </w:tcPr>
          <w:p w:rsidR="00312ECE" w:rsidRDefault="00312ECE">
            <w:pPr>
              <w:spacing w:before="20" w:after="40" w:line="260" w:lineRule="exact"/>
              <w:jc w:val="center"/>
              <w:rPr>
                <w:rFonts w:hint="eastAsia"/>
                <w:sz w:val="17"/>
              </w:rPr>
            </w:pPr>
            <w:r>
              <w:rPr>
                <w:rFonts w:hint="eastAsia"/>
                <w:sz w:val="17"/>
              </w:rPr>
              <w:t>-</w:t>
            </w:r>
          </w:p>
        </w:tc>
        <w:tc>
          <w:tcPr>
            <w:tcW w:w="510" w:type="dxa"/>
          </w:tcPr>
          <w:p w:rsidR="00312ECE" w:rsidRDefault="00312ECE">
            <w:pPr>
              <w:spacing w:before="20" w:after="40" w:line="260" w:lineRule="exact"/>
              <w:jc w:val="center"/>
              <w:rPr>
                <w:sz w:val="17"/>
              </w:rPr>
            </w:pPr>
            <w:r>
              <w:rPr>
                <w:sz w:val="17"/>
              </w:rPr>
              <w:t>5</w:t>
            </w:r>
          </w:p>
        </w:tc>
        <w:tc>
          <w:tcPr>
            <w:tcW w:w="510" w:type="dxa"/>
          </w:tcPr>
          <w:p w:rsidR="00312ECE" w:rsidRDefault="00312ECE">
            <w:pPr>
              <w:spacing w:before="20" w:after="40" w:line="260" w:lineRule="exact"/>
              <w:jc w:val="center"/>
              <w:rPr>
                <w:sz w:val="17"/>
              </w:rPr>
            </w:pPr>
            <w:r>
              <w:rPr>
                <w:sz w:val="17"/>
              </w:rPr>
              <w:t>3</w:t>
            </w:r>
          </w:p>
        </w:tc>
        <w:tc>
          <w:tcPr>
            <w:tcW w:w="510" w:type="dxa"/>
          </w:tcPr>
          <w:p w:rsidR="00312ECE" w:rsidRDefault="00312ECE">
            <w:pPr>
              <w:spacing w:before="20" w:after="40" w:line="260" w:lineRule="exact"/>
              <w:jc w:val="center"/>
              <w:rPr>
                <w:sz w:val="17"/>
              </w:rPr>
            </w:pPr>
            <w:r>
              <w:rPr>
                <w:sz w:val="17"/>
              </w:rPr>
              <w:t>6</w:t>
            </w:r>
          </w:p>
        </w:tc>
        <w:tc>
          <w:tcPr>
            <w:tcW w:w="510" w:type="dxa"/>
          </w:tcPr>
          <w:p w:rsidR="00312ECE" w:rsidRDefault="00312ECE">
            <w:pPr>
              <w:spacing w:before="20" w:after="40" w:line="260" w:lineRule="exact"/>
              <w:jc w:val="center"/>
              <w:rPr>
                <w:sz w:val="17"/>
              </w:rPr>
            </w:pPr>
            <w:r>
              <w:rPr>
                <w:sz w:val="17"/>
              </w:rPr>
              <w:t>6</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第153条</w:t>
            </w:r>
            <w:r>
              <w:rPr>
                <w:sz w:val="17"/>
              </w:rPr>
              <w:br/>
            </w:r>
            <w:r>
              <w:rPr>
                <w:rFonts w:hint="eastAsia"/>
                <w:sz w:val="17"/>
              </w:rPr>
              <w:t>绑架</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3</w:t>
            </w:r>
          </w:p>
        </w:tc>
        <w:tc>
          <w:tcPr>
            <w:tcW w:w="510" w:type="dxa"/>
          </w:tcPr>
          <w:p w:rsidR="00312ECE" w:rsidRDefault="00312ECE">
            <w:pPr>
              <w:spacing w:before="20" w:after="40" w:line="260" w:lineRule="exact"/>
              <w:jc w:val="center"/>
              <w:rPr>
                <w:sz w:val="17"/>
              </w:rPr>
            </w:pPr>
            <w:r>
              <w:rPr>
                <w:sz w:val="17"/>
              </w:rPr>
              <w:t>2</w:t>
            </w:r>
          </w:p>
        </w:tc>
        <w:tc>
          <w:tcPr>
            <w:tcW w:w="510" w:type="dxa"/>
          </w:tcPr>
          <w:p w:rsidR="00312ECE" w:rsidRDefault="00312ECE">
            <w:pPr>
              <w:spacing w:before="20" w:after="40" w:line="260" w:lineRule="exact"/>
              <w:jc w:val="center"/>
              <w:rPr>
                <w:sz w:val="17"/>
              </w:rPr>
            </w:pPr>
            <w:r>
              <w:rPr>
                <w:sz w:val="17"/>
              </w:rPr>
              <w:t>1</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第155条</w:t>
            </w:r>
            <w:r>
              <w:rPr>
                <w:sz w:val="17"/>
              </w:rPr>
              <w:br/>
            </w:r>
            <w:r>
              <w:rPr>
                <w:rFonts w:hint="eastAsia"/>
                <w:sz w:val="17"/>
              </w:rPr>
              <w:t>非法监禁在精神病院</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第164条</w:t>
            </w:r>
            <w:r>
              <w:rPr>
                <w:sz w:val="17"/>
              </w:rPr>
              <w:br/>
            </w:r>
            <w:r>
              <w:rPr>
                <w:rFonts w:hint="eastAsia"/>
                <w:sz w:val="17"/>
              </w:rPr>
              <w:t>强迫从事卖淫</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1</w:t>
            </w:r>
          </w:p>
        </w:tc>
        <w:tc>
          <w:tcPr>
            <w:tcW w:w="510" w:type="dxa"/>
          </w:tcPr>
          <w:p w:rsidR="00312ECE" w:rsidRDefault="00312ECE">
            <w:pPr>
              <w:spacing w:before="20" w:after="40" w:line="260" w:lineRule="exact"/>
              <w:jc w:val="center"/>
              <w:rPr>
                <w:sz w:val="17"/>
              </w:rPr>
            </w:pPr>
            <w:r>
              <w:rPr>
                <w:sz w:val="17"/>
              </w:rPr>
              <w:t>-</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第165条</w:t>
            </w:r>
            <w:r>
              <w:rPr>
                <w:sz w:val="17"/>
              </w:rPr>
              <w:br/>
            </w:r>
            <w:r>
              <w:rPr>
                <w:rFonts w:hint="eastAsia"/>
                <w:sz w:val="17"/>
              </w:rPr>
              <w:t>靠卖淫所得为生</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1</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2</w:t>
            </w:r>
          </w:p>
        </w:tc>
        <w:tc>
          <w:tcPr>
            <w:tcW w:w="510" w:type="dxa"/>
          </w:tcPr>
          <w:p w:rsidR="00312ECE" w:rsidRDefault="00312ECE">
            <w:pPr>
              <w:spacing w:before="20" w:after="40" w:line="260" w:lineRule="exact"/>
              <w:jc w:val="center"/>
              <w:rPr>
                <w:sz w:val="17"/>
              </w:rPr>
            </w:pPr>
            <w:r>
              <w:rPr>
                <w:sz w:val="17"/>
              </w:rPr>
              <w:t>1</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第165.1条</w:t>
            </w:r>
            <w:r>
              <w:rPr>
                <w:sz w:val="17"/>
              </w:rPr>
              <w:br/>
            </w:r>
            <w:r>
              <w:rPr>
                <w:rFonts w:hint="eastAsia"/>
                <w:sz w:val="17"/>
              </w:rPr>
              <w:t>派当事人从事性剥削</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1</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1</w:t>
            </w:r>
          </w:p>
        </w:tc>
        <w:tc>
          <w:tcPr>
            <w:tcW w:w="510" w:type="dxa"/>
          </w:tcPr>
          <w:p w:rsidR="00312ECE" w:rsidRDefault="00312ECE">
            <w:pPr>
              <w:spacing w:before="20" w:after="40" w:line="260" w:lineRule="exact"/>
              <w:jc w:val="center"/>
              <w:rPr>
                <w:sz w:val="17"/>
              </w:rPr>
            </w:pPr>
            <w:r>
              <w:rPr>
                <w:sz w:val="17"/>
              </w:rPr>
              <w:t>1</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第166条第3节</w:t>
            </w:r>
            <w:r>
              <w:rPr>
                <w:sz w:val="17"/>
              </w:rPr>
              <w:br/>
            </w:r>
            <w:r>
              <w:rPr>
                <w:rFonts w:hint="eastAsia"/>
                <w:sz w:val="17"/>
              </w:rPr>
              <w:t>关于进口、制作及散发色情材料（涉及未成年人）的违法行为或规定</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第166条第4节</w:t>
            </w:r>
            <w:r>
              <w:rPr>
                <w:sz w:val="17"/>
              </w:rPr>
              <w:br/>
            </w:r>
            <w:r>
              <w:rPr>
                <w:rFonts w:hint="eastAsia"/>
                <w:sz w:val="17"/>
              </w:rPr>
              <w:t>关于进口、制作及散发色情材料（涉及青少年）的违法行为或规定</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r>
      <w:tr w:rsidR="00312ECE">
        <w:tblPrEx>
          <w:tblCellMar>
            <w:top w:w="0" w:type="dxa"/>
            <w:bottom w:w="0" w:type="dxa"/>
          </w:tblCellMar>
        </w:tblPrEx>
        <w:tc>
          <w:tcPr>
            <w:tcW w:w="2552" w:type="dxa"/>
          </w:tcPr>
          <w:p w:rsidR="00312ECE" w:rsidRDefault="00312ECE">
            <w:pPr>
              <w:spacing w:before="20" w:after="40" w:line="260" w:lineRule="exact"/>
              <w:rPr>
                <w:rFonts w:hint="eastAsia"/>
                <w:sz w:val="17"/>
              </w:rPr>
            </w:pPr>
            <w:r>
              <w:rPr>
                <w:rFonts w:hint="eastAsia"/>
                <w:sz w:val="17"/>
              </w:rPr>
              <w:t>第285条</w:t>
            </w:r>
            <w:r>
              <w:rPr>
                <w:sz w:val="17"/>
              </w:rPr>
              <w:br/>
            </w:r>
            <w:r>
              <w:rPr>
                <w:rFonts w:hint="eastAsia"/>
                <w:sz w:val="17"/>
              </w:rPr>
              <w:t>非法运送当事人出境</w:t>
            </w:r>
          </w:p>
        </w:tc>
        <w:tc>
          <w:tcPr>
            <w:tcW w:w="510" w:type="dxa"/>
          </w:tcPr>
          <w:p w:rsidR="00312ECE" w:rsidRDefault="00312ECE">
            <w:pPr>
              <w:pStyle w:val="Footer"/>
              <w:spacing w:before="20" w:after="40" w:line="260" w:lineRule="exact"/>
              <w:jc w:val="center"/>
            </w:pPr>
            <w: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spacing w:before="20" w:after="40" w:line="260" w:lineRule="exact"/>
              <w:jc w:val="center"/>
              <w:rPr>
                <w:sz w:val="17"/>
              </w:rPr>
            </w:pPr>
            <w:r>
              <w:rPr>
                <w:sz w:val="17"/>
              </w:rPr>
              <w:t>-</w:t>
            </w:r>
          </w:p>
        </w:tc>
        <w:tc>
          <w:tcPr>
            <w:tcW w:w="510" w:type="dxa"/>
          </w:tcPr>
          <w:p w:rsidR="00312ECE" w:rsidRDefault="00312ECE">
            <w:pPr>
              <w:pStyle w:val="Header"/>
              <w:tabs>
                <w:tab w:val="clear" w:pos="4320"/>
                <w:tab w:val="clear" w:pos="8640"/>
              </w:tabs>
              <w:spacing w:before="20" w:after="40" w:line="260" w:lineRule="exact"/>
              <w:rPr>
                <w:sz w:val="17"/>
              </w:rPr>
            </w:pPr>
            <w:r>
              <w:rPr>
                <w:sz w:val="17"/>
              </w:rPr>
              <w:t>-</w:t>
            </w:r>
          </w:p>
        </w:tc>
      </w:tr>
    </w:tbl>
    <w:p w:rsidR="00312ECE" w:rsidRDefault="00312ECE">
      <w:pPr>
        <w:pStyle w:val="SingleTxt"/>
        <w:rPr>
          <w:rFonts w:hint="eastAsia"/>
        </w:rPr>
      </w:pPr>
      <w:r>
        <w:rPr>
          <w:rFonts w:hint="eastAsia"/>
        </w:rPr>
        <w:t>42．尽管国家立法对怂恿卖淫及贩卖人口的责任作出了规定，但旅游卖淫以及贩卖人口在拉脱维亚变得越发活跃。涉嫌贩卖人口的犯罪团伙将白俄罗斯、俄罗斯、乌克兰、立陶宛的妇女带到拉脱维亚，这些妇女发现她们身处无助境地后，便会从事卖淫，或者充当色情出版物的模特。妇女被带到其他国家从事卖淫，其中也有未成年少女，在大多数情况下，她们被带到中欧及斯堪的那维亚国家。拉脱维亚未成年人参与卖淫这一事实日益引起人们的关心。拉脱维亚所有妓女中有10</w:t>
      </w:r>
      <w:r>
        <w:t>-</w:t>
      </w:r>
      <w:r>
        <w:rPr>
          <w:rFonts w:hint="eastAsia"/>
        </w:rPr>
        <w:t>12%是未成年少女。研究表明，不满16岁的妓女在性俱乐部（提供性服务的俱乐部）的需求量最大。社会研究数据表明，卖淫的大多数少女及妇女在孩提时期就曾遭受过性虐待；她们没有固定居所、职业和收入，也没有接受过充分的教育。上述风险群体需要及时予以挽救并让她们融入社会，但在目前，由于社会经济条件的限制，拉脱维亚没有能力充分提供这些服务。</w:t>
      </w:r>
    </w:p>
    <w:p w:rsidR="00312ECE" w:rsidRDefault="00312ECE">
      <w:pPr>
        <w:pStyle w:val="SingleTxt"/>
        <w:rPr>
          <w:rFonts w:hint="eastAsia"/>
        </w:rPr>
      </w:pPr>
      <w:r>
        <w:rPr>
          <w:rFonts w:hint="eastAsia"/>
        </w:rPr>
        <w:t>43．由于性剥削的原因，为了限制贩卖人口，已经采取了一些措施：拉脱维亚立法与欧盟的规定取得了一致；组建了一支特别警察部队；执法机构的国际合作正得到加强；开展了有教益的活动，以制止潜在的受害者同意从事卖淫；促进了与非政府组织的合作。</w:t>
      </w:r>
    </w:p>
    <w:p w:rsidR="00312ECE" w:rsidRDefault="00312ECE">
      <w:pPr>
        <w:pStyle w:val="SingleTxt"/>
        <w:rPr>
          <w:rFonts w:hint="eastAsia"/>
        </w:rPr>
      </w:pPr>
      <w:r>
        <w:rPr>
          <w:rFonts w:hint="eastAsia"/>
        </w:rPr>
        <w:t>44．一支名为“道义警察”的专业警察部队负责处理如下事项：预防第三方在拉脱维亚共和国贩卖人口及意图营利使人卖淫，以及开展调查和协调调查活动。这支部队是欧洲理事会根据1997年2月24日关于打击贩卖人口以及儿童性剥削的措施协议第K3条通过的单一行动计划组建的。2001年，道义警察增编（成员达到20人），但其活动仍然主要在盖里加进行，目前它还没有能力在最大的地区城市内开展活动。</w:t>
      </w:r>
    </w:p>
    <w:p w:rsidR="00312ECE" w:rsidRDefault="00312ECE">
      <w:pPr>
        <w:pStyle w:val="SingleTxt"/>
        <w:rPr>
          <w:rFonts w:hint="eastAsia"/>
        </w:rPr>
      </w:pPr>
      <w:r>
        <w:rPr>
          <w:rFonts w:hint="eastAsia"/>
        </w:rPr>
        <w:t>45．波罗的海地区各国打击有组织犯罪特别工作小组鼓励加强执法机构间的密切合作。目前，该小组正在起草成员国警方进一步合作的提案，包括考虑将预防贩卖妇女作为优先事项的提案；促进成员国执法机构在调查刑事案件时的双边信息交流；促进调查案件的警员进行交流并设立联合调查机构；敦促特别工作小组处理防止贩卖妇女的专家更加仔细地分析所获资料，并交流分析结果；在调查期间另行进行财务检查。</w:t>
      </w:r>
    </w:p>
    <w:p w:rsidR="00312ECE" w:rsidRDefault="00312ECE">
      <w:pPr>
        <w:pStyle w:val="SingleTxt"/>
        <w:rPr>
          <w:rFonts w:hint="eastAsia"/>
        </w:rPr>
      </w:pPr>
      <w:r>
        <w:rPr>
          <w:rFonts w:hint="eastAsia"/>
        </w:rPr>
        <w:t>46．国际刑事警察组织拉脱维亚办事处在处理对当事人被送到国外卖淫的案件进行调查的相关事项方面，与一些国家的执法机构开展了成功合作。需要提及的是，各国警方合作最为成功的结果之一是名为“西班牙路线”的国际行动。这项行动在国际刑事警察组织及陶格夫匹尔斯警察局的刑事警官们的倡议下，于2000年2月开始实施，目的是发现并摧毁将妇女从拉脱维亚先后送到德国及西班牙卖淫的有组织的国际犯罪团伙。国际刑事警察组织驻立陶宛、德国及西班牙办事处以及这些国家各地区的执法机构参加了这次行动。这项行动持续时间在一年以上，作为行动的结果，陶格夫匹尔斯地区刑事警察以招聘妇女到国外卖淫为由对一位拉脱维亚公民提起诉讼，同时，四人在德国被拘押，原因是他们涉嫌让来自拉脱维亚的妇女在德国的脱衣舞酒吧及其他娱乐场所工作。</w:t>
      </w:r>
    </w:p>
    <w:p w:rsidR="00312ECE" w:rsidRDefault="00312ECE">
      <w:pPr>
        <w:pStyle w:val="SingleTxt"/>
        <w:rPr>
          <w:rFonts w:ascii="SimHei" w:eastAsia="SimHei" w:hint="eastAsia"/>
          <w:color w:val="FF0000"/>
        </w:rPr>
      </w:pPr>
      <w:r>
        <w:rPr>
          <w:rFonts w:ascii="SimHei" w:eastAsia="SimHei" w:hint="eastAsia"/>
          <w:color w:val="FF0000"/>
        </w:rPr>
        <w:t>第7条</w:t>
      </w:r>
    </w:p>
    <w:p w:rsidR="00312ECE" w:rsidRDefault="00312ECE">
      <w:pPr>
        <w:pStyle w:val="SingleTxt"/>
        <w:rPr>
          <w:rFonts w:hint="eastAsia"/>
        </w:rPr>
      </w:pPr>
      <w:r>
        <w:rPr>
          <w:rFonts w:hint="eastAsia"/>
        </w:rPr>
        <w:t>47．拉脱维亚为防止在政治及公共事务方面对妇女的歧视，开展了必要的活动。</w:t>
      </w:r>
    </w:p>
    <w:p w:rsidR="00312ECE" w:rsidRDefault="00312ECE">
      <w:pPr>
        <w:pStyle w:val="SingleTxt"/>
        <w:rPr>
          <w:rFonts w:ascii="KaiTi_GB2312" w:eastAsia="KaiTi_GB2312" w:hint="eastAsia"/>
          <w:color w:val="0000FF"/>
        </w:rPr>
      </w:pPr>
      <w:r>
        <w:rPr>
          <w:rFonts w:ascii="KaiTi_GB2312" w:eastAsia="KaiTi_GB2312" w:hint="eastAsia"/>
          <w:color w:val="0000FF"/>
        </w:rPr>
        <w:t>妇女的选举权及被选举权</w:t>
      </w:r>
    </w:p>
    <w:p w:rsidR="00312ECE" w:rsidRDefault="00312ECE">
      <w:pPr>
        <w:pStyle w:val="SingleTxt"/>
        <w:rPr>
          <w:rFonts w:hint="eastAsia"/>
        </w:rPr>
      </w:pPr>
      <w:r>
        <w:rPr>
          <w:rFonts w:hint="eastAsia"/>
        </w:rPr>
        <w:t>48．对与性别有关的积极选举权及消极选举权没有做出限制。宪法保障它所涉及的积极选举权，并且规定拉脱维亚的正式公民在选举之日年满18岁即拥有选举权。根据“Saeima（议会）选举”法，拉脱维亚公民在选举之日年满18岁的，即有选举权，条件是该法第2条列示的限制规定对他们不具有约束力。以下人士没有选举权：监狱服刑人员；为安全起见拘押的案件疑犯及被告；根据法律规定的程序确认无行为能力的人。</w:t>
      </w:r>
    </w:p>
    <w:p w:rsidR="00312ECE" w:rsidRDefault="00312ECE">
      <w:pPr>
        <w:pStyle w:val="SingleTxt"/>
        <w:rPr>
          <w:rFonts w:hint="eastAsia"/>
        </w:rPr>
      </w:pPr>
      <w:r>
        <w:rPr>
          <w:rFonts w:hint="eastAsia"/>
        </w:rPr>
        <w:t>49．根据“城市委员会、地区委员会及民事堂区委员会选举”法，拉脱维亚共和国公民在选举之日年满18岁的，有选举委员会的权利，条件是上述法律第6条列示的所有限制都不适用于他。上述法律规定，当事人的无行为能力根据法律规定的程序得到确认的，没有选举权。同样，监狱服刑人员以及为安全起见拘押的案件嫌疑犯及被告均无权参加选举。</w:t>
      </w:r>
    </w:p>
    <w:p w:rsidR="00312ECE" w:rsidRDefault="00312ECE">
      <w:pPr>
        <w:pStyle w:val="SingleTxt"/>
        <w:rPr>
          <w:rFonts w:hint="eastAsia"/>
        </w:rPr>
      </w:pPr>
      <w:r>
        <w:rPr>
          <w:rFonts w:hint="eastAsia"/>
        </w:rPr>
        <w:t>50．妇女在选择参加（议会）选举的地点时，不受其家庭男性成员或者其居住地的约束-每个人无论性别如何都享有在平等的基础上选择投票地的权利。“议会选举”法规定，在议会选举中，选民可在全国的任何投票站投票。如果是地方选举，选民可酌情在他登记居住地或者根据法定程序登记地产的地方政府的辖区内投票。在选举之日没有永久居住地登记证明的选民，有权在其最后登记的居住地所在的地方政府行政辖区投票。</w:t>
      </w:r>
    </w:p>
    <w:p w:rsidR="00312ECE" w:rsidRDefault="00312ECE">
      <w:pPr>
        <w:pStyle w:val="SingleTxt"/>
        <w:rPr>
          <w:rFonts w:hint="eastAsia"/>
        </w:rPr>
      </w:pPr>
      <w:r>
        <w:rPr>
          <w:rFonts w:hint="eastAsia"/>
        </w:rPr>
        <w:t>51．在宪法一级保证妇女享有消极选举权，宪法规定，凡拉脱维亚的公民，赢得多数票并在议会选举第一天年龄超过21岁的，可当选议会议员。凡拉脱维亚的公民，赢得多数票并在地方选举之日年满21岁的，可被选入地方政府，条件是他/她已在相关地方政府的行政辖区登记过，并且在选举之日前至少最后12个月内未中断登记，或者在选举之日前至少最后6个月内在上述辖区工作过，或者他在上述辖区拥有房地产。消极选举权对男女都一样。</w:t>
      </w:r>
    </w:p>
    <w:p w:rsidR="00312ECE" w:rsidRDefault="00312ECE">
      <w:pPr>
        <w:pStyle w:val="SingleTxt"/>
        <w:rPr>
          <w:rFonts w:hint="eastAsia"/>
        </w:rPr>
      </w:pPr>
      <w:r>
        <w:rPr>
          <w:rFonts w:hint="eastAsia"/>
        </w:rPr>
        <w:t>52．下述人士不能当选议会议员：无行为能力依照法定程序得到认可的人；监狱服刑人员；被判处蓄意犯罪且其罪行在现行法律生效之际在拉脱维亚属犯罪行为的人；犯罪记录尚没有注销的人，但改过自新的人除外；在行为能力有限的情况下犯下刑事罪，或者在犯罪后精神失常并因此丧失识别或者控制其行为的能力后接受强制治疗的人；或者未实施此类强制措施便结案的案件涉及的当事人；前苏联、拉脱维亚苏维埃社会主义共和国或者外国安全部门、情报机构或者反间谍机构的正式工作人员；1991年1月13日后参加前苏联共产党（拉脱维亚苏维埃社会主义共和国共产党）、拉脱维亚国际工人阵线、工作团体联合委员会、战争及老工人组织、全拉脱维亚公共拯救委员会及其地区委员会的人；未能在最高（第三）熟练程度上掌握所在国语言的人。同样的限制也适用于地方政府的选举。</w:t>
      </w:r>
    </w:p>
    <w:p w:rsidR="00312ECE" w:rsidRDefault="00312ECE">
      <w:pPr>
        <w:pStyle w:val="SingleTxt"/>
        <w:rPr>
          <w:rFonts w:hint="eastAsia"/>
        </w:rPr>
      </w:pPr>
      <w:r>
        <w:rPr>
          <w:rFonts w:hint="eastAsia"/>
        </w:rPr>
        <w:t>53．应当强调，自1995年以来，《刑法》第90条规定的干预行使选举权以及参加公民投票的权利（受害人是妇女）这种罪行尚无发生的记录。</w:t>
      </w:r>
    </w:p>
    <w:p w:rsidR="00312ECE" w:rsidRDefault="00312ECE">
      <w:pPr>
        <w:pStyle w:val="SingleTxt"/>
      </w:pPr>
      <w:r>
        <w:rPr>
          <w:rFonts w:hint="eastAsia"/>
        </w:rPr>
        <w:t>54．根据中央选举委员会就妇女参与议会及地方选举提供的数据，妇女积极地行使其消极选举权利（见表）。</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5"/>
        <w:gridCol w:w="1260"/>
        <w:gridCol w:w="1219"/>
        <w:gridCol w:w="1322"/>
        <w:gridCol w:w="1405"/>
      </w:tblGrid>
      <w:tr w:rsidR="00312ECE">
        <w:tblPrEx>
          <w:tblCellMar>
            <w:top w:w="0" w:type="dxa"/>
            <w:bottom w:w="0" w:type="dxa"/>
          </w:tblCellMar>
        </w:tblPrEx>
        <w:trPr>
          <w:cantSplit/>
        </w:trPr>
        <w:tc>
          <w:tcPr>
            <w:tcW w:w="1468" w:type="pct"/>
            <w:vMerge w:val="restart"/>
          </w:tcPr>
          <w:p w:rsidR="00312ECE" w:rsidRDefault="00312ECE">
            <w:pPr>
              <w:spacing w:line="360" w:lineRule="atLeast"/>
              <w:rPr>
                <w:rFonts w:ascii="KaiTi_GB2312" w:eastAsia="KaiTi_GB2312" w:hint="eastAsia"/>
                <w:color w:val="0000FF"/>
                <w:sz w:val="14"/>
              </w:rPr>
            </w:pPr>
          </w:p>
        </w:tc>
        <w:tc>
          <w:tcPr>
            <w:tcW w:w="1682"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妇女</w:t>
            </w:r>
          </w:p>
        </w:tc>
        <w:tc>
          <w:tcPr>
            <w:tcW w:w="1850"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男子</w:t>
            </w:r>
          </w:p>
        </w:tc>
      </w:tr>
      <w:tr w:rsidR="00312ECE">
        <w:tblPrEx>
          <w:tblCellMar>
            <w:top w:w="0" w:type="dxa"/>
            <w:bottom w:w="0" w:type="dxa"/>
          </w:tblCellMar>
        </w:tblPrEx>
        <w:trPr>
          <w:cantSplit/>
        </w:trPr>
        <w:tc>
          <w:tcPr>
            <w:tcW w:w="1468" w:type="pct"/>
            <w:vMerge/>
          </w:tcPr>
          <w:p w:rsidR="00312ECE" w:rsidRDefault="00312ECE">
            <w:pPr>
              <w:spacing w:line="360" w:lineRule="atLeast"/>
              <w:rPr>
                <w:rFonts w:ascii="KaiTi_GB2312" w:eastAsia="KaiTi_GB2312" w:hint="eastAsia"/>
                <w:color w:val="0000FF"/>
                <w:sz w:val="14"/>
              </w:rPr>
            </w:pPr>
          </w:p>
        </w:tc>
        <w:tc>
          <w:tcPr>
            <w:tcW w:w="85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被提名人</w:t>
            </w:r>
          </w:p>
        </w:tc>
        <w:tc>
          <w:tcPr>
            <w:tcW w:w="826"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当选者</w:t>
            </w:r>
          </w:p>
        </w:tc>
        <w:tc>
          <w:tcPr>
            <w:tcW w:w="89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被提名人</w:t>
            </w:r>
          </w:p>
        </w:tc>
        <w:tc>
          <w:tcPr>
            <w:tcW w:w="95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当选者</w:t>
            </w:r>
          </w:p>
        </w:tc>
      </w:tr>
      <w:tr w:rsidR="00312ECE">
        <w:tblPrEx>
          <w:tblCellMar>
            <w:top w:w="0" w:type="dxa"/>
            <w:bottom w:w="0" w:type="dxa"/>
          </w:tblCellMar>
        </w:tblPrEx>
        <w:tc>
          <w:tcPr>
            <w:tcW w:w="1468" w:type="pct"/>
          </w:tcPr>
          <w:p w:rsidR="00312ECE" w:rsidRDefault="00312ECE">
            <w:pPr>
              <w:spacing w:before="60" w:after="60" w:line="280" w:lineRule="exact"/>
              <w:rPr>
                <w:rFonts w:hint="eastAsia"/>
                <w:sz w:val="17"/>
              </w:rPr>
            </w:pPr>
            <w:r>
              <w:rPr>
                <w:rFonts w:hint="eastAsia"/>
                <w:sz w:val="17"/>
              </w:rPr>
              <w:t>1997年地方选举</w:t>
            </w:r>
          </w:p>
        </w:tc>
        <w:tc>
          <w:tcPr>
            <w:tcW w:w="855" w:type="pct"/>
          </w:tcPr>
          <w:p w:rsidR="00312ECE" w:rsidRDefault="00312ECE">
            <w:pPr>
              <w:spacing w:before="60" w:after="60" w:line="280" w:lineRule="exact"/>
              <w:jc w:val="center"/>
              <w:rPr>
                <w:sz w:val="17"/>
              </w:rPr>
            </w:pPr>
            <w:r>
              <w:rPr>
                <w:sz w:val="17"/>
              </w:rPr>
              <w:t>4 832</w:t>
            </w:r>
            <w:r>
              <w:rPr>
                <w:rFonts w:hint="eastAsia"/>
                <w:sz w:val="17"/>
              </w:rPr>
              <w:br/>
            </w:r>
            <w:r>
              <w:rPr>
                <w:sz w:val="17"/>
              </w:rPr>
              <w:t>(41%)</w:t>
            </w:r>
          </w:p>
        </w:tc>
        <w:tc>
          <w:tcPr>
            <w:tcW w:w="826" w:type="pct"/>
          </w:tcPr>
          <w:p w:rsidR="00312ECE" w:rsidRDefault="00312ECE">
            <w:pPr>
              <w:spacing w:before="60" w:after="60" w:line="280" w:lineRule="exact"/>
              <w:jc w:val="center"/>
              <w:rPr>
                <w:sz w:val="17"/>
              </w:rPr>
            </w:pPr>
            <w:r>
              <w:rPr>
                <w:rFonts w:hint="eastAsia"/>
                <w:sz w:val="17"/>
              </w:rPr>
              <w:t>无数据</w:t>
            </w:r>
            <w:r>
              <w:rPr>
                <w:sz w:val="17"/>
              </w:rPr>
              <w:br/>
            </w:r>
          </w:p>
        </w:tc>
        <w:tc>
          <w:tcPr>
            <w:tcW w:w="897" w:type="pct"/>
          </w:tcPr>
          <w:p w:rsidR="00312ECE" w:rsidRDefault="00312ECE">
            <w:pPr>
              <w:spacing w:before="60" w:after="60" w:line="280" w:lineRule="exact"/>
              <w:jc w:val="center"/>
              <w:rPr>
                <w:sz w:val="17"/>
              </w:rPr>
            </w:pPr>
            <w:r>
              <w:rPr>
                <w:sz w:val="17"/>
              </w:rPr>
              <w:t>7 099</w:t>
            </w:r>
            <w:r>
              <w:rPr>
                <w:rFonts w:hint="eastAsia"/>
                <w:sz w:val="17"/>
              </w:rPr>
              <w:br/>
            </w:r>
            <w:r>
              <w:rPr>
                <w:sz w:val="17"/>
              </w:rPr>
              <w:t>(59%)</w:t>
            </w:r>
          </w:p>
        </w:tc>
        <w:tc>
          <w:tcPr>
            <w:tcW w:w="954" w:type="pct"/>
          </w:tcPr>
          <w:p w:rsidR="00312ECE" w:rsidRDefault="00312ECE">
            <w:pPr>
              <w:spacing w:before="60" w:after="60" w:line="280" w:lineRule="exact"/>
              <w:jc w:val="center"/>
              <w:rPr>
                <w:rFonts w:hint="eastAsia"/>
                <w:sz w:val="17"/>
              </w:rPr>
            </w:pPr>
            <w:r>
              <w:rPr>
                <w:rFonts w:hint="eastAsia"/>
                <w:sz w:val="17"/>
              </w:rPr>
              <w:t>无数据</w:t>
            </w:r>
          </w:p>
        </w:tc>
      </w:tr>
      <w:tr w:rsidR="00312ECE">
        <w:tblPrEx>
          <w:tblCellMar>
            <w:top w:w="0" w:type="dxa"/>
            <w:bottom w:w="0" w:type="dxa"/>
          </w:tblCellMar>
        </w:tblPrEx>
        <w:tc>
          <w:tcPr>
            <w:tcW w:w="1468" w:type="pct"/>
          </w:tcPr>
          <w:p w:rsidR="00312ECE" w:rsidRDefault="00312ECE">
            <w:pPr>
              <w:spacing w:before="60" w:after="60" w:line="280" w:lineRule="exact"/>
              <w:rPr>
                <w:rFonts w:hint="eastAsia"/>
                <w:sz w:val="17"/>
              </w:rPr>
            </w:pPr>
            <w:r>
              <w:rPr>
                <w:rFonts w:hint="eastAsia"/>
                <w:sz w:val="17"/>
              </w:rPr>
              <w:t>1998年第7届议会选举</w:t>
            </w:r>
          </w:p>
        </w:tc>
        <w:tc>
          <w:tcPr>
            <w:tcW w:w="855" w:type="pct"/>
          </w:tcPr>
          <w:p w:rsidR="00312ECE" w:rsidRDefault="00312ECE">
            <w:pPr>
              <w:spacing w:before="60" w:after="60" w:line="280" w:lineRule="exact"/>
              <w:jc w:val="center"/>
              <w:rPr>
                <w:rFonts w:hint="eastAsia"/>
                <w:sz w:val="17"/>
              </w:rPr>
            </w:pPr>
            <w:r>
              <w:rPr>
                <w:sz w:val="17"/>
              </w:rPr>
              <w:t>288</w:t>
            </w:r>
            <w:r>
              <w:rPr>
                <w:rFonts w:hint="eastAsia"/>
                <w:sz w:val="17"/>
              </w:rPr>
              <w:br/>
            </w:r>
            <w:r>
              <w:rPr>
                <w:sz w:val="17"/>
              </w:rPr>
              <w:t>(26.64%)</w:t>
            </w:r>
          </w:p>
        </w:tc>
        <w:tc>
          <w:tcPr>
            <w:tcW w:w="826" w:type="pct"/>
          </w:tcPr>
          <w:p w:rsidR="00312ECE" w:rsidRDefault="00312ECE">
            <w:pPr>
              <w:spacing w:before="60" w:after="60" w:line="280" w:lineRule="exact"/>
              <w:jc w:val="center"/>
              <w:rPr>
                <w:rFonts w:hint="eastAsia"/>
                <w:sz w:val="17"/>
              </w:rPr>
            </w:pPr>
            <w:r>
              <w:rPr>
                <w:sz w:val="17"/>
              </w:rPr>
              <w:t>17</w:t>
            </w:r>
            <w:r>
              <w:rPr>
                <w:rFonts w:hint="eastAsia"/>
                <w:sz w:val="17"/>
              </w:rPr>
              <w:br/>
            </w:r>
            <w:r>
              <w:rPr>
                <w:sz w:val="17"/>
              </w:rPr>
              <w:t>(17%)</w:t>
            </w:r>
          </w:p>
        </w:tc>
        <w:tc>
          <w:tcPr>
            <w:tcW w:w="897" w:type="pct"/>
          </w:tcPr>
          <w:p w:rsidR="00312ECE" w:rsidRDefault="00312ECE">
            <w:pPr>
              <w:spacing w:before="60" w:after="60" w:line="280" w:lineRule="exact"/>
              <w:jc w:val="center"/>
              <w:rPr>
                <w:rFonts w:hint="eastAsia"/>
                <w:sz w:val="17"/>
              </w:rPr>
            </w:pPr>
            <w:r>
              <w:rPr>
                <w:sz w:val="17"/>
              </w:rPr>
              <w:t>793</w:t>
            </w:r>
            <w:r>
              <w:rPr>
                <w:rFonts w:hint="eastAsia"/>
                <w:sz w:val="17"/>
              </w:rPr>
              <w:br/>
            </w:r>
            <w:r>
              <w:rPr>
                <w:sz w:val="17"/>
              </w:rPr>
              <w:t>(73.36%)</w:t>
            </w:r>
          </w:p>
        </w:tc>
        <w:tc>
          <w:tcPr>
            <w:tcW w:w="954" w:type="pct"/>
          </w:tcPr>
          <w:p w:rsidR="00312ECE" w:rsidRDefault="00312ECE">
            <w:pPr>
              <w:spacing w:before="60" w:after="60" w:line="280" w:lineRule="exact"/>
              <w:jc w:val="center"/>
              <w:rPr>
                <w:rFonts w:hint="eastAsia"/>
                <w:sz w:val="17"/>
              </w:rPr>
            </w:pPr>
            <w:r>
              <w:rPr>
                <w:sz w:val="17"/>
              </w:rPr>
              <w:t>83</w:t>
            </w:r>
            <w:r>
              <w:rPr>
                <w:rFonts w:hint="eastAsia"/>
                <w:sz w:val="17"/>
              </w:rPr>
              <w:br/>
            </w:r>
            <w:r>
              <w:rPr>
                <w:sz w:val="17"/>
              </w:rPr>
              <w:t>(83%)</w:t>
            </w:r>
          </w:p>
        </w:tc>
      </w:tr>
      <w:tr w:rsidR="00312ECE">
        <w:tblPrEx>
          <w:tblCellMar>
            <w:top w:w="0" w:type="dxa"/>
            <w:bottom w:w="0" w:type="dxa"/>
          </w:tblCellMar>
        </w:tblPrEx>
        <w:tc>
          <w:tcPr>
            <w:tcW w:w="1468" w:type="pct"/>
          </w:tcPr>
          <w:p w:rsidR="00312ECE" w:rsidRDefault="00312ECE">
            <w:pPr>
              <w:spacing w:before="60" w:after="60" w:line="280" w:lineRule="exact"/>
              <w:rPr>
                <w:rFonts w:hint="eastAsia"/>
                <w:sz w:val="17"/>
              </w:rPr>
            </w:pPr>
            <w:r>
              <w:rPr>
                <w:rFonts w:hint="eastAsia"/>
                <w:sz w:val="17"/>
              </w:rPr>
              <w:t>2001年地方选举</w:t>
            </w:r>
          </w:p>
        </w:tc>
        <w:tc>
          <w:tcPr>
            <w:tcW w:w="855" w:type="pct"/>
          </w:tcPr>
          <w:p w:rsidR="00312ECE" w:rsidRDefault="00312ECE">
            <w:pPr>
              <w:spacing w:before="60" w:after="60" w:line="280" w:lineRule="exact"/>
              <w:jc w:val="center"/>
              <w:rPr>
                <w:rFonts w:hint="eastAsia"/>
                <w:sz w:val="17"/>
              </w:rPr>
            </w:pPr>
            <w:r>
              <w:rPr>
                <w:sz w:val="17"/>
              </w:rPr>
              <w:t>5 933</w:t>
            </w:r>
            <w:r>
              <w:rPr>
                <w:rFonts w:hint="eastAsia"/>
                <w:sz w:val="17"/>
              </w:rPr>
              <w:br/>
            </w:r>
            <w:r>
              <w:rPr>
                <w:sz w:val="17"/>
              </w:rPr>
              <w:t>(43.75%)</w:t>
            </w:r>
          </w:p>
        </w:tc>
        <w:tc>
          <w:tcPr>
            <w:tcW w:w="826" w:type="pct"/>
          </w:tcPr>
          <w:p w:rsidR="00312ECE" w:rsidRDefault="00312ECE">
            <w:pPr>
              <w:spacing w:before="60" w:after="60" w:line="280" w:lineRule="exact"/>
              <w:jc w:val="center"/>
              <w:rPr>
                <w:rFonts w:hint="eastAsia"/>
                <w:sz w:val="17"/>
              </w:rPr>
            </w:pPr>
            <w:r>
              <w:rPr>
                <w:sz w:val="17"/>
              </w:rPr>
              <w:t>1 784</w:t>
            </w:r>
            <w:r>
              <w:rPr>
                <w:rFonts w:hint="eastAsia"/>
                <w:sz w:val="17"/>
              </w:rPr>
              <w:br/>
            </w:r>
            <w:r>
              <w:rPr>
                <w:sz w:val="17"/>
              </w:rPr>
              <w:t>(41.15%)</w:t>
            </w:r>
          </w:p>
        </w:tc>
        <w:tc>
          <w:tcPr>
            <w:tcW w:w="897" w:type="pct"/>
          </w:tcPr>
          <w:p w:rsidR="00312ECE" w:rsidRDefault="00312ECE">
            <w:pPr>
              <w:spacing w:before="60" w:after="60" w:line="280" w:lineRule="exact"/>
              <w:jc w:val="center"/>
              <w:rPr>
                <w:rFonts w:hint="eastAsia"/>
                <w:sz w:val="17"/>
              </w:rPr>
            </w:pPr>
            <w:r>
              <w:rPr>
                <w:sz w:val="17"/>
              </w:rPr>
              <w:t>7 627</w:t>
            </w:r>
            <w:r>
              <w:rPr>
                <w:rFonts w:hint="eastAsia"/>
                <w:sz w:val="17"/>
              </w:rPr>
              <w:br/>
            </w:r>
            <w:r>
              <w:rPr>
                <w:sz w:val="17"/>
              </w:rPr>
              <w:t>(56.25%)</w:t>
            </w:r>
          </w:p>
        </w:tc>
        <w:tc>
          <w:tcPr>
            <w:tcW w:w="954" w:type="pct"/>
          </w:tcPr>
          <w:p w:rsidR="00312ECE" w:rsidRDefault="00312ECE">
            <w:pPr>
              <w:spacing w:before="60" w:after="60" w:line="280" w:lineRule="exact"/>
              <w:jc w:val="center"/>
              <w:rPr>
                <w:rFonts w:hint="eastAsia"/>
                <w:sz w:val="17"/>
              </w:rPr>
            </w:pPr>
            <w:r>
              <w:rPr>
                <w:sz w:val="17"/>
              </w:rPr>
              <w:t>2 551</w:t>
            </w:r>
            <w:r>
              <w:rPr>
                <w:rFonts w:hint="eastAsia"/>
                <w:sz w:val="17"/>
              </w:rPr>
              <w:br/>
            </w:r>
            <w:r>
              <w:rPr>
                <w:sz w:val="17"/>
              </w:rPr>
              <w:t>(58.85%)</w:t>
            </w:r>
          </w:p>
        </w:tc>
      </w:tr>
    </w:tbl>
    <w:p w:rsidR="00312ECE" w:rsidRDefault="00312ECE">
      <w:pPr>
        <w:pStyle w:val="SingleTxt"/>
        <w:spacing w:after="0" w:line="120" w:lineRule="exact"/>
        <w:rPr>
          <w:sz w:val="10"/>
        </w:rPr>
      </w:pPr>
    </w:p>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55．应当指出，与当选为第5届及第6届议会议员的妇女人数相比，当选为第7届议会议员的妇女人数增加，当选为第5届及第6届议会议员的妇女人数是15个。由于代表团2001年7月发生了变化，第7届议会的1/5或20位代表是女性。地方选举结果的汇总资料显示，地方政府越小，妇女占代表总人数的比例越大。拉脱维亚两性平等协会认为，参加议会选举的女性提名人如果与参加地方选举的女性提名人相比，显示出的结果是男子平等参与政治事务的定型观念在政党中仍然存在。在第6届议会提出的一项提案确定在议会选举的候选人名单中，男性候选人不超过75%，女性候选人不少于25%。但这项提案未得到议会同意。</w:t>
      </w:r>
    </w:p>
    <w:p w:rsidR="00312ECE" w:rsidRDefault="00312ECE">
      <w:pPr>
        <w:pStyle w:val="SingleTxt"/>
        <w:rPr>
          <w:rFonts w:hint="eastAsia"/>
        </w:rPr>
      </w:pPr>
      <w:r>
        <w:rPr>
          <w:rFonts w:hint="eastAsia"/>
        </w:rPr>
        <w:t>56．当选为议员的妇女也积极参与议会委员会的工作。一些妇女成为第7届议会如下委员会的主席：授权及申请委员会、公民资格法执行委员会、社会及劳动事务委员会（在她2001年3月当选为里加市议会议员之前，预算及财政委员会的主席也由妇女担任）；还有一些妇女成为人权及公共事务委员会，欧洲事务委员会，公民资格法执行委员会，国家经济、农业、环境及地区发展委员会的主席。除此之外，一些妇女还担任了第7届议会七个派别中的三个的领导。</w:t>
      </w:r>
    </w:p>
    <w:p w:rsidR="00312ECE" w:rsidRDefault="00312ECE">
      <w:pPr>
        <w:pStyle w:val="SingleTxt"/>
        <w:rPr>
          <w:rFonts w:ascii="KaiTi_GB2312" w:eastAsia="KaiTi_GB2312" w:hint="eastAsia"/>
          <w:color w:val="0000FF"/>
        </w:rPr>
      </w:pPr>
      <w:r>
        <w:rPr>
          <w:rFonts w:ascii="KaiTi_GB2312" w:eastAsia="KaiTi_GB2312" w:hint="eastAsia"/>
          <w:color w:val="0000FF"/>
        </w:rPr>
        <w:t>妇女参与国家政策的制订以及担任公职的权利</w:t>
      </w:r>
    </w:p>
    <w:p w:rsidR="00312ECE" w:rsidRDefault="00312ECE">
      <w:pPr>
        <w:pStyle w:val="SingleTxt"/>
        <w:rPr>
          <w:rFonts w:hint="eastAsia"/>
        </w:rPr>
      </w:pPr>
      <w:r>
        <w:rPr>
          <w:rFonts w:hint="eastAsia"/>
        </w:rPr>
        <w:t>57．拉脱维亚立法对妇女参与国家政策的制订，担任公职并在各级公共管理机构履行一切公共职能不加任何限制。</w:t>
      </w:r>
    </w:p>
    <w:p w:rsidR="00312ECE" w:rsidRDefault="00312ECE">
      <w:pPr>
        <w:pStyle w:val="SingleTxt"/>
        <w:rPr>
          <w:rFonts w:hint="eastAsia"/>
        </w:rPr>
      </w:pPr>
      <w:r>
        <w:rPr>
          <w:rFonts w:hint="eastAsia"/>
        </w:rPr>
        <w:t>58．自1999年8月以来，该国最高职位总统一般一直由女性担任，她同时还兼任国家武装部队总司令。应当指出，根据统计数据，瓦伊拉·维凯-弗赖贝加自当选以来始终是该国最受欢迎的政治家。</w:t>
      </w:r>
    </w:p>
    <w:p w:rsidR="00312ECE" w:rsidRDefault="00312ECE">
      <w:pPr>
        <w:pStyle w:val="SingleTxt"/>
      </w:pPr>
      <w:r>
        <w:rPr>
          <w:rFonts w:hint="eastAsia"/>
        </w:rPr>
        <w:t>59．在拉脱维亚主要行政权力机构-部长内阁也有妇女任职。在拉脱维亚恢复独立后的头两届政府中，根本没有女性工作人员，但在以后组成的政府中，妇女担任了各种职务（参见下表）。</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4"/>
        <w:gridCol w:w="1996"/>
        <w:gridCol w:w="1145"/>
        <w:gridCol w:w="3378"/>
      </w:tblGrid>
      <w:tr w:rsidR="00312ECE">
        <w:tblPrEx>
          <w:tblCellMar>
            <w:top w:w="0" w:type="dxa"/>
            <w:bottom w:w="0" w:type="dxa"/>
          </w:tblCellMar>
        </w:tblPrEx>
        <w:tc>
          <w:tcPr>
            <w:tcW w:w="1665" w:type="pct"/>
          </w:tcPr>
          <w:p w:rsidR="00312ECE" w:rsidRDefault="00312ECE">
            <w:pPr>
              <w:spacing w:line="240" w:lineRule="exact"/>
              <w:rPr>
                <w:rFonts w:ascii="KaiTi_GB2312" w:eastAsia="KaiTi_GB2312" w:hint="eastAsia"/>
                <w:color w:val="0000FF"/>
                <w:sz w:val="18"/>
              </w:rPr>
            </w:pPr>
          </w:p>
        </w:tc>
        <w:tc>
          <w:tcPr>
            <w:tcW w:w="1021" w:type="pct"/>
            <w:tcMar>
              <w:left w:w="57" w:type="dxa"/>
              <w:right w:w="57" w:type="dxa"/>
            </w:tcMar>
          </w:tcPr>
          <w:p w:rsidR="00312ECE" w:rsidRDefault="00312ECE">
            <w:pPr>
              <w:spacing w:line="240" w:lineRule="exact"/>
              <w:rPr>
                <w:rFonts w:ascii="KaiTi_GB2312" w:eastAsia="KaiTi_GB2312" w:hint="eastAsia"/>
                <w:color w:val="0000FF"/>
                <w:sz w:val="18"/>
              </w:rPr>
            </w:pPr>
            <w:r>
              <w:rPr>
                <w:rFonts w:ascii="KaiTi_GB2312" w:eastAsia="KaiTi_GB2312" w:hint="eastAsia"/>
                <w:color w:val="0000FF"/>
                <w:sz w:val="18"/>
              </w:rPr>
              <w:t>在政府担任部长的人数（包括国务部长及分管特殊工作的部长）</w:t>
            </w:r>
          </w:p>
        </w:tc>
        <w:tc>
          <w:tcPr>
            <w:tcW w:w="586" w:type="pct"/>
            <w:tcMar>
              <w:left w:w="57" w:type="dxa"/>
              <w:right w:w="57" w:type="dxa"/>
            </w:tcMar>
          </w:tcPr>
          <w:p w:rsidR="00312ECE" w:rsidRDefault="00312ECE">
            <w:pPr>
              <w:spacing w:line="240" w:lineRule="exact"/>
              <w:rPr>
                <w:rFonts w:ascii="KaiTi_GB2312" w:eastAsia="KaiTi_GB2312" w:hint="eastAsia"/>
                <w:color w:val="0000FF"/>
                <w:sz w:val="18"/>
              </w:rPr>
            </w:pPr>
            <w:r>
              <w:rPr>
                <w:rFonts w:ascii="KaiTi_GB2312" w:eastAsia="KaiTi_GB2312" w:hint="eastAsia"/>
                <w:color w:val="0000FF"/>
                <w:sz w:val="18"/>
              </w:rPr>
              <w:t>其中的女性</w:t>
            </w:r>
          </w:p>
        </w:tc>
        <w:tc>
          <w:tcPr>
            <w:tcW w:w="1728" w:type="pct"/>
            <w:tcMar>
              <w:left w:w="57" w:type="dxa"/>
              <w:right w:w="57" w:type="dxa"/>
            </w:tcMar>
          </w:tcPr>
          <w:p w:rsidR="00312ECE" w:rsidRDefault="00312ECE">
            <w:pPr>
              <w:spacing w:line="240" w:lineRule="exact"/>
              <w:rPr>
                <w:rFonts w:ascii="KaiTi_GB2312" w:eastAsia="KaiTi_GB2312" w:hint="eastAsia"/>
                <w:color w:val="0000FF"/>
                <w:sz w:val="18"/>
              </w:rPr>
            </w:pPr>
            <w:r>
              <w:rPr>
                <w:rFonts w:ascii="KaiTi_GB2312" w:eastAsia="KaiTi_GB2312" w:hint="eastAsia"/>
                <w:color w:val="0000FF"/>
                <w:sz w:val="18"/>
              </w:rPr>
              <w:t>妇女担任的职位</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由I.Godmanis担任主席的部长理事会</w:t>
            </w:r>
          </w:p>
          <w:p w:rsidR="00312ECE" w:rsidRDefault="00312ECE">
            <w:pPr>
              <w:spacing w:line="340" w:lineRule="exact"/>
              <w:rPr>
                <w:rFonts w:hint="eastAsia"/>
                <w:sz w:val="18"/>
              </w:rPr>
            </w:pPr>
            <w:r>
              <w:rPr>
                <w:rFonts w:hint="eastAsia"/>
                <w:sz w:val="18"/>
              </w:rPr>
              <w:t>（1990年5月7日至1993年8月3日）</w:t>
            </w:r>
          </w:p>
        </w:tc>
        <w:tc>
          <w:tcPr>
            <w:tcW w:w="1021" w:type="pct"/>
            <w:tcMar>
              <w:left w:w="57" w:type="dxa"/>
              <w:right w:w="57" w:type="dxa"/>
            </w:tcMar>
          </w:tcPr>
          <w:p w:rsidR="00312ECE" w:rsidRDefault="00312ECE">
            <w:pPr>
              <w:spacing w:line="340" w:lineRule="exact"/>
              <w:jc w:val="center"/>
              <w:rPr>
                <w:sz w:val="18"/>
              </w:rPr>
            </w:pPr>
            <w:r>
              <w:rPr>
                <w:sz w:val="18"/>
              </w:rPr>
              <w:t>30</w:t>
            </w:r>
          </w:p>
        </w:tc>
        <w:tc>
          <w:tcPr>
            <w:tcW w:w="586" w:type="pct"/>
            <w:tcMar>
              <w:left w:w="57" w:type="dxa"/>
              <w:right w:w="57" w:type="dxa"/>
            </w:tcMar>
          </w:tcPr>
          <w:p w:rsidR="00312ECE" w:rsidRDefault="00312ECE">
            <w:pPr>
              <w:spacing w:line="340" w:lineRule="exact"/>
              <w:jc w:val="center"/>
              <w:rPr>
                <w:sz w:val="18"/>
              </w:rPr>
            </w:pPr>
            <w:r>
              <w:rPr>
                <w:sz w:val="18"/>
              </w:rPr>
              <w:t>0</w:t>
            </w:r>
          </w:p>
        </w:tc>
        <w:tc>
          <w:tcPr>
            <w:tcW w:w="1728" w:type="pct"/>
            <w:tcMar>
              <w:left w:w="57" w:type="dxa"/>
              <w:right w:w="57" w:type="dxa"/>
            </w:tcMar>
          </w:tcPr>
          <w:p w:rsidR="00312ECE" w:rsidRDefault="00312ECE">
            <w:pPr>
              <w:spacing w:line="340" w:lineRule="exact"/>
              <w:rPr>
                <w:sz w:val="18"/>
              </w:rPr>
            </w:pPr>
            <w:r>
              <w:rPr>
                <w:sz w:val="18"/>
              </w:rPr>
              <w:t>-</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由V.Birkavs担任主席的部长内阁</w:t>
            </w:r>
          </w:p>
          <w:p w:rsidR="00312ECE" w:rsidRDefault="00312ECE">
            <w:pPr>
              <w:spacing w:line="340" w:lineRule="exact"/>
              <w:rPr>
                <w:rFonts w:hint="eastAsia"/>
                <w:sz w:val="18"/>
              </w:rPr>
            </w:pPr>
            <w:r>
              <w:rPr>
                <w:rFonts w:hint="eastAsia"/>
                <w:sz w:val="18"/>
              </w:rPr>
              <w:t>（1993年8月3日至1994年9月19日）</w:t>
            </w:r>
          </w:p>
        </w:tc>
        <w:tc>
          <w:tcPr>
            <w:tcW w:w="1021" w:type="pct"/>
            <w:tcMar>
              <w:left w:w="57" w:type="dxa"/>
              <w:right w:w="57" w:type="dxa"/>
            </w:tcMar>
          </w:tcPr>
          <w:p w:rsidR="00312ECE" w:rsidRDefault="00312ECE">
            <w:pPr>
              <w:spacing w:line="340" w:lineRule="exact"/>
              <w:jc w:val="center"/>
              <w:rPr>
                <w:sz w:val="18"/>
              </w:rPr>
            </w:pPr>
            <w:r>
              <w:rPr>
                <w:sz w:val="18"/>
              </w:rPr>
              <w:t>27</w:t>
            </w:r>
          </w:p>
        </w:tc>
        <w:tc>
          <w:tcPr>
            <w:tcW w:w="586" w:type="pct"/>
            <w:tcMar>
              <w:left w:w="57" w:type="dxa"/>
              <w:right w:w="57" w:type="dxa"/>
            </w:tcMar>
          </w:tcPr>
          <w:p w:rsidR="00312ECE" w:rsidRDefault="00312ECE">
            <w:pPr>
              <w:spacing w:line="340" w:lineRule="exact"/>
              <w:jc w:val="center"/>
              <w:rPr>
                <w:sz w:val="18"/>
              </w:rPr>
            </w:pPr>
            <w:r>
              <w:rPr>
                <w:sz w:val="18"/>
              </w:rPr>
              <w:t>0</w:t>
            </w:r>
          </w:p>
        </w:tc>
        <w:tc>
          <w:tcPr>
            <w:tcW w:w="1728" w:type="pct"/>
            <w:tcMar>
              <w:left w:w="57" w:type="dxa"/>
              <w:right w:w="57" w:type="dxa"/>
            </w:tcMar>
          </w:tcPr>
          <w:p w:rsidR="00312ECE" w:rsidRDefault="00312ECE">
            <w:pPr>
              <w:spacing w:line="340" w:lineRule="exact"/>
              <w:rPr>
                <w:sz w:val="18"/>
              </w:rPr>
            </w:pPr>
            <w:r>
              <w:rPr>
                <w:sz w:val="18"/>
              </w:rPr>
              <w:t>-</w:t>
            </w:r>
          </w:p>
        </w:tc>
      </w:tr>
      <w:tr w:rsidR="00312ECE">
        <w:tblPrEx>
          <w:tblCellMar>
            <w:top w:w="0" w:type="dxa"/>
            <w:bottom w:w="0" w:type="dxa"/>
          </w:tblCellMar>
        </w:tblPrEx>
        <w:tc>
          <w:tcPr>
            <w:tcW w:w="1665" w:type="pct"/>
          </w:tcPr>
          <w:p w:rsidR="00312ECE" w:rsidRDefault="00312ECE">
            <w:pPr>
              <w:spacing w:line="340" w:lineRule="exact"/>
              <w:rPr>
                <w:sz w:val="18"/>
              </w:rPr>
            </w:pPr>
            <w:r>
              <w:rPr>
                <w:rFonts w:hint="eastAsia"/>
                <w:sz w:val="18"/>
              </w:rPr>
              <w:t>由M.Gailis担任主席的部长内阁</w:t>
            </w:r>
          </w:p>
          <w:p w:rsidR="00312ECE" w:rsidRDefault="00312ECE">
            <w:pPr>
              <w:spacing w:line="340" w:lineRule="exact"/>
              <w:rPr>
                <w:rFonts w:hint="eastAsia"/>
                <w:sz w:val="18"/>
              </w:rPr>
            </w:pPr>
            <w:r>
              <w:rPr>
                <w:rFonts w:hint="eastAsia"/>
                <w:sz w:val="18"/>
              </w:rPr>
              <w:t>（1994年9月19日至1995年12月21日）</w:t>
            </w:r>
          </w:p>
        </w:tc>
        <w:tc>
          <w:tcPr>
            <w:tcW w:w="1021" w:type="pct"/>
            <w:tcMar>
              <w:left w:w="57" w:type="dxa"/>
              <w:right w:w="57" w:type="dxa"/>
            </w:tcMar>
          </w:tcPr>
          <w:p w:rsidR="00312ECE" w:rsidRDefault="00312ECE">
            <w:pPr>
              <w:spacing w:line="340" w:lineRule="exact"/>
              <w:jc w:val="center"/>
              <w:rPr>
                <w:sz w:val="18"/>
              </w:rPr>
            </w:pPr>
            <w:r>
              <w:rPr>
                <w:sz w:val="18"/>
              </w:rPr>
              <w:t>29</w:t>
            </w:r>
          </w:p>
        </w:tc>
        <w:tc>
          <w:tcPr>
            <w:tcW w:w="586" w:type="pct"/>
            <w:tcMar>
              <w:left w:w="57" w:type="dxa"/>
              <w:right w:w="57" w:type="dxa"/>
            </w:tcMar>
          </w:tcPr>
          <w:p w:rsidR="00312ECE" w:rsidRDefault="00312ECE">
            <w:pPr>
              <w:spacing w:line="340" w:lineRule="exact"/>
              <w:jc w:val="center"/>
              <w:rPr>
                <w:sz w:val="18"/>
              </w:rPr>
            </w:pPr>
            <w:r>
              <w:rPr>
                <w:sz w:val="18"/>
              </w:rPr>
              <w:t>4</w:t>
            </w:r>
          </w:p>
        </w:tc>
        <w:tc>
          <w:tcPr>
            <w:tcW w:w="1728" w:type="pct"/>
            <w:tcMar>
              <w:left w:w="57" w:type="dxa"/>
              <w:right w:w="57" w:type="dxa"/>
            </w:tcMar>
          </w:tcPr>
          <w:p w:rsidR="00312ECE" w:rsidRDefault="00312ECE">
            <w:pPr>
              <w:spacing w:line="340" w:lineRule="exact"/>
              <w:rPr>
                <w:rFonts w:hint="eastAsia"/>
                <w:sz w:val="18"/>
              </w:rPr>
            </w:pPr>
            <w:r>
              <w:rPr>
                <w:rFonts w:hint="eastAsia"/>
                <w:sz w:val="18"/>
              </w:rPr>
              <w:t>财政部长-</w:t>
            </w:r>
          </w:p>
          <w:p w:rsidR="00312ECE" w:rsidRDefault="00312ECE">
            <w:pPr>
              <w:spacing w:line="340" w:lineRule="exact"/>
              <w:rPr>
                <w:rFonts w:hint="eastAsia"/>
                <w:sz w:val="18"/>
              </w:rPr>
            </w:pPr>
            <w:r>
              <w:rPr>
                <w:rFonts w:hint="eastAsia"/>
                <w:sz w:val="18"/>
              </w:rPr>
              <w:t>I.Samite（1995年5月26日至1995年12月21日），</w:t>
            </w:r>
          </w:p>
          <w:p w:rsidR="00312ECE" w:rsidRDefault="00312ECE">
            <w:pPr>
              <w:spacing w:line="340" w:lineRule="exact"/>
              <w:rPr>
                <w:rFonts w:hint="eastAsia"/>
                <w:sz w:val="18"/>
              </w:rPr>
            </w:pPr>
            <w:r>
              <w:rPr>
                <w:rFonts w:hint="eastAsia"/>
                <w:sz w:val="18"/>
              </w:rPr>
              <w:t>国家改革部长V.A.Terauda，</w:t>
            </w:r>
          </w:p>
          <w:p w:rsidR="00312ECE" w:rsidRDefault="00312ECE">
            <w:pPr>
              <w:spacing w:line="340" w:lineRule="exact"/>
              <w:rPr>
                <w:rFonts w:hint="eastAsia"/>
                <w:sz w:val="18"/>
              </w:rPr>
            </w:pPr>
            <w:r>
              <w:rPr>
                <w:rFonts w:hint="eastAsia"/>
                <w:sz w:val="18"/>
              </w:rPr>
              <w:t>对外储备事务国务部长（1994年9月19日至1995年12月21日）</w:t>
            </w:r>
          </w:p>
          <w:p w:rsidR="00312ECE" w:rsidRDefault="00312ECE">
            <w:pPr>
              <w:spacing w:line="340" w:lineRule="exact"/>
              <w:rPr>
                <w:rFonts w:hint="eastAsia"/>
                <w:sz w:val="18"/>
              </w:rPr>
            </w:pPr>
            <w:r>
              <w:rPr>
                <w:rFonts w:hint="eastAsia"/>
                <w:sz w:val="18"/>
              </w:rPr>
              <w:t>国库收入国务部长-A.Poca</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由A.Skele担任主席的部长内阁</w:t>
            </w:r>
          </w:p>
          <w:p w:rsidR="00312ECE" w:rsidRDefault="00312ECE">
            <w:pPr>
              <w:spacing w:line="340" w:lineRule="exact"/>
              <w:rPr>
                <w:sz w:val="18"/>
              </w:rPr>
            </w:pPr>
            <w:r>
              <w:rPr>
                <w:sz w:val="18"/>
              </w:rPr>
              <w:t>(</w:t>
            </w:r>
            <w:r>
              <w:rPr>
                <w:rFonts w:hint="eastAsia"/>
                <w:spacing w:val="-4"/>
                <w:sz w:val="18"/>
              </w:rPr>
              <w:t>1995年12月21日至1997年2月13日</w:t>
            </w:r>
            <w:r>
              <w:rPr>
                <w:rFonts w:hint="eastAsia"/>
                <w:sz w:val="18"/>
              </w:rPr>
              <w:t>)</w:t>
            </w:r>
          </w:p>
        </w:tc>
        <w:tc>
          <w:tcPr>
            <w:tcW w:w="1021" w:type="pct"/>
            <w:tcMar>
              <w:left w:w="57" w:type="dxa"/>
              <w:right w:w="57" w:type="dxa"/>
            </w:tcMar>
          </w:tcPr>
          <w:p w:rsidR="00312ECE" w:rsidRDefault="00312ECE">
            <w:pPr>
              <w:spacing w:line="340" w:lineRule="exact"/>
              <w:jc w:val="center"/>
              <w:rPr>
                <w:sz w:val="18"/>
              </w:rPr>
            </w:pPr>
            <w:r>
              <w:rPr>
                <w:sz w:val="18"/>
              </w:rPr>
              <w:t>28</w:t>
            </w:r>
          </w:p>
        </w:tc>
        <w:tc>
          <w:tcPr>
            <w:tcW w:w="586" w:type="pct"/>
            <w:tcMar>
              <w:left w:w="57" w:type="dxa"/>
              <w:right w:w="57" w:type="dxa"/>
            </w:tcMar>
          </w:tcPr>
          <w:p w:rsidR="00312ECE" w:rsidRDefault="00312ECE">
            <w:pPr>
              <w:spacing w:line="340" w:lineRule="exact"/>
              <w:jc w:val="center"/>
              <w:rPr>
                <w:sz w:val="18"/>
              </w:rPr>
            </w:pPr>
            <w:r>
              <w:rPr>
                <w:sz w:val="18"/>
              </w:rPr>
              <w:t>2</w:t>
            </w:r>
          </w:p>
        </w:tc>
        <w:tc>
          <w:tcPr>
            <w:tcW w:w="1728" w:type="pct"/>
            <w:tcMar>
              <w:left w:w="57" w:type="dxa"/>
              <w:right w:w="57" w:type="dxa"/>
            </w:tcMar>
          </w:tcPr>
          <w:p w:rsidR="00312ECE" w:rsidRDefault="00312ECE">
            <w:pPr>
              <w:spacing w:line="340" w:lineRule="exact"/>
              <w:rPr>
                <w:rFonts w:hint="eastAsia"/>
                <w:sz w:val="18"/>
              </w:rPr>
            </w:pPr>
            <w:r>
              <w:rPr>
                <w:rFonts w:hint="eastAsia"/>
                <w:sz w:val="18"/>
              </w:rPr>
              <w:t>投资及信贷政策国务部长-S.Jegere</w:t>
            </w:r>
          </w:p>
          <w:p w:rsidR="00312ECE" w:rsidRDefault="00312ECE">
            <w:pPr>
              <w:spacing w:line="340" w:lineRule="exact"/>
              <w:rPr>
                <w:rFonts w:hint="eastAsia"/>
                <w:sz w:val="18"/>
              </w:rPr>
            </w:pPr>
            <w:r>
              <w:rPr>
                <w:rFonts w:hint="eastAsia"/>
                <w:sz w:val="18"/>
              </w:rPr>
              <w:t>国库收入国务部长-A.Poca</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由A.Skele担任主席的部长内阁（1997年2月13日至1997年8月7日）</w:t>
            </w:r>
          </w:p>
        </w:tc>
        <w:tc>
          <w:tcPr>
            <w:tcW w:w="1021" w:type="pct"/>
            <w:tcMar>
              <w:left w:w="57" w:type="dxa"/>
              <w:right w:w="57" w:type="dxa"/>
            </w:tcMar>
          </w:tcPr>
          <w:p w:rsidR="00312ECE" w:rsidRDefault="00312ECE">
            <w:pPr>
              <w:spacing w:line="340" w:lineRule="exact"/>
              <w:jc w:val="center"/>
              <w:rPr>
                <w:sz w:val="18"/>
              </w:rPr>
            </w:pPr>
            <w:r>
              <w:rPr>
                <w:sz w:val="18"/>
              </w:rPr>
              <w:t>18</w:t>
            </w:r>
          </w:p>
        </w:tc>
        <w:tc>
          <w:tcPr>
            <w:tcW w:w="586" w:type="pct"/>
            <w:tcMar>
              <w:left w:w="57" w:type="dxa"/>
              <w:right w:w="57" w:type="dxa"/>
            </w:tcMar>
          </w:tcPr>
          <w:p w:rsidR="00312ECE" w:rsidRDefault="00312ECE">
            <w:pPr>
              <w:spacing w:line="340" w:lineRule="exact"/>
              <w:jc w:val="center"/>
              <w:rPr>
                <w:sz w:val="18"/>
              </w:rPr>
            </w:pPr>
            <w:r>
              <w:rPr>
                <w:sz w:val="18"/>
              </w:rPr>
              <w:t>1</w:t>
            </w:r>
          </w:p>
        </w:tc>
        <w:tc>
          <w:tcPr>
            <w:tcW w:w="1728" w:type="pct"/>
            <w:tcMar>
              <w:left w:w="57" w:type="dxa"/>
              <w:right w:w="57" w:type="dxa"/>
            </w:tcMar>
          </w:tcPr>
          <w:p w:rsidR="00312ECE" w:rsidRDefault="00312ECE">
            <w:pPr>
              <w:spacing w:line="340" w:lineRule="exact"/>
              <w:rPr>
                <w:rFonts w:hint="eastAsia"/>
                <w:sz w:val="18"/>
              </w:rPr>
            </w:pPr>
            <w:r>
              <w:rPr>
                <w:rFonts w:hint="eastAsia"/>
                <w:sz w:val="18"/>
              </w:rPr>
              <w:t>国库收入国务部长-A.Poca</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由G.Krasts担任主席的部长内阁</w:t>
            </w:r>
          </w:p>
          <w:p w:rsidR="00312ECE" w:rsidRDefault="00312ECE">
            <w:pPr>
              <w:spacing w:line="340" w:lineRule="exact"/>
              <w:rPr>
                <w:rFonts w:hint="eastAsia"/>
                <w:sz w:val="18"/>
              </w:rPr>
            </w:pPr>
            <w:r>
              <w:rPr>
                <w:rFonts w:hint="eastAsia"/>
                <w:sz w:val="18"/>
              </w:rPr>
              <w:t>1997年8月7日至1998年11月26日</w:t>
            </w:r>
          </w:p>
        </w:tc>
        <w:tc>
          <w:tcPr>
            <w:tcW w:w="1021" w:type="pct"/>
            <w:tcMar>
              <w:left w:w="57" w:type="dxa"/>
              <w:right w:w="57" w:type="dxa"/>
            </w:tcMar>
          </w:tcPr>
          <w:p w:rsidR="00312ECE" w:rsidRDefault="00312ECE">
            <w:pPr>
              <w:spacing w:line="340" w:lineRule="exact"/>
              <w:jc w:val="center"/>
              <w:rPr>
                <w:sz w:val="18"/>
              </w:rPr>
            </w:pPr>
            <w:r>
              <w:rPr>
                <w:sz w:val="18"/>
              </w:rPr>
              <w:t>17</w:t>
            </w:r>
          </w:p>
        </w:tc>
        <w:tc>
          <w:tcPr>
            <w:tcW w:w="586" w:type="pct"/>
            <w:tcMar>
              <w:left w:w="57" w:type="dxa"/>
              <w:right w:w="57" w:type="dxa"/>
            </w:tcMar>
          </w:tcPr>
          <w:p w:rsidR="00312ECE" w:rsidRDefault="00312ECE">
            <w:pPr>
              <w:spacing w:line="340" w:lineRule="exact"/>
              <w:jc w:val="center"/>
              <w:rPr>
                <w:sz w:val="18"/>
              </w:rPr>
            </w:pPr>
            <w:r>
              <w:rPr>
                <w:sz w:val="18"/>
              </w:rPr>
              <w:t>2</w:t>
            </w:r>
          </w:p>
        </w:tc>
        <w:tc>
          <w:tcPr>
            <w:tcW w:w="1728" w:type="pct"/>
            <w:tcMar>
              <w:left w:w="57" w:type="dxa"/>
              <w:right w:w="57" w:type="dxa"/>
            </w:tcMar>
          </w:tcPr>
          <w:p w:rsidR="00312ECE" w:rsidRDefault="00312ECE">
            <w:pPr>
              <w:spacing w:line="340" w:lineRule="exact"/>
              <w:rPr>
                <w:rFonts w:hint="eastAsia"/>
                <w:sz w:val="18"/>
              </w:rPr>
            </w:pPr>
            <w:r>
              <w:rPr>
                <w:rFonts w:hint="eastAsia"/>
                <w:sz w:val="18"/>
              </w:rPr>
              <w:t>文化部长-R.Umblija</w:t>
            </w:r>
          </w:p>
          <w:p w:rsidR="00312ECE" w:rsidRDefault="00312ECE">
            <w:pPr>
              <w:spacing w:line="340" w:lineRule="exact"/>
              <w:rPr>
                <w:rFonts w:hint="eastAsia"/>
                <w:sz w:val="18"/>
              </w:rPr>
            </w:pPr>
            <w:r>
              <w:rPr>
                <w:rFonts w:hint="eastAsia"/>
                <w:sz w:val="18"/>
              </w:rPr>
              <w:t>国库收入国务部长-A.Poca</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由V.Kristopans担任主席的部长内阁</w:t>
            </w:r>
          </w:p>
          <w:p w:rsidR="00312ECE" w:rsidRDefault="00312ECE">
            <w:pPr>
              <w:spacing w:line="340" w:lineRule="exact"/>
              <w:rPr>
                <w:rFonts w:hint="eastAsia"/>
                <w:sz w:val="18"/>
              </w:rPr>
            </w:pPr>
            <w:r>
              <w:rPr>
                <w:rFonts w:hint="eastAsia"/>
                <w:sz w:val="18"/>
              </w:rPr>
              <w:t>1998年11月26日至1999年7月16日</w:t>
            </w:r>
          </w:p>
        </w:tc>
        <w:tc>
          <w:tcPr>
            <w:tcW w:w="1021" w:type="pct"/>
            <w:tcMar>
              <w:left w:w="57" w:type="dxa"/>
              <w:right w:w="57" w:type="dxa"/>
            </w:tcMar>
          </w:tcPr>
          <w:p w:rsidR="00312ECE" w:rsidRDefault="00312ECE">
            <w:pPr>
              <w:spacing w:line="340" w:lineRule="exact"/>
              <w:jc w:val="center"/>
              <w:rPr>
                <w:sz w:val="18"/>
              </w:rPr>
            </w:pPr>
            <w:r>
              <w:rPr>
                <w:sz w:val="18"/>
              </w:rPr>
              <w:t>21</w:t>
            </w:r>
          </w:p>
        </w:tc>
        <w:tc>
          <w:tcPr>
            <w:tcW w:w="586" w:type="pct"/>
            <w:tcMar>
              <w:left w:w="57" w:type="dxa"/>
              <w:right w:w="57" w:type="dxa"/>
            </w:tcMar>
          </w:tcPr>
          <w:p w:rsidR="00312ECE" w:rsidRDefault="00312ECE">
            <w:pPr>
              <w:spacing w:line="340" w:lineRule="exact"/>
              <w:jc w:val="center"/>
              <w:rPr>
                <w:sz w:val="18"/>
              </w:rPr>
            </w:pPr>
            <w:r>
              <w:rPr>
                <w:sz w:val="18"/>
              </w:rPr>
              <w:t>6</w:t>
            </w:r>
          </w:p>
        </w:tc>
        <w:tc>
          <w:tcPr>
            <w:tcW w:w="1728" w:type="pct"/>
            <w:tcMar>
              <w:left w:w="57" w:type="dxa"/>
              <w:right w:w="57" w:type="dxa"/>
            </w:tcMar>
          </w:tcPr>
          <w:p w:rsidR="00312ECE" w:rsidRDefault="00312ECE">
            <w:pPr>
              <w:spacing w:line="340" w:lineRule="exact"/>
              <w:rPr>
                <w:rFonts w:hint="eastAsia"/>
                <w:sz w:val="18"/>
              </w:rPr>
            </w:pPr>
            <w:r>
              <w:rPr>
                <w:rFonts w:hint="eastAsia"/>
                <w:sz w:val="18"/>
              </w:rPr>
              <w:t>经济部长-I.Udre，</w:t>
            </w:r>
          </w:p>
          <w:p w:rsidR="00312ECE" w:rsidRDefault="00312ECE">
            <w:pPr>
              <w:spacing w:line="340" w:lineRule="exact"/>
              <w:rPr>
                <w:rFonts w:hint="eastAsia"/>
                <w:sz w:val="18"/>
              </w:rPr>
            </w:pPr>
            <w:r>
              <w:rPr>
                <w:rFonts w:hint="eastAsia"/>
                <w:sz w:val="18"/>
              </w:rPr>
              <w:t>文化部长K.Petersone，</w:t>
            </w:r>
          </w:p>
          <w:p w:rsidR="00312ECE" w:rsidRDefault="00312ECE">
            <w:pPr>
              <w:spacing w:line="340" w:lineRule="exact"/>
              <w:rPr>
                <w:rFonts w:hint="eastAsia"/>
                <w:sz w:val="18"/>
              </w:rPr>
            </w:pPr>
            <w:r>
              <w:rPr>
                <w:rFonts w:hint="eastAsia"/>
                <w:sz w:val="18"/>
              </w:rPr>
              <w:t>司法部长-I.Labucka，</w:t>
            </w:r>
          </w:p>
          <w:p w:rsidR="00312ECE" w:rsidRDefault="00312ECE">
            <w:pPr>
              <w:spacing w:line="340" w:lineRule="exact"/>
              <w:rPr>
                <w:rFonts w:hint="eastAsia"/>
                <w:sz w:val="18"/>
              </w:rPr>
            </w:pPr>
            <w:r>
              <w:rPr>
                <w:rFonts w:hint="eastAsia"/>
                <w:sz w:val="18"/>
              </w:rPr>
              <w:t>国库收入国务部长-A.Poca，</w:t>
            </w:r>
          </w:p>
          <w:p w:rsidR="00312ECE" w:rsidRDefault="00312ECE">
            <w:pPr>
              <w:spacing w:line="340" w:lineRule="exact"/>
              <w:rPr>
                <w:rFonts w:hint="eastAsia"/>
                <w:sz w:val="18"/>
              </w:rPr>
            </w:pPr>
            <w:r>
              <w:rPr>
                <w:rFonts w:hint="eastAsia"/>
                <w:sz w:val="18"/>
              </w:rPr>
              <w:t>环境国务部长I.Vaidere，</w:t>
            </w:r>
          </w:p>
          <w:p w:rsidR="00312ECE" w:rsidRDefault="00312ECE">
            <w:pPr>
              <w:spacing w:line="340" w:lineRule="exact"/>
              <w:rPr>
                <w:rFonts w:hint="eastAsia"/>
                <w:sz w:val="18"/>
              </w:rPr>
            </w:pPr>
            <w:r>
              <w:rPr>
                <w:rFonts w:hint="eastAsia"/>
                <w:sz w:val="18"/>
              </w:rPr>
              <w:t>高等教育及科学国务部长T.koke</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由A.Skele担任主席的部长内阁</w:t>
            </w:r>
          </w:p>
          <w:p w:rsidR="00312ECE" w:rsidRDefault="00312ECE">
            <w:pPr>
              <w:spacing w:line="340" w:lineRule="exact"/>
              <w:rPr>
                <w:rFonts w:hint="eastAsia"/>
                <w:sz w:val="18"/>
              </w:rPr>
            </w:pPr>
            <w:r>
              <w:rPr>
                <w:rFonts w:hint="eastAsia"/>
                <w:sz w:val="18"/>
              </w:rPr>
              <w:t>1999年7月16日至2000年5月5日</w:t>
            </w:r>
          </w:p>
        </w:tc>
        <w:tc>
          <w:tcPr>
            <w:tcW w:w="1021" w:type="pct"/>
            <w:tcMar>
              <w:left w:w="57" w:type="dxa"/>
              <w:right w:w="57" w:type="dxa"/>
            </w:tcMar>
          </w:tcPr>
          <w:p w:rsidR="00312ECE" w:rsidRDefault="00312ECE">
            <w:pPr>
              <w:spacing w:line="340" w:lineRule="exact"/>
              <w:jc w:val="center"/>
              <w:rPr>
                <w:sz w:val="18"/>
              </w:rPr>
            </w:pPr>
            <w:r>
              <w:rPr>
                <w:sz w:val="18"/>
              </w:rPr>
              <w:t>14</w:t>
            </w:r>
          </w:p>
        </w:tc>
        <w:tc>
          <w:tcPr>
            <w:tcW w:w="586" w:type="pct"/>
            <w:tcMar>
              <w:left w:w="57" w:type="dxa"/>
              <w:right w:w="57" w:type="dxa"/>
            </w:tcMar>
          </w:tcPr>
          <w:p w:rsidR="00312ECE" w:rsidRDefault="00312ECE">
            <w:pPr>
              <w:spacing w:line="340" w:lineRule="exact"/>
              <w:jc w:val="center"/>
              <w:rPr>
                <w:sz w:val="18"/>
              </w:rPr>
            </w:pPr>
            <w:r>
              <w:rPr>
                <w:sz w:val="18"/>
              </w:rPr>
              <w:t>2</w:t>
            </w:r>
          </w:p>
        </w:tc>
        <w:tc>
          <w:tcPr>
            <w:tcW w:w="1728" w:type="pct"/>
            <w:tcMar>
              <w:left w:w="57" w:type="dxa"/>
              <w:right w:w="57" w:type="dxa"/>
            </w:tcMar>
          </w:tcPr>
          <w:p w:rsidR="00312ECE" w:rsidRDefault="00312ECE">
            <w:pPr>
              <w:spacing w:line="340" w:lineRule="exact"/>
              <w:rPr>
                <w:rFonts w:hint="eastAsia"/>
                <w:sz w:val="18"/>
              </w:rPr>
            </w:pPr>
            <w:r>
              <w:rPr>
                <w:rFonts w:hint="eastAsia"/>
                <w:sz w:val="18"/>
              </w:rPr>
              <w:t>教育及科学部长S.Golde，</w:t>
            </w:r>
          </w:p>
          <w:p w:rsidR="00312ECE" w:rsidRDefault="00312ECE">
            <w:pPr>
              <w:spacing w:line="340" w:lineRule="exact"/>
              <w:rPr>
                <w:rFonts w:hint="eastAsia"/>
                <w:sz w:val="18"/>
              </w:rPr>
            </w:pPr>
            <w:r>
              <w:rPr>
                <w:rFonts w:hint="eastAsia"/>
                <w:sz w:val="18"/>
              </w:rPr>
              <w:t>文化部长K.Petersone</w:t>
            </w:r>
          </w:p>
        </w:tc>
      </w:tr>
      <w:tr w:rsidR="00312ECE">
        <w:tblPrEx>
          <w:tblCellMar>
            <w:top w:w="0" w:type="dxa"/>
            <w:bottom w:w="0" w:type="dxa"/>
          </w:tblCellMar>
        </w:tblPrEx>
        <w:tc>
          <w:tcPr>
            <w:tcW w:w="1665" w:type="pct"/>
          </w:tcPr>
          <w:p w:rsidR="00312ECE" w:rsidRDefault="00312ECE">
            <w:pPr>
              <w:spacing w:line="340" w:lineRule="exact"/>
              <w:rPr>
                <w:rFonts w:hint="eastAsia"/>
                <w:sz w:val="18"/>
              </w:rPr>
            </w:pPr>
            <w:r>
              <w:rPr>
                <w:rFonts w:hint="eastAsia"/>
                <w:sz w:val="18"/>
              </w:rPr>
              <w:t>由A.Berzins担任主席的部长内阁</w:t>
            </w:r>
          </w:p>
          <w:p w:rsidR="00312ECE" w:rsidRDefault="00312ECE">
            <w:pPr>
              <w:spacing w:line="340" w:lineRule="exact"/>
              <w:rPr>
                <w:rFonts w:hint="eastAsia"/>
                <w:sz w:val="18"/>
              </w:rPr>
            </w:pPr>
            <w:r>
              <w:rPr>
                <w:rFonts w:hint="eastAsia"/>
                <w:sz w:val="18"/>
              </w:rPr>
              <w:t>2000年5月5日至2002年11月7日</w:t>
            </w:r>
          </w:p>
        </w:tc>
        <w:tc>
          <w:tcPr>
            <w:tcW w:w="1021" w:type="pct"/>
            <w:tcMar>
              <w:left w:w="57" w:type="dxa"/>
              <w:right w:w="57" w:type="dxa"/>
            </w:tcMar>
          </w:tcPr>
          <w:p w:rsidR="00312ECE" w:rsidRDefault="00312ECE">
            <w:pPr>
              <w:spacing w:line="340" w:lineRule="exact"/>
              <w:jc w:val="center"/>
              <w:rPr>
                <w:sz w:val="18"/>
              </w:rPr>
            </w:pPr>
            <w:r>
              <w:rPr>
                <w:sz w:val="18"/>
              </w:rPr>
              <w:t>14</w:t>
            </w:r>
          </w:p>
        </w:tc>
        <w:tc>
          <w:tcPr>
            <w:tcW w:w="586" w:type="pct"/>
            <w:tcMar>
              <w:left w:w="57" w:type="dxa"/>
              <w:right w:w="57" w:type="dxa"/>
            </w:tcMar>
          </w:tcPr>
          <w:p w:rsidR="00312ECE" w:rsidRDefault="00312ECE">
            <w:pPr>
              <w:spacing w:line="340" w:lineRule="exact"/>
              <w:jc w:val="center"/>
              <w:rPr>
                <w:sz w:val="18"/>
              </w:rPr>
            </w:pPr>
            <w:r>
              <w:rPr>
                <w:sz w:val="18"/>
              </w:rPr>
              <w:t>2</w:t>
            </w:r>
          </w:p>
        </w:tc>
        <w:tc>
          <w:tcPr>
            <w:tcW w:w="1728" w:type="pct"/>
            <w:tcMar>
              <w:left w:w="57" w:type="dxa"/>
              <w:right w:w="57" w:type="dxa"/>
            </w:tcMar>
          </w:tcPr>
          <w:p w:rsidR="00312ECE" w:rsidRDefault="00312ECE">
            <w:pPr>
              <w:spacing w:line="340" w:lineRule="exact"/>
              <w:rPr>
                <w:rFonts w:hint="eastAsia"/>
                <w:sz w:val="18"/>
              </w:rPr>
            </w:pPr>
            <w:r>
              <w:rPr>
                <w:rFonts w:hint="eastAsia"/>
                <w:sz w:val="18"/>
              </w:rPr>
              <w:t>文化部长K.petersone</w:t>
            </w:r>
          </w:p>
          <w:p w:rsidR="00312ECE" w:rsidRDefault="00312ECE">
            <w:pPr>
              <w:spacing w:line="340" w:lineRule="exact"/>
              <w:rPr>
                <w:rFonts w:hint="eastAsia"/>
                <w:sz w:val="18"/>
              </w:rPr>
            </w:pPr>
            <w:r>
              <w:rPr>
                <w:rFonts w:hint="eastAsia"/>
                <w:sz w:val="18"/>
              </w:rPr>
              <w:t>司法部长I.Labucka</w:t>
            </w:r>
          </w:p>
        </w:tc>
      </w:tr>
    </w:tbl>
    <w:p w:rsidR="00312ECE" w:rsidRDefault="00312ECE">
      <w:pPr>
        <w:pStyle w:val="SingleTxt"/>
        <w:rPr>
          <w:rFonts w:hint="eastAsia"/>
        </w:rPr>
      </w:pPr>
      <w:r>
        <w:rPr>
          <w:rFonts w:hint="eastAsia"/>
        </w:rPr>
        <w:t>60．对妇女担任公务员职务没有限制。根据“国家公务员制度”法，凡想成为国家公务员的人士，须符合下述条件：</w:t>
      </w:r>
    </w:p>
    <w:p w:rsidR="00312ECE" w:rsidRDefault="00312ECE">
      <w:pPr>
        <w:pStyle w:val="SingleTxt"/>
        <w:rPr>
          <w:rFonts w:hint="eastAsia"/>
        </w:rPr>
      </w:pPr>
      <w:r>
        <w:tab/>
        <w:t>(</w:t>
      </w:r>
      <w:r>
        <w:rPr>
          <w:rFonts w:hint="eastAsia"/>
        </w:rPr>
        <w:t>1)</w:t>
      </w:r>
      <w:r>
        <w:rPr>
          <w:rFonts w:hint="eastAsia"/>
        </w:rPr>
        <w:tab/>
        <w:t>应是拉脱维亚共和国公民；</w:t>
      </w:r>
    </w:p>
    <w:p w:rsidR="00312ECE" w:rsidRDefault="00312ECE">
      <w:pPr>
        <w:pStyle w:val="SingleTxt"/>
        <w:rPr>
          <w:rFonts w:hint="eastAsia"/>
        </w:rPr>
      </w:pPr>
      <w:r>
        <w:tab/>
        <w:t>(</w:t>
      </w:r>
      <w:r>
        <w:rPr>
          <w:rFonts w:hint="eastAsia"/>
        </w:rPr>
        <w:t>2</w:t>
      </w:r>
      <w:r>
        <w:t>)</w:t>
      </w:r>
      <w:r>
        <w:tab/>
      </w:r>
      <w:r>
        <w:rPr>
          <w:rFonts w:hint="eastAsia"/>
        </w:rPr>
        <w:t>应娴熟地掌握拉脱维亚语言；</w:t>
      </w:r>
    </w:p>
    <w:p w:rsidR="00312ECE" w:rsidRDefault="00312ECE">
      <w:pPr>
        <w:pStyle w:val="SingleTxt"/>
        <w:rPr>
          <w:rFonts w:hint="eastAsia"/>
        </w:rPr>
      </w:pPr>
      <w:r>
        <w:tab/>
        <w:t>(</w:t>
      </w:r>
      <w:r>
        <w:rPr>
          <w:rFonts w:hint="eastAsia"/>
        </w:rPr>
        <w:t>3)</w:t>
      </w:r>
      <w:r>
        <w:rPr>
          <w:rFonts w:hint="eastAsia"/>
        </w:rPr>
        <w:tab/>
        <w:t>应有高等教育学历；</w:t>
      </w:r>
    </w:p>
    <w:p w:rsidR="00312ECE" w:rsidRDefault="00312ECE">
      <w:pPr>
        <w:pStyle w:val="SingleTxt"/>
        <w:rPr>
          <w:rFonts w:hint="eastAsia"/>
        </w:rPr>
      </w:pPr>
      <w:r>
        <w:tab/>
        <w:t>(</w:t>
      </w:r>
      <w:r>
        <w:rPr>
          <w:rFonts w:hint="eastAsia"/>
        </w:rPr>
        <w:t>4)</w:t>
      </w:r>
      <w:r>
        <w:rPr>
          <w:rFonts w:hint="eastAsia"/>
        </w:rPr>
        <w:tab/>
        <w:t>尚未达到法定退休年龄；</w:t>
      </w:r>
    </w:p>
    <w:p w:rsidR="00312ECE" w:rsidRDefault="00312ECE">
      <w:pPr>
        <w:pStyle w:val="SingleTxt"/>
        <w:ind w:left="2126" w:hanging="431"/>
        <w:rPr>
          <w:rFonts w:hint="eastAsia"/>
        </w:rPr>
      </w:pPr>
      <w:r>
        <w:t>(</w:t>
      </w:r>
      <w:r>
        <w:rPr>
          <w:rFonts w:hint="eastAsia"/>
        </w:rPr>
        <w:t>5)</w:t>
      </w:r>
      <w:r>
        <w:rPr>
          <w:rFonts w:hint="eastAsia"/>
        </w:rPr>
        <w:tab/>
        <w:t>未因蓄意刑事犯罪被判刑，或者已经改过自新，或者其犯罪记录已经注销；</w:t>
      </w:r>
    </w:p>
    <w:p w:rsidR="00312ECE" w:rsidRDefault="00312ECE">
      <w:pPr>
        <w:pStyle w:val="SingleTxt"/>
        <w:rPr>
          <w:rFonts w:hint="eastAsia"/>
        </w:rPr>
      </w:pPr>
      <w:r>
        <w:tab/>
      </w:r>
      <w:r>
        <w:rPr>
          <w:rFonts w:hint="eastAsia"/>
        </w:rPr>
        <w:t>⑹</w:t>
      </w:r>
      <w:r>
        <w:rPr>
          <w:rFonts w:hint="eastAsia"/>
        </w:rPr>
        <w:tab/>
        <w:t>在法院对刑事案件作出裁决后未被开除公务员职务；</w:t>
      </w:r>
    </w:p>
    <w:p w:rsidR="00312ECE" w:rsidRDefault="00312ECE">
      <w:pPr>
        <w:pStyle w:val="SingleTxt"/>
        <w:rPr>
          <w:rFonts w:hint="eastAsia"/>
        </w:rPr>
      </w:pPr>
      <w:r>
        <w:tab/>
      </w:r>
      <w:r>
        <w:rPr>
          <w:rFonts w:hint="eastAsia"/>
        </w:rPr>
        <w:t>⑺</w:t>
      </w:r>
      <w:r>
        <w:rPr>
          <w:rFonts w:hint="eastAsia"/>
        </w:rPr>
        <w:tab/>
        <w:t>其无行为能力根据法定程序没有得到承认；</w:t>
      </w:r>
    </w:p>
    <w:p w:rsidR="00312ECE" w:rsidRDefault="00312ECE">
      <w:pPr>
        <w:pStyle w:val="SingleTxt"/>
        <w:ind w:left="2126" w:hanging="431"/>
        <w:rPr>
          <w:rFonts w:hint="eastAsia"/>
        </w:rPr>
      </w:pPr>
      <w:r>
        <w:rPr>
          <w:rFonts w:hint="eastAsia"/>
        </w:rPr>
        <w:t>⑻</w:t>
      </w:r>
      <w:r>
        <w:rPr>
          <w:rFonts w:hint="eastAsia"/>
        </w:rPr>
        <w:tab/>
        <w:t>目前不是而且一直不是前苏联、前拉脱维亚苏维埃社会主义共和国或者外国安全部门、情报机构或者反间谍机构的正式官员；</w:t>
      </w:r>
    </w:p>
    <w:p w:rsidR="00312ECE" w:rsidRDefault="00312ECE">
      <w:pPr>
        <w:pStyle w:val="SingleTxt"/>
        <w:rPr>
          <w:rFonts w:hint="eastAsia"/>
        </w:rPr>
      </w:pPr>
      <w:r>
        <w:tab/>
      </w:r>
      <w:r>
        <w:rPr>
          <w:rFonts w:hint="eastAsia"/>
        </w:rPr>
        <w:t>⑼</w:t>
      </w:r>
      <w:r>
        <w:rPr>
          <w:rFonts w:hint="eastAsia"/>
        </w:rPr>
        <w:tab/>
        <w:t>目前不是而且一直不是法律或者法院裁决禁止的组织的成员；</w:t>
      </w:r>
    </w:p>
    <w:p w:rsidR="00312ECE" w:rsidRDefault="00312ECE">
      <w:pPr>
        <w:pStyle w:val="SingleTxt"/>
        <w:ind w:left="2126" w:hanging="431"/>
        <w:rPr>
          <w:rFonts w:hint="eastAsia"/>
        </w:rPr>
      </w:pPr>
      <w:r>
        <w:rPr>
          <w:rFonts w:hint="eastAsia"/>
        </w:rPr>
        <w:t>⑽</w:t>
      </w:r>
      <w:r>
        <w:tab/>
      </w:r>
      <w:r>
        <w:rPr>
          <w:rFonts w:hint="eastAsia"/>
        </w:rPr>
        <w:t>不是某个机构经理或者顶头上司的亲戚（与公务员结婚，并且是姻亲或者一等亲以及兄弟和姐妹）。在相关机构不能保证以任何其他方式履行其职能的情况下，部长内阁可确定例外情况。</w:t>
      </w:r>
    </w:p>
    <w:p w:rsidR="00312ECE" w:rsidRDefault="00312ECE">
      <w:pPr>
        <w:pStyle w:val="SingleTxt"/>
        <w:rPr>
          <w:rFonts w:hint="eastAsia"/>
        </w:rPr>
      </w:pPr>
      <w:r>
        <w:rPr>
          <w:rFonts w:hint="eastAsia"/>
        </w:rPr>
        <w:t>61．尽管在性别方面没有施加法律或政治上的限制，但在目前，妇女在立法机构及行政机构的任职人数仍比男子少。</w:t>
      </w:r>
    </w:p>
    <w:p w:rsidR="00312ECE" w:rsidRDefault="00312ECE">
      <w:pPr>
        <w:pStyle w:val="SingleTxt"/>
      </w:pPr>
      <w:r>
        <w:rPr>
          <w:rFonts w:hint="eastAsia"/>
        </w:rPr>
        <w:t>62．下表概要列出的统计数据不仅说明了男子与妇女在政府机构的就业情况，而且还说明了他们在国民经济、贸易、制造及服务业的所有领域的就业情况（单位：千人）。</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42"/>
        <w:gridCol w:w="473"/>
        <w:gridCol w:w="472"/>
        <w:gridCol w:w="470"/>
        <w:gridCol w:w="470"/>
        <w:gridCol w:w="554"/>
        <w:gridCol w:w="554"/>
        <w:gridCol w:w="554"/>
        <w:gridCol w:w="469"/>
        <w:gridCol w:w="554"/>
        <w:gridCol w:w="554"/>
        <w:gridCol w:w="554"/>
        <w:gridCol w:w="551"/>
      </w:tblGrid>
      <w:tr w:rsidR="00312ECE">
        <w:tblPrEx>
          <w:tblCellMar>
            <w:top w:w="0" w:type="dxa"/>
            <w:bottom w:w="0" w:type="dxa"/>
          </w:tblCellMar>
        </w:tblPrEx>
        <w:trPr>
          <w:cantSplit/>
          <w:tblHeader/>
        </w:trPr>
        <w:tc>
          <w:tcPr>
            <w:tcW w:w="774" w:type="pct"/>
            <w:vMerge w:val="restart"/>
          </w:tcPr>
          <w:p w:rsidR="00312ECE" w:rsidRDefault="00312ECE">
            <w:pPr>
              <w:spacing w:line="360" w:lineRule="atLeast"/>
              <w:rPr>
                <w:rFonts w:ascii="KaiTi_GB2312" w:eastAsia="KaiTi_GB2312" w:hint="eastAsia"/>
                <w:color w:val="0000FF"/>
                <w:sz w:val="18"/>
              </w:rPr>
            </w:pPr>
            <w:r>
              <w:rPr>
                <w:rFonts w:ascii="KaiTi_GB2312" w:eastAsia="KaiTi_GB2312"/>
                <w:color w:val="0000FF"/>
              </w:rPr>
              <w:br w:type="page"/>
            </w:r>
          </w:p>
        </w:tc>
        <w:tc>
          <w:tcPr>
            <w:tcW w:w="2030" w:type="pct"/>
            <w:gridSpan w:val="6"/>
            <w:tcMar>
              <w:left w:w="57" w:type="dxa"/>
              <w:right w:w="57"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2195" w:type="pct"/>
            <w:gridSpan w:val="6"/>
            <w:tcMar>
              <w:left w:w="57" w:type="dxa"/>
              <w:right w:w="57"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r>
      <w:tr w:rsidR="00312ECE">
        <w:tblPrEx>
          <w:tblCellMar>
            <w:top w:w="0" w:type="dxa"/>
            <w:bottom w:w="0" w:type="dxa"/>
          </w:tblCellMar>
        </w:tblPrEx>
        <w:trPr>
          <w:cantSplit/>
          <w:tblHeader/>
        </w:trPr>
        <w:tc>
          <w:tcPr>
            <w:tcW w:w="774" w:type="pct"/>
            <w:vMerge/>
          </w:tcPr>
          <w:p w:rsidR="00312ECE" w:rsidRDefault="00312ECE">
            <w:pPr>
              <w:spacing w:line="360" w:lineRule="atLeast"/>
              <w:rPr>
                <w:rFonts w:ascii="KaiTi_GB2312" w:eastAsia="KaiTi_GB2312" w:hint="eastAsia"/>
                <w:color w:val="0000FF"/>
                <w:sz w:val="18"/>
              </w:rPr>
            </w:pPr>
          </w:p>
        </w:tc>
        <w:tc>
          <w:tcPr>
            <w:tcW w:w="320"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1995年</w:t>
            </w:r>
          </w:p>
        </w:tc>
        <w:tc>
          <w:tcPr>
            <w:tcW w:w="320"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1996年</w:t>
            </w:r>
          </w:p>
        </w:tc>
        <w:tc>
          <w:tcPr>
            <w:tcW w:w="319"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1997年</w:t>
            </w:r>
          </w:p>
        </w:tc>
        <w:tc>
          <w:tcPr>
            <w:tcW w:w="319"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1998年</w:t>
            </w:r>
          </w:p>
        </w:tc>
        <w:tc>
          <w:tcPr>
            <w:tcW w:w="376"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1999年</w:t>
            </w:r>
          </w:p>
        </w:tc>
        <w:tc>
          <w:tcPr>
            <w:tcW w:w="376"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2000年</w:t>
            </w:r>
          </w:p>
        </w:tc>
        <w:tc>
          <w:tcPr>
            <w:tcW w:w="376"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1995年</w:t>
            </w:r>
          </w:p>
        </w:tc>
        <w:tc>
          <w:tcPr>
            <w:tcW w:w="318"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1996年</w:t>
            </w:r>
          </w:p>
        </w:tc>
        <w:tc>
          <w:tcPr>
            <w:tcW w:w="376"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1997年</w:t>
            </w:r>
          </w:p>
        </w:tc>
        <w:tc>
          <w:tcPr>
            <w:tcW w:w="376"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1998年</w:t>
            </w:r>
          </w:p>
        </w:tc>
        <w:tc>
          <w:tcPr>
            <w:tcW w:w="376"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1999年</w:t>
            </w:r>
          </w:p>
        </w:tc>
        <w:tc>
          <w:tcPr>
            <w:tcW w:w="374" w:type="pct"/>
            <w:tcMar>
              <w:left w:w="11" w:type="dxa"/>
              <w:right w:w="11" w:type="dxa"/>
            </w:tcMar>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2000年</w:t>
            </w:r>
          </w:p>
        </w:tc>
      </w:tr>
      <w:tr w:rsidR="00312ECE">
        <w:tblPrEx>
          <w:tblCellMar>
            <w:top w:w="0" w:type="dxa"/>
            <w:bottom w:w="0" w:type="dxa"/>
          </w:tblCellMar>
        </w:tblPrEx>
        <w:tc>
          <w:tcPr>
            <w:tcW w:w="774" w:type="pct"/>
          </w:tcPr>
          <w:p w:rsidR="00312ECE" w:rsidRDefault="00312ECE">
            <w:pPr>
              <w:spacing w:before="40" w:after="40" w:line="240" w:lineRule="exact"/>
              <w:rPr>
                <w:rFonts w:hint="eastAsia"/>
                <w:sz w:val="17"/>
              </w:rPr>
            </w:pPr>
            <w:r>
              <w:rPr>
                <w:rFonts w:hint="eastAsia"/>
                <w:sz w:val="17"/>
              </w:rPr>
              <w:t>在各类活动领域就业</w:t>
            </w:r>
          </w:p>
        </w:tc>
        <w:tc>
          <w:tcPr>
            <w:tcW w:w="320" w:type="pct"/>
          </w:tcPr>
          <w:p w:rsidR="00312ECE" w:rsidRDefault="00312ECE">
            <w:pPr>
              <w:spacing w:before="40" w:after="40" w:line="240" w:lineRule="exact"/>
              <w:jc w:val="center"/>
              <w:rPr>
                <w:sz w:val="17"/>
              </w:rPr>
            </w:pPr>
            <w:r>
              <w:rPr>
                <w:sz w:val="17"/>
              </w:rPr>
              <w:t>534.</w:t>
            </w:r>
          </w:p>
        </w:tc>
        <w:tc>
          <w:tcPr>
            <w:tcW w:w="320" w:type="pct"/>
          </w:tcPr>
          <w:p w:rsidR="00312ECE" w:rsidRDefault="00312ECE">
            <w:pPr>
              <w:spacing w:before="40" w:after="40" w:line="240" w:lineRule="exact"/>
              <w:jc w:val="center"/>
              <w:rPr>
                <w:sz w:val="17"/>
              </w:rPr>
            </w:pPr>
            <w:r>
              <w:rPr>
                <w:sz w:val="17"/>
              </w:rPr>
              <w:t>520.</w:t>
            </w:r>
          </w:p>
        </w:tc>
        <w:tc>
          <w:tcPr>
            <w:tcW w:w="319" w:type="pct"/>
          </w:tcPr>
          <w:p w:rsidR="00312ECE" w:rsidRDefault="00312ECE">
            <w:pPr>
              <w:spacing w:before="40" w:after="40" w:line="240" w:lineRule="exact"/>
              <w:jc w:val="center"/>
              <w:rPr>
                <w:sz w:val="17"/>
              </w:rPr>
            </w:pPr>
            <w:r>
              <w:rPr>
                <w:sz w:val="17"/>
              </w:rPr>
              <w:t>527.</w:t>
            </w:r>
          </w:p>
        </w:tc>
        <w:tc>
          <w:tcPr>
            <w:tcW w:w="319" w:type="pct"/>
          </w:tcPr>
          <w:p w:rsidR="00312ECE" w:rsidRDefault="00312ECE">
            <w:pPr>
              <w:spacing w:before="40" w:after="40" w:line="240" w:lineRule="exact"/>
              <w:jc w:val="center"/>
              <w:rPr>
                <w:sz w:val="17"/>
              </w:rPr>
            </w:pPr>
            <w:r>
              <w:rPr>
                <w:sz w:val="17"/>
              </w:rPr>
              <w:t>537.</w:t>
            </w:r>
          </w:p>
        </w:tc>
        <w:tc>
          <w:tcPr>
            <w:tcW w:w="376" w:type="pct"/>
          </w:tcPr>
          <w:p w:rsidR="00312ECE" w:rsidRDefault="00312ECE">
            <w:pPr>
              <w:spacing w:before="40" w:after="40" w:line="240" w:lineRule="exact"/>
              <w:jc w:val="center"/>
              <w:rPr>
                <w:sz w:val="17"/>
              </w:rPr>
            </w:pPr>
            <w:r>
              <w:rPr>
                <w:sz w:val="17"/>
              </w:rPr>
              <w:t>535.1</w:t>
            </w:r>
          </w:p>
        </w:tc>
        <w:tc>
          <w:tcPr>
            <w:tcW w:w="376" w:type="pct"/>
          </w:tcPr>
          <w:p w:rsidR="00312ECE" w:rsidRDefault="00312ECE">
            <w:pPr>
              <w:spacing w:before="40" w:after="40" w:line="240" w:lineRule="exact"/>
              <w:jc w:val="center"/>
              <w:rPr>
                <w:sz w:val="17"/>
              </w:rPr>
            </w:pPr>
            <w:r>
              <w:rPr>
                <w:sz w:val="17"/>
              </w:rPr>
              <w:t>533.5</w:t>
            </w:r>
          </w:p>
        </w:tc>
        <w:tc>
          <w:tcPr>
            <w:tcW w:w="376" w:type="pct"/>
          </w:tcPr>
          <w:p w:rsidR="00312ECE" w:rsidRDefault="00312ECE">
            <w:pPr>
              <w:spacing w:before="40" w:after="40" w:line="240" w:lineRule="exact"/>
              <w:jc w:val="center"/>
              <w:rPr>
                <w:sz w:val="17"/>
              </w:rPr>
            </w:pPr>
            <w:r>
              <w:rPr>
                <w:sz w:val="17"/>
              </w:rPr>
              <w:t>511.3</w:t>
            </w:r>
          </w:p>
        </w:tc>
        <w:tc>
          <w:tcPr>
            <w:tcW w:w="318" w:type="pct"/>
          </w:tcPr>
          <w:p w:rsidR="00312ECE" w:rsidRDefault="00312ECE">
            <w:pPr>
              <w:spacing w:before="40" w:after="40" w:line="240" w:lineRule="exact"/>
              <w:jc w:val="center"/>
              <w:rPr>
                <w:sz w:val="17"/>
              </w:rPr>
            </w:pPr>
            <w:r>
              <w:rPr>
                <w:sz w:val="17"/>
              </w:rPr>
              <w:t>497.</w:t>
            </w:r>
          </w:p>
        </w:tc>
        <w:tc>
          <w:tcPr>
            <w:tcW w:w="376" w:type="pct"/>
          </w:tcPr>
          <w:p w:rsidR="00312ECE" w:rsidRDefault="00312ECE">
            <w:pPr>
              <w:spacing w:before="40" w:after="40" w:line="240" w:lineRule="exact"/>
              <w:jc w:val="center"/>
              <w:rPr>
                <w:sz w:val="17"/>
              </w:rPr>
            </w:pPr>
            <w:r>
              <w:rPr>
                <w:sz w:val="17"/>
              </w:rPr>
              <w:t>509.0</w:t>
            </w:r>
          </w:p>
        </w:tc>
        <w:tc>
          <w:tcPr>
            <w:tcW w:w="376" w:type="pct"/>
          </w:tcPr>
          <w:p w:rsidR="00312ECE" w:rsidRDefault="00312ECE">
            <w:pPr>
              <w:spacing w:before="40" w:after="40" w:line="240" w:lineRule="exact"/>
              <w:jc w:val="center"/>
              <w:rPr>
                <w:sz w:val="17"/>
              </w:rPr>
            </w:pPr>
            <w:r>
              <w:rPr>
                <w:sz w:val="17"/>
              </w:rPr>
              <w:t>505.9</w:t>
            </w:r>
          </w:p>
        </w:tc>
        <w:tc>
          <w:tcPr>
            <w:tcW w:w="376" w:type="pct"/>
          </w:tcPr>
          <w:p w:rsidR="00312ECE" w:rsidRDefault="00312ECE">
            <w:pPr>
              <w:spacing w:before="40" w:after="40" w:line="240" w:lineRule="exact"/>
              <w:jc w:val="center"/>
              <w:rPr>
                <w:sz w:val="17"/>
              </w:rPr>
            </w:pPr>
            <w:r>
              <w:rPr>
                <w:sz w:val="17"/>
              </w:rPr>
              <w:t>502.7</w:t>
            </w:r>
          </w:p>
        </w:tc>
        <w:tc>
          <w:tcPr>
            <w:tcW w:w="374" w:type="pct"/>
          </w:tcPr>
          <w:p w:rsidR="00312ECE" w:rsidRDefault="00312ECE">
            <w:pPr>
              <w:spacing w:before="40" w:after="40" w:line="240" w:lineRule="exact"/>
              <w:jc w:val="center"/>
              <w:rPr>
                <w:sz w:val="17"/>
              </w:rPr>
            </w:pPr>
            <w:r>
              <w:rPr>
                <w:sz w:val="17"/>
              </w:rPr>
              <w:t>504.4</w:t>
            </w:r>
          </w:p>
        </w:tc>
      </w:tr>
      <w:tr w:rsidR="00312ECE">
        <w:tblPrEx>
          <w:tblCellMar>
            <w:top w:w="0" w:type="dxa"/>
            <w:bottom w:w="0" w:type="dxa"/>
          </w:tblCellMar>
        </w:tblPrEx>
        <w:tc>
          <w:tcPr>
            <w:tcW w:w="774" w:type="pct"/>
          </w:tcPr>
          <w:p w:rsidR="00312ECE" w:rsidRDefault="00312ECE">
            <w:pPr>
              <w:spacing w:before="40" w:after="40" w:line="240" w:lineRule="exact"/>
              <w:rPr>
                <w:rFonts w:hint="eastAsia"/>
                <w:sz w:val="17"/>
              </w:rPr>
            </w:pPr>
            <w:r>
              <w:rPr>
                <w:rFonts w:hint="eastAsia"/>
                <w:sz w:val="17"/>
              </w:rPr>
              <w:t>农业、狩猎及林业</w:t>
            </w:r>
          </w:p>
        </w:tc>
        <w:tc>
          <w:tcPr>
            <w:tcW w:w="320" w:type="pct"/>
          </w:tcPr>
          <w:p w:rsidR="00312ECE" w:rsidRDefault="00312ECE">
            <w:pPr>
              <w:spacing w:before="40" w:after="40" w:line="240" w:lineRule="exact"/>
              <w:jc w:val="center"/>
              <w:rPr>
                <w:sz w:val="17"/>
              </w:rPr>
            </w:pPr>
            <w:r>
              <w:rPr>
                <w:sz w:val="17"/>
              </w:rPr>
              <w:t>118.</w:t>
            </w:r>
          </w:p>
        </w:tc>
        <w:tc>
          <w:tcPr>
            <w:tcW w:w="320" w:type="pct"/>
          </w:tcPr>
          <w:p w:rsidR="00312ECE" w:rsidRDefault="00312ECE">
            <w:pPr>
              <w:spacing w:before="40" w:after="40" w:line="240" w:lineRule="exact"/>
              <w:jc w:val="center"/>
              <w:rPr>
                <w:sz w:val="17"/>
              </w:rPr>
            </w:pPr>
            <w:r>
              <w:rPr>
                <w:sz w:val="17"/>
              </w:rPr>
              <w:t>114.</w:t>
            </w:r>
          </w:p>
        </w:tc>
        <w:tc>
          <w:tcPr>
            <w:tcW w:w="319" w:type="pct"/>
          </w:tcPr>
          <w:p w:rsidR="00312ECE" w:rsidRDefault="00312ECE">
            <w:pPr>
              <w:spacing w:before="40" w:after="40" w:line="240" w:lineRule="exact"/>
              <w:jc w:val="center"/>
              <w:rPr>
                <w:sz w:val="17"/>
              </w:rPr>
            </w:pPr>
            <w:r>
              <w:rPr>
                <w:sz w:val="17"/>
              </w:rPr>
              <w:t>115.</w:t>
            </w:r>
          </w:p>
        </w:tc>
        <w:tc>
          <w:tcPr>
            <w:tcW w:w="319" w:type="pct"/>
          </w:tcPr>
          <w:p w:rsidR="00312ECE" w:rsidRDefault="00312ECE">
            <w:pPr>
              <w:spacing w:before="40" w:after="40" w:line="240" w:lineRule="exact"/>
              <w:jc w:val="center"/>
              <w:rPr>
                <w:sz w:val="17"/>
              </w:rPr>
            </w:pPr>
            <w:r>
              <w:rPr>
                <w:sz w:val="17"/>
              </w:rPr>
              <w:t>112.</w:t>
            </w:r>
          </w:p>
        </w:tc>
        <w:tc>
          <w:tcPr>
            <w:tcW w:w="376" w:type="pct"/>
          </w:tcPr>
          <w:p w:rsidR="00312ECE" w:rsidRDefault="00312ECE">
            <w:pPr>
              <w:spacing w:before="40" w:after="40" w:line="240" w:lineRule="exact"/>
              <w:jc w:val="center"/>
              <w:rPr>
                <w:sz w:val="17"/>
              </w:rPr>
            </w:pPr>
            <w:r>
              <w:rPr>
                <w:sz w:val="17"/>
              </w:rPr>
              <w:t>107.2</w:t>
            </w:r>
          </w:p>
        </w:tc>
        <w:tc>
          <w:tcPr>
            <w:tcW w:w="376" w:type="pct"/>
          </w:tcPr>
          <w:p w:rsidR="00312ECE" w:rsidRDefault="00312ECE">
            <w:pPr>
              <w:spacing w:before="40" w:after="40" w:line="240" w:lineRule="exact"/>
              <w:jc w:val="center"/>
              <w:rPr>
                <w:sz w:val="17"/>
              </w:rPr>
            </w:pPr>
            <w:r>
              <w:rPr>
                <w:sz w:val="17"/>
              </w:rPr>
              <w:t>94.9</w:t>
            </w:r>
          </w:p>
        </w:tc>
        <w:tc>
          <w:tcPr>
            <w:tcW w:w="376" w:type="pct"/>
          </w:tcPr>
          <w:p w:rsidR="00312ECE" w:rsidRDefault="00312ECE">
            <w:pPr>
              <w:spacing w:before="40" w:after="40" w:line="240" w:lineRule="exact"/>
              <w:jc w:val="center"/>
              <w:rPr>
                <w:sz w:val="17"/>
              </w:rPr>
            </w:pPr>
            <w:r>
              <w:rPr>
                <w:sz w:val="17"/>
              </w:rPr>
              <w:t>69.5</w:t>
            </w:r>
          </w:p>
        </w:tc>
        <w:tc>
          <w:tcPr>
            <w:tcW w:w="318" w:type="pct"/>
          </w:tcPr>
          <w:p w:rsidR="00312ECE" w:rsidRDefault="00312ECE">
            <w:pPr>
              <w:spacing w:before="40" w:after="40" w:line="240" w:lineRule="exact"/>
              <w:jc w:val="center"/>
              <w:rPr>
                <w:sz w:val="17"/>
              </w:rPr>
            </w:pPr>
            <w:r>
              <w:rPr>
                <w:sz w:val="17"/>
              </w:rPr>
              <w:t>66.9</w:t>
            </w:r>
          </w:p>
        </w:tc>
        <w:tc>
          <w:tcPr>
            <w:tcW w:w="376" w:type="pct"/>
          </w:tcPr>
          <w:p w:rsidR="00312ECE" w:rsidRDefault="00312ECE">
            <w:pPr>
              <w:spacing w:before="40" w:after="40" w:line="240" w:lineRule="exact"/>
              <w:jc w:val="center"/>
              <w:rPr>
                <w:sz w:val="17"/>
              </w:rPr>
            </w:pPr>
            <w:r>
              <w:rPr>
                <w:sz w:val="17"/>
              </w:rPr>
              <w:t>70.9</w:t>
            </w:r>
          </w:p>
        </w:tc>
        <w:tc>
          <w:tcPr>
            <w:tcW w:w="376" w:type="pct"/>
          </w:tcPr>
          <w:p w:rsidR="00312ECE" w:rsidRDefault="00312ECE">
            <w:pPr>
              <w:spacing w:before="40" w:after="40" w:line="240" w:lineRule="exact"/>
              <w:jc w:val="center"/>
              <w:rPr>
                <w:sz w:val="17"/>
              </w:rPr>
            </w:pPr>
            <w:r>
              <w:rPr>
                <w:sz w:val="17"/>
              </w:rPr>
              <w:t>65.6</w:t>
            </w:r>
          </w:p>
        </w:tc>
        <w:tc>
          <w:tcPr>
            <w:tcW w:w="376" w:type="pct"/>
          </w:tcPr>
          <w:p w:rsidR="00312ECE" w:rsidRDefault="00312ECE">
            <w:pPr>
              <w:spacing w:before="40" w:after="40" w:line="240" w:lineRule="exact"/>
              <w:jc w:val="center"/>
              <w:rPr>
                <w:sz w:val="17"/>
              </w:rPr>
            </w:pPr>
            <w:r>
              <w:rPr>
                <w:sz w:val="17"/>
              </w:rPr>
              <w:t>64.1</w:t>
            </w:r>
          </w:p>
        </w:tc>
        <w:tc>
          <w:tcPr>
            <w:tcW w:w="374" w:type="pct"/>
          </w:tcPr>
          <w:p w:rsidR="00312ECE" w:rsidRDefault="00312ECE">
            <w:pPr>
              <w:spacing w:before="40" w:after="40" w:line="240" w:lineRule="exact"/>
              <w:jc w:val="center"/>
              <w:rPr>
                <w:sz w:val="17"/>
              </w:rPr>
            </w:pPr>
            <w:r>
              <w:rPr>
                <w:sz w:val="17"/>
              </w:rPr>
              <w:t>57.7</w:t>
            </w:r>
          </w:p>
        </w:tc>
      </w:tr>
      <w:tr w:rsidR="00312ECE">
        <w:tblPrEx>
          <w:tblCellMar>
            <w:top w:w="0" w:type="dxa"/>
            <w:bottom w:w="0" w:type="dxa"/>
          </w:tblCellMar>
        </w:tblPrEx>
        <w:tc>
          <w:tcPr>
            <w:tcW w:w="774" w:type="pct"/>
          </w:tcPr>
          <w:p w:rsidR="00312ECE" w:rsidRDefault="00312ECE">
            <w:pPr>
              <w:spacing w:before="40" w:after="40" w:line="240" w:lineRule="exact"/>
              <w:rPr>
                <w:rFonts w:hint="eastAsia"/>
                <w:sz w:val="17"/>
              </w:rPr>
            </w:pPr>
            <w:r>
              <w:rPr>
                <w:rFonts w:hint="eastAsia"/>
                <w:sz w:val="17"/>
              </w:rPr>
              <w:t>农业及狩猎</w:t>
            </w:r>
          </w:p>
        </w:tc>
        <w:tc>
          <w:tcPr>
            <w:tcW w:w="320" w:type="pct"/>
          </w:tcPr>
          <w:p w:rsidR="00312ECE" w:rsidRDefault="00312ECE">
            <w:pPr>
              <w:spacing w:before="40" w:after="40" w:line="240" w:lineRule="exact"/>
              <w:jc w:val="center"/>
              <w:rPr>
                <w:sz w:val="17"/>
              </w:rPr>
            </w:pPr>
            <w:r>
              <w:rPr>
                <w:sz w:val="17"/>
              </w:rPr>
              <w:t>105.</w:t>
            </w:r>
          </w:p>
        </w:tc>
        <w:tc>
          <w:tcPr>
            <w:tcW w:w="320" w:type="pct"/>
          </w:tcPr>
          <w:p w:rsidR="00312ECE" w:rsidRDefault="00312ECE">
            <w:pPr>
              <w:spacing w:before="40" w:after="40" w:line="240" w:lineRule="exact"/>
              <w:jc w:val="center"/>
              <w:rPr>
                <w:sz w:val="17"/>
              </w:rPr>
            </w:pPr>
            <w:r>
              <w:rPr>
                <w:sz w:val="17"/>
              </w:rPr>
              <w:t>101.</w:t>
            </w:r>
          </w:p>
        </w:tc>
        <w:tc>
          <w:tcPr>
            <w:tcW w:w="319" w:type="pct"/>
          </w:tcPr>
          <w:p w:rsidR="00312ECE" w:rsidRDefault="00312ECE">
            <w:pPr>
              <w:spacing w:before="40" w:after="40" w:line="240" w:lineRule="exact"/>
              <w:jc w:val="center"/>
              <w:rPr>
                <w:sz w:val="17"/>
              </w:rPr>
            </w:pPr>
            <w:r>
              <w:rPr>
                <w:sz w:val="17"/>
              </w:rPr>
              <w:t>102.</w:t>
            </w:r>
          </w:p>
        </w:tc>
        <w:tc>
          <w:tcPr>
            <w:tcW w:w="319" w:type="pct"/>
          </w:tcPr>
          <w:p w:rsidR="00312ECE" w:rsidRDefault="00312ECE">
            <w:pPr>
              <w:spacing w:before="40" w:after="40" w:line="240" w:lineRule="exact"/>
              <w:jc w:val="center"/>
              <w:rPr>
                <w:sz w:val="17"/>
              </w:rPr>
            </w:pPr>
            <w:r>
              <w:rPr>
                <w:sz w:val="17"/>
              </w:rPr>
              <w:t>99.9</w:t>
            </w:r>
          </w:p>
        </w:tc>
        <w:tc>
          <w:tcPr>
            <w:tcW w:w="376" w:type="pct"/>
          </w:tcPr>
          <w:p w:rsidR="00312ECE" w:rsidRDefault="00312ECE">
            <w:pPr>
              <w:spacing w:before="40" w:after="40" w:line="240" w:lineRule="exact"/>
              <w:jc w:val="center"/>
              <w:rPr>
                <w:sz w:val="17"/>
              </w:rPr>
            </w:pPr>
            <w:r>
              <w:rPr>
                <w:sz w:val="17"/>
              </w:rPr>
              <w:t>94.0</w:t>
            </w:r>
          </w:p>
        </w:tc>
        <w:tc>
          <w:tcPr>
            <w:tcW w:w="376" w:type="pct"/>
          </w:tcPr>
          <w:p w:rsidR="00312ECE" w:rsidRDefault="00312ECE">
            <w:pPr>
              <w:spacing w:before="40" w:after="40" w:line="240" w:lineRule="exact"/>
              <w:jc w:val="center"/>
              <w:rPr>
                <w:sz w:val="17"/>
              </w:rPr>
            </w:pPr>
            <w:r>
              <w:rPr>
                <w:sz w:val="17"/>
              </w:rPr>
              <w:t>81.4</w:t>
            </w:r>
          </w:p>
        </w:tc>
        <w:tc>
          <w:tcPr>
            <w:tcW w:w="376" w:type="pct"/>
          </w:tcPr>
          <w:p w:rsidR="00312ECE" w:rsidRDefault="00312ECE">
            <w:pPr>
              <w:spacing w:before="40" w:after="40" w:line="240" w:lineRule="exact"/>
              <w:jc w:val="center"/>
              <w:rPr>
                <w:sz w:val="17"/>
              </w:rPr>
            </w:pPr>
            <w:r>
              <w:rPr>
                <w:sz w:val="17"/>
              </w:rPr>
              <w:t>67.8</w:t>
            </w:r>
          </w:p>
        </w:tc>
        <w:tc>
          <w:tcPr>
            <w:tcW w:w="318" w:type="pct"/>
          </w:tcPr>
          <w:p w:rsidR="00312ECE" w:rsidRDefault="00312ECE">
            <w:pPr>
              <w:spacing w:before="40" w:after="40" w:line="240" w:lineRule="exact"/>
              <w:jc w:val="center"/>
              <w:rPr>
                <w:sz w:val="17"/>
              </w:rPr>
            </w:pPr>
            <w:r>
              <w:rPr>
                <w:sz w:val="17"/>
              </w:rPr>
              <w:t>65.2</w:t>
            </w:r>
          </w:p>
        </w:tc>
        <w:tc>
          <w:tcPr>
            <w:tcW w:w="376" w:type="pct"/>
          </w:tcPr>
          <w:p w:rsidR="00312ECE" w:rsidRDefault="00312ECE">
            <w:pPr>
              <w:spacing w:before="40" w:after="40" w:line="240" w:lineRule="exact"/>
              <w:jc w:val="center"/>
              <w:rPr>
                <w:sz w:val="17"/>
              </w:rPr>
            </w:pPr>
            <w:r>
              <w:rPr>
                <w:sz w:val="17"/>
              </w:rPr>
              <w:t>69.2</w:t>
            </w:r>
          </w:p>
        </w:tc>
        <w:tc>
          <w:tcPr>
            <w:tcW w:w="376" w:type="pct"/>
          </w:tcPr>
          <w:p w:rsidR="00312ECE" w:rsidRDefault="00312ECE">
            <w:pPr>
              <w:spacing w:before="40" w:after="40" w:line="240" w:lineRule="exact"/>
              <w:jc w:val="center"/>
              <w:rPr>
                <w:sz w:val="17"/>
              </w:rPr>
            </w:pPr>
            <w:r>
              <w:rPr>
                <w:sz w:val="17"/>
              </w:rPr>
              <w:t>63.9</w:t>
            </w:r>
          </w:p>
        </w:tc>
        <w:tc>
          <w:tcPr>
            <w:tcW w:w="376" w:type="pct"/>
          </w:tcPr>
          <w:p w:rsidR="00312ECE" w:rsidRDefault="00312ECE">
            <w:pPr>
              <w:spacing w:before="40" w:after="40" w:line="240" w:lineRule="exact"/>
              <w:jc w:val="center"/>
              <w:rPr>
                <w:sz w:val="17"/>
              </w:rPr>
            </w:pPr>
            <w:r>
              <w:rPr>
                <w:sz w:val="17"/>
              </w:rPr>
              <w:t>62.4</w:t>
            </w:r>
          </w:p>
        </w:tc>
        <w:tc>
          <w:tcPr>
            <w:tcW w:w="374" w:type="pct"/>
          </w:tcPr>
          <w:p w:rsidR="00312ECE" w:rsidRDefault="00312ECE">
            <w:pPr>
              <w:spacing w:before="40" w:after="40" w:line="240" w:lineRule="exact"/>
              <w:jc w:val="center"/>
              <w:rPr>
                <w:sz w:val="17"/>
              </w:rPr>
            </w:pPr>
            <w:r>
              <w:rPr>
                <w:sz w:val="17"/>
              </w:rPr>
              <w:t>55.3</w:t>
            </w:r>
          </w:p>
        </w:tc>
      </w:tr>
      <w:tr w:rsidR="00312ECE">
        <w:tblPrEx>
          <w:tblCellMar>
            <w:top w:w="0" w:type="dxa"/>
            <w:bottom w:w="0" w:type="dxa"/>
          </w:tblCellMar>
        </w:tblPrEx>
        <w:tc>
          <w:tcPr>
            <w:tcW w:w="774" w:type="pct"/>
          </w:tcPr>
          <w:p w:rsidR="00312ECE" w:rsidRDefault="00312ECE">
            <w:pPr>
              <w:spacing w:before="40" w:after="40" w:line="240" w:lineRule="exact"/>
              <w:rPr>
                <w:rFonts w:hint="eastAsia"/>
                <w:sz w:val="17"/>
              </w:rPr>
            </w:pPr>
            <w:r>
              <w:rPr>
                <w:rFonts w:hint="eastAsia"/>
                <w:sz w:val="17"/>
              </w:rPr>
              <w:t>林业</w:t>
            </w:r>
          </w:p>
        </w:tc>
        <w:tc>
          <w:tcPr>
            <w:tcW w:w="320" w:type="pct"/>
          </w:tcPr>
          <w:p w:rsidR="00312ECE" w:rsidRDefault="00312ECE">
            <w:pPr>
              <w:spacing w:before="40" w:after="40" w:line="240" w:lineRule="exact"/>
              <w:jc w:val="center"/>
              <w:rPr>
                <w:sz w:val="17"/>
              </w:rPr>
            </w:pPr>
            <w:r>
              <w:rPr>
                <w:sz w:val="17"/>
              </w:rPr>
              <w:t>12.8</w:t>
            </w:r>
          </w:p>
        </w:tc>
        <w:tc>
          <w:tcPr>
            <w:tcW w:w="320" w:type="pct"/>
          </w:tcPr>
          <w:p w:rsidR="00312ECE" w:rsidRDefault="00312ECE">
            <w:pPr>
              <w:spacing w:before="40" w:after="40" w:line="240" w:lineRule="exact"/>
              <w:jc w:val="center"/>
              <w:rPr>
                <w:sz w:val="17"/>
              </w:rPr>
            </w:pPr>
            <w:r>
              <w:rPr>
                <w:sz w:val="17"/>
              </w:rPr>
              <w:t>12.7</w:t>
            </w:r>
          </w:p>
        </w:tc>
        <w:tc>
          <w:tcPr>
            <w:tcW w:w="319" w:type="pct"/>
          </w:tcPr>
          <w:p w:rsidR="00312ECE" w:rsidRDefault="00312ECE">
            <w:pPr>
              <w:spacing w:before="40" w:after="40" w:line="240" w:lineRule="exact"/>
              <w:jc w:val="center"/>
              <w:rPr>
                <w:sz w:val="17"/>
              </w:rPr>
            </w:pPr>
            <w:r>
              <w:rPr>
                <w:sz w:val="17"/>
              </w:rPr>
              <w:t>12.9</w:t>
            </w:r>
          </w:p>
        </w:tc>
        <w:tc>
          <w:tcPr>
            <w:tcW w:w="319" w:type="pct"/>
          </w:tcPr>
          <w:p w:rsidR="00312ECE" w:rsidRDefault="00312ECE">
            <w:pPr>
              <w:spacing w:before="40" w:after="40" w:line="240" w:lineRule="exact"/>
              <w:jc w:val="center"/>
              <w:rPr>
                <w:sz w:val="17"/>
              </w:rPr>
            </w:pPr>
            <w:r>
              <w:rPr>
                <w:sz w:val="17"/>
              </w:rPr>
              <w:t>12.7</w:t>
            </w:r>
          </w:p>
        </w:tc>
        <w:tc>
          <w:tcPr>
            <w:tcW w:w="376" w:type="pct"/>
          </w:tcPr>
          <w:p w:rsidR="00312ECE" w:rsidRDefault="00312ECE">
            <w:pPr>
              <w:spacing w:before="40" w:after="40" w:line="240" w:lineRule="exact"/>
              <w:jc w:val="center"/>
              <w:rPr>
                <w:sz w:val="17"/>
              </w:rPr>
            </w:pPr>
            <w:r>
              <w:rPr>
                <w:sz w:val="17"/>
              </w:rPr>
              <w:t>13.2</w:t>
            </w:r>
          </w:p>
        </w:tc>
        <w:tc>
          <w:tcPr>
            <w:tcW w:w="376" w:type="pct"/>
          </w:tcPr>
          <w:p w:rsidR="00312ECE" w:rsidRDefault="00312ECE">
            <w:pPr>
              <w:spacing w:before="40" w:after="40" w:line="240" w:lineRule="exact"/>
              <w:jc w:val="center"/>
              <w:rPr>
                <w:sz w:val="17"/>
              </w:rPr>
            </w:pPr>
            <w:r>
              <w:rPr>
                <w:sz w:val="17"/>
              </w:rPr>
              <w:t>13.5</w:t>
            </w:r>
          </w:p>
        </w:tc>
        <w:tc>
          <w:tcPr>
            <w:tcW w:w="376" w:type="pct"/>
          </w:tcPr>
          <w:p w:rsidR="00312ECE" w:rsidRDefault="00312ECE">
            <w:pPr>
              <w:spacing w:before="40" w:after="40" w:line="240" w:lineRule="exact"/>
              <w:jc w:val="center"/>
              <w:rPr>
                <w:sz w:val="17"/>
              </w:rPr>
            </w:pPr>
            <w:r>
              <w:rPr>
                <w:sz w:val="17"/>
              </w:rPr>
              <w:t>1.7</w:t>
            </w:r>
          </w:p>
        </w:tc>
        <w:tc>
          <w:tcPr>
            <w:tcW w:w="318" w:type="pct"/>
          </w:tcPr>
          <w:p w:rsidR="00312ECE" w:rsidRDefault="00312ECE">
            <w:pPr>
              <w:spacing w:before="40" w:after="40" w:line="240" w:lineRule="exact"/>
              <w:jc w:val="center"/>
              <w:rPr>
                <w:sz w:val="17"/>
              </w:rPr>
            </w:pPr>
            <w:r>
              <w:rPr>
                <w:sz w:val="17"/>
              </w:rPr>
              <w:t>1.7</w:t>
            </w:r>
          </w:p>
        </w:tc>
        <w:tc>
          <w:tcPr>
            <w:tcW w:w="376" w:type="pct"/>
          </w:tcPr>
          <w:p w:rsidR="00312ECE" w:rsidRDefault="00312ECE">
            <w:pPr>
              <w:spacing w:before="40" w:after="40" w:line="240" w:lineRule="exact"/>
              <w:jc w:val="center"/>
              <w:rPr>
                <w:sz w:val="17"/>
              </w:rPr>
            </w:pPr>
            <w:r>
              <w:rPr>
                <w:sz w:val="17"/>
              </w:rPr>
              <w:t>1.7</w:t>
            </w:r>
          </w:p>
        </w:tc>
        <w:tc>
          <w:tcPr>
            <w:tcW w:w="376" w:type="pct"/>
          </w:tcPr>
          <w:p w:rsidR="00312ECE" w:rsidRDefault="00312ECE">
            <w:pPr>
              <w:spacing w:before="40" w:after="40" w:line="240" w:lineRule="exact"/>
              <w:jc w:val="center"/>
              <w:rPr>
                <w:sz w:val="17"/>
              </w:rPr>
            </w:pPr>
            <w:r>
              <w:rPr>
                <w:sz w:val="17"/>
              </w:rPr>
              <w:t>1.7</w:t>
            </w:r>
          </w:p>
        </w:tc>
        <w:tc>
          <w:tcPr>
            <w:tcW w:w="376" w:type="pct"/>
          </w:tcPr>
          <w:p w:rsidR="00312ECE" w:rsidRDefault="00312ECE">
            <w:pPr>
              <w:spacing w:before="40" w:after="40" w:line="240" w:lineRule="exact"/>
              <w:jc w:val="center"/>
              <w:rPr>
                <w:sz w:val="17"/>
              </w:rPr>
            </w:pPr>
            <w:r>
              <w:rPr>
                <w:sz w:val="17"/>
              </w:rPr>
              <w:t>1.7</w:t>
            </w:r>
          </w:p>
        </w:tc>
        <w:tc>
          <w:tcPr>
            <w:tcW w:w="374" w:type="pct"/>
          </w:tcPr>
          <w:p w:rsidR="00312ECE" w:rsidRDefault="00312ECE">
            <w:pPr>
              <w:spacing w:before="40" w:after="40" w:line="240" w:lineRule="exact"/>
              <w:jc w:val="center"/>
              <w:rPr>
                <w:sz w:val="17"/>
              </w:rPr>
            </w:pPr>
            <w:r>
              <w:rPr>
                <w:sz w:val="17"/>
              </w:rPr>
              <w:t>2.4</w:t>
            </w:r>
          </w:p>
        </w:tc>
      </w:tr>
      <w:tr w:rsidR="00312ECE">
        <w:tblPrEx>
          <w:tblCellMar>
            <w:top w:w="0" w:type="dxa"/>
            <w:bottom w:w="0" w:type="dxa"/>
          </w:tblCellMar>
        </w:tblPrEx>
        <w:tc>
          <w:tcPr>
            <w:tcW w:w="774" w:type="pct"/>
          </w:tcPr>
          <w:p w:rsidR="00312ECE" w:rsidRDefault="00312ECE">
            <w:pPr>
              <w:spacing w:before="40" w:after="40" w:line="240" w:lineRule="exact"/>
              <w:rPr>
                <w:rFonts w:hint="eastAsia"/>
                <w:sz w:val="17"/>
              </w:rPr>
            </w:pPr>
            <w:r>
              <w:rPr>
                <w:rFonts w:hint="eastAsia"/>
                <w:sz w:val="17"/>
              </w:rPr>
              <w:t>渔业</w:t>
            </w:r>
          </w:p>
        </w:tc>
        <w:tc>
          <w:tcPr>
            <w:tcW w:w="320" w:type="pct"/>
          </w:tcPr>
          <w:p w:rsidR="00312ECE" w:rsidRDefault="00312ECE">
            <w:pPr>
              <w:spacing w:before="40" w:after="40" w:line="240" w:lineRule="exact"/>
              <w:jc w:val="center"/>
              <w:rPr>
                <w:sz w:val="17"/>
              </w:rPr>
            </w:pPr>
            <w:r>
              <w:rPr>
                <w:sz w:val="17"/>
              </w:rPr>
              <w:t>4.5</w:t>
            </w:r>
          </w:p>
        </w:tc>
        <w:tc>
          <w:tcPr>
            <w:tcW w:w="320" w:type="pct"/>
          </w:tcPr>
          <w:p w:rsidR="00312ECE" w:rsidRDefault="00312ECE">
            <w:pPr>
              <w:spacing w:before="40" w:after="40" w:line="240" w:lineRule="exact"/>
              <w:jc w:val="center"/>
              <w:rPr>
                <w:sz w:val="17"/>
              </w:rPr>
            </w:pPr>
            <w:r>
              <w:rPr>
                <w:sz w:val="17"/>
              </w:rPr>
              <w:t>4.4</w:t>
            </w:r>
          </w:p>
        </w:tc>
        <w:tc>
          <w:tcPr>
            <w:tcW w:w="319" w:type="pct"/>
          </w:tcPr>
          <w:p w:rsidR="00312ECE" w:rsidRDefault="00312ECE">
            <w:pPr>
              <w:spacing w:before="40" w:after="40" w:line="240" w:lineRule="exact"/>
              <w:jc w:val="center"/>
              <w:rPr>
                <w:sz w:val="17"/>
              </w:rPr>
            </w:pPr>
            <w:r>
              <w:rPr>
                <w:sz w:val="17"/>
              </w:rPr>
              <w:t>4.8</w:t>
            </w:r>
          </w:p>
        </w:tc>
        <w:tc>
          <w:tcPr>
            <w:tcW w:w="319" w:type="pct"/>
          </w:tcPr>
          <w:p w:rsidR="00312ECE" w:rsidRDefault="00312ECE">
            <w:pPr>
              <w:spacing w:before="40" w:after="40" w:line="240" w:lineRule="exact"/>
              <w:jc w:val="center"/>
              <w:rPr>
                <w:sz w:val="17"/>
              </w:rPr>
            </w:pPr>
            <w:r>
              <w:rPr>
                <w:sz w:val="17"/>
              </w:rPr>
              <w:t>4.8</w:t>
            </w:r>
          </w:p>
        </w:tc>
        <w:tc>
          <w:tcPr>
            <w:tcW w:w="376" w:type="pct"/>
          </w:tcPr>
          <w:p w:rsidR="00312ECE" w:rsidRDefault="00312ECE">
            <w:pPr>
              <w:spacing w:before="40" w:after="40" w:line="240" w:lineRule="exact"/>
              <w:jc w:val="center"/>
              <w:rPr>
                <w:sz w:val="17"/>
              </w:rPr>
            </w:pPr>
            <w:r>
              <w:rPr>
                <w:sz w:val="17"/>
              </w:rPr>
              <w:t>4.5</w:t>
            </w:r>
          </w:p>
        </w:tc>
        <w:tc>
          <w:tcPr>
            <w:tcW w:w="376" w:type="pct"/>
          </w:tcPr>
          <w:p w:rsidR="00312ECE" w:rsidRDefault="00312ECE">
            <w:pPr>
              <w:spacing w:before="40" w:after="40" w:line="240" w:lineRule="exact"/>
              <w:jc w:val="center"/>
              <w:rPr>
                <w:sz w:val="17"/>
              </w:rPr>
            </w:pPr>
            <w:r>
              <w:rPr>
                <w:sz w:val="17"/>
              </w:rPr>
              <w:t>4.6</w:t>
            </w:r>
          </w:p>
        </w:tc>
        <w:tc>
          <w:tcPr>
            <w:tcW w:w="376" w:type="pct"/>
          </w:tcPr>
          <w:p w:rsidR="00312ECE" w:rsidRDefault="00312ECE">
            <w:pPr>
              <w:spacing w:before="40" w:after="40" w:line="240" w:lineRule="exact"/>
              <w:jc w:val="center"/>
              <w:rPr>
                <w:sz w:val="17"/>
              </w:rPr>
            </w:pPr>
            <w:r>
              <w:rPr>
                <w:sz w:val="17"/>
              </w:rPr>
              <w:t>0.7</w:t>
            </w:r>
          </w:p>
        </w:tc>
        <w:tc>
          <w:tcPr>
            <w:tcW w:w="318" w:type="pct"/>
          </w:tcPr>
          <w:p w:rsidR="00312ECE" w:rsidRDefault="00312ECE">
            <w:pPr>
              <w:spacing w:before="40" w:after="40" w:line="240" w:lineRule="exact"/>
              <w:jc w:val="center"/>
              <w:rPr>
                <w:sz w:val="17"/>
              </w:rPr>
            </w:pPr>
            <w:r>
              <w:rPr>
                <w:sz w:val="17"/>
              </w:rPr>
              <w:t>0.7</w:t>
            </w:r>
          </w:p>
        </w:tc>
        <w:tc>
          <w:tcPr>
            <w:tcW w:w="376" w:type="pct"/>
          </w:tcPr>
          <w:p w:rsidR="00312ECE" w:rsidRDefault="00312ECE">
            <w:pPr>
              <w:spacing w:before="40" w:after="40" w:line="240" w:lineRule="exact"/>
              <w:jc w:val="center"/>
              <w:rPr>
                <w:sz w:val="17"/>
              </w:rPr>
            </w:pPr>
            <w:r>
              <w:rPr>
                <w:sz w:val="17"/>
              </w:rPr>
              <w:t>0.7</w:t>
            </w:r>
          </w:p>
        </w:tc>
        <w:tc>
          <w:tcPr>
            <w:tcW w:w="376" w:type="pct"/>
          </w:tcPr>
          <w:p w:rsidR="00312ECE" w:rsidRDefault="00312ECE">
            <w:pPr>
              <w:spacing w:before="40" w:after="40" w:line="240" w:lineRule="exact"/>
              <w:jc w:val="center"/>
              <w:rPr>
                <w:sz w:val="17"/>
              </w:rPr>
            </w:pPr>
            <w:r>
              <w:rPr>
                <w:sz w:val="17"/>
              </w:rPr>
              <w:t>0.7</w:t>
            </w:r>
          </w:p>
        </w:tc>
        <w:tc>
          <w:tcPr>
            <w:tcW w:w="376" w:type="pct"/>
          </w:tcPr>
          <w:p w:rsidR="00312ECE" w:rsidRDefault="00312ECE">
            <w:pPr>
              <w:spacing w:before="40" w:after="40" w:line="240" w:lineRule="exact"/>
              <w:jc w:val="center"/>
              <w:rPr>
                <w:sz w:val="17"/>
              </w:rPr>
            </w:pPr>
            <w:r>
              <w:rPr>
                <w:sz w:val="17"/>
              </w:rPr>
              <w:t>0.7</w:t>
            </w:r>
          </w:p>
        </w:tc>
        <w:tc>
          <w:tcPr>
            <w:tcW w:w="374" w:type="pct"/>
          </w:tcPr>
          <w:p w:rsidR="00312ECE" w:rsidRDefault="00312ECE">
            <w:pPr>
              <w:spacing w:before="40" w:after="40" w:line="240" w:lineRule="exact"/>
              <w:jc w:val="center"/>
              <w:rPr>
                <w:sz w:val="17"/>
              </w:rPr>
            </w:pPr>
            <w:r>
              <w:rPr>
                <w:sz w:val="17"/>
              </w:rPr>
              <w:t>1.7</w:t>
            </w:r>
          </w:p>
        </w:tc>
      </w:tr>
      <w:tr w:rsidR="00312ECE">
        <w:tblPrEx>
          <w:tblCellMar>
            <w:top w:w="0" w:type="dxa"/>
            <w:bottom w:w="0" w:type="dxa"/>
          </w:tblCellMar>
        </w:tblPrEx>
        <w:tc>
          <w:tcPr>
            <w:tcW w:w="774" w:type="pct"/>
          </w:tcPr>
          <w:p w:rsidR="00312ECE" w:rsidRDefault="00312ECE">
            <w:pPr>
              <w:spacing w:before="40" w:after="40" w:line="240" w:lineRule="exact"/>
              <w:rPr>
                <w:rFonts w:hint="eastAsia"/>
                <w:sz w:val="17"/>
              </w:rPr>
            </w:pPr>
            <w:r>
              <w:rPr>
                <w:rFonts w:hint="eastAsia"/>
                <w:sz w:val="17"/>
              </w:rPr>
              <w:t>工业-合计</w:t>
            </w:r>
          </w:p>
        </w:tc>
        <w:tc>
          <w:tcPr>
            <w:tcW w:w="320" w:type="pct"/>
          </w:tcPr>
          <w:p w:rsidR="00312ECE" w:rsidRDefault="00312ECE">
            <w:pPr>
              <w:spacing w:before="40" w:after="40" w:line="240" w:lineRule="exact"/>
              <w:jc w:val="center"/>
              <w:rPr>
                <w:sz w:val="17"/>
              </w:rPr>
            </w:pPr>
            <w:r>
              <w:rPr>
                <w:sz w:val="17"/>
              </w:rPr>
              <w:t>118.</w:t>
            </w:r>
          </w:p>
        </w:tc>
        <w:tc>
          <w:tcPr>
            <w:tcW w:w="320" w:type="pct"/>
          </w:tcPr>
          <w:p w:rsidR="00312ECE" w:rsidRDefault="00312ECE">
            <w:pPr>
              <w:spacing w:before="40" w:after="40" w:line="240" w:lineRule="exact"/>
              <w:jc w:val="center"/>
              <w:rPr>
                <w:sz w:val="17"/>
              </w:rPr>
            </w:pPr>
            <w:r>
              <w:rPr>
                <w:sz w:val="17"/>
              </w:rPr>
              <w:t>111.</w:t>
            </w:r>
          </w:p>
        </w:tc>
        <w:tc>
          <w:tcPr>
            <w:tcW w:w="319" w:type="pct"/>
          </w:tcPr>
          <w:p w:rsidR="00312ECE" w:rsidRDefault="00312ECE">
            <w:pPr>
              <w:spacing w:before="40" w:after="40" w:line="240" w:lineRule="exact"/>
              <w:jc w:val="center"/>
              <w:rPr>
                <w:sz w:val="17"/>
              </w:rPr>
            </w:pPr>
            <w:r>
              <w:rPr>
                <w:sz w:val="17"/>
              </w:rPr>
              <w:t>114.</w:t>
            </w:r>
          </w:p>
        </w:tc>
        <w:tc>
          <w:tcPr>
            <w:tcW w:w="319" w:type="pct"/>
          </w:tcPr>
          <w:p w:rsidR="00312ECE" w:rsidRDefault="00312ECE">
            <w:pPr>
              <w:spacing w:before="40" w:after="40" w:line="240" w:lineRule="exact"/>
              <w:jc w:val="center"/>
              <w:rPr>
                <w:sz w:val="17"/>
              </w:rPr>
            </w:pPr>
            <w:r>
              <w:rPr>
                <w:sz w:val="17"/>
              </w:rPr>
              <w:t>107.</w:t>
            </w:r>
          </w:p>
        </w:tc>
        <w:tc>
          <w:tcPr>
            <w:tcW w:w="376" w:type="pct"/>
          </w:tcPr>
          <w:p w:rsidR="00312ECE" w:rsidRDefault="00312ECE">
            <w:pPr>
              <w:spacing w:before="40" w:after="40" w:line="240" w:lineRule="exact"/>
              <w:jc w:val="center"/>
              <w:rPr>
                <w:sz w:val="17"/>
              </w:rPr>
            </w:pPr>
            <w:r>
              <w:rPr>
                <w:sz w:val="17"/>
              </w:rPr>
              <w:t>105.8</w:t>
            </w:r>
          </w:p>
        </w:tc>
        <w:tc>
          <w:tcPr>
            <w:tcW w:w="376" w:type="pct"/>
          </w:tcPr>
          <w:p w:rsidR="00312ECE" w:rsidRDefault="00312ECE">
            <w:pPr>
              <w:spacing w:before="40" w:after="40" w:line="240" w:lineRule="exact"/>
              <w:jc w:val="center"/>
              <w:rPr>
                <w:sz w:val="17"/>
              </w:rPr>
            </w:pPr>
            <w:r>
              <w:rPr>
                <w:sz w:val="17"/>
              </w:rPr>
              <w:t>107.9</w:t>
            </w:r>
          </w:p>
        </w:tc>
        <w:tc>
          <w:tcPr>
            <w:tcW w:w="376" w:type="pct"/>
          </w:tcPr>
          <w:p w:rsidR="00312ECE" w:rsidRDefault="00312ECE">
            <w:pPr>
              <w:spacing w:before="40" w:after="40" w:line="240" w:lineRule="exact"/>
              <w:jc w:val="center"/>
              <w:rPr>
                <w:sz w:val="17"/>
              </w:rPr>
            </w:pPr>
            <w:r>
              <w:rPr>
                <w:sz w:val="17"/>
              </w:rPr>
              <w:t>95.4</w:t>
            </w:r>
          </w:p>
        </w:tc>
        <w:tc>
          <w:tcPr>
            <w:tcW w:w="318" w:type="pct"/>
          </w:tcPr>
          <w:p w:rsidR="00312ECE" w:rsidRDefault="00312ECE">
            <w:pPr>
              <w:spacing w:before="40" w:after="40" w:line="240" w:lineRule="exact"/>
              <w:jc w:val="center"/>
              <w:rPr>
                <w:sz w:val="17"/>
              </w:rPr>
            </w:pPr>
            <w:r>
              <w:rPr>
                <w:sz w:val="17"/>
              </w:rPr>
              <w:t>90.7</w:t>
            </w:r>
          </w:p>
        </w:tc>
        <w:tc>
          <w:tcPr>
            <w:tcW w:w="376" w:type="pct"/>
          </w:tcPr>
          <w:p w:rsidR="00312ECE" w:rsidRDefault="00312ECE">
            <w:pPr>
              <w:spacing w:before="40" w:after="40" w:line="240" w:lineRule="exact"/>
              <w:jc w:val="center"/>
              <w:rPr>
                <w:sz w:val="17"/>
              </w:rPr>
            </w:pPr>
            <w:r>
              <w:rPr>
                <w:sz w:val="17"/>
              </w:rPr>
              <w:t>94.3</w:t>
            </w:r>
          </w:p>
        </w:tc>
        <w:tc>
          <w:tcPr>
            <w:tcW w:w="376" w:type="pct"/>
          </w:tcPr>
          <w:p w:rsidR="00312ECE" w:rsidRDefault="00312ECE">
            <w:pPr>
              <w:spacing w:before="40" w:after="40" w:line="240" w:lineRule="exact"/>
              <w:jc w:val="center"/>
              <w:rPr>
                <w:sz w:val="17"/>
              </w:rPr>
            </w:pPr>
            <w:r>
              <w:rPr>
                <w:sz w:val="17"/>
              </w:rPr>
              <w:t>85.1</w:t>
            </w:r>
          </w:p>
        </w:tc>
        <w:tc>
          <w:tcPr>
            <w:tcW w:w="376" w:type="pct"/>
          </w:tcPr>
          <w:p w:rsidR="00312ECE" w:rsidRDefault="00312ECE">
            <w:pPr>
              <w:spacing w:before="40" w:after="40" w:line="240" w:lineRule="exact"/>
              <w:jc w:val="center"/>
              <w:rPr>
                <w:sz w:val="17"/>
              </w:rPr>
            </w:pPr>
            <w:r>
              <w:rPr>
                <w:sz w:val="17"/>
              </w:rPr>
              <w:t>78.8</w:t>
            </w:r>
          </w:p>
        </w:tc>
        <w:tc>
          <w:tcPr>
            <w:tcW w:w="374" w:type="pct"/>
          </w:tcPr>
          <w:p w:rsidR="00312ECE" w:rsidRDefault="00312ECE">
            <w:pPr>
              <w:spacing w:before="40" w:after="40" w:line="240" w:lineRule="exact"/>
              <w:jc w:val="center"/>
              <w:rPr>
                <w:sz w:val="17"/>
              </w:rPr>
            </w:pPr>
            <w:r>
              <w:rPr>
                <w:sz w:val="17"/>
              </w:rPr>
              <w:t>80.0</w:t>
            </w:r>
          </w:p>
        </w:tc>
      </w:tr>
      <w:tr w:rsidR="00312ECE">
        <w:tblPrEx>
          <w:tblCellMar>
            <w:top w:w="0" w:type="dxa"/>
            <w:bottom w:w="0" w:type="dxa"/>
          </w:tblCellMar>
        </w:tblPrEx>
        <w:tc>
          <w:tcPr>
            <w:tcW w:w="774" w:type="pct"/>
          </w:tcPr>
          <w:p w:rsidR="00312ECE" w:rsidRDefault="00312ECE">
            <w:pPr>
              <w:spacing w:before="40" w:after="40" w:line="240" w:lineRule="exact"/>
              <w:rPr>
                <w:rFonts w:hint="eastAsia"/>
                <w:sz w:val="17"/>
              </w:rPr>
            </w:pPr>
            <w:r>
              <w:rPr>
                <w:rFonts w:hint="eastAsia"/>
                <w:sz w:val="17"/>
              </w:rPr>
              <w:t>采矿业及采石业</w:t>
            </w:r>
          </w:p>
        </w:tc>
        <w:tc>
          <w:tcPr>
            <w:tcW w:w="320" w:type="pct"/>
          </w:tcPr>
          <w:p w:rsidR="00312ECE" w:rsidRDefault="00312ECE">
            <w:pPr>
              <w:spacing w:before="40" w:after="40" w:line="240" w:lineRule="exact"/>
              <w:jc w:val="center"/>
              <w:rPr>
                <w:sz w:val="17"/>
              </w:rPr>
            </w:pPr>
            <w:r>
              <w:rPr>
                <w:sz w:val="17"/>
              </w:rPr>
              <w:t>2.2</w:t>
            </w:r>
          </w:p>
        </w:tc>
        <w:tc>
          <w:tcPr>
            <w:tcW w:w="320" w:type="pct"/>
          </w:tcPr>
          <w:p w:rsidR="00312ECE" w:rsidRDefault="00312ECE">
            <w:pPr>
              <w:spacing w:before="40" w:after="40" w:line="240" w:lineRule="exact"/>
              <w:jc w:val="center"/>
              <w:rPr>
                <w:sz w:val="17"/>
              </w:rPr>
            </w:pPr>
            <w:r>
              <w:rPr>
                <w:sz w:val="17"/>
              </w:rPr>
              <w:t>2.2</w:t>
            </w:r>
          </w:p>
        </w:tc>
        <w:tc>
          <w:tcPr>
            <w:tcW w:w="319" w:type="pct"/>
          </w:tcPr>
          <w:p w:rsidR="00312ECE" w:rsidRDefault="00312ECE">
            <w:pPr>
              <w:spacing w:before="40" w:after="40" w:line="240" w:lineRule="exact"/>
              <w:jc w:val="center"/>
              <w:rPr>
                <w:sz w:val="17"/>
              </w:rPr>
            </w:pPr>
            <w:r>
              <w:rPr>
                <w:sz w:val="17"/>
              </w:rPr>
              <w:t>1.7</w:t>
            </w:r>
          </w:p>
        </w:tc>
        <w:tc>
          <w:tcPr>
            <w:tcW w:w="319" w:type="pct"/>
          </w:tcPr>
          <w:p w:rsidR="00312ECE" w:rsidRDefault="00312ECE">
            <w:pPr>
              <w:spacing w:before="40" w:after="40" w:line="240" w:lineRule="exact"/>
              <w:jc w:val="center"/>
              <w:rPr>
                <w:sz w:val="17"/>
              </w:rPr>
            </w:pPr>
            <w:r>
              <w:rPr>
                <w:sz w:val="17"/>
              </w:rPr>
              <w:t>1.3</w:t>
            </w:r>
          </w:p>
        </w:tc>
        <w:tc>
          <w:tcPr>
            <w:tcW w:w="376" w:type="pct"/>
          </w:tcPr>
          <w:p w:rsidR="00312ECE" w:rsidRDefault="00312ECE">
            <w:pPr>
              <w:spacing w:before="40" w:after="40" w:line="240" w:lineRule="exact"/>
              <w:jc w:val="center"/>
              <w:rPr>
                <w:sz w:val="17"/>
              </w:rPr>
            </w:pPr>
            <w:r>
              <w:rPr>
                <w:sz w:val="17"/>
              </w:rPr>
              <w:t>1.5</w:t>
            </w:r>
          </w:p>
        </w:tc>
        <w:tc>
          <w:tcPr>
            <w:tcW w:w="376" w:type="pct"/>
          </w:tcPr>
          <w:p w:rsidR="00312ECE" w:rsidRDefault="00312ECE">
            <w:pPr>
              <w:spacing w:before="40" w:after="40" w:line="240" w:lineRule="exact"/>
              <w:jc w:val="center"/>
              <w:rPr>
                <w:sz w:val="17"/>
              </w:rPr>
            </w:pPr>
            <w:r>
              <w:rPr>
                <w:sz w:val="17"/>
              </w:rPr>
              <w:t>1.5</w:t>
            </w:r>
          </w:p>
        </w:tc>
        <w:tc>
          <w:tcPr>
            <w:tcW w:w="376" w:type="pct"/>
          </w:tcPr>
          <w:p w:rsidR="00312ECE" w:rsidRDefault="00312ECE">
            <w:pPr>
              <w:spacing w:before="40" w:after="40" w:line="240" w:lineRule="exact"/>
              <w:jc w:val="center"/>
              <w:rPr>
                <w:sz w:val="17"/>
              </w:rPr>
            </w:pPr>
            <w:r>
              <w:rPr>
                <w:sz w:val="17"/>
              </w:rPr>
              <w:t>0.9</w:t>
            </w:r>
          </w:p>
        </w:tc>
        <w:tc>
          <w:tcPr>
            <w:tcW w:w="318" w:type="pct"/>
          </w:tcPr>
          <w:p w:rsidR="00312ECE" w:rsidRDefault="00312ECE">
            <w:pPr>
              <w:spacing w:before="40" w:after="40" w:line="240" w:lineRule="exact"/>
              <w:jc w:val="center"/>
              <w:rPr>
                <w:sz w:val="17"/>
              </w:rPr>
            </w:pPr>
            <w:r>
              <w:rPr>
                <w:sz w:val="17"/>
              </w:rPr>
              <w:t>0.9</w:t>
            </w:r>
          </w:p>
        </w:tc>
        <w:tc>
          <w:tcPr>
            <w:tcW w:w="376" w:type="pct"/>
          </w:tcPr>
          <w:p w:rsidR="00312ECE" w:rsidRDefault="00312ECE">
            <w:pPr>
              <w:spacing w:before="40" w:after="40" w:line="240" w:lineRule="exact"/>
              <w:jc w:val="center"/>
              <w:rPr>
                <w:sz w:val="17"/>
              </w:rPr>
            </w:pPr>
            <w:r>
              <w:rPr>
                <w:sz w:val="17"/>
              </w:rPr>
              <w:t>0.6</w:t>
            </w:r>
          </w:p>
        </w:tc>
        <w:tc>
          <w:tcPr>
            <w:tcW w:w="376" w:type="pct"/>
          </w:tcPr>
          <w:p w:rsidR="00312ECE" w:rsidRDefault="00312ECE">
            <w:pPr>
              <w:spacing w:before="40" w:after="40" w:line="240" w:lineRule="exact"/>
              <w:jc w:val="center"/>
              <w:rPr>
                <w:sz w:val="17"/>
              </w:rPr>
            </w:pPr>
            <w:r>
              <w:rPr>
                <w:sz w:val="17"/>
              </w:rPr>
              <w:t>0.4</w:t>
            </w:r>
          </w:p>
        </w:tc>
        <w:tc>
          <w:tcPr>
            <w:tcW w:w="376" w:type="pct"/>
          </w:tcPr>
          <w:p w:rsidR="00312ECE" w:rsidRDefault="00312ECE">
            <w:pPr>
              <w:spacing w:before="40" w:after="40" w:line="240" w:lineRule="exact"/>
              <w:jc w:val="center"/>
              <w:rPr>
                <w:sz w:val="17"/>
              </w:rPr>
            </w:pPr>
            <w:r>
              <w:rPr>
                <w:sz w:val="17"/>
              </w:rPr>
              <w:t>0.5</w:t>
            </w:r>
          </w:p>
        </w:tc>
        <w:tc>
          <w:tcPr>
            <w:tcW w:w="374" w:type="pct"/>
          </w:tcPr>
          <w:p w:rsidR="00312ECE" w:rsidRDefault="00312ECE">
            <w:pPr>
              <w:spacing w:before="40" w:after="40" w:line="240" w:lineRule="exact"/>
              <w:jc w:val="center"/>
              <w:rPr>
                <w:sz w:val="17"/>
              </w:rPr>
            </w:pPr>
            <w:r>
              <w:rPr>
                <w:sz w:val="17"/>
              </w:rPr>
              <w:t>0.5</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加工业</w:t>
            </w:r>
          </w:p>
        </w:tc>
        <w:tc>
          <w:tcPr>
            <w:tcW w:w="320" w:type="pct"/>
          </w:tcPr>
          <w:p w:rsidR="00312ECE" w:rsidRDefault="00312ECE">
            <w:pPr>
              <w:spacing w:before="60" w:after="60" w:line="280" w:lineRule="exact"/>
              <w:jc w:val="center"/>
              <w:rPr>
                <w:sz w:val="17"/>
              </w:rPr>
            </w:pPr>
            <w:r>
              <w:rPr>
                <w:sz w:val="17"/>
              </w:rPr>
              <w:t>102.</w:t>
            </w:r>
          </w:p>
        </w:tc>
        <w:tc>
          <w:tcPr>
            <w:tcW w:w="320" w:type="pct"/>
          </w:tcPr>
          <w:p w:rsidR="00312ECE" w:rsidRDefault="00312ECE">
            <w:pPr>
              <w:spacing w:before="60" w:after="60" w:line="280" w:lineRule="exact"/>
              <w:jc w:val="center"/>
              <w:rPr>
                <w:sz w:val="17"/>
              </w:rPr>
            </w:pPr>
            <w:r>
              <w:rPr>
                <w:sz w:val="17"/>
              </w:rPr>
              <w:t>94.6</w:t>
            </w:r>
          </w:p>
        </w:tc>
        <w:tc>
          <w:tcPr>
            <w:tcW w:w="319" w:type="pct"/>
          </w:tcPr>
          <w:p w:rsidR="00312ECE" w:rsidRDefault="00312ECE">
            <w:pPr>
              <w:spacing w:before="60" w:after="60" w:line="280" w:lineRule="exact"/>
              <w:jc w:val="center"/>
              <w:rPr>
                <w:sz w:val="17"/>
              </w:rPr>
            </w:pPr>
            <w:r>
              <w:rPr>
                <w:sz w:val="17"/>
              </w:rPr>
              <w:t>97.9</w:t>
            </w:r>
          </w:p>
        </w:tc>
        <w:tc>
          <w:tcPr>
            <w:tcW w:w="319" w:type="pct"/>
          </w:tcPr>
          <w:p w:rsidR="00312ECE" w:rsidRDefault="00312ECE">
            <w:pPr>
              <w:spacing w:before="60" w:after="60" w:line="280" w:lineRule="exact"/>
              <w:jc w:val="center"/>
              <w:rPr>
                <w:sz w:val="17"/>
              </w:rPr>
            </w:pPr>
            <w:r>
              <w:rPr>
                <w:sz w:val="17"/>
              </w:rPr>
              <w:t>92.0</w:t>
            </w:r>
          </w:p>
        </w:tc>
        <w:tc>
          <w:tcPr>
            <w:tcW w:w="376" w:type="pct"/>
          </w:tcPr>
          <w:p w:rsidR="00312ECE" w:rsidRDefault="00312ECE">
            <w:pPr>
              <w:spacing w:before="60" w:after="60" w:line="280" w:lineRule="exact"/>
              <w:jc w:val="center"/>
              <w:rPr>
                <w:sz w:val="17"/>
              </w:rPr>
            </w:pPr>
            <w:r>
              <w:rPr>
                <w:sz w:val="17"/>
              </w:rPr>
              <w:t>91.0</w:t>
            </w:r>
          </w:p>
        </w:tc>
        <w:tc>
          <w:tcPr>
            <w:tcW w:w="376" w:type="pct"/>
          </w:tcPr>
          <w:p w:rsidR="00312ECE" w:rsidRDefault="00312ECE">
            <w:pPr>
              <w:spacing w:before="60" w:after="60" w:line="280" w:lineRule="exact"/>
              <w:jc w:val="center"/>
              <w:rPr>
                <w:sz w:val="17"/>
              </w:rPr>
            </w:pPr>
            <w:r>
              <w:rPr>
                <w:sz w:val="17"/>
              </w:rPr>
              <w:t>93.6</w:t>
            </w:r>
          </w:p>
        </w:tc>
        <w:tc>
          <w:tcPr>
            <w:tcW w:w="376" w:type="pct"/>
          </w:tcPr>
          <w:p w:rsidR="00312ECE" w:rsidRDefault="00312ECE">
            <w:pPr>
              <w:spacing w:before="60" w:after="60" w:line="280" w:lineRule="exact"/>
              <w:jc w:val="center"/>
              <w:rPr>
                <w:sz w:val="17"/>
              </w:rPr>
            </w:pPr>
            <w:r>
              <w:rPr>
                <w:sz w:val="17"/>
              </w:rPr>
              <w:t>90.7</w:t>
            </w:r>
          </w:p>
        </w:tc>
        <w:tc>
          <w:tcPr>
            <w:tcW w:w="318" w:type="pct"/>
          </w:tcPr>
          <w:p w:rsidR="00312ECE" w:rsidRDefault="00312ECE">
            <w:pPr>
              <w:spacing w:before="60" w:after="60" w:line="280" w:lineRule="exact"/>
              <w:jc w:val="center"/>
              <w:rPr>
                <w:sz w:val="17"/>
              </w:rPr>
            </w:pPr>
            <w:r>
              <w:rPr>
                <w:sz w:val="17"/>
              </w:rPr>
              <w:t>85.3</w:t>
            </w:r>
          </w:p>
        </w:tc>
        <w:tc>
          <w:tcPr>
            <w:tcW w:w="376" w:type="pct"/>
          </w:tcPr>
          <w:p w:rsidR="00312ECE" w:rsidRDefault="00312ECE">
            <w:pPr>
              <w:spacing w:before="60" w:after="60" w:line="280" w:lineRule="exact"/>
              <w:jc w:val="center"/>
              <w:rPr>
                <w:sz w:val="17"/>
              </w:rPr>
            </w:pPr>
            <w:r>
              <w:rPr>
                <w:sz w:val="17"/>
              </w:rPr>
              <w:t>89.0</w:t>
            </w:r>
          </w:p>
        </w:tc>
        <w:tc>
          <w:tcPr>
            <w:tcW w:w="376" w:type="pct"/>
          </w:tcPr>
          <w:p w:rsidR="00312ECE" w:rsidRDefault="00312ECE">
            <w:pPr>
              <w:spacing w:before="60" w:after="60" w:line="280" w:lineRule="exact"/>
              <w:jc w:val="center"/>
              <w:rPr>
                <w:sz w:val="17"/>
              </w:rPr>
            </w:pPr>
            <w:r>
              <w:rPr>
                <w:sz w:val="17"/>
              </w:rPr>
              <w:t>79.7</w:t>
            </w:r>
          </w:p>
        </w:tc>
        <w:tc>
          <w:tcPr>
            <w:tcW w:w="376" w:type="pct"/>
          </w:tcPr>
          <w:p w:rsidR="00312ECE" w:rsidRDefault="00312ECE">
            <w:pPr>
              <w:spacing w:before="60" w:after="60" w:line="280" w:lineRule="exact"/>
              <w:jc w:val="center"/>
              <w:rPr>
                <w:sz w:val="17"/>
              </w:rPr>
            </w:pPr>
            <w:r>
              <w:rPr>
                <w:sz w:val="17"/>
              </w:rPr>
              <w:t>73.2</w:t>
            </w:r>
          </w:p>
        </w:tc>
        <w:tc>
          <w:tcPr>
            <w:tcW w:w="374" w:type="pct"/>
          </w:tcPr>
          <w:p w:rsidR="00312ECE" w:rsidRDefault="00312ECE">
            <w:pPr>
              <w:spacing w:before="60" w:after="60" w:line="280" w:lineRule="exact"/>
              <w:jc w:val="center"/>
              <w:rPr>
                <w:sz w:val="17"/>
              </w:rPr>
            </w:pPr>
            <w:r>
              <w:rPr>
                <w:sz w:val="17"/>
              </w:rPr>
              <w:t>74.4</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水电气供应</w:t>
            </w:r>
          </w:p>
        </w:tc>
        <w:tc>
          <w:tcPr>
            <w:tcW w:w="320" w:type="pct"/>
          </w:tcPr>
          <w:p w:rsidR="00312ECE" w:rsidRDefault="00312ECE">
            <w:pPr>
              <w:spacing w:before="60" w:after="60" w:line="280" w:lineRule="exact"/>
              <w:jc w:val="center"/>
              <w:rPr>
                <w:sz w:val="17"/>
              </w:rPr>
            </w:pPr>
            <w:r>
              <w:rPr>
                <w:sz w:val="17"/>
              </w:rPr>
              <w:t>13.4</w:t>
            </w:r>
          </w:p>
        </w:tc>
        <w:tc>
          <w:tcPr>
            <w:tcW w:w="320" w:type="pct"/>
          </w:tcPr>
          <w:p w:rsidR="00312ECE" w:rsidRDefault="00312ECE">
            <w:pPr>
              <w:spacing w:before="60" w:after="60" w:line="280" w:lineRule="exact"/>
              <w:jc w:val="center"/>
              <w:rPr>
                <w:sz w:val="17"/>
              </w:rPr>
            </w:pPr>
            <w:r>
              <w:rPr>
                <w:sz w:val="17"/>
              </w:rPr>
              <w:t>14.4</w:t>
            </w:r>
          </w:p>
        </w:tc>
        <w:tc>
          <w:tcPr>
            <w:tcW w:w="319" w:type="pct"/>
          </w:tcPr>
          <w:p w:rsidR="00312ECE" w:rsidRDefault="00312ECE">
            <w:pPr>
              <w:spacing w:before="60" w:after="60" w:line="280" w:lineRule="exact"/>
              <w:jc w:val="center"/>
              <w:rPr>
                <w:sz w:val="17"/>
              </w:rPr>
            </w:pPr>
            <w:r>
              <w:rPr>
                <w:sz w:val="17"/>
              </w:rPr>
              <w:t>15.3</w:t>
            </w:r>
          </w:p>
        </w:tc>
        <w:tc>
          <w:tcPr>
            <w:tcW w:w="319" w:type="pct"/>
          </w:tcPr>
          <w:p w:rsidR="00312ECE" w:rsidRDefault="00312ECE">
            <w:pPr>
              <w:spacing w:before="60" w:after="60" w:line="280" w:lineRule="exact"/>
              <w:jc w:val="center"/>
              <w:rPr>
                <w:sz w:val="17"/>
              </w:rPr>
            </w:pPr>
            <w:r>
              <w:rPr>
                <w:sz w:val="17"/>
              </w:rPr>
              <w:t>14.0</w:t>
            </w:r>
          </w:p>
        </w:tc>
        <w:tc>
          <w:tcPr>
            <w:tcW w:w="376" w:type="pct"/>
          </w:tcPr>
          <w:p w:rsidR="00312ECE" w:rsidRDefault="00312ECE">
            <w:pPr>
              <w:spacing w:before="60" w:after="60" w:line="280" w:lineRule="exact"/>
              <w:jc w:val="center"/>
              <w:rPr>
                <w:sz w:val="17"/>
              </w:rPr>
            </w:pPr>
            <w:r>
              <w:rPr>
                <w:sz w:val="17"/>
              </w:rPr>
              <w:t>13.3</w:t>
            </w:r>
          </w:p>
        </w:tc>
        <w:tc>
          <w:tcPr>
            <w:tcW w:w="376" w:type="pct"/>
          </w:tcPr>
          <w:p w:rsidR="00312ECE" w:rsidRDefault="00312ECE">
            <w:pPr>
              <w:spacing w:before="60" w:after="60" w:line="280" w:lineRule="exact"/>
              <w:jc w:val="center"/>
              <w:rPr>
                <w:sz w:val="17"/>
              </w:rPr>
            </w:pPr>
            <w:r>
              <w:rPr>
                <w:sz w:val="17"/>
              </w:rPr>
              <w:t>12.8</w:t>
            </w:r>
          </w:p>
        </w:tc>
        <w:tc>
          <w:tcPr>
            <w:tcW w:w="376" w:type="pct"/>
          </w:tcPr>
          <w:p w:rsidR="00312ECE" w:rsidRDefault="00312ECE">
            <w:pPr>
              <w:spacing w:before="60" w:after="60" w:line="280" w:lineRule="exact"/>
              <w:jc w:val="center"/>
              <w:rPr>
                <w:sz w:val="17"/>
              </w:rPr>
            </w:pPr>
            <w:r>
              <w:rPr>
                <w:sz w:val="17"/>
              </w:rPr>
              <w:t>3.8</w:t>
            </w:r>
          </w:p>
        </w:tc>
        <w:tc>
          <w:tcPr>
            <w:tcW w:w="318" w:type="pct"/>
          </w:tcPr>
          <w:p w:rsidR="00312ECE" w:rsidRDefault="00312ECE">
            <w:pPr>
              <w:spacing w:before="60" w:after="60" w:line="280" w:lineRule="exact"/>
              <w:jc w:val="center"/>
              <w:rPr>
                <w:sz w:val="17"/>
              </w:rPr>
            </w:pPr>
            <w:r>
              <w:rPr>
                <w:sz w:val="17"/>
              </w:rPr>
              <w:t>4.5</w:t>
            </w:r>
          </w:p>
        </w:tc>
        <w:tc>
          <w:tcPr>
            <w:tcW w:w="376" w:type="pct"/>
          </w:tcPr>
          <w:p w:rsidR="00312ECE" w:rsidRDefault="00312ECE">
            <w:pPr>
              <w:spacing w:before="60" w:after="60" w:line="280" w:lineRule="exact"/>
              <w:jc w:val="center"/>
              <w:rPr>
                <w:sz w:val="17"/>
              </w:rPr>
            </w:pPr>
            <w:r>
              <w:rPr>
                <w:sz w:val="17"/>
              </w:rPr>
              <w:t>4.7</w:t>
            </w:r>
          </w:p>
        </w:tc>
        <w:tc>
          <w:tcPr>
            <w:tcW w:w="376" w:type="pct"/>
          </w:tcPr>
          <w:p w:rsidR="00312ECE" w:rsidRDefault="00312ECE">
            <w:pPr>
              <w:spacing w:before="60" w:after="60" w:line="280" w:lineRule="exact"/>
              <w:jc w:val="center"/>
              <w:rPr>
                <w:sz w:val="17"/>
              </w:rPr>
            </w:pPr>
            <w:r>
              <w:rPr>
                <w:sz w:val="17"/>
              </w:rPr>
              <w:t>5.0</w:t>
            </w:r>
          </w:p>
        </w:tc>
        <w:tc>
          <w:tcPr>
            <w:tcW w:w="376" w:type="pct"/>
          </w:tcPr>
          <w:p w:rsidR="00312ECE" w:rsidRDefault="00312ECE">
            <w:pPr>
              <w:spacing w:before="60" w:after="60" w:line="280" w:lineRule="exact"/>
              <w:jc w:val="center"/>
              <w:rPr>
                <w:sz w:val="17"/>
              </w:rPr>
            </w:pPr>
            <w:r>
              <w:rPr>
                <w:sz w:val="17"/>
              </w:rPr>
              <w:t>5.1</w:t>
            </w:r>
          </w:p>
        </w:tc>
        <w:tc>
          <w:tcPr>
            <w:tcW w:w="374" w:type="pct"/>
          </w:tcPr>
          <w:p w:rsidR="00312ECE" w:rsidRDefault="00312ECE">
            <w:pPr>
              <w:spacing w:before="60" w:after="60" w:line="280" w:lineRule="exact"/>
              <w:jc w:val="center"/>
              <w:rPr>
                <w:sz w:val="17"/>
              </w:rPr>
            </w:pPr>
            <w:r>
              <w:rPr>
                <w:sz w:val="17"/>
              </w:rPr>
              <w:t>5.1</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建筑</w:t>
            </w:r>
          </w:p>
        </w:tc>
        <w:tc>
          <w:tcPr>
            <w:tcW w:w="320" w:type="pct"/>
          </w:tcPr>
          <w:p w:rsidR="00312ECE" w:rsidRDefault="00312ECE">
            <w:pPr>
              <w:spacing w:before="60" w:after="60" w:line="280" w:lineRule="exact"/>
              <w:jc w:val="center"/>
              <w:rPr>
                <w:sz w:val="17"/>
              </w:rPr>
            </w:pPr>
            <w:r>
              <w:rPr>
                <w:sz w:val="17"/>
              </w:rPr>
              <w:t>48.1</w:t>
            </w:r>
          </w:p>
        </w:tc>
        <w:tc>
          <w:tcPr>
            <w:tcW w:w="320" w:type="pct"/>
          </w:tcPr>
          <w:p w:rsidR="00312ECE" w:rsidRDefault="00312ECE">
            <w:pPr>
              <w:spacing w:before="60" w:after="60" w:line="280" w:lineRule="exact"/>
              <w:jc w:val="center"/>
              <w:rPr>
                <w:sz w:val="17"/>
              </w:rPr>
            </w:pPr>
            <w:r>
              <w:rPr>
                <w:sz w:val="17"/>
              </w:rPr>
              <w:t>49.0</w:t>
            </w:r>
          </w:p>
        </w:tc>
        <w:tc>
          <w:tcPr>
            <w:tcW w:w="319" w:type="pct"/>
          </w:tcPr>
          <w:p w:rsidR="00312ECE" w:rsidRDefault="00312ECE">
            <w:pPr>
              <w:spacing w:before="60" w:after="60" w:line="280" w:lineRule="exact"/>
              <w:jc w:val="center"/>
              <w:rPr>
                <w:sz w:val="17"/>
              </w:rPr>
            </w:pPr>
            <w:r>
              <w:rPr>
                <w:sz w:val="17"/>
              </w:rPr>
              <w:t>52.2</w:t>
            </w:r>
          </w:p>
        </w:tc>
        <w:tc>
          <w:tcPr>
            <w:tcW w:w="319" w:type="pct"/>
          </w:tcPr>
          <w:p w:rsidR="00312ECE" w:rsidRDefault="00312ECE">
            <w:pPr>
              <w:spacing w:before="60" w:after="60" w:line="280" w:lineRule="exact"/>
              <w:jc w:val="center"/>
              <w:rPr>
                <w:rFonts w:hint="eastAsia"/>
                <w:sz w:val="17"/>
              </w:rPr>
            </w:pPr>
            <w:r>
              <w:rPr>
                <w:sz w:val="17"/>
              </w:rPr>
              <w:t>54.</w:t>
            </w:r>
            <w:r>
              <w:rPr>
                <w:rFonts w:hint="eastAsia"/>
                <w:sz w:val="17"/>
              </w:rPr>
              <w:t>4</w:t>
            </w:r>
          </w:p>
        </w:tc>
        <w:tc>
          <w:tcPr>
            <w:tcW w:w="376" w:type="pct"/>
          </w:tcPr>
          <w:p w:rsidR="00312ECE" w:rsidRDefault="00312ECE">
            <w:pPr>
              <w:spacing w:before="60" w:after="60" w:line="280" w:lineRule="exact"/>
              <w:jc w:val="center"/>
              <w:rPr>
                <w:rFonts w:hint="eastAsia"/>
                <w:sz w:val="17"/>
              </w:rPr>
            </w:pPr>
            <w:r>
              <w:rPr>
                <w:sz w:val="17"/>
              </w:rPr>
              <w:t>54.</w:t>
            </w:r>
            <w:r>
              <w:rPr>
                <w:rFonts w:hint="eastAsia"/>
                <w:sz w:val="17"/>
              </w:rPr>
              <w:t>9</w:t>
            </w:r>
          </w:p>
        </w:tc>
        <w:tc>
          <w:tcPr>
            <w:tcW w:w="376" w:type="pct"/>
          </w:tcPr>
          <w:p w:rsidR="00312ECE" w:rsidRDefault="00312ECE">
            <w:pPr>
              <w:spacing w:before="60" w:after="60" w:line="280" w:lineRule="exact"/>
              <w:jc w:val="center"/>
              <w:rPr>
                <w:sz w:val="17"/>
              </w:rPr>
            </w:pPr>
            <w:r>
              <w:rPr>
                <w:sz w:val="17"/>
              </w:rPr>
              <w:t>56.1</w:t>
            </w:r>
          </w:p>
        </w:tc>
        <w:tc>
          <w:tcPr>
            <w:tcW w:w="376" w:type="pct"/>
          </w:tcPr>
          <w:p w:rsidR="00312ECE" w:rsidRDefault="00312ECE">
            <w:pPr>
              <w:spacing w:before="60" w:after="60" w:line="280" w:lineRule="exact"/>
              <w:jc w:val="center"/>
              <w:rPr>
                <w:sz w:val="17"/>
              </w:rPr>
            </w:pPr>
            <w:r>
              <w:rPr>
                <w:sz w:val="17"/>
              </w:rPr>
              <w:t>8.3</w:t>
            </w:r>
          </w:p>
        </w:tc>
        <w:tc>
          <w:tcPr>
            <w:tcW w:w="318" w:type="pct"/>
          </w:tcPr>
          <w:p w:rsidR="00312ECE" w:rsidRDefault="00312ECE">
            <w:pPr>
              <w:spacing w:before="60" w:after="60" w:line="280" w:lineRule="exact"/>
              <w:jc w:val="center"/>
              <w:rPr>
                <w:sz w:val="17"/>
              </w:rPr>
            </w:pPr>
            <w:r>
              <w:rPr>
                <w:sz w:val="17"/>
              </w:rPr>
              <w:t>8.5</w:t>
            </w:r>
          </w:p>
        </w:tc>
        <w:tc>
          <w:tcPr>
            <w:tcW w:w="376" w:type="pct"/>
          </w:tcPr>
          <w:p w:rsidR="00312ECE" w:rsidRDefault="00312ECE">
            <w:pPr>
              <w:spacing w:before="60" w:after="60" w:line="280" w:lineRule="exact"/>
              <w:jc w:val="center"/>
              <w:rPr>
                <w:sz w:val="17"/>
              </w:rPr>
            </w:pPr>
            <w:r>
              <w:rPr>
                <w:sz w:val="17"/>
              </w:rPr>
              <w:t>8.3</w:t>
            </w:r>
          </w:p>
        </w:tc>
        <w:tc>
          <w:tcPr>
            <w:tcW w:w="376" w:type="pct"/>
          </w:tcPr>
          <w:p w:rsidR="00312ECE" w:rsidRDefault="00312ECE">
            <w:pPr>
              <w:spacing w:before="60" w:after="60" w:line="280" w:lineRule="exact"/>
              <w:jc w:val="center"/>
              <w:rPr>
                <w:sz w:val="17"/>
              </w:rPr>
            </w:pPr>
            <w:r>
              <w:rPr>
                <w:sz w:val="17"/>
              </w:rPr>
              <w:t>9.0</w:t>
            </w:r>
          </w:p>
        </w:tc>
        <w:tc>
          <w:tcPr>
            <w:tcW w:w="376" w:type="pct"/>
          </w:tcPr>
          <w:p w:rsidR="00312ECE" w:rsidRDefault="00312ECE">
            <w:pPr>
              <w:spacing w:before="60" w:after="60" w:line="280" w:lineRule="exact"/>
              <w:jc w:val="center"/>
              <w:rPr>
                <w:sz w:val="17"/>
              </w:rPr>
            </w:pPr>
            <w:r>
              <w:rPr>
                <w:sz w:val="17"/>
              </w:rPr>
              <w:t>8.9</w:t>
            </w:r>
          </w:p>
        </w:tc>
        <w:tc>
          <w:tcPr>
            <w:tcW w:w="374" w:type="pct"/>
          </w:tcPr>
          <w:p w:rsidR="00312ECE" w:rsidRDefault="00312ECE">
            <w:pPr>
              <w:spacing w:before="60" w:after="60" w:line="280" w:lineRule="exact"/>
              <w:jc w:val="center"/>
              <w:rPr>
                <w:sz w:val="17"/>
              </w:rPr>
            </w:pPr>
            <w:r>
              <w:rPr>
                <w:sz w:val="17"/>
              </w:rPr>
              <w:t>9.1</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批发及零售；汽车、摩托、个人用具及家用电器和设备的维修</w:t>
            </w:r>
          </w:p>
        </w:tc>
        <w:tc>
          <w:tcPr>
            <w:tcW w:w="320" w:type="pct"/>
          </w:tcPr>
          <w:p w:rsidR="00312ECE" w:rsidRDefault="00312ECE">
            <w:pPr>
              <w:spacing w:before="60" w:after="60" w:line="280" w:lineRule="exact"/>
              <w:jc w:val="center"/>
              <w:rPr>
                <w:sz w:val="17"/>
              </w:rPr>
            </w:pPr>
            <w:r>
              <w:rPr>
                <w:sz w:val="17"/>
              </w:rPr>
              <w:t>56.9</w:t>
            </w:r>
          </w:p>
        </w:tc>
        <w:tc>
          <w:tcPr>
            <w:tcW w:w="320" w:type="pct"/>
          </w:tcPr>
          <w:p w:rsidR="00312ECE" w:rsidRDefault="00312ECE">
            <w:pPr>
              <w:spacing w:before="60" w:after="60" w:line="280" w:lineRule="exact"/>
              <w:jc w:val="center"/>
              <w:rPr>
                <w:sz w:val="17"/>
              </w:rPr>
            </w:pPr>
            <w:r>
              <w:rPr>
                <w:sz w:val="17"/>
              </w:rPr>
              <w:t>51.2</w:t>
            </w:r>
          </w:p>
        </w:tc>
        <w:tc>
          <w:tcPr>
            <w:tcW w:w="319" w:type="pct"/>
          </w:tcPr>
          <w:p w:rsidR="00312ECE" w:rsidRDefault="00312ECE">
            <w:pPr>
              <w:spacing w:before="60" w:after="60" w:line="280" w:lineRule="exact"/>
              <w:jc w:val="center"/>
              <w:rPr>
                <w:sz w:val="17"/>
              </w:rPr>
            </w:pPr>
            <w:r>
              <w:rPr>
                <w:sz w:val="17"/>
              </w:rPr>
              <w:t>57.9</w:t>
            </w:r>
          </w:p>
        </w:tc>
        <w:tc>
          <w:tcPr>
            <w:tcW w:w="319" w:type="pct"/>
          </w:tcPr>
          <w:p w:rsidR="00312ECE" w:rsidRDefault="00312ECE">
            <w:pPr>
              <w:spacing w:before="60" w:after="60" w:line="280" w:lineRule="exact"/>
              <w:jc w:val="center"/>
              <w:rPr>
                <w:sz w:val="17"/>
              </w:rPr>
            </w:pPr>
            <w:r>
              <w:rPr>
                <w:sz w:val="17"/>
              </w:rPr>
              <w:t>68.2</w:t>
            </w:r>
          </w:p>
        </w:tc>
        <w:tc>
          <w:tcPr>
            <w:tcW w:w="376" w:type="pct"/>
          </w:tcPr>
          <w:p w:rsidR="00312ECE" w:rsidRDefault="00312ECE">
            <w:pPr>
              <w:spacing w:before="60" w:after="60" w:line="280" w:lineRule="exact"/>
              <w:jc w:val="center"/>
              <w:rPr>
                <w:sz w:val="17"/>
              </w:rPr>
            </w:pPr>
            <w:r>
              <w:rPr>
                <w:sz w:val="17"/>
              </w:rPr>
              <w:t>69.7</w:t>
            </w:r>
          </w:p>
        </w:tc>
        <w:tc>
          <w:tcPr>
            <w:tcW w:w="376" w:type="pct"/>
          </w:tcPr>
          <w:p w:rsidR="00312ECE" w:rsidRDefault="00312ECE">
            <w:pPr>
              <w:spacing w:before="60" w:after="60" w:line="280" w:lineRule="exact"/>
              <w:jc w:val="center"/>
              <w:rPr>
                <w:sz w:val="17"/>
              </w:rPr>
            </w:pPr>
            <w:r>
              <w:rPr>
                <w:sz w:val="17"/>
              </w:rPr>
              <w:t>73.9</w:t>
            </w:r>
          </w:p>
        </w:tc>
        <w:tc>
          <w:tcPr>
            <w:tcW w:w="376" w:type="pct"/>
          </w:tcPr>
          <w:p w:rsidR="00312ECE" w:rsidRDefault="00312ECE">
            <w:pPr>
              <w:spacing w:before="60" w:after="60" w:line="280" w:lineRule="exact"/>
              <w:jc w:val="center"/>
              <w:rPr>
                <w:sz w:val="17"/>
              </w:rPr>
            </w:pPr>
            <w:r>
              <w:rPr>
                <w:sz w:val="17"/>
              </w:rPr>
              <w:t>89.7</w:t>
            </w:r>
          </w:p>
        </w:tc>
        <w:tc>
          <w:tcPr>
            <w:tcW w:w="318" w:type="pct"/>
          </w:tcPr>
          <w:p w:rsidR="00312ECE" w:rsidRDefault="00312ECE">
            <w:pPr>
              <w:spacing w:before="60" w:after="60" w:line="280" w:lineRule="exact"/>
              <w:jc w:val="center"/>
              <w:rPr>
                <w:sz w:val="17"/>
              </w:rPr>
            </w:pPr>
            <w:r>
              <w:rPr>
                <w:sz w:val="17"/>
              </w:rPr>
              <w:t>85.2</w:t>
            </w:r>
          </w:p>
        </w:tc>
        <w:tc>
          <w:tcPr>
            <w:tcW w:w="376" w:type="pct"/>
          </w:tcPr>
          <w:p w:rsidR="00312ECE" w:rsidRDefault="00312ECE">
            <w:pPr>
              <w:spacing w:before="60" w:after="60" w:line="280" w:lineRule="exact"/>
              <w:jc w:val="center"/>
              <w:rPr>
                <w:sz w:val="17"/>
              </w:rPr>
            </w:pPr>
            <w:r>
              <w:rPr>
                <w:sz w:val="17"/>
              </w:rPr>
              <w:t>94.0</w:t>
            </w:r>
          </w:p>
        </w:tc>
        <w:tc>
          <w:tcPr>
            <w:tcW w:w="376" w:type="pct"/>
          </w:tcPr>
          <w:p w:rsidR="00312ECE" w:rsidRDefault="00312ECE">
            <w:pPr>
              <w:spacing w:before="60" w:after="60" w:line="280" w:lineRule="exact"/>
              <w:jc w:val="center"/>
              <w:rPr>
                <w:sz w:val="17"/>
              </w:rPr>
            </w:pPr>
            <w:r>
              <w:rPr>
                <w:sz w:val="17"/>
              </w:rPr>
              <w:t>100.3</w:t>
            </w:r>
          </w:p>
        </w:tc>
        <w:tc>
          <w:tcPr>
            <w:tcW w:w="376" w:type="pct"/>
          </w:tcPr>
          <w:p w:rsidR="00312ECE" w:rsidRDefault="00312ECE">
            <w:pPr>
              <w:spacing w:before="60" w:after="60" w:line="280" w:lineRule="exact"/>
              <w:jc w:val="center"/>
              <w:rPr>
                <w:sz w:val="17"/>
              </w:rPr>
            </w:pPr>
            <w:r>
              <w:rPr>
                <w:sz w:val="17"/>
              </w:rPr>
              <w:t>100.2</w:t>
            </w:r>
          </w:p>
        </w:tc>
        <w:tc>
          <w:tcPr>
            <w:tcW w:w="374" w:type="pct"/>
          </w:tcPr>
          <w:p w:rsidR="00312ECE" w:rsidRDefault="00312ECE">
            <w:pPr>
              <w:spacing w:before="60" w:after="60" w:line="280" w:lineRule="exact"/>
              <w:jc w:val="center"/>
              <w:rPr>
                <w:sz w:val="17"/>
              </w:rPr>
            </w:pPr>
            <w:r>
              <w:rPr>
                <w:sz w:val="17"/>
              </w:rPr>
              <w:t>100.</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宾馆饭店</w:t>
            </w:r>
          </w:p>
        </w:tc>
        <w:tc>
          <w:tcPr>
            <w:tcW w:w="320" w:type="pct"/>
          </w:tcPr>
          <w:p w:rsidR="00312ECE" w:rsidRDefault="00312ECE">
            <w:pPr>
              <w:spacing w:before="60" w:after="60" w:line="280" w:lineRule="exact"/>
              <w:jc w:val="center"/>
              <w:rPr>
                <w:sz w:val="17"/>
              </w:rPr>
            </w:pPr>
            <w:r>
              <w:rPr>
                <w:sz w:val="17"/>
              </w:rPr>
              <w:t>5.8</w:t>
            </w:r>
          </w:p>
        </w:tc>
        <w:tc>
          <w:tcPr>
            <w:tcW w:w="320" w:type="pct"/>
          </w:tcPr>
          <w:p w:rsidR="00312ECE" w:rsidRDefault="00312ECE">
            <w:pPr>
              <w:spacing w:before="60" w:after="60" w:line="280" w:lineRule="exact"/>
              <w:jc w:val="center"/>
              <w:rPr>
                <w:sz w:val="17"/>
              </w:rPr>
            </w:pPr>
            <w:r>
              <w:rPr>
                <w:sz w:val="17"/>
              </w:rPr>
              <w:t>5.2</w:t>
            </w:r>
          </w:p>
        </w:tc>
        <w:tc>
          <w:tcPr>
            <w:tcW w:w="319" w:type="pct"/>
          </w:tcPr>
          <w:p w:rsidR="00312ECE" w:rsidRDefault="00312ECE">
            <w:pPr>
              <w:spacing w:before="60" w:after="60" w:line="280" w:lineRule="exact"/>
              <w:jc w:val="center"/>
              <w:rPr>
                <w:sz w:val="17"/>
              </w:rPr>
            </w:pPr>
            <w:r>
              <w:rPr>
                <w:sz w:val="17"/>
              </w:rPr>
              <w:t>5.3</w:t>
            </w:r>
          </w:p>
        </w:tc>
        <w:tc>
          <w:tcPr>
            <w:tcW w:w="319" w:type="pct"/>
          </w:tcPr>
          <w:p w:rsidR="00312ECE" w:rsidRDefault="00312ECE">
            <w:pPr>
              <w:spacing w:before="60" w:after="60" w:line="280" w:lineRule="exact"/>
              <w:jc w:val="center"/>
              <w:rPr>
                <w:sz w:val="17"/>
              </w:rPr>
            </w:pPr>
            <w:r>
              <w:rPr>
                <w:sz w:val="17"/>
              </w:rPr>
              <w:t>4.8</w:t>
            </w:r>
          </w:p>
        </w:tc>
        <w:tc>
          <w:tcPr>
            <w:tcW w:w="376" w:type="pct"/>
          </w:tcPr>
          <w:p w:rsidR="00312ECE" w:rsidRDefault="00312ECE">
            <w:pPr>
              <w:spacing w:before="60" w:after="60" w:line="280" w:lineRule="exact"/>
              <w:jc w:val="center"/>
              <w:rPr>
                <w:sz w:val="17"/>
              </w:rPr>
            </w:pPr>
            <w:r>
              <w:rPr>
                <w:sz w:val="17"/>
              </w:rPr>
              <w:t>5.4</w:t>
            </w:r>
          </w:p>
        </w:tc>
        <w:tc>
          <w:tcPr>
            <w:tcW w:w="376" w:type="pct"/>
          </w:tcPr>
          <w:p w:rsidR="00312ECE" w:rsidRDefault="00312ECE">
            <w:pPr>
              <w:spacing w:before="60" w:after="60" w:line="280" w:lineRule="exact"/>
              <w:jc w:val="center"/>
              <w:rPr>
                <w:sz w:val="17"/>
              </w:rPr>
            </w:pPr>
            <w:r>
              <w:rPr>
                <w:sz w:val="17"/>
              </w:rPr>
              <w:t>5.7</w:t>
            </w:r>
          </w:p>
        </w:tc>
        <w:tc>
          <w:tcPr>
            <w:tcW w:w="376" w:type="pct"/>
          </w:tcPr>
          <w:p w:rsidR="00312ECE" w:rsidRDefault="00312ECE">
            <w:pPr>
              <w:spacing w:before="60" w:after="60" w:line="280" w:lineRule="exact"/>
              <w:jc w:val="center"/>
              <w:rPr>
                <w:sz w:val="17"/>
              </w:rPr>
            </w:pPr>
            <w:r>
              <w:rPr>
                <w:sz w:val="17"/>
              </w:rPr>
              <w:t>17.2</w:t>
            </w:r>
          </w:p>
        </w:tc>
        <w:tc>
          <w:tcPr>
            <w:tcW w:w="318" w:type="pct"/>
          </w:tcPr>
          <w:p w:rsidR="00312ECE" w:rsidRDefault="00312ECE">
            <w:pPr>
              <w:spacing w:before="60" w:after="60" w:line="280" w:lineRule="exact"/>
              <w:jc w:val="center"/>
              <w:rPr>
                <w:sz w:val="17"/>
              </w:rPr>
            </w:pPr>
            <w:r>
              <w:rPr>
                <w:sz w:val="17"/>
              </w:rPr>
              <w:t>15.3</w:t>
            </w:r>
          </w:p>
        </w:tc>
        <w:tc>
          <w:tcPr>
            <w:tcW w:w="376" w:type="pct"/>
          </w:tcPr>
          <w:p w:rsidR="00312ECE" w:rsidRDefault="00312ECE">
            <w:pPr>
              <w:spacing w:before="60" w:after="60" w:line="280" w:lineRule="exact"/>
              <w:jc w:val="center"/>
              <w:rPr>
                <w:sz w:val="17"/>
              </w:rPr>
            </w:pPr>
            <w:r>
              <w:rPr>
                <w:sz w:val="17"/>
              </w:rPr>
              <w:t>15.6</w:t>
            </w:r>
          </w:p>
        </w:tc>
        <w:tc>
          <w:tcPr>
            <w:tcW w:w="376" w:type="pct"/>
          </w:tcPr>
          <w:p w:rsidR="00312ECE" w:rsidRDefault="00312ECE">
            <w:pPr>
              <w:spacing w:before="60" w:after="60" w:line="280" w:lineRule="exact"/>
              <w:jc w:val="center"/>
              <w:rPr>
                <w:sz w:val="17"/>
              </w:rPr>
            </w:pPr>
            <w:r>
              <w:rPr>
                <w:sz w:val="17"/>
              </w:rPr>
              <w:t>17.6</w:t>
            </w:r>
          </w:p>
        </w:tc>
        <w:tc>
          <w:tcPr>
            <w:tcW w:w="376" w:type="pct"/>
          </w:tcPr>
          <w:p w:rsidR="00312ECE" w:rsidRDefault="00312ECE">
            <w:pPr>
              <w:spacing w:before="60" w:after="60" w:line="280" w:lineRule="exact"/>
              <w:jc w:val="center"/>
              <w:rPr>
                <w:sz w:val="17"/>
              </w:rPr>
            </w:pPr>
            <w:r>
              <w:rPr>
                <w:sz w:val="17"/>
              </w:rPr>
              <w:t>18.5</w:t>
            </w:r>
          </w:p>
        </w:tc>
        <w:tc>
          <w:tcPr>
            <w:tcW w:w="374" w:type="pct"/>
          </w:tcPr>
          <w:p w:rsidR="00312ECE" w:rsidRDefault="00312ECE">
            <w:pPr>
              <w:spacing w:before="60" w:after="60" w:line="280" w:lineRule="exact"/>
              <w:jc w:val="center"/>
              <w:rPr>
                <w:sz w:val="17"/>
              </w:rPr>
            </w:pPr>
            <w:r>
              <w:rPr>
                <w:sz w:val="17"/>
              </w:rPr>
              <w:t>19.9</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运输、存储及通讯</w:t>
            </w:r>
          </w:p>
        </w:tc>
        <w:tc>
          <w:tcPr>
            <w:tcW w:w="320" w:type="pct"/>
          </w:tcPr>
          <w:p w:rsidR="00312ECE" w:rsidRDefault="00312ECE">
            <w:pPr>
              <w:spacing w:before="60" w:after="60" w:line="280" w:lineRule="exact"/>
              <w:jc w:val="center"/>
              <w:rPr>
                <w:sz w:val="17"/>
              </w:rPr>
            </w:pPr>
            <w:r>
              <w:rPr>
                <w:sz w:val="17"/>
              </w:rPr>
              <w:t>60.7</w:t>
            </w:r>
          </w:p>
        </w:tc>
        <w:tc>
          <w:tcPr>
            <w:tcW w:w="320" w:type="pct"/>
          </w:tcPr>
          <w:p w:rsidR="00312ECE" w:rsidRDefault="00312ECE">
            <w:pPr>
              <w:spacing w:before="60" w:after="60" w:line="280" w:lineRule="exact"/>
              <w:jc w:val="center"/>
              <w:rPr>
                <w:sz w:val="17"/>
              </w:rPr>
            </w:pPr>
            <w:r>
              <w:rPr>
                <w:sz w:val="17"/>
              </w:rPr>
              <w:t>59.4</w:t>
            </w:r>
          </w:p>
        </w:tc>
        <w:tc>
          <w:tcPr>
            <w:tcW w:w="319" w:type="pct"/>
          </w:tcPr>
          <w:p w:rsidR="00312ECE" w:rsidRDefault="00312ECE">
            <w:pPr>
              <w:spacing w:before="60" w:after="60" w:line="280" w:lineRule="exact"/>
              <w:jc w:val="center"/>
              <w:rPr>
                <w:sz w:val="17"/>
              </w:rPr>
            </w:pPr>
            <w:r>
              <w:rPr>
                <w:sz w:val="17"/>
              </w:rPr>
              <w:t>59.2</w:t>
            </w:r>
          </w:p>
        </w:tc>
        <w:tc>
          <w:tcPr>
            <w:tcW w:w="319" w:type="pct"/>
          </w:tcPr>
          <w:p w:rsidR="00312ECE" w:rsidRDefault="00312ECE">
            <w:pPr>
              <w:spacing w:before="60" w:after="60" w:line="280" w:lineRule="exact"/>
              <w:jc w:val="center"/>
              <w:rPr>
                <w:sz w:val="17"/>
              </w:rPr>
            </w:pPr>
            <w:r>
              <w:rPr>
                <w:sz w:val="17"/>
              </w:rPr>
              <w:t>59.6</w:t>
            </w:r>
          </w:p>
        </w:tc>
        <w:tc>
          <w:tcPr>
            <w:tcW w:w="376" w:type="pct"/>
          </w:tcPr>
          <w:p w:rsidR="00312ECE" w:rsidRDefault="00312ECE">
            <w:pPr>
              <w:spacing w:before="60" w:after="60" w:line="280" w:lineRule="exact"/>
              <w:jc w:val="center"/>
              <w:rPr>
                <w:sz w:val="17"/>
              </w:rPr>
            </w:pPr>
            <w:r>
              <w:rPr>
                <w:sz w:val="17"/>
              </w:rPr>
              <w:t>58.1</w:t>
            </w:r>
          </w:p>
        </w:tc>
        <w:tc>
          <w:tcPr>
            <w:tcW w:w="376" w:type="pct"/>
          </w:tcPr>
          <w:p w:rsidR="00312ECE" w:rsidRDefault="00312ECE">
            <w:pPr>
              <w:spacing w:before="60" w:after="60" w:line="280" w:lineRule="exact"/>
              <w:jc w:val="center"/>
              <w:rPr>
                <w:sz w:val="17"/>
              </w:rPr>
            </w:pPr>
            <w:r>
              <w:rPr>
                <w:sz w:val="17"/>
              </w:rPr>
              <w:t>56.3</w:t>
            </w:r>
          </w:p>
        </w:tc>
        <w:tc>
          <w:tcPr>
            <w:tcW w:w="376" w:type="pct"/>
          </w:tcPr>
          <w:p w:rsidR="00312ECE" w:rsidRDefault="00312ECE">
            <w:pPr>
              <w:spacing w:before="60" w:after="60" w:line="280" w:lineRule="exact"/>
              <w:jc w:val="center"/>
              <w:rPr>
                <w:sz w:val="17"/>
              </w:rPr>
            </w:pPr>
            <w:r>
              <w:rPr>
                <w:sz w:val="17"/>
              </w:rPr>
              <w:t>31.3</w:t>
            </w:r>
          </w:p>
        </w:tc>
        <w:tc>
          <w:tcPr>
            <w:tcW w:w="318" w:type="pct"/>
          </w:tcPr>
          <w:p w:rsidR="00312ECE" w:rsidRDefault="00312ECE">
            <w:pPr>
              <w:spacing w:before="60" w:after="60" w:line="280" w:lineRule="exact"/>
              <w:jc w:val="center"/>
              <w:rPr>
                <w:sz w:val="17"/>
              </w:rPr>
            </w:pPr>
            <w:r>
              <w:rPr>
                <w:sz w:val="17"/>
              </w:rPr>
              <w:t>30.6</w:t>
            </w:r>
          </w:p>
        </w:tc>
        <w:tc>
          <w:tcPr>
            <w:tcW w:w="376" w:type="pct"/>
          </w:tcPr>
          <w:p w:rsidR="00312ECE" w:rsidRDefault="00312ECE">
            <w:pPr>
              <w:spacing w:before="60" w:after="60" w:line="280" w:lineRule="exact"/>
              <w:jc w:val="center"/>
              <w:rPr>
                <w:sz w:val="17"/>
              </w:rPr>
            </w:pPr>
            <w:r>
              <w:rPr>
                <w:sz w:val="17"/>
              </w:rPr>
              <w:t>29.8</w:t>
            </w:r>
          </w:p>
        </w:tc>
        <w:tc>
          <w:tcPr>
            <w:tcW w:w="376" w:type="pct"/>
          </w:tcPr>
          <w:p w:rsidR="00312ECE" w:rsidRDefault="00312ECE">
            <w:pPr>
              <w:spacing w:before="60" w:after="60" w:line="280" w:lineRule="exact"/>
              <w:jc w:val="center"/>
              <w:rPr>
                <w:sz w:val="17"/>
              </w:rPr>
            </w:pPr>
            <w:r>
              <w:rPr>
                <w:sz w:val="17"/>
              </w:rPr>
              <w:t>30.4</w:t>
            </w:r>
          </w:p>
        </w:tc>
        <w:tc>
          <w:tcPr>
            <w:tcW w:w="376" w:type="pct"/>
          </w:tcPr>
          <w:p w:rsidR="00312ECE" w:rsidRDefault="00312ECE">
            <w:pPr>
              <w:spacing w:before="60" w:after="60" w:line="280" w:lineRule="exact"/>
              <w:jc w:val="center"/>
              <w:rPr>
                <w:sz w:val="17"/>
              </w:rPr>
            </w:pPr>
            <w:r>
              <w:rPr>
                <w:sz w:val="17"/>
              </w:rPr>
              <w:t>30.1</w:t>
            </w:r>
          </w:p>
        </w:tc>
        <w:tc>
          <w:tcPr>
            <w:tcW w:w="374" w:type="pct"/>
          </w:tcPr>
          <w:p w:rsidR="00312ECE" w:rsidRDefault="00312ECE">
            <w:pPr>
              <w:spacing w:before="60" w:after="60" w:line="280" w:lineRule="exact"/>
              <w:jc w:val="center"/>
              <w:rPr>
                <w:sz w:val="17"/>
              </w:rPr>
            </w:pPr>
            <w:r>
              <w:rPr>
                <w:sz w:val="17"/>
              </w:rPr>
              <w:t>29.1</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财务调解</w:t>
            </w:r>
          </w:p>
        </w:tc>
        <w:tc>
          <w:tcPr>
            <w:tcW w:w="320" w:type="pct"/>
          </w:tcPr>
          <w:p w:rsidR="00312ECE" w:rsidRDefault="00312ECE">
            <w:pPr>
              <w:spacing w:before="60" w:after="60" w:line="280" w:lineRule="exact"/>
              <w:jc w:val="center"/>
              <w:rPr>
                <w:sz w:val="17"/>
              </w:rPr>
            </w:pPr>
            <w:r>
              <w:rPr>
                <w:sz w:val="17"/>
              </w:rPr>
              <w:t>4.8</w:t>
            </w:r>
          </w:p>
        </w:tc>
        <w:tc>
          <w:tcPr>
            <w:tcW w:w="320" w:type="pct"/>
          </w:tcPr>
          <w:p w:rsidR="00312ECE" w:rsidRDefault="00312ECE">
            <w:pPr>
              <w:spacing w:before="60" w:after="60" w:line="280" w:lineRule="exact"/>
              <w:jc w:val="center"/>
              <w:rPr>
                <w:sz w:val="17"/>
              </w:rPr>
            </w:pPr>
            <w:r>
              <w:rPr>
                <w:sz w:val="17"/>
              </w:rPr>
              <w:t>5.0</w:t>
            </w:r>
          </w:p>
        </w:tc>
        <w:tc>
          <w:tcPr>
            <w:tcW w:w="319" w:type="pct"/>
          </w:tcPr>
          <w:p w:rsidR="00312ECE" w:rsidRDefault="00312ECE">
            <w:pPr>
              <w:spacing w:before="60" w:after="60" w:line="280" w:lineRule="exact"/>
              <w:jc w:val="center"/>
              <w:rPr>
                <w:sz w:val="17"/>
              </w:rPr>
            </w:pPr>
            <w:r>
              <w:rPr>
                <w:sz w:val="17"/>
              </w:rPr>
              <w:t>5.1</w:t>
            </w:r>
          </w:p>
        </w:tc>
        <w:tc>
          <w:tcPr>
            <w:tcW w:w="319" w:type="pct"/>
          </w:tcPr>
          <w:p w:rsidR="00312ECE" w:rsidRDefault="00312ECE">
            <w:pPr>
              <w:spacing w:before="60" w:after="60" w:line="280" w:lineRule="exact"/>
              <w:jc w:val="center"/>
              <w:rPr>
                <w:sz w:val="17"/>
              </w:rPr>
            </w:pPr>
            <w:r>
              <w:rPr>
                <w:sz w:val="17"/>
              </w:rPr>
              <w:t>5.6</w:t>
            </w:r>
          </w:p>
        </w:tc>
        <w:tc>
          <w:tcPr>
            <w:tcW w:w="376" w:type="pct"/>
          </w:tcPr>
          <w:p w:rsidR="00312ECE" w:rsidRDefault="00312ECE">
            <w:pPr>
              <w:spacing w:before="60" w:after="60" w:line="280" w:lineRule="exact"/>
              <w:jc w:val="center"/>
              <w:rPr>
                <w:sz w:val="17"/>
              </w:rPr>
            </w:pPr>
            <w:r>
              <w:rPr>
                <w:sz w:val="17"/>
              </w:rPr>
              <w:t>5.1</w:t>
            </w:r>
          </w:p>
        </w:tc>
        <w:tc>
          <w:tcPr>
            <w:tcW w:w="376" w:type="pct"/>
          </w:tcPr>
          <w:p w:rsidR="00312ECE" w:rsidRDefault="00312ECE">
            <w:pPr>
              <w:spacing w:before="60" w:after="60" w:line="280" w:lineRule="exact"/>
              <w:jc w:val="center"/>
              <w:rPr>
                <w:sz w:val="17"/>
              </w:rPr>
            </w:pPr>
            <w:r>
              <w:rPr>
                <w:sz w:val="17"/>
              </w:rPr>
              <w:t>5.4</w:t>
            </w:r>
          </w:p>
        </w:tc>
        <w:tc>
          <w:tcPr>
            <w:tcW w:w="376" w:type="pct"/>
          </w:tcPr>
          <w:p w:rsidR="00312ECE" w:rsidRDefault="00312ECE">
            <w:pPr>
              <w:spacing w:before="60" w:after="60" w:line="280" w:lineRule="exact"/>
              <w:jc w:val="center"/>
              <w:rPr>
                <w:sz w:val="17"/>
              </w:rPr>
            </w:pPr>
            <w:r>
              <w:rPr>
                <w:sz w:val="17"/>
              </w:rPr>
              <w:t>9.1</w:t>
            </w:r>
          </w:p>
        </w:tc>
        <w:tc>
          <w:tcPr>
            <w:tcW w:w="318" w:type="pct"/>
          </w:tcPr>
          <w:p w:rsidR="00312ECE" w:rsidRDefault="00312ECE">
            <w:pPr>
              <w:spacing w:before="60" w:after="60" w:line="280" w:lineRule="exact"/>
              <w:jc w:val="center"/>
              <w:rPr>
                <w:sz w:val="17"/>
              </w:rPr>
            </w:pPr>
            <w:r>
              <w:rPr>
                <w:sz w:val="17"/>
              </w:rPr>
              <w:t>9.7</w:t>
            </w:r>
          </w:p>
        </w:tc>
        <w:tc>
          <w:tcPr>
            <w:tcW w:w="376" w:type="pct"/>
          </w:tcPr>
          <w:p w:rsidR="00312ECE" w:rsidRDefault="00312ECE">
            <w:pPr>
              <w:spacing w:before="60" w:after="60" w:line="280" w:lineRule="exact"/>
              <w:jc w:val="center"/>
              <w:rPr>
                <w:sz w:val="17"/>
              </w:rPr>
            </w:pPr>
            <w:r>
              <w:rPr>
                <w:sz w:val="17"/>
              </w:rPr>
              <w:t>10.0</w:t>
            </w:r>
          </w:p>
        </w:tc>
        <w:tc>
          <w:tcPr>
            <w:tcW w:w="376" w:type="pct"/>
          </w:tcPr>
          <w:p w:rsidR="00312ECE" w:rsidRDefault="00312ECE">
            <w:pPr>
              <w:spacing w:before="60" w:after="60" w:line="280" w:lineRule="exact"/>
              <w:jc w:val="center"/>
              <w:rPr>
                <w:sz w:val="17"/>
              </w:rPr>
            </w:pPr>
            <w:r>
              <w:rPr>
                <w:sz w:val="17"/>
              </w:rPr>
              <w:t>9.7</w:t>
            </w:r>
          </w:p>
        </w:tc>
        <w:tc>
          <w:tcPr>
            <w:tcW w:w="376" w:type="pct"/>
          </w:tcPr>
          <w:p w:rsidR="00312ECE" w:rsidRDefault="00312ECE">
            <w:pPr>
              <w:spacing w:before="60" w:after="60" w:line="280" w:lineRule="exact"/>
              <w:jc w:val="center"/>
              <w:rPr>
                <w:sz w:val="17"/>
              </w:rPr>
            </w:pPr>
            <w:r>
              <w:rPr>
                <w:sz w:val="17"/>
              </w:rPr>
              <w:t>10.4</w:t>
            </w:r>
          </w:p>
        </w:tc>
        <w:tc>
          <w:tcPr>
            <w:tcW w:w="374" w:type="pct"/>
          </w:tcPr>
          <w:p w:rsidR="00312ECE" w:rsidRDefault="00312ECE">
            <w:pPr>
              <w:spacing w:before="60" w:after="60" w:line="280" w:lineRule="exact"/>
              <w:jc w:val="center"/>
              <w:rPr>
                <w:sz w:val="17"/>
              </w:rPr>
            </w:pPr>
            <w:r>
              <w:rPr>
                <w:sz w:val="17"/>
              </w:rPr>
              <w:t>11.0</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房地产、租赁及其他商业活动方面的交易</w:t>
            </w:r>
          </w:p>
        </w:tc>
        <w:tc>
          <w:tcPr>
            <w:tcW w:w="320" w:type="pct"/>
          </w:tcPr>
          <w:p w:rsidR="00312ECE" w:rsidRDefault="00312ECE">
            <w:pPr>
              <w:spacing w:before="60" w:after="60" w:line="280" w:lineRule="exact"/>
              <w:jc w:val="center"/>
              <w:rPr>
                <w:sz w:val="17"/>
              </w:rPr>
            </w:pPr>
            <w:r>
              <w:rPr>
                <w:sz w:val="17"/>
              </w:rPr>
              <w:t>27.6</w:t>
            </w:r>
          </w:p>
        </w:tc>
        <w:tc>
          <w:tcPr>
            <w:tcW w:w="320" w:type="pct"/>
          </w:tcPr>
          <w:p w:rsidR="00312ECE" w:rsidRDefault="00312ECE">
            <w:pPr>
              <w:spacing w:before="60" w:after="60" w:line="280" w:lineRule="exact"/>
              <w:jc w:val="center"/>
              <w:rPr>
                <w:sz w:val="17"/>
              </w:rPr>
            </w:pPr>
            <w:r>
              <w:rPr>
                <w:sz w:val="17"/>
              </w:rPr>
              <w:t>22.6</w:t>
            </w:r>
          </w:p>
        </w:tc>
        <w:tc>
          <w:tcPr>
            <w:tcW w:w="319" w:type="pct"/>
          </w:tcPr>
          <w:p w:rsidR="00312ECE" w:rsidRDefault="00312ECE">
            <w:pPr>
              <w:spacing w:before="60" w:after="60" w:line="280" w:lineRule="exact"/>
              <w:jc w:val="center"/>
              <w:rPr>
                <w:sz w:val="17"/>
              </w:rPr>
            </w:pPr>
            <w:r>
              <w:rPr>
                <w:sz w:val="17"/>
              </w:rPr>
              <w:t>21.6</w:t>
            </w:r>
          </w:p>
        </w:tc>
        <w:tc>
          <w:tcPr>
            <w:tcW w:w="319" w:type="pct"/>
          </w:tcPr>
          <w:p w:rsidR="00312ECE" w:rsidRDefault="00312ECE">
            <w:pPr>
              <w:spacing w:before="60" w:after="60" w:line="280" w:lineRule="exact"/>
              <w:jc w:val="center"/>
              <w:rPr>
                <w:sz w:val="17"/>
              </w:rPr>
            </w:pPr>
            <w:r>
              <w:rPr>
                <w:sz w:val="17"/>
              </w:rPr>
              <w:t>26.8</w:t>
            </w:r>
          </w:p>
        </w:tc>
        <w:tc>
          <w:tcPr>
            <w:tcW w:w="376" w:type="pct"/>
          </w:tcPr>
          <w:p w:rsidR="00312ECE" w:rsidRDefault="00312ECE">
            <w:pPr>
              <w:spacing w:before="60" w:after="60" w:line="280" w:lineRule="exact"/>
              <w:jc w:val="center"/>
              <w:rPr>
                <w:sz w:val="17"/>
              </w:rPr>
            </w:pPr>
            <w:r>
              <w:rPr>
                <w:sz w:val="17"/>
              </w:rPr>
              <w:t>31.0</w:t>
            </w:r>
          </w:p>
        </w:tc>
        <w:tc>
          <w:tcPr>
            <w:tcW w:w="376" w:type="pct"/>
          </w:tcPr>
          <w:p w:rsidR="00312ECE" w:rsidRDefault="00312ECE">
            <w:pPr>
              <w:spacing w:before="60" w:after="60" w:line="280" w:lineRule="exact"/>
              <w:jc w:val="center"/>
              <w:rPr>
                <w:sz w:val="17"/>
              </w:rPr>
            </w:pPr>
            <w:r>
              <w:rPr>
                <w:sz w:val="17"/>
              </w:rPr>
              <w:t>32.3</w:t>
            </w:r>
          </w:p>
        </w:tc>
        <w:tc>
          <w:tcPr>
            <w:tcW w:w="376" w:type="pct"/>
          </w:tcPr>
          <w:p w:rsidR="00312ECE" w:rsidRDefault="00312ECE">
            <w:pPr>
              <w:spacing w:before="60" w:after="60" w:line="280" w:lineRule="exact"/>
              <w:jc w:val="center"/>
              <w:rPr>
                <w:sz w:val="17"/>
              </w:rPr>
            </w:pPr>
            <w:r>
              <w:rPr>
                <w:sz w:val="17"/>
              </w:rPr>
              <w:t>22.6</w:t>
            </w:r>
          </w:p>
        </w:tc>
        <w:tc>
          <w:tcPr>
            <w:tcW w:w="318" w:type="pct"/>
          </w:tcPr>
          <w:p w:rsidR="00312ECE" w:rsidRDefault="00312ECE">
            <w:pPr>
              <w:spacing w:before="60" w:after="60" w:line="280" w:lineRule="exact"/>
              <w:jc w:val="center"/>
              <w:rPr>
                <w:sz w:val="17"/>
              </w:rPr>
            </w:pPr>
            <w:r>
              <w:rPr>
                <w:sz w:val="17"/>
              </w:rPr>
              <w:t>18.5</w:t>
            </w:r>
          </w:p>
        </w:tc>
        <w:tc>
          <w:tcPr>
            <w:tcW w:w="376" w:type="pct"/>
          </w:tcPr>
          <w:p w:rsidR="00312ECE" w:rsidRDefault="00312ECE">
            <w:pPr>
              <w:spacing w:before="60" w:after="60" w:line="280" w:lineRule="exact"/>
              <w:jc w:val="center"/>
              <w:rPr>
                <w:sz w:val="17"/>
              </w:rPr>
            </w:pPr>
            <w:r>
              <w:rPr>
                <w:sz w:val="17"/>
              </w:rPr>
              <w:t>16.5</w:t>
            </w:r>
          </w:p>
        </w:tc>
        <w:tc>
          <w:tcPr>
            <w:tcW w:w="376" w:type="pct"/>
          </w:tcPr>
          <w:p w:rsidR="00312ECE" w:rsidRDefault="00312ECE">
            <w:pPr>
              <w:spacing w:before="60" w:after="60" w:line="280" w:lineRule="exact"/>
              <w:jc w:val="center"/>
              <w:rPr>
                <w:sz w:val="17"/>
              </w:rPr>
            </w:pPr>
            <w:r>
              <w:rPr>
                <w:sz w:val="17"/>
              </w:rPr>
              <w:t>20.3</w:t>
            </w:r>
          </w:p>
        </w:tc>
        <w:tc>
          <w:tcPr>
            <w:tcW w:w="376" w:type="pct"/>
          </w:tcPr>
          <w:p w:rsidR="00312ECE" w:rsidRDefault="00312ECE">
            <w:pPr>
              <w:spacing w:before="60" w:after="60" w:line="280" w:lineRule="exact"/>
              <w:jc w:val="center"/>
              <w:rPr>
                <w:sz w:val="17"/>
              </w:rPr>
            </w:pPr>
            <w:r>
              <w:rPr>
                <w:sz w:val="17"/>
              </w:rPr>
              <w:t>21.7</w:t>
            </w:r>
          </w:p>
        </w:tc>
        <w:tc>
          <w:tcPr>
            <w:tcW w:w="374" w:type="pct"/>
          </w:tcPr>
          <w:p w:rsidR="00312ECE" w:rsidRDefault="00312ECE">
            <w:pPr>
              <w:spacing w:before="60" w:after="60" w:line="280" w:lineRule="exact"/>
              <w:jc w:val="center"/>
              <w:rPr>
                <w:sz w:val="17"/>
              </w:rPr>
            </w:pPr>
            <w:r>
              <w:rPr>
                <w:sz w:val="17"/>
              </w:rPr>
              <w:t>24.7</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公共管理及国防；强制性社会保险</w:t>
            </w:r>
          </w:p>
        </w:tc>
        <w:tc>
          <w:tcPr>
            <w:tcW w:w="320" w:type="pct"/>
          </w:tcPr>
          <w:p w:rsidR="00312ECE" w:rsidRDefault="00312ECE">
            <w:pPr>
              <w:spacing w:before="60" w:after="60" w:line="280" w:lineRule="exact"/>
              <w:jc w:val="center"/>
              <w:rPr>
                <w:sz w:val="17"/>
              </w:rPr>
            </w:pPr>
            <w:r>
              <w:rPr>
                <w:sz w:val="17"/>
              </w:rPr>
              <w:t>33.6</w:t>
            </w:r>
          </w:p>
        </w:tc>
        <w:tc>
          <w:tcPr>
            <w:tcW w:w="320" w:type="pct"/>
          </w:tcPr>
          <w:p w:rsidR="00312ECE" w:rsidRDefault="00312ECE">
            <w:pPr>
              <w:spacing w:before="60" w:after="60" w:line="280" w:lineRule="exact"/>
              <w:jc w:val="center"/>
              <w:rPr>
                <w:sz w:val="17"/>
              </w:rPr>
            </w:pPr>
            <w:r>
              <w:rPr>
                <w:sz w:val="17"/>
              </w:rPr>
              <w:t>35.9</w:t>
            </w:r>
          </w:p>
        </w:tc>
        <w:tc>
          <w:tcPr>
            <w:tcW w:w="319" w:type="pct"/>
          </w:tcPr>
          <w:p w:rsidR="00312ECE" w:rsidRDefault="00312ECE">
            <w:pPr>
              <w:spacing w:before="60" w:after="60" w:line="280" w:lineRule="exact"/>
              <w:jc w:val="center"/>
              <w:rPr>
                <w:sz w:val="17"/>
              </w:rPr>
            </w:pPr>
            <w:r>
              <w:rPr>
                <w:sz w:val="17"/>
              </w:rPr>
              <w:t>36.9</w:t>
            </w:r>
          </w:p>
        </w:tc>
        <w:tc>
          <w:tcPr>
            <w:tcW w:w="319" w:type="pct"/>
          </w:tcPr>
          <w:p w:rsidR="00312ECE" w:rsidRDefault="00312ECE">
            <w:pPr>
              <w:spacing w:before="60" w:after="60" w:line="280" w:lineRule="exact"/>
              <w:jc w:val="center"/>
              <w:rPr>
                <w:sz w:val="17"/>
              </w:rPr>
            </w:pPr>
            <w:r>
              <w:rPr>
                <w:sz w:val="17"/>
              </w:rPr>
              <w:t>37.3</w:t>
            </w:r>
          </w:p>
        </w:tc>
        <w:tc>
          <w:tcPr>
            <w:tcW w:w="376" w:type="pct"/>
          </w:tcPr>
          <w:p w:rsidR="00312ECE" w:rsidRDefault="00312ECE">
            <w:pPr>
              <w:spacing w:before="60" w:after="60" w:line="280" w:lineRule="exact"/>
              <w:jc w:val="center"/>
              <w:rPr>
                <w:sz w:val="17"/>
              </w:rPr>
            </w:pPr>
            <w:r>
              <w:rPr>
                <w:sz w:val="17"/>
              </w:rPr>
              <w:t>35.8</w:t>
            </w:r>
          </w:p>
        </w:tc>
        <w:tc>
          <w:tcPr>
            <w:tcW w:w="376" w:type="pct"/>
          </w:tcPr>
          <w:p w:rsidR="00312ECE" w:rsidRDefault="00312ECE">
            <w:pPr>
              <w:spacing w:before="60" w:after="60" w:line="280" w:lineRule="exact"/>
              <w:jc w:val="center"/>
              <w:rPr>
                <w:sz w:val="17"/>
              </w:rPr>
            </w:pPr>
            <w:r>
              <w:rPr>
                <w:sz w:val="17"/>
              </w:rPr>
              <w:t>35.9</w:t>
            </w:r>
          </w:p>
        </w:tc>
        <w:tc>
          <w:tcPr>
            <w:tcW w:w="376" w:type="pct"/>
          </w:tcPr>
          <w:p w:rsidR="00312ECE" w:rsidRDefault="00312ECE">
            <w:pPr>
              <w:spacing w:before="60" w:after="60" w:line="280" w:lineRule="exact"/>
              <w:jc w:val="center"/>
              <w:rPr>
                <w:sz w:val="17"/>
              </w:rPr>
            </w:pPr>
            <w:r>
              <w:rPr>
                <w:sz w:val="17"/>
              </w:rPr>
              <w:t>23.5</w:t>
            </w:r>
          </w:p>
        </w:tc>
        <w:tc>
          <w:tcPr>
            <w:tcW w:w="318" w:type="pct"/>
          </w:tcPr>
          <w:p w:rsidR="00312ECE" w:rsidRDefault="00312ECE">
            <w:pPr>
              <w:spacing w:before="60" w:after="60" w:line="280" w:lineRule="exact"/>
              <w:jc w:val="center"/>
              <w:rPr>
                <w:sz w:val="17"/>
              </w:rPr>
            </w:pPr>
            <w:r>
              <w:rPr>
                <w:sz w:val="17"/>
              </w:rPr>
              <w:t>25.1</w:t>
            </w:r>
          </w:p>
        </w:tc>
        <w:tc>
          <w:tcPr>
            <w:tcW w:w="376" w:type="pct"/>
          </w:tcPr>
          <w:p w:rsidR="00312ECE" w:rsidRDefault="00312ECE">
            <w:pPr>
              <w:spacing w:before="60" w:after="60" w:line="280" w:lineRule="exact"/>
              <w:jc w:val="center"/>
              <w:rPr>
                <w:sz w:val="17"/>
              </w:rPr>
            </w:pPr>
            <w:r>
              <w:rPr>
                <w:sz w:val="17"/>
              </w:rPr>
              <w:t>26.2</w:t>
            </w:r>
          </w:p>
        </w:tc>
        <w:tc>
          <w:tcPr>
            <w:tcW w:w="376" w:type="pct"/>
          </w:tcPr>
          <w:p w:rsidR="00312ECE" w:rsidRDefault="00312ECE">
            <w:pPr>
              <w:spacing w:before="60" w:after="60" w:line="280" w:lineRule="exact"/>
              <w:jc w:val="center"/>
              <w:rPr>
                <w:sz w:val="17"/>
              </w:rPr>
            </w:pPr>
            <w:r>
              <w:rPr>
                <w:sz w:val="17"/>
              </w:rPr>
              <w:t>26.3</w:t>
            </w:r>
          </w:p>
        </w:tc>
        <w:tc>
          <w:tcPr>
            <w:tcW w:w="376" w:type="pct"/>
          </w:tcPr>
          <w:p w:rsidR="00312ECE" w:rsidRDefault="00312ECE">
            <w:pPr>
              <w:spacing w:before="60" w:after="60" w:line="280" w:lineRule="exact"/>
              <w:jc w:val="center"/>
              <w:rPr>
                <w:sz w:val="17"/>
              </w:rPr>
            </w:pPr>
            <w:r>
              <w:rPr>
                <w:sz w:val="17"/>
              </w:rPr>
              <w:t>28.1</w:t>
            </w:r>
          </w:p>
        </w:tc>
        <w:tc>
          <w:tcPr>
            <w:tcW w:w="374" w:type="pct"/>
          </w:tcPr>
          <w:p w:rsidR="00312ECE" w:rsidRDefault="00312ECE">
            <w:pPr>
              <w:spacing w:before="60" w:after="60" w:line="280" w:lineRule="exact"/>
              <w:jc w:val="center"/>
              <w:rPr>
                <w:sz w:val="17"/>
              </w:rPr>
            </w:pPr>
            <w:r>
              <w:rPr>
                <w:sz w:val="17"/>
              </w:rPr>
              <w:t>27.6</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教育</w:t>
            </w:r>
          </w:p>
        </w:tc>
        <w:tc>
          <w:tcPr>
            <w:tcW w:w="320" w:type="pct"/>
          </w:tcPr>
          <w:p w:rsidR="00312ECE" w:rsidRDefault="00312ECE">
            <w:pPr>
              <w:spacing w:before="60" w:after="60" w:line="280" w:lineRule="exact"/>
              <w:jc w:val="center"/>
              <w:rPr>
                <w:sz w:val="17"/>
              </w:rPr>
            </w:pPr>
            <w:r>
              <w:rPr>
                <w:sz w:val="17"/>
              </w:rPr>
              <w:t>18.9</w:t>
            </w:r>
          </w:p>
        </w:tc>
        <w:tc>
          <w:tcPr>
            <w:tcW w:w="320" w:type="pct"/>
          </w:tcPr>
          <w:p w:rsidR="00312ECE" w:rsidRDefault="00312ECE">
            <w:pPr>
              <w:spacing w:before="60" w:after="60" w:line="280" w:lineRule="exact"/>
              <w:jc w:val="center"/>
              <w:rPr>
                <w:sz w:val="17"/>
              </w:rPr>
            </w:pPr>
            <w:r>
              <w:rPr>
                <w:sz w:val="17"/>
              </w:rPr>
              <w:t>18.9</w:t>
            </w:r>
          </w:p>
        </w:tc>
        <w:tc>
          <w:tcPr>
            <w:tcW w:w="319" w:type="pct"/>
          </w:tcPr>
          <w:p w:rsidR="00312ECE" w:rsidRDefault="00312ECE">
            <w:pPr>
              <w:spacing w:before="60" w:after="60" w:line="280" w:lineRule="exact"/>
              <w:jc w:val="center"/>
              <w:rPr>
                <w:sz w:val="17"/>
              </w:rPr>
            </w:pPr>
            <w:r>
              <w:rPr>
                <w:sz w:val="17"/>
              </w:rPr>
              <w:t>18.1</w:t>
            </w:r>
          </w:p>
        </w:tc>
        <w:tc>
          <w:tcPr>
            <w:tcW w:w="319" w:type="pct"/>
          </w:tcPr>
          <w:p w:rsidR="00312ECE" w:rsidRDefault="00312ECE">
            <w:pPr>
              <w:spacing w:before="60" w:after="60" w:line="280" w:lineRule="exact"/>
              <w:jc w:val="center"/>
              <w:rPr>
                <w:sz w:val="17"/>
              </w:rPr>
            </w:pPr>
            <w:r>
              <w:rPr>
                <w:sz w:val="17"/>
              </w:rPr>
              <w:t>19.2</w:t>
            </w:r>
          </w:p>
        </w:tc>
        <w:tc>
          <w:tcPr>
            <w:tcW w:w="376" w:type="pct"/>
          </w:tcPr>
          <w:p w:rsidR="00312ECE" w:rsidRDefault="00312ECE">
            <w:pPr>
              <w:spacing w:before="60" w:after="60" w:line="280" w:lineRule="exact"/>
              <w:jc w:val="center"/>
              <w:rPr>
                <w:sz w:val="17"/>
              </w:rPr>
            </w:pPr>
            <w:r>
              <w:rPr>
                <w:sz w:val="17"/>
              </w:rPr>
              <w:t>19.0</w:t>
            </w:r>
          </w:p>
        </w:tc>
        <w:tc>
          <w:tcPr>
            <w:tcW w:w="376" w:type="pct"/>
          </w:tcPr>
          <w:p w:rsidR="00312ECE" w:rsidRDefault="00312ECE">
            <w:pPr>
              <w:spacing w:before="60" w:after="60" w:line="280" w:lineRule="exact"/>
              <w:jc w:val="center"/>
              <w:rPr>
                <w:sz w:val="17"/>
              </w:rPr>
            </w:pPr>
            <w:r>
              <w:rPr>
                <w:sz w:val="17"/>
              </w:rPr>
              <w:t>18.7</w:t>
            </w:r>
          </w:p>
        </w:tc>
        <w:tc>
          <w:tcPr>
            <w:tcW w:w="376" w:type="pct"/>
          </w:tcPr>
          <w:p w:rsidR="00312ECE" w:rsidRDefault="00312ECE">
            <w:pPr>
              <w:spacing w:before="60" w:after="60" w:line="280" w:lineRule="exact"/>
              <w:jc w:val="center"/>
              <w:rPr>
                <w:sz w:val="17"/>
              </w:rPr>
            </w:pPr>
            <w:r>
              <w:rPr>
                <w:sz w:val="17"/>
              </w:rPr>
              <w:t>71.6</w:t>
            </w:r>
          </w:p>
        </w:tc>
        <w:tc>
          <w:tcPr>
            <w:tcW w:w="318" w:type="pct"/>
          </w:tcPr>
          <w:p w:rsidR="00312ECE" w:rsidRDefault="00312ECE">
            <w:pPr>
              <w:spacing w:before="60" w:after="60" w:line="280" w:lineRule="exact"/>
              <w:jc w:val="center"/>
              <w:rPr>
                <w:sz w:val="17"/>
              </w:rPr>
            </w:pPr>
            <w:r>
              <w:rPr>
                <w:sz w:val="17"/>
              </w:rPr>
              <w:t>71.3</w:t>
            </w:r>
          </w:p>
        </w:tc>
        <w:tc>
          <w:tcPr>
            <w:tcW w:w="376" w:type="pct"/>
          </w:tcPr>
          <w:p w:rsidR="00312ECE" w:rsidRDefault="00312ECE">
            <w:pPr>
              <w:spacing w:before="60" w:after="60" w:line="280" w:lineRule="exact"/>
              <w:jc w:val="center"/>
              <w:rPr>
                <w:sz w:val="17"/>
              </w:rPr>
            </w:pPr>
            <w:r>
              <w:rPr>
                <w:sz w:val="17"/>
              </w:rPr>
              <w:t>73.0</w:t>
            </w:r>
          </w:p>
        </w:tc>
        <w:tc>
          <w:tcPr>
            <w:tcW w:w="376" w:type="pct"/>
          </w:tcPr>
          <w:p w:rsidR="00312ECE" w:rsidRDefault="00312ECE">
            <w:pPr>
              <w:spacing w:before="60" w:after="60" w:line="280" w:lineRule="exact"/>
              <w:jc w:val="center"/>
              <w:rPr>
                <w:sz w:val="17"/>
              </w:rPr>
            </w:pPr>
            <w:r>
              <w:rPr>
                <w:sz w:val="17"/>
              </w:rPr>
              <w:t>70.7</w:t>
            </w:r>
          </w:p>
        </w:tc>
        <w:tc>
          <w:tcPr>
            <w:tcW w:w="376" w:type="pct"/>
          </w:tcPr>
          <w:p w:rsidR="00312ECE" w:rsidRDefault="00312ECE">
            <w:pPr>
              <w:spacing w:before="60" w:after="60" w:line="280" w:lineRule="exact"/>
              <w:jc w:val="center"/>
              <w:rPr>
                <w:sz w:val="17"/>
              </w:rPr>
            </w:pPr>
            <w:r>
              <w:rPr>
                <w:sz w:val="17"/>
              </w:rPr>
              <w:t>70.0</w:t>
            </w:r>
          </w:p>
        </w:tc>
        <w:tc>
          <w:tcPr>
            <w:tcW w:w="374" w:type="pct"/>
          </w:tcPr>
          <w:p w:rsidR="00312ECE" w:rsidRDefault="00312ECE">
            <w:pPr>
              <w:spacing w:before="60" w:after="60" w:line="280" w:lineRule="exact"/>
              <w:jc w:val="center"/>
              <w:rPr>
                <w:sz w:val="17"/>
              </w:rPr>
            </w:pPr>
            <w:r>
              <w:rPr>
                <w:sz w:val="17"/>
              </w:rPr>
              <w:t>68.7</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保健及社会照料</w:t>
            </w:r>
          </w:p>
        </w:tc>
        <w:tc>
          <w:tcPr>
            <w:tcW w:w="320" w:type="pct"/>
          </w:tcPr>
          <w:p w:rsidR="00312ECE" w:rsidRDefault="00312ECE">
            <w:pPr>
              <w:spacing w:before="60" w:after="60" w:line="280" w:lineRule="exact"/>
              <w:jc w:val="center"/>
              <w:rPr>
                <w:sz w:val="17"/>
              </w:rPr>
            </w:pPr>
            <w:r>
              <w:rPr>
                <w:sz w:val="17"/>
              </w:rPr>
              <w:t>10.7</w:t>
            </w:r>
          </w:p>
        </w:tc>
        <w:tc>
          <w:tcPr>
            <w:tcW w:w="320" w:type="pct"/>
          </w:tcPr>
          <w:p w:rsidR="00312ECE" w:rsidRDefault="00312ECE">
            <w:pPr>
              <w:spacing w:before="60" w:after="60" w:line="280" w:lineRule="exact"/>
              <w:jc w:val="center"/>
              <w:rPr>
                <w:sz w:val="17"/>
              </w:rPr>
            </w:pPr>
            <w:r>
              <w:rPr>
                <w:sz w:val="17"/>
              </w:rPr>
              <w:t>10.3</w:t>
            </w:r>
          </w:p>
        </w:tc>
        <w:tc>
          <w:tcPr>
            <w:tcW w:w="319" w:type="pct"/>
          </w:tcPr>
          <w:p w:rsidR="00312ECE" w:rsidRDefault="00312ECE">
            <w:pPr>
              <w:spacing w:before="60" w:after="60" w:line="280" w:lineRule="exact"/>
              <w:jc w:val="center"/>
              <w:rPr>
                <w:sz w:val="17"/>
              </w:rPr>
            </w:pPr>
            <w:r>
              <w:rPr>
                <w:sz w:val="17"/>
              </w:rPr>
              <w:t>10.0</w:t>
            </w:r>
          </w:p>
        </w:tc>
        <w:tc>
          <w:tcPr>
            <w:tcW w:w="319" w:type="pct"/>
          </w:tcPr>
          <w:p w:rsidR="00312ECE" w:rsidRDefault="00312ECE">
            <w:pPr>
              <w:spacing w:before="60" w:after="60" w:line="280" w:lineRule="exact"/>
              <w:jc w:val="center"/>
              <w:rPr>
                <w:sz w:val="17"/>
              </w:rPr>
            </w:pPr>
            <w:r>
              <w:rPr>
                <w:sz w:val="17"/>
              </w:rPr>
              <w:t>10.2</w:t>
            </w:r>
          </w:p>
        </w:tc>
        <w:tc>
          <w:tcPr>
            <w:tcW w:w="376" w:type="pct"/>
          </w:tcPr>
          <w:p w:rsidR="00312ECE" w:rsidRDefault="00312ECE">
            <w:pPr>
              <w:spacing w:before="60" w:after="60" w:line="280" w:lineRule="exact"/>
              <w:jc w:val="center"/>
              <w:rPr>
                <w:sz w:val="17"/>
              </w:rPr>
            </w:pPr>
            <w:r>
              <w:rPr>
                <w:sz w:val="17"/>
              </w:rPr>
              <w:t>10.1</w:t>
            </w:r>
          </w:p>
        </w:tc>
        <w:tc>
          <w:tcPr>
            <w:tcW w:w="376" w:type="pct"/>
          </w:tcPr>
          <w:p w:rsidR="00312ECE" w:rsidRDefault="00312ECE">
            <w:pPr>
              <w:spacing w:before="60" w:after="60" w:line="280" w:lineRule="exact"/>
              <w:jc w:val="center"/>
              <w:rPr>
                <w:sz w:val="17"/>
              </w:rPr>
            </w:pPr>
            <w:r>
              <w:rPr>
                <w:sz w:val="17"/>
              </w:rPr>
              <w:t>8.3</w:t>
            </w:r>
          </w:p>
        </w:tc>
        <w:tc>
          <w:tcPr>
            <w:tcW w:w="376" w:type="pct"/>
          </w:tcPr>
          <w:p w:rsidR="00312ECE" w:rsidRDefault="00312ECE">
            <w:pPr>
              <w:spacing w:before="60" w:after="60" w:line="280" w:lineRule="exact"/>
              <w:jc w:val="center"/>
              <w:rPr>
                <w:sz w:val="17"/>
              </w:rPr>
            </w:pPr>
            <w:r>
              <w:rPr>
                <w:sz w:val="17"/>
              </w:rPr>
              <w:t>54.1</w:t>
            </w:r>
          </w:p>
        </w:tc>
        <w:tc>
          <w:tcPr>
            <w:tcW w:w="318" w:type="pct"/>
          </w:tcPr>
          <w:p w:rsidR="00312ECE" w:rsidRDefault="00312ECE">
            <w:pPr>
              <w:spacing w:before="60" w:after="60" w:line="280" w:lineRule="exact"/>
              <w:jc w:val="center"/>
              <w:rPr>
                <w:sz w:val="17"/>
              </w:rPr>
            </w:pPr>
            <w:r>
              <w:rPr>
                <w:sz w:val="17"/>
              </w:rPr>
              <w:t>51.8</w:t>
            </w:r>
          </w:p>
        </w:tc>
        <w:tc>
          <w:tcPr>
            <w:tcW w:w="376" w:type="pct"/>
          </w:tcPr>
          <w:p w:rsidR="00312ECE" w:rsidRDefault="00312ECE">
            <w:pPr>
              <w:spacing w:before="60" w:after="60" w:line="280" w:lineRule="exact"/>
              <w:jc w:val="center"/>
              <w:rPr>
                <w:sz w:val="17"/>
              </w:rPr>
            </w:pPr>
            <w:r>
              <w:rPr>
                <w:sz w:val="17"/>
              </w:rPr>
              <w:t>51.0</w:t>
            </w:r>
          </w:p>
        </w:tc>
        <w:tc>
          <w:tcPr>
            <w:tcW w:w="376" w:type="pct"/>
          </w:tcPr>
          <w:p w:rsidR="00312ECE" w:rsidRDefault="00312ECE">
            <w:pPr>
              <w:spacing w:before="60" w:after="60" w:line="280" w:lineRule="exact"/>
              <w:jc w:val="center"/>
              <w:rPr>
                <w:sz w:val="17"/>
              </w:rPr>
            </w:pPr>
            <w:r>
              <w:rPr>
                <w:sz w:val="17"/>
              </w:rPr>
              <w:t>51.5</w:t>
            </w:r>
          </w:p>
        </w:tc>
        <w:tc>
          <w:tcPr>
            <w:tcW w:w="376" w:type="pct"/>
          </w:tcPr>
          <w:p w:rsidR="00312ECE" w:rsidRDefault="00312ECE">
            <w:pPr>
              <w:spacing w:before="60" w:after="60" w:line="280" w:lineRule="exact"/>
              <w:jc w:val="center"/>
              <w:rPr>
                <w:sz w:val="17"/>
              </w:rPr>
            </w:pPr>
            <w:r>
              <w:rPr>
                <w:sz w:val="17"/>
              </w:rPr>
              <w:t>51.1</w:t>
            </w:r>
          </w:p>
        </w:tc>
        <w:tc>
          <w:tcPr>
            <w:tcW w:w="374" w:type="pct"/>
          </w:tcPr>
          <w:p w:rsidR="00312ECE" w:rsidRDefault="00312ECE">
            <w:pPr>
              <w:spacing w:before="60" w:after="60" w:line="280" w:lineRule="exact"/>
              <w:jc w:val="center"/>
              <w:rPr>
                <w:sz w:val="17"/>
              </w:rPr>
            </w:pPr>
            <w:r>
              <w:rPr>
                <w:sz w:val="17"/>
              </w:rPr>
              <w:t>50.7</w:t>
            </w:r>
          </w:p>
        </w:tc>
      </w:tr>
      <w:tr w:rsidR="00312ECE">
        <w:tblPrEx>
          <w:tblCellMar>
            <w:top w:w="0" w:type="dxa"/>
            <w:bottom w:w="0" w:type="dxa"/>
          </w:tblCellMar>
        </w:tblPrEx>
        <w:tc>
          <w:tcPr>
            <w:tcW w:w="774" w:type="pct"/>
          </w:tcPr>
          <w:p w:rsidR="00312ECE" w:rsidRDefault="00312ECE">
            <w:pPr>
              <w:spacing w:before="60" w:after="60" w:line="280" w:lineRule="exact"/>
              <w:rPr>
                <w:rFonts w:hint="eastAsia"/>
                <w:sz w:val="17"/>
              </w:rPr>
            </w:pPr>
            <w:r>
              <w:rPr>
                <w:rFonts w:hint="eastAsia"/>
                <w:sz w:val="17"/>
              </w:rPr>
              <w:t>其他公用事业、社会及个人服务</w:t>
            </w:r>
          </w:p>
        </w:tc>
        <w:tc>
          <w:tcPr>
            <w:tcW w:w="320" w:type="pct"/>
          </w:tcPr>
          <w:p w:rsidR="00312ECE" w:rsidRDefault="00312ECE">
            <w:pPr>
              <w:spacing w:before="60" w:after="60" w:line="280" w:lineRule="exact"/>
              <w:jc w:val="center"/>
              <w:rPr>
                <w:sz w:val="17"/>
              </w:rPr>
            </w:pPr>
            <w:r>
              <w:rPr>
                <w:sz w:val="17"/>
              </w:rPr>
              <w:t>25.7</w:t>
            </w:r>
          </w:p>
        </w:tc>
        <w:tc>
          <w:tcPr>
            <w:tcW w:w="320" w:type="pct"/>
          </w:tcPr>
          <w:p w:rsidR="00312ECE" w:rsidRDefault="00312ECE">
            <w:pPr>
              <w:spacing w:before="60" w:after="60" w:line="280" w:lineRule="exact"/>
              <w:jc w:val="center"/>
              <w:rPr>
                <w:sz w:val="17"/>
              </w:rPr>
            </w:pPr>
            <w:r>
              <w:rPr>
                <w:sz w:val="17"/>
              </w:rPr>
              <w:t>32.6</w:t>
            </w:r>
          </w:p>
        </w:tc>
        <w:tc>
          <w:tcPr>
            <w:tcW w:w="319" w:type="pct"/>
          </w:tcPr>
          <w:p w:rsidR="00312ECE" w:rsidRDefault="00312ECE">
            <w:pPr>
              <w:spacing w:before="60" w:after="60" w:line="280" w:lineRule="exact"/>
              <w:jc w:val="center"/>
              <w:rPr>
                <w:sz w:val="17"/>
              </w:rPr>
            </w:pPr>
            <w:r>
              <w:rPr>
                <w:sz w:val="17"/>
              </w:rPr>
              <w:t>26.1</w:t>
            </w:r>
          </w:p>
        </w:tc>
        <w:tc>
          <w:tcPr>
            <w:tcW w:w="319" w:type="pct"/>
          </w:tcPr>
          <w:p w:rsidR="00312ECE" w:rsidRDefault="00312ECE">
            <w:pPr>
              <w:spacing w:before="60" w:after="60" w:line="280" w:lineRule="exact"/>
              <w:jc w:val="center"/>
              <w:rPr>
                <w:sz w:val="17"/>
              </w:rPr>
            </w:pPr>
            <w:r>
              <w:rPr>
                <w:sz w:val="17"/>
              </w:rPr>
              <w:t>26.3</w:t>
            </w:r>
          </w:p>
        </w:tc>
        <w:tc>
          <w:tcPr>
            <w:tcW w:w="376" w:type="pct"/>
          </w:tcPr>
          <w:p w:rsidR="00312ECE" w:rsidRDefault="00312ECE">
            <w:pPr>
              <w:spacing w:before="60" w:after="60" w:line="280" w:lineRule="exact"/>
              <w:jc w:val="center"/>
              <w:rPr>
                <w:sz w:val="17"/>
              </w:rPr>
            </w:pPr>
            <w:r>
              <w:rPr>
                <w:sz w:val="17"/>
              </w:rPr>
              <w:t>28.5</w:t>
            </w:r>
          </w:p>
        </w:tc>
        <w:tc>
          <w:tcPr>
            <w:tcW w:w="376" w:type="pct"/>
          </w:tcPr>
          <w:p w:rsidR="00312ECE" w:rsidRDefault="00312ECE">
            <w:pPr>
              <w:spacing w:before="60" w:after="60" w:line="280" w:lineRule="exact"/>
              <w:jc w:val="center"/>
              <w:rPr>
                <w:sz w:val="17"/>
              </w:rPr>
            </w:pPr>
            <w:r>
              <w:rPr>
                <w:sz w:val="17"/>
              </w:rPr>
              <w:t>33.5</w:t>
            </w:r>
          </w:p>
        </w:tc>
        <w:tc>
          <w:tcPr>
            <w:tcW w:w="376" w:type="pct"/>
          </w:tcPr>
          <w:p w:rsidR="00312ECE" w:rsidRDefault="00312ECE">
            <w:pPr>
              <w:spacing w:before="60" w:after="60" w:line="280" w:lineRule="exact"/>
              <w:jc w:val="center"/>
              <w:rPr>
                <w:sz w:val="17"/>
              </w:rPr>
            </w:pPr>
            <w:r>
              <w:rPr>
                <w:sz w:val="17"/>
              </w:rPr>
              <w:t>18.3</w:t>
            </w:r>
          </w:p>
        </w:tc>
        <w:tc>
          <w:tcPr>
            <w:tcW w:w="318" w:type="pct"/>
          </w:tcPr>
          <w:p w:rsidR="00312ECE" w:rsidRDefault="00312ECE">
            <w:pPr>
              <w:spacing w:before="60" w:after="60" w:line="280" w:lineRule="exact"/>
              <w:jc w:val="center"/>
              <w:rPr>
                <w:sz w:val="17"/>
              </w:rPr>
            </w:pPr>
            <w:r>
              <w:rPr>
                <w:sz w:val="17"/>
              </w:rPr>
              <w:t>23.4</w:t>
            </w:r>
          </w:p>
        </w:tc>
        <w:tc>
          <w:tcPr>
            <w:tcW w:w="376" w:type="pct"/>
          </w:tcPr>
          <w:p w:rsidR="00312ECE" w:rsidRDefault="00312ECE">
            <w:pPr>
              <w:spacing w:before="60" w:after="60" w:line="280" w:lineRule="exact"/>
              <w:jc w:val="center"/>
              <w:rPr>
                <w:sz w:val="17"/>
              </w:rPr>
            </w:pPr>
            <w:r>
              <w:rPr>
                <w:sz w:val="17"/>
              </w:rPr>
              <w:t>18.7</w:t>
            </w:r>
          </w:p>
        </w:tc>
        <w:tc>
          <w:tcPr>
            <w:tcW w:w="376" w:type="pct"/>
          </w:tcPr>
          <w:p w:rsidR="00312ECE" w:rsidRDefault="00312ECE">
            <w:pPr>
              <w:spacing w:before="60" w:after="60" w:line="280" w:lineRule="exact"/>
              <w:jc w:val="center"/>
              <w:rPr>
                <w:sz w:val="17"/>
              </w:rPr>
            </w:pPr>
            <w:r>
              <w:rPr>
                <w:sz w:val="17"/>
              </w:rPr>
              <w:t>18.7</w:t>
            </w:r>
          </w:p>
        </w:tc>
        <w:tc>
          <w:tcPr>
            <w:tcW w:w="376" w:type="pct"/>
          </w:tcPr>
          <w:p w:rsidR="00312ECE" w:rsidRDefault="00312ECE">
            <w:pPr>
              <w:spacing w:before="60" w:after="60" w:line="280" w:lineRule="exact"/>
              <w:jc w:val="center"/>
              <w:rPr>
                <w:sz w:val="17"/>
              </w:rPr>
            </w:pPr>
            <w:r>
              <w:rPr>
                <w:sz w:val="17"/>
              </w:rPr>
              <w:t>20.1</w:t>
            </w:r>
          </w:p>
        </w:tc>
        <w:tc>
          <w:tcPr>
            <w:tcW w:w="374" w:type="pct"/>
          </w:tcPr>
          <w:p w:rsidR="00312ECE" w:rsidRDefault="00312ECE">
            <w:pPr>
              <w:spacing w:before="60" w:after="60" w:line="280" w:lineRule="exact"/>
              <w:jc w:val="center"/>
              <w:rPr>
                <w:sz w:val="17"/>
              </w:rPr>
            </w:pPr>
            <w:r>
              <w:rPr>
                <w:sz w:val="17"/>
              </w:rPr>
              <w:t>24.2</w:t>
            </w:r>
          </w:p>
        </w:tc>
      </w:tr>
    </w:tbl>
    <w:p w:rsidR="00312ECE" w:rsidRDefault="00312ECE">
      <w:pPr>
        <w:pStyle w:val="SingleTxt"/>
        <w:spacing w:after="0" w:line="120" w:lineRule="exact"/>
        <w:rPr>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63．同在决策机构一样，主要由妇女的经验以及她对生活的感受和对社会生活的评价决定的势力范围实际上不平衡，没有理由坚持认为国家做出的决策代表了所有人的观点。在这方面，拉脱维亚的非政府组织机构由妇女担任负责人，她们正在变得越来越积极。</w:t>
      </w:r>
    </w:p>
    <w:p w:rsidR="00312ECE" w:rsidRDefault="00312ECE">
      <w:pPr>
        <w:pStyle w:val="SingleTxt"/>
      </w:pPr>
      <w:r>
        <w:rPr>
          <w:rFonts w:hint="eastAsia"/>
        </w:rPr>
        <w:t>64．下表显示了1995年至2002年1月妇女在国家警察局所占的比例（拉脱维亚、里加以及地区警察局）。</w:t>
      </w:r>
    </w:p>
    <w:p w:rsidR="00312ECE" w:rsidRDefault="00312ECE">
      <w:pPr>
        <w:pStyle w:val="SingleTxt"/>
        <w:spacing w:after="0" w:line="240" w:lineRule="exact"/>
      </w:pPr>
      <w:r>
        <w:br w:type="page"/>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2"/>
        <w:gridCol w:w="922"/>
        <w:gridCol w:w="922"/>
        <w:gridCol w:w="921"/>
        <w:gridCol w:w="921"/>
        <w:gridCol w:w="921"/>
        <w:gridCol w:w="921"/>
        <w:gridCol w:w="921"/>
      </w:tblGrid>
      <w:tr w:rsidR="00312ECE">
        <w:tblPrEx>
          <w:tblCellMar>
            <w:top w:w="0" w:type="dxa"/>
            <w:bottom w:w="0" w:type="dxa"/>
          </w:tblCellMar>
        </w:tblPrEx>
        <w:tc>
          <w:tcPr>
            <w:tcW w:w="625" w:type="pct"/>
          </w:tcPr>
          <w:p w:rsidR="00312ECE" w:rsidRDefault="00312ECE">
            <w:pPr>
              <w:spacing w:line="360" w:lineRule="atLeast"/>
              <w:rPr>
                <w:rFonts w:ascii="KaiTi_GB2312" w:eastAsia="KaiTi_GB2312" w:hint="eastAsia"/>
                <w:color w:val="0000FF"/>
                <w:sz w:val="14"/>
              </w:rPr>
            </w:pPr>
          </w:p>
        </w:tc>
        <w:tc>
          <w:tcPr>
            <w:tcW w:w="62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1995年（%）</w:t>
            </w:r>
          </w:p>
        </w:tc>
        <w:tc>
          <w:tcPr>
            <w:tcW w:w="62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1996年（%）</w:t>
            </w:r>
          </w:p>
        </w:tc>
        <w:tc>
          <w:tcPr>
            <w:tcW w:w="62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1997年（%）</w:t>
            </w:r>
          </w:p>
        </w:tc>
        <w:tc>
          <w:tcPr>
            <w:tcW w:w="62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1998年（%）</w:t>
            </w:r>
          </w:p>
        </w:tc>
        <w:tc>
          <w:tcPr>
            <w:tcW w:w="62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1999年（%）</w:t>
            </w:r>
          </w:p>
        </w:tc>
        <w:tc>
          <w:tcPr>
            <w:tcW w:w="62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2000年（%）</w:t>
            </w:r>
          </w:p>
        </w:tc>
        <w:tc>
          <w:tcPr>
            <w:tcW w:w="62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2001年（%）</w:t>
            </w:r>
          </w:p>
        </w:tc>
      </w:tr>
      <w:tr w:rsidR="00312ECE">
        <w:tblPrEx>
          <w:tblCellMar>
            <w:top w:w="0" w:type="dxa"/>
            <w:bottom w:w="0" w:type="dxa"/>
          </w:tblCellMar>
        </w:tblPrEx>
        <w:tc>
          <w:tcPr>
            <w:tcW w:w="625" w:type="pct"/>
          </w:tcPr>
          <w:p w:rsidR="00312ECE" w:rsidRDefault="00312ECE">
            <w:pPr>
              <w:spacing w:line="360" w:lineRule="atLeast"/>
              <w:rPr>
                <w:rFonts w:hint="eastAsia"/>
                <w:sz w:val="17"/>
              </w:rPr>
            </w:pPr>
            <w:r>
              <w:rPr>
                <w:rFonts w:hint="eastAsia"/>
                <w:sz w:val="17"/>
              </w:rPr>
              <w:t>拉脱维亚</w:t>
            </w:r>
          </w:p>
        </w:tc>
        <w:tc>
          <w:tcPr>
            <w:tcW w:w="625" w:type="pct"/>
          </w:tcPr>
          <w:p w:rsidR="00312ECE" w:rsidRDefault="00312ECE">
            <w:pPr>
              <w:spacing w:line="360" w:lineRule="atLeast"/>
              <w:jc w:val="center"/>
              <w:rPr>
                <w:sz w:val="17"/>
              </w:rPr>
            </w:pPr>
            <w:r>
              <w:rPr>
                <w:sz w:val="17"/>
              </w:rPr>
              <w:t>13.7</w:t>
            </w:r>
          </w:p>
        </w:tc>
        <w:tc>
          <w:tcPr>
            <w:tcW w:w="625" w:type="pct"/>
          </w:tcPr>
          <w:p w:rsidR="00312ECE" w:rsidRDefault="00312ECE">
            <w:pPr>
              <w:spacing w:line="360" w:lineRule="atLeast"/>
              <w:jc w:val="center"/>
              <w:rPr>
                <w:sz w:val="17"/>
              </w:rPr>
            </w:pPr>
            <w:r>
              <w:rPr>
                <w:sz w:val="17"/>
              </w:rPr>
              <w:t>14.2</w:t>
            </w:r>
          </w:p>
        </w:tc>
        <w:tc>
          <w:tcPr>
            <w:tcW w:w="625" w:type="pct"/>
          </w:tcPr>
          <w:p w:rsidR="00312ECE" w:rsidRDefault="00312ECE">
            <w:pPr>
              <w:spacing w:line="360" w:lineRule="atLeast"/>
              <w:jc w:val="center"/>
              <w:rPr>
                <w:sz w:val="17"/>
              </w:rPr>
            </w:pPr>
            <w:r>
              <w:rPr>
                <w:sz w:val="17"/>
              </w:rPr>
              <w:t>16.5</w:t>
            </w:r>
          </w:p>
        </w:tc>
        <w:tc>
          <w:tcPr>
            <w:tcW w:w="625" w:type="pct"/>
          </w:tcPr>
          <w:p w:rsidR="00312ECE" w:rsidRDefault="00312ECE">
            <w:pPr>
              <w:spacing w:line="360" w:lineRule="atLeast"/>
              <w:jc w:val="center"/>
              <w:rPr>
                <w:sz w:val="17"/>
              </w:rPr>
            </w:pPr>
            <w:r>
              <w:rPr>
                <w:sz w:val="17"/>
              </w:rPr>
              <w:t>18.1</w:t>
            </w:r>
          </w:p>
        </w:tc>
        <w:tc>
          <w:tcPr>
            <w:tcW w:w="625" w:type="pct"/>
          </w:tcPr>
          <w:p w:rsidR="00312ECE" w:rsidRDefault="00312ECE">
            <w:pPr>
              <w:spacing w:line="360" w:lineRule="atLeast"/>
              <w:jc w:val="center"/>
              <w:rPr>
                <w:sz w:val="17"/>
              </w:rPr>
            </w:pPr>
            <w:r>
              <w:rPr>
                <w:sz w:val="17"/>
              </w:rPr>
              <w:t>18.2</w:t>
            </w:r>
          </w:p>
        </w:tc>
        <w:tc>
          <w:tcPr>
            <w:tcW w:w="625" w:type="pct"/>
          </w:tcPr>
          <w:p w:rsidR="00312ECE" w:rsidRDefault="00312ECE">
            <w:pPr>
              <w:spacing w:line="360" w:lineRule="atLeast"/>
              <w:jc w:val="center"/>
              <w:rPr>
                <w:sz w:val="17"/>
              </w:rPr>
            </w:pPr>
            <w:r>
              <w:rPr>
                <w:sz w:val="17"/>
              </w:rPr>
              <w:t>19.1</w:t>
            </w:r>
          </w:p>
        </w:tc>
        <w:tc>
          <w:tcPr>
            <w:tcW w:w="625" w:type="pct"/>
          </w:tcPr>
          <w:p w:rsidR="00312ECE" w:rsidRDefault="00312ECE">
            <w:pPr>
              <w:spacing w:line="360" w:lineRule="atLeast"/>
              <w:jc w:val="center"/>
              <w:rPr>
                <w:sz w:val="17"/>
              </w:rPr>
            </w:pPr>
            <w:r>
              <w:rPr>
                <w:sz w:val="17"/>
              </w:rPr>
              <w:t>19.2</w:t>
            </w:r>
          </w:p>
        </w:tc>
      </w:tr>
      <w:tr w:rsidR="00312ECE">
        <w:tblPrEx>
          <w:tblCellMar>
            <w:top w:w="0" w:type="dxa"/>
            <w:bottom w:w="0" w:type="dxa"/>
          </w:tblCellMar>
        </w:tblPrEx>
        <w:tc>
          <w:tcPr>
            <w:tcW w:w="625" w:type="pct"/>
          </w:tcPr>
          <w:p w:rsidR="00312ECE" w:rsidRDefault="00312ECE">
            <w:pPr>
              <w:spacing w:line="360" w:lineRule="atLeast"/>
              <w:rPr>
                <w:rFonts w:hint="eastAsia"/>
                <w:sz w:val="17"/>
              </w:rPr>
            </w:pPr>
            <w:r>
              <w:rPr>
                <w:rFonts w:hint="eastAsia"/>
                <w:sz w:val="17"/>
              </w:rPr>
              <w:t>里加</w:t>
            </w:r>
          </w:p>
        </w:tc>
        <w:tc>
          <w:tcPr>
            <w:tcW w:w="625" w:type="pct"/>
          </w:tcPr>
          <w:p w:rsidR="00312ECE" w:rsidRDefault="00312ECE">
            <w:pPr>
              <w:spacing w:line="360" w:lineRule="atLeast"/>
              <w:jc w:val="center"/>
              <w:rPr>
                <w:sz w:val="17"/>
              </w:rPr>
            </w:pPr>
            <w:r>
              <w:rPr>
                <w:sz w:val="17"/>
              </w:rPr>
              <w:t>20.6</w:t>
            </w:r>
          </w:p>
        </w:tc>
        <w:tc>
          <w:tcPr>
            <w:tcW w:w="625" w:type="pct"/>
          </w:tcPr>
          <w:p w:rsidR="00312ECE" w:rsidRDefault="00312ECE">
            <w:pPr>
              <w:spacing w:line="360" w:lineRule="atLeast"/>
              <w:jc w:val="center"/>
              <w:rPr>
                <w:sz w:val="17"/>
              </w:rPr>
            </w:pPr>
            <w:r>
              <w:rPr>
                <w:sz w:val="17"/>
              </w:rPr>
              <w:t>22.3</w:t>
            </w:r>
          </w:p>
        </w:tc>
        <w:tc>
          <w:tcPr>
            <w:tcW w:w="625" w:type="pct"/>
          </w:tcPr>
          <w:p w:rsidR="00312ECE" w:rsidRDefault="00312ECE">
            <w:pPr>
              <w:spacing w:line="360" w:lineRule="atLeast"/>
              <w:jc w:val="center"/>
              <w:rPr>
                <w:sz w:val="17"/>
              </w:rPr>
            </w:pPr>
            <w:r>
              <w:rPr>
                <w:sz w:val="17"/>
              </w:rPr>
              <w:t>23.3</w:t>
            </w:r>
          </w:p>
        </w:tc>
        <w:tc>
          <w:tcPr>
            <w:tcW w:w="625" w:type="pct"/>
          </w:tcPr>
          <w:p w:rsidR="00312ECE" w:rsidRDefault="00312ECE">
            <w:pPr>
              <w:spacing w:line="360" w:lineRule="atLeast"/>
              <w:jc w:val="center"/>
              <w:rPr>
                <w:sz w:val="17"/>
              </w:rPr>
            </w:pPr>
            <w:r>
              <w:rPr>
                <w:sz w:val="17"/>
              </w:rPr>
              <w:t>22.9</w:t>
            </w:r>
          </w:p>
        </w:tc>
        <w:tc>
          <w:tcPr>
            <w:tcW w:w="625" w:type="pct"/>
          </w:tcPr>
          <w:p w:rsidR="00312ECE" w:rsidRDefault="00312ECE">
            <w:pPr>
              <w:spacing w:line="360" w:lineRule="atLeast"/>
              <w:jc w:val="center"/>
              <w:rPr>
                <w:sz w:val="17"/>
              </w:rPr>
            </w:pPr>
            <w:r>
              <w:rPr>
                <w:sz w:val="17"/>
              </w:rPr>
              <w:t>24.2</w:t>
            </w:r>
          </w:p>
        </w:tc>
        <w:tc>
          <w:tcPr>
            <w:tcW w:w="625" w:type="pct"/>
          </w:tcPr>
          <w:p w:rsidR="00312ECE" w:rsidRDefault="00312ECE">
            <w:pPr>
              <w:spacing w:line="360" w:lineRule="atLeast"/>
              <w:jc w:val="center"/>
              <w:rPr>
                <w:sz w:val="17"/>
              </w:rPr>
            </w:pPr>
            <w:r>
              <w:rPr>
                <w:sz w:val="17"/>
              </w:rPr>
              <w:t>24.9</w:t>
            </w:r>
          </w:p>
        </w:tc>
        <w:tc>
          <w:tcPr>
            <w:tcW w:w="625" w:type="pct"/>
          </w:tcPr>
          <w:p w:rsidR="00312ECE" w:rsidRDefault="00312ECE">
            <w:pPr>
              <w:spacing w:line="360" w:lineRule="atLeast"/>
              <w:jc w:val="center"/>
              <w:rPr>
                <w:sz w:val="17"/>
              </w:rPr>
            </w:pPr>
            <w:r>
              <w:rPr>
                <w:sz w:val="17"/>
              </w:rPr>
              <w:t>26.2</w:t>
            </w:r>
          </w:p>
        </w:tc>
      </w:tr>
      <w:tr w:rsidR="00312ECE">
        <w:tblPrEx>
          <w:tblCellMar>
            <w:top w:w="0" w:type="dxa"/>
            <w:bottom w:w="0" w:type="dxa"/>
          </w:tblCellMar>
        </w:tblPrEx>
        <w:tc>
          <w:tcPr>
            <w:tcW w:w="625" w:type="pct"/>
          </w:tcPr>
          <w:p w:rsidR="00312ECE" w:rsidRDefault="00312ECE">
            <w:pPr>
              <w:spacing w:line="360" w:lineRule="atLeast"/>
              <w:rPr>
                <w:rFonts w:hint="eastAsia"/>
                <w:sz w:val="17"/>
              </w:rPr>
            </w:pPr>
            <w:r>
              <w:rPr>
                <w:rFonts w:hint="eastAsia"/>
                <w:sz w:val="17"/>
              </w:rPr>
              <w:t>地区</w:t>
            </w:r>
          </w:p>
        </w:tc>
        <w:tc>
          <w:tcPr>
            <w:tcW w:w="625" w:type="pct"/>
          </w:tcPr>
          <w:p w:rsidR="00312ECE" w:rsidRDefault="00312ECE">
            <w:pPr>
              <w:spacing w:line="360" w:lineRule="atLeast"/>
              <w:jc w:val="center"/>
              <w:rPr>
                <w:sz w:val="17"/>
              </w:rPr>
            </w:pPr>
            <w:r>
              <w:rPr>
                <w:sz w:val="17"/>
              </w:rPr>
              <w:t>11.4</w:t>
            </w:r>
          </w:p>
        </w:tc>
        <w:tc>
          <w:tcPr>
            <w:tcW w:w="625" w:type="pct"/>
          </w:tcPr>
          <w:p w:rsidR="00312ECE" w:rsidRDefault="00312ECE">
            <w:pPr>
              <w:spacing w:line="360" w:lineRule="atLeast"/>
              <w:jc w:val="center"/>
              <w:rPr>
                <w:sz w:val="17"/>
              </w:rPr>
            </w:pPr>
            <w:r>
              <w:rPr>
                <w:sz w:val="17"/>
              </w:rPr>
              <w:t>14.7</w:t>
            </w:r>
          </w:p>
        </w:tc>
        <w:tc>
          <w:tcPr>
            <w:tcW w:w="625" w:type="pct"/>
          </w:tcPr>
          <w:p w:rsidR="00312ECE" w:rsidRDefault="00312ECE">
            <w:pPr>
              <w:spacing w:line="360" w:lineRule="atLeast"/>
              <w:jc w:val="center"/>
              <w:rPr>
                <w:sz w:val="17"/>
              </w:rPr>
            </w:pPr>
            <w:r>
              <w:rPr>
                <w:sz w:val="17"/>
              </w:rPr>
              <w:t>14.7</w:t>
            </w:r>
          </w:p>
        </w:tc>
        <w:tc>
          <w:tcPr>
            <w:tcW w:w="625" w:type="pct"/>
          </w:tcPr>
          <w:p w:rsidR="00312ECE" w:rsidRDefault="00312ECE">
            <w:pPr>
              <w:spacing w:line="360" w:lineRule="atLeast"/>
              <w:jc w:val="center"/>
              <w:rPr>
                <w:sz w:val="17"/>
              </w:rPr>
            </w:pPr>
            <w:r>
              <w:rPr>
                <w:sz w:val="17"/>
              </w:rPr>
              <w:t>14.5</w:t>
            </w:r>
          </w:p>
        </w:tc>
        <w:tc>
          <w:tcPr>
            <w:tcW w:w="625" w:type="pct"/>
          </w:tcPr>
          <w:p w:rsidR="00312ECE" w:rsidRDefault="00312ECE">
            <w:pPr>
              <w:spacing w:line="360" w:lineRule="atLeast"/>
              <w:jc w:val="center"/>
              <w:rPr>
                <w:sz w:val="17"/>
              </w:rPr>
            </w:pPr>
            <w:r>
              <w:rPr>
                <w:sz w:val="17"/>
              </w:rPr>
              <w:t>14.5</w:t>
            </w:r>
          </w:p>
        </w:tc>
        <w:tc>
          <w:tcPr>
            <w:tcW w:w="625" w:type="pct"/>
          </w:tcPr>
          <w:p w:rsidR="00312ECE" w:rsidRDefault="00312ECE">
            <w:pPr>
              <w:spacing w:line="360" w:lineRule="atLeast"/>
              <w:jc w:val="center"/>
              <w:rPr>
                <w:sz w:val="17"/>
              </w:rPr>
            </w:pPr>
            <w:r>
              <w:rPr>
                <w:sz w:val="17"/>
              </w:rPr>
              <w:t>15.5</w:t>
            </w:r>
          </w:p>
        </w:tc>
        <w:tc>
          <w:tcPr>
            <w:tcW w:w="625" w:type="pct"/>
          </w:tcPr>
          <w:p w:rsidR="00312ECE" w:rsidRDefault="00312ECE">
            <w:pPr>
              <w:spacing w:line="360" w:lineRule="atLeast"/>
              <w:jc w:val="center"/>
              <w:rPr>
                <w:sz w:val="17"/>
              </w:rPr>
            </w:pPr>
            <w:r>
              <w:rPr>
                <w:sz w:val="17"/>
              </w:rPr>
              <w:t>15.4</w:t>
            </w:r>
          </w:p>
        </w:tc>
      </w:tr>
    </w:tbl>
    <w:p w:rsidR="00312ECE" w:rsidRDefault="00312ECE">
      <w:pPr>
        <w:pStyle w:val="SingleTxt"/>
        <w:spacing w:after="0" w:line="120" w:lineRule="exact"/>
        <w:rPr>
          <w:sz w:val="10"/>
        </w:rPr>
      </w:pPr>
    </w:p>
    <w:p w:rsidR="00312ECE" w:rsidRDefault="00312ECE">
      <w:pPr>
        <w:pStyle w:val="SingleTxt"/>
        <w:spacing w:after="0" w:line="120" w:lineRule="exact"/>
        <w:rPr>
          <w:sz w:val="10"/>
        </w:rPr>
      </w:pPr>
    </w:p>
    <w:p w:rsidR="00312ECE" w:rsidRDefault="00312ECE">
      <w:pPr>
        <w:pStyle w:val="SingleTxt"/>
      </w:pPr>
      <w:r>
        <w:rPr>
          <w:rFonts w:hint="eastAsia"/>
        </w:rPr>
        <w:t>65．警务人员被授予特别警衔，根据警衔的不同，警务人员可分为两类-士官和警官。下表显示了妇女在每一类警务人员中所占的比例。</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3"/>
        <w:gridCol w:w="1053"/>
        <w:gridCol w:w="1053"/>
        <w:gridCol w:w="1053"/>
        <w:gridCol w:w="1053"/>
        <w:gridCol w:w="1053"/>
        <w:gridCol w:w="1053"/>
      </w:tblGrid>
      <w:tr w:rsidR="00312ECE">
        <w:tblPrEx>
          <w:tblCellMar>
            <w:top w:w="0" w:type="dxa"/>
            <w:bottom w:w="0" w:type="dxa"/>
          </w:tblCellMar>
        </w:tblPrEx>
        <w:tc>
          <w:tcPr>
            <w:tcW w:w="714" w:type="pct"/>
          </w:tcPr>
          <w:p w:rsidR="00312ECE" w:rsidRDefault="00312ECE">
            <w:pPr>
              <w:spacing w:line="360" w:lineRule="atLeast"/>
              <w:rPr>
                <w:rFonts w:ascii="KaiTi_GB2312" w:eastAsia="KaiTi_GB2312" w:hint="eastAsia"/>
                <w:color w:val="0000FF"/>
                <w:sz w:val="14"/>
              </w:rPr>
            </w:pPr>
          </w:p>
        </w:tc>
        <w:tc>
          <w:tcPr>
            <w:tcW w:w="714" w:type="pct"/>
          </w:tcPr>
          <w:p w:rsidR="00312ECE" w:rsidRDefault="00312ECE">
            <w:pPr>
              <w:spacing w:line="360" w:lineRule="atLeast"/>
              <w:rPr>
                <w:rFonts w:ascii="KaiTi_GB2312" w:eastAsia="KaiTi_GB2312" w:hint="eastAsia"/>
                <w:color w:val="0000FF"/>
                <w:sz w:val="14"/>
              </w:rPr>
            </w:pPr>
          </w:p>
        </w:tc>
        <w:tc>
          <w:tcPr>
            <w:tcW w:w="71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1997年（%）</w:t>
            </w:r>
          </w:p>
        </w:tc>
        <w:tc>
          <w:tcPr>
            <w:tcW w:w="71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1998年（%）</w:t>
            </w:r>
          </w:p>
        </w:tc>
        <w:tc>
          <w:tcPr>
            <w:tcW w:w="71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1999年（%）</w:t>
            </w:r>
          </w:p>
        </w:tc>
        <w:tc>
          <w:tcPr>
            <w:tcW w:w="71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2000年（%）</w:t>
            </w:r>
          </w:p>
        </w:tc>
        <w:tc>
          <w:tcPr>
            <w:tcW w:w="71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2001年（%）</w:t>
            </w:r>
          </w:p>
        </w:tc>
      </w:tr>
      <w:tr w:rsidR="00312ECE">
        <w:tblPrEx>
          <w:tblCellMar>
            <w:top w:w="0" w:type="dxa"/>
            <w:bottom w:w="0" w:type="dxa"/>
          </w:tblCellMar>
        </w:tblPrEx>
        <w:trPr>
          <w:cantSplit/>
        </w:trPr>
        <w:tc>
          <w:tcPr>
            <w:tcW w:w="714" w:type="pct"/>
            <w:vMerge w:val="restart"/>
          </w:tcPr>
          <w:p w:rsidR="00312ECE" w:rsidRDefault="00312ECE">
            <w:pPr>
              <w:spacing w:line="360" w:lineRule="atLeast"/>
              <w:rPr>
                <w:rFonts w:hint="eastAsia"/>
                <w:sz w:val="18"/>
              </w:rPr>
            </w:pPr>
            <w:r>
              <w:rPr>
                <w:rFonts w:hint="eastAsia"/>
                <w:sz w:val="18"/>
              </w:rPr>
              <w:t>拉脱维亚</w:t>
            </w:r>
          </w:p>
        </w:tc>
        <w:tc>
          <w:tcPr>
            <w:tcW w:w="714" w:type="pct"/>
          </w:tcPr>
          <w:p w:rsidR="00312ECE" w:rsidRDefault="00312ECE">
            <w:pPr>
              <w:spacing w:line="360" w:lineRule="atLeast"/>
              <w:jc w:val="center"/>
              <w:rPr>
                <w:rFonts w:hint="eastAsia"/>
                <w:sz w:val="18"/>
              </w:rPr>
            </w:pPr>
            <w:r>
              <w:rPr>
                <w:rFonts w:hint="eastAsia"/>
                <w:sz w:val="18"/>
              </w:rPr>
              <w:t>警官</w:t>
            </w:r>
          </w:p>
        </w:tc>
        <w:tc>
          <w:tcPr>
            <w:tcW w:w="714" w:type="pct"/>
          </w:tcPr>
          <w:p w:rsidR="00312ECE" w:rsidRDefault="00312ECE">
            <w:pPr>
              <w:spacing w:line="360" w:lineRule="atLeast"/>
              <w:jc w:val="center"/>
              <w:rPr>
                <w:sz w:val="18"/>
              </w:rPr>
            </w:pPr>
            <w:r>
              <w:rPr>
                <w:sz w:val="18"/>
              </w:rPr>
              <w:t>23.5</w:t>
            </w:r>
          </w:p>
        </w:tc>
        <w:tc>
          <w:tcPr>
            <w:tcW w:w="714" w:type="pct"/>
          </w:tcPr>
          <w:p w:rsidR="00312ECE" w:rsidRDefault="00312ECE">
            <w:pPr>
              <w:spacing w:line="360" w:lineRule="atLeast"/>
              <w:jc w:val="center"/>
              <w:rPr>
                <w:sz w:val="18"/>
              </w:rPr>
            </w:pPr>
            <w:r>
              <w:rPr>
                <w:sz w:val="18"/>
              </w:rPr>
              <w:t>26.5</w:t>
            </w:r>
          </w:p>
        </w:tc>
        <w:tc>
          <w:tcPr>
            <w:tcW w:w="714" w:type="pct"/>
          </w:tcPr>
          <w:p w:rsidR="00312ECE" w:rsidRDefault="00312ECE">
            <w:pPr>
              <w:spacing w:line="360" w:lineRule="atLeast"/>
              <w:jc w:val="center"/>
              <w:rPr>
                <w:sz w:val="18"/>
              </w:rPr>
            </w:pPr>
            <w:r>
              <w:rPr>
                <w:sz w:val="18"/>
              </w:rPr>
              <w:t>25</w:t>
            </w:r>
          </w:p>
        </w:tc>
        <w:tc>
          <w:tcPr>
            <w:tcW w:w="714" w:type="pct"/>
          </w:tcPr>
          <w:p w:rsidR="00312ECE" w:rsidRDefault="00312ECE">
            <w:pPr>
              <w:spacing w:line="360" w:lineRule="atLeast"/>
              <w:jc w:val="center"/>
              <w:rPr>
                <w:sz w:val="18"/>
              </w:rPr>
            </w:pPr>
            <w:r>
              <w:rPr>
                <w:sz w:val="18"/>
              </w:rPr>
              <w:t>26.5</w:t>
            </w:r>
          </w:p>
        </w:tc>
        <w:tc>
          <w:tcPr>
            <w:tcW w:w="714" w:type="pct"/>
          </w:tcPr>
          <w:p w:rsidR="00312ECE" w:rsidRDefault="00312ECE">
            <w:pPr>
              <w:spacing w:line="360" w:lineRule="atLeast"/>
              <w:jc w:val="center"/>
              <w:rPr>
                <w:sz w:val="18"/>
              </w:rPr>
            </w:pPr>
            <w:r>
              <w:rPr>
                <w:sz w:val="18"/>
              </w:rPr>
              <w:t>25</w:t>
            </w:r>
          </w:p>
        </w:tc>
      </w:tr>
      <w:tr w:rsidR="00312ECE">
        <w:tblPrEx>
          <w:tblCellMar>
            <w:top w:w="0" w:type="dxa"/>
            <w:bottom w:w="0" w:type="dxa"/>
          </w:tblCellMar>
        </w:tblPrEx>
        <w:trPr>
          <w:cantSplit/>
        </w:trPr>
        <w:tc>
          <w:tcPr>
            <w:tcW w:w="714" w:type="pct"/>
            <w:vMerge/>
          </w:tcPr>
          <w:p w:rsidR="00312ECE" w:rsidRDefault="00312ECE">
            <w:pPr>
              <w:spacing w:line="360" w:lineRule="atLeast"/>
              <w:rPr>
                <w:rFonts w:hint="eastAsia"/>
                <w:sz w:val="18"/>
              </w:rPr>
            </w:pPr>
          </w:p>
        </w:tc>
        <w:tc>
          <w:tcPr>
            <w:tcW w:w="714" w:type="pct"/>
          </w:tcPr>
          <w:p w:rsidR="00312ECE" w:rsidRDefault="00312ECE">
            <w:pPr>
              <w:spacing w:line="360" w:lineRule="atLeast"/>
              <w:jc w:val="center"/>
              <w:rPr>
                <w:rFonts w:hint="eastAsia"/>
                <w:sz w:val="18"/>
              </w:rPr>
            </w:pPr>
            <w:r>
              <w:rPr>
                <w:rFonts w:hint="eastAsia"/>
                <w:sz w:val="18"/>
              </w:rPr>
              <w:t>士官</w:t>
            </w:r>
          </w:p>
        </w:tc>
        <w:tc>
          <w:tcPr>
            <w:tcW w:w="714" w:type="pct"/>
          </w:tcPr>
          <w:p w:rsidR="00312ECE" w:rsidRDefault="00312ECE">
            <w:pPr>
              <w:spacing w:line="360" w:lineRule="atLeast"/>
              <w:jc w:val="center"/>
              <w:rPr>
                <w:sz w:val="18"/>
              </w:rPr>
            </w:pPr>
            <w:r>
              <w:rPr>
                <w:sz w:val="18"/>
              </w:rPr>
              <w:t>9.6</w:t>
            </w:r>
          </w:p>
        </w:tc>
        <w:tc>
          <w:tcPr>
            <w:tcW w:w="714" w:type="pct"/>
          </w:tcPr>
          <w:p w:rsidR="00312ECE" w:rsidRDefault="00312ECE">
            <w:pPr>
              <w:spacing w:line="360" w:lineRule="atLeast"/>
              <w:jc w:val="center"/>
              <w:rPr>
                <w:sz w:val="18"/>
              </w:rPr>
            </w:pPr>
            <w:r>
              <w:rPr>
                <w:sz w:val="18"/>
              </w:rPr>
              <w:t>9.8</w:t>
            </w:r>
          </w:p>
        </w:tc>
        <w:tc>
          <w:tcPr>
            <w:tcW w:w="714" w:type="pct"/>
          </w:tcPr>
          <w:p w:rsidR="00312ECE" w:rsidRDefault="00312ECE">
            <w:pPr>
              <w:spacing w:line="360" w:lineRule="atLeast"/>
              <w:jc w:val="center"/>
              <w:rPr>
                <w:sz w:val="18"/>
              </w:rPr>
            </w:pPr>
            <w:r>
              <w:rPr>
                <w:sz w:val="18"/>
              </w:rPr>
              <w:t>11.4</w:t>
            </w:r>
          </w:p>
        </w:tc>
        <w:tc>
          <w:tcPr>
            <w:tcW w:w="714" w:type="pct"/>
          </w:tcPr>
          <w:p w:rsidR="00312ECE" w:rsidRDefault="00312ECE">
            <w:pPr>
              <w:spacing w:line="360" w:lineRule="atLeast"/>
              <w:jc w:val="center"/>
              <w:rPr>
                <w:sz w:val="18"/>
              </w:rPr>
            </w:pPr>
            <w:r>
              <w:rPr>
                <w:sz w:val="18"/>
              </w:rPr>
              <w:t>11.7</w:t>
            </w:r>
          </w:p>
        </w:tc>
        <w:tc>
          <w:tcPr>
            <w:tcW w:w="714" w:type="pct"/>
          </w:tcPr>
          <w:p w:rsidR="00312ECE" w:rsidRDefault="00312ECE">
            <w:pPr>
              <w:spacing w:line="360" w:lineRule="atLeast"/>
              <w:jc w:val="center"/>
              <w:rPr>
                <w:sz w:val="18"/>
              </w:rPr>
            </w:pPr>
            <w:r>
              <w:rPr>
                <w:sz w:val="18"/>
              </w:rPr>
              <w:t>13.5</w:t>
            </w:r>
          </w:p>
        </w:tc>
      </w:tr>
      <w:tr w:rsidR="00312ECE">
        <w:tblPrEx>
          <w:tblCellMar>
            <w:top w:w="0" w:type="dxa"/>
            <w:bottom w:w="0" w:type="dxa"/>
          </w:tblCellMar>
        </w:tblPrEx>
        <w:trPr>
          <w:cantSplit/>
        </w:trPr>
        <w:tc>
          <w:tcPr>
            <w:tcW w:w="714" w:type="pct"/>
            <w:vMerge w:val="restart"/>
          </w:tcPr>
          <w:p w:rsidR="00312ECE" w:rsidRDefault="00312ECE">
            <w:pPr>
              <w:spacing w:line="360" w:lineRule="atLeast"/>
              <w:rPr>
                <w:rFonts w:hint="eastAsia"/>
                <w:sz w:val="18"/>
              </w:rPr>
            </w:pPr>
            <w:r>
              <w:rPr>
                <w:rFonts w:hint="eastAsia"/>
                <w:sz w:val="18"/>
              </w:rPr>
              <w:t>里加</w:t>
            </w:r>
          </w:p>
        </w:tc>
        <w:tc>
          <w:tcPr>
            <w:tcW w:w="714" w:type="pct"/>
          </w:tcPr>
          <w:p w:rsidR="00312ECE" w:rsidRDefault="00312ECE">
            <w:pPr>
              <w:spacing w:line="360" w:lineRule="atLeast"/>
              <w:jc w:val="center"/>
              <w:rPr>
                <w:rFonts w:hint="eastAsia"/>
                <w:sz w:val="18"/>
              </w:rPr>
            </w:pPr>
            <w:r>
              <w:rPr>
                <w:rFonts w:hint="eastAsia"/>
                <w:sz w:val="18"/>
              </w:rPr>
              <w:t>警官</w:t>
            </w:r>
          </w:p>
        </w:tc>
        <w:tc>
          <w:tcPr>
            <w:tcW w:w="714" w:type="pct"/>
          </w:tcPr>
          <w:p w:rsidR="00312ECE" w:rsidRDefault="00312ECE">
            <w:pPr>
              <w:spacing w:line="360" w:lineRule="atLeast"/>
              <w:jc w:val="center"/>
              <w:rPr>
                <w:sz w:val="18"/>
              </w:rPr>
            </w:pPr>
            <w:r>
              <w:rPr>
                <w:sz w:val="18"/>
              </w:rPr>
              <w:t>35</w:t>
            </w:r>
          </w:p>
        </w:tc>
        <w:tc>
          <w:tcPr>
            <w:tcW w:w="714" w:type="pct"/>
          </w:tcPr>
          <w:p w:rsidR="00312ECE" w:rsidRDefault="00312ECE">
            <w:pPr>
              <w:spacing w:line="360" w:lineRule="atLeast"/>
              <w:jc w:val="center"/>
              <w:rPr>
                <w:sz w:val="18"/>
              </w:rPr>
            </w:pPr>
            <w:r>
              <w:rPr>
                <w:sz w:val="18"/>
              </w:rPr>
              <w:t>35.2</w:t>
            </w:r>
          </w:p>
        </w:tc>
        <w:tc>
          <w:tcPr>
            <w:tcW w:w="714" w:type="pct"/>
          </w:tcPr>
          <w:p w:rsidR="00312ECE" w:rsidRDefault="00312ECE">
            <w:pPr>
              <w:spacing w:line="360" w:lineRule="atLeast"/>
              <w:jc w:val="center"/>
              <w:rPr>
                <w:sz w:val="18"/>
              </w:rPr>
            </w:pPr>
            <w:r>
              <w:rPr>
                <w:sz w:val="18"/>
              </w:rPr>
              <w:t>30.3</w:t>
            </w:r>
          </w:p>
        </w:tc>
        <w:tc>
          <w:tcPr>
            <w:tcW w:w="714" w:type="pct"/>
          </w:tcPr>
          <w:p w:rsidR="00312ECE" w:rsidRDefault="00312ECE">
            <w:pPr>
              <w:spacing w:line="360" w:lineRule="atLeast"/>
              <w:jc w:val="center"/>
              <w:rPr>
                <w:sz w:val="18"/>
              </w:rPr>
            </w:pPr>
            <w:r>
              <w:rPr>
                <w:sz w:val="18"/>
              </w:rPr>
              <w:t>31.7</w:t>
            </w:r>
          </w:p>
        </w:tc>
        <w:tc>
          <w:tcPr>
            <w:tcW w:w="714" w:type="pct"/>
          </w:tcPr>
          <w:p w:rsidR="00312ECE" w:rsidRDefault="00312ECE">
            <w:pPr>
              <w:spacing w:line="360" w:lineRule="atLeast"/>
              <w:jc w:val="center"/>
              <w:rPr>
                <w:sz w:val="18"/>
              </w:rPr>
            </w:pPr>
            <w:r>
              <w:rPr>
                <w:sz w:val="18"/>
              </w:rPr>
              <w:t>28.8</w:t>
            </w:r>
          </w:p>
        </w:tc>
      </w:tr>
      <w:tr w:rsidR="00312ECE">
        <w:tblPrEx>
          <w:tblCellMar>
            <w:top w:w="0" w:type="dxa"/>
            <w:bottom w:w="0" w:type="dxa"/>
          </w:tblCellMar>
        </w:tblPrEx>
        <w:trPr>
          <w:cantSplit/>
        </w:trPr>
        <w:tc>
          <w:tcPr>
            <w:tcW w:w="714" w:type="pct"/>
            <w:vMerge/>
          </w:tcPr>
          <w:p w:rsidR="00312ECE" w:rsidRDefault="00312ECE">
            <w:pPr>
              <w:spacing w:line="360" w:lineRule="atLeast"/>
              <w:rPr>
                <w:rFonts w:hint="eastAsia"/>
                <w:sz w:val="18"/>
              </w:rPr>
            </w:pPr>
          </w:p>
        </w:tc>
        <w:tc>
          <w:tcPr>
            <w:tcW w:w="714" w:type="pct"/>
          </w:tcPr>
          <w:p w:rsidR="00312ECE" w:rsidRDefault="00312ECE">
            <w:pPr>
              <w:spacing w:line="360" w:lineRule="atLeast"/>
              <w:jc w:val="center"/>
              <w:rPr>
                <w:rFonts w:hint="eastAsia"/>
                <w:sz w:val="18"/>
              </w:rPr>
            </w:pPr>
            <w:r>
              <w:rPr>
                <w:rFonts w:hint="eastAsia"/>
                <w:sz w:val="18"/>
              </w:rPr>
              <w:t>士官</w:t>
            </w:r>
          </w:p>
        </w:tc>
        <w:tc>
          <w:tcPr>
            <w:tcW w:w="714" w:type="pct"/>
          </w:tcPr>
          <w:p w:rsidR="00312ECE" w:rsidRDefault="00312ECE">
            <w:pPr>
              <w:spacing w:line="360" w:lineRule="atLeast"/>
              <w:jc w:val="center"/>
              <w:rPr>
                <w:sz w:val="18"/>
              </w:rPr>
            </w:pPr>
            <w:r>
              <w:rPr>
                <w:sz w:val="18"/>
              </w:rPr>
              <w:t>11.6</w:t>
            </w:r>
          </w:p>
        </w:tc>
        <w:tc>
          <w:tcPr>
            <w:tcW w:w="714" w:type="pct"/>
          </w:tcPr>
          <w:p w:rsidR="00312ECE" w:rsidRDefault="00312ECE">
            <w:pPr>
              <w:spacing w:line="360" w:lineRule="atLeast"/>
              <w:jc w:val="center"/>
              <w:rPr>
                <w:sz w:val="18"/>
              </w:rPr>
            </w:pPr>
            <w:r>
              <w:rPr>
                <w:sz w:val="18"/>
              </w:rPr>
              <w:t>10.6</w:t>
            </w:r>
          </w:p>
        </w:tc>
        <w:tc>
          <w:tcPr>
            <w:tcW w:w="714" w:type="pct"/>
          </w:tcPr>
          <w:p w:rsidR="00312ECE" w:rsidRDefault="00312ECE">
            <w:pPr>
              <w:spacing w:line="360" w:lineRule="atLeast"/>
              <w:jc w:val="center"/>
              <w:rPr>
                <w:sz w:val="18"/>
              </w:rPr>
            </w:pPr>
            <w:r>
              <w:rPr>
                <w:sz w:val="18"/>
              </w:rPr>
              <w:t>18.2</w:t>
            </w:r>
          </w:p>
        </w:tc>
        <w:tc>
          <w:tcPr>
            <w:tcW w:w="714" w:type="pct"/>
          </w:tcPr>
          <w:p w:rsidR="00312ECE" w:rsidRDefault="00312ECE">
            <w:pPr>
              <w:spacing w:line="360" w:lineRule="atLeast"/>
              <w:jc w:val="center"/>
              <w:rPr>
                <w:sz w:val="18"/>
              </w:rPr>
            </w:pPr>
            <w:r>
              <w:rPr>
                <w:sz w:val="18"/>
              </w:rPr>
              <w:t>18.2</w:t>
            </w:r>
          </w:p>
        </w:tc>
        <w:tc>
          <w:tcPr>
            <w:tcW w:w="714" w:type="pct"/>
          </w:tcPr>
          <w:p w:rsidR="00312ECE" w:rsidRDefault="00312ECE">
            <w:pPr>
              <w:spacing w:line="360" w:lineRule="atLeast"/>
              <w:jc w:val="center"/>
              <w:rPr>
                <w:sz w:val="18"/>
              </w:rPr>
            </w:pPr>
            <w:r>
              <w:rPr>
                <w:sz w:val="18"/>
              </w:rPr>
              <w:t>23.7</w:t>
            </w:r>
          </w:p>
        </w:tc>
      </w:tr>
    </w:tbl>
    <w:p w:rsidR="00312ECE" w:rsidRDefault="00312ECE">
      <w:pPr>
        <w:pStyle w:val="SingleTxt"/>
      </w:pPr>
    </w:p>
    <w:p w:rsidR="00312ECE" w:rsidRDefault="00312ECE">
      <w:pPr>
        <w:pStyle w:val="SingleTxt"/>
        <w:rPr>
          <w:rFonts w:ascii="KaiTi_GB2312" w:eastAsia="KaiTi_GB2312" w:hint="eastAsia"/>
          <w:color w:val="0000FF"/>
        </w:rPr>
      </w:pPr>
      <w:r>
        <w:rPr>
          <w:rFonts w:ascii="KaiTi_GB2312" w:eastAsia="KaiTi_GB2312" w:hint="eastAsia"/>
          <w:color w:val="0000FF"/>
        </w:rPr>
        <w:t>妇女参与非政府组织工作的权利</w:t>
      </w:r>
    </w:p>
    <w:p w:rsidR="00312ECE" w:rsidRDefault="00312ECE">
      <w:pPr>
        <w:pStyle w:val="SingleTxt"/>
        <w:rPr>
          <w:rFonts w:hint="eastAsia"/>
        </w:rPr>
      </w:pPr>
      <w:r>
        <w:rPr>
          <w:rFonts w:hint="eastAsia"/>
        </w:rPr>
        <w:t>66．妇女参与非政府组织的活动不受限制。“非政府组织及其协会”法规定，凡年满16岁的人，可成为非政府组织的成员，非政府组织的全体成员享有同等权利。</w:t>
      </w:r>
    </w:p>
    <w:p w:rsidR="00312ECE" w:rsidRDefault="00312ECE">
      <w:pPr>
        <w:pStyle w:val="SingleTxt"/>
        <w:rPr>
          <w:rFonts w:ascii="SimHei" w:eastAsia="SimHei" w:hint="eastAsia"/>
          <w:color w:val="FF0000"/>
        </w:rPr>
      </w:pPr>
      <w:r>
        <w:rPr>
          <w:rFonts w:ascii="SimHei" w:eastAsia="SimHei" w:hint="eastAsia"/>
          <w:color w:val="FF0000"/>
        </w:rPr>
        <w:t>第8条</w:t>
      </w:r>
    </w:p>
    <w:p w:rsidR="00312ECE" w:rsidRDefault="00312ECE">
      <w:pPr>
        <w:pStyle w:val="SingleTxt"/>
        <w:rPr>
          <w:rFonts w:hint="eastAsia"/>
        </w:rPr>
      </w:pPr>
      <w:r>
        <w:rPr>
          <w:rFonts w:hint="eastAsia"/>
        </w:rPr>
        <w:t>67．妇女在国际上代表国家以及参加国际组织工作的权利不受限制，这是因为不限制妇女参与国家的政治生活。制约在国际上代表国家的法案对代表国家的人士的性别没有做出任何限制规定。</w:t>
      </w:r>
    </w:p>
    <w:p w:rsidR="00312ECE" w:rsidRDefault="00312ECE">
      <w:pPr>
        <w:pStyle w:val="SingleTxt"/>
        <w:rPr>
          <w:rFonts w:hint="eastAsia"/>
        </w:rPr>
      </w:pPr>
      <w:r>
        <w:rPr>
          <w:rFonts w:hint="eastAsia"/>
        </w:rPr>
        <w:t>68</w:t>
      </w:r>
      <w:r>
        <w:t>.</w:t>
      </w:r>
      <w:r>
        <w:tab/>
      </w:r>
      <w:r>
        <w:rPr>
          <w:rFonts w:hint="eastAsia"/>
        </w:rPr>
        <w:t>目前，在总统一级分别有资格在国际上代表拉脱维亚的是国家总统瓦伊拉·维凯-弗赖贝加，以及文化部长和司法部长。</w:t>
      </w:r>
    </w:p>
    <w:p w:rsidR="00312ECE" w:rsidRDefault="00312ECE">
      <w:pPr>
        <w:pStyle w:val="SingleTxt"/>
        <w:rPr>
          <w:rFonts w:hint="eastAsia"/>
        </w:rPr>
      </w:pPr>
      <w:r>
        <w:rPr>
          <w:rFonts w:hint="eastAsia"/>
        </w:rPr>
        <w:t>69．根据“外交及领事事务”法，凡拉脱维亚的公民，在外交部核心机构或者驻外外交领事代表处担任公务员职务的，都可在拉脱维亚外交机构供职。</w:t>
      </w:r>
    </w:p>
    <w:p w:rsidR="00312ECE" w:rsidRDefault="00312ECE">
      <w:pPr>
        <w:pStyle w:val="SingleTxt"/>
        <w:rPr>
          <w:rFonts w:hint="eastAsia"/>
        </w:rPr>
      </w:pPr>
      <w:r>
        <w:rPr>
          <w:rFonts w:hint="eastAsia"/>
        </w:rPr>
        <w:t>70．另外应当指出，妇女在拉脱维亚外交机构供职并且以大使及其他外交官的身份代表拉脱维亚的人数相对很多。2001年，61.1%的妇女在外交部系统工作，在拉脱维亚驻外代表机构工作的所有官员当中，52.4%是女性。五位女大使在大使一级代表拉脱维亚共和国（驻奥地利、列支敦士登、斯洛伐克、斯洛文尼亚及匈牙利大使、驻法国大使、驻克罗地亚和捷克共和国大使、驻西班牙大使以及驻立陶宛大使），占拉脱维亚大使总人数的13.7%。此外，拉脱维亚目前在联合国教育、科学及文化组织派有女代表，在世界贸易组织派有常驻代办。应当指出，上述国家及国际组织是拉脱维亚的重要合作伙伴，因此，拉脱维亚在这些国家及国际组织派驻代表是朝着提高妇女在国际上代表本国的方向迈出的一个重要步骤。</w:t>
      </w:r>
    </w:p>
    <w:p w:rsidR="00312ECE" w:rsidRDefault="00312ECE">
      <w:pPr>
        <w:pStyle w:val="SingleTxt"/>
        <w:rPr>
          <w:rFonts w:hint="eastAsia"/>
        </w:rPr>
      </w:pPr>
      <w:r>
        <w:rPr>
          <w:rFonts w:hint="eastAsia"/>
        </w:rPr>
        <w:t>71．拉脱维亚驻外外交代表领受津贴，他们因此可以与家人一起住在驻在国，同样，外交官的子女在综合学校上学并由父母照管的，国家为他们支付学费。这些补偿及津贴的支付取决于外交官的工作地点、外交职衔及职位，但决不会受性别的影响。</w:t>
      </w:r>
    </w:p>
    <w:p w:rsidR="00312ECE" w:rsidRDefault="00312ECE">
      <w:pPr>
        <w:pStyle w:val="SingleTxt"/>
        <w:rPr>
          <w:rFonts w:ascii="SimHei" w:eastAsia="SimHei" w:hint="eastAsia"/>
          <w:color w:val="FF0000"/>
        </w:rPr>
      </w:pPr>
      <w:r>
        <w:rPr>
          <w:rFonts w:ascii="SimHei" w:eastAsia="SimHei" w:hint="eastAsia"/>
          <w:color w:val="FF0000"/>
        </w:rPr>
        <w:t>第9条</w:t>
      </w:r>
    </w:p>
    <w:p w:rsidR="00312ECE" w:rsidRDefault="00312ECE">
      <w:pPr>
        <w:pStyle w:val="SingleTxt"/>
        <w:rPr>
          <w:rFonts w:hint="eastAsia"/>
        </w:rPr>
      </w:pPr>
      <w:r>
        <w:rPr>
          <w:rFonts w:hint="eastAsia"/>
        </w:rPr>
        <w:t>72．拉脱维亚人的公民资格（国籍）的取得、授予及剥夺问题根据1994年8月11日《公民资格法》解决。这部法律于1998年制订，考虑到了国际法的规范，并且采纳了欧洲各机构的建议。</w:t>
      </w:r>
    </w:p>
    <w:p w:rsidR="00312ECE" w:rsidRDefault="00312ECE">
      <w:pPr>
        <w:pStyle w:val="SingleTxt"/>
        <w:rPr>
          <w:rFonts w:hint="eastAsia"/>
        </w:rPr>
      </w:pPr>
      <w:r>
        <w:rPr>
          <w:rFonts w:hint="eastAsia"/>
        </w:rPr>
        <w:t>73．拉脱维亚《公民资格法》规定，公民资格的取得、变更及保留是个人自由意愿的体现。每个人无论国籍及性别如何，如果他能依照法定程序证明他/她与拉脱维亚公民资格的联系，都有权取得拉脱维亚公民资格。公民放弃拉脱维亚公民资格后，无论他是男性还是女性都有权变更该等公民资格。《公民资格法》对取得公民资格的以下方式做出了规定：入籍、公民资格的确认、公民地位的登记以及公民资格的恢复。</w:t>
      </w:r>
    </w:p>
    <w:p w:rsidR="00312ECE" w:rsidRDefault="00312ECE">
      <w:pPr>
        <w:pStyle w:val="SingleTxt"/>
        <w:rPr>
          <w:rFonts w:hint="eastAsia"/>
        </w:rPr>
      </w:pPr>
      <w:r>
        <w:rPr>
          <w:rFonts w:hint="eastAsia"/>
        </w:rPr>
        <w:t>74．任何人，凡年满15岁的，都可申请公民资格，并要遵守下述条件：</w:t>
      </w:r>
    </w:p>
    <w:p w:rsidR="00312ECE" w:rsidRDefault="00312ECE">
      <w:pPr>
        <w:pStyle w:val="SingleTxt"/>
        <w:rPr>
          <w:rFonts w:hint="eastAsia"/>
        </w:rPr>
      </w:pPr>
      <w:r>
        <w:tab/>
        <w:t>(</w:t>
      </w:r>
      <w:r>
        <w:rPr>
          <w:rFonts w:hint="eastAsia"/>
        </w:rPr>
        <w:t>a)</w:t>
      </w:r>
      <w:r>
        <w:rPr>
          <w:rFonts w:hint="eastAsia"/>
        </w:rPr>
        <w:tab/>
        <w:t>截止入籍申请之日，申请人的永久居住地是拉脱维亚并在拉脱维亚至少居住了五年；</w:t>
      </w:r>
    </w:p>
    <w:p w:rsidR="00312ECE" w:rsidRDefault="00312ECE">
      <w:pPr>
        <w:pStyle w:val="SingleTxt"/>
        <w:rPr>
          <w:rFonts w:hint="eastAsia"/>
        </w:rPr>
      </w:pPr>
      <w:r>
        <w:tab/>
        <w:t>(</w:t>
      </w:r>
      <w:r>
        <w:rPr>
          <w:rFonts w:hint="eastAsia"/>
        </w:rPr>
        <w:t>b</w:t>
      </w:r>
      <w:r>
        <w:t>)</w:t>
      </w:r>
      <w:r>
        <w:tab/>
      </w:r>
      <w:r>
        <w:rPr>
          <w:rFonts w:hint="eastAsia"/>
        </w:rPr>
        <w:t>申请人讲拉脱维亚语，了解《拉脱维亚共和国宪法》的基本规定、国歌歌词以及拉脱维亚历史（公民资格的申请人须通过相关的考试）；</w:t>
      </w:r>
    </w:p>
    <w:p w:rsidR="00312ECE" w:rsidRDefault="00312ECE">
      <w:pPr>
        <w:pStyle w:val="SingleTxt"/>
        <w:rPr>
          <w:rFonts w:hint="eastAsia"/>
        </w:rPr>
      </w:pPr>
      <w:r>
        <w:tab/>
        <w:t>(</w:t>
      </w:r>
      <w:r>
        <w:rPr>
          <w:rFonts w:hint="eastAsia"/>
        </w:rPr>
        <w:t>c</w:t>
      </w:r>
      <w:r>
        <w:t>)</w:t>
      </w:r>
      <w:r>
        <w:tab/>
      </w:r>
      <w:r>
        <w:rPr>
          <w:rFonts w:hint="eastAsia"/>
        </w:rPr>
        <w:t>申请人或他/她的监护人有合法收入来源；</w:t>
      </w:r>
    </w:p>
    <w:p w:rsidR="00312ECE" w:rsidRDefault="00312ECE">
      <w:pPr>
        <w:pStyle w:val="SingleTxt"/>
        <w:rPr>
          <w:rFonts w:hint="eastAsia"/>
        </w:rPr>
      </w:pPr>
      <w:r>
        <w:tab/>
        <w:t>(</w:t>
      </w:r>
      <w:r>
        <w:rPr>
          <w:rFonts w:hint="eastAsia"/>
        </w:rPr>
        <w:t>d</w:t>
      </w:r>
      <w:r>
        <w:t>)</w:t>
      </w:r>
      <w:r>
        <w:rPr>
          <w:rFonts w:hint="eastAsia"/>
        </w:rPr>
        <w:tab/>
        <w:t>申请人不受入籍限制-拉脱维亚公民资格不得授予采取违反宪法的手段损害拉脱维亚共和国独立、国家民主议会结构或者拉脱维亚现行国家权力的人，前提条件是此类行为根据法院裁决得到确定；1990年5月4日后，宣传法西斯主义、沙文主义、国家社会主义、共产主义或者其他极权主义思想或者煽动种族仇恨或不和的人，前提条件是此类行为根据法院裁决得到确定；外国国家权力机关、行政管理机关以及执法机构的官员；在外国武装部队、军队、安全部门或警察（民兵）服过兵役的人；从前苏联（俄罗斯）武装部队或者前苏联（俄罗斯）国内军队复员后自1940年6月17日起选择拉脱维亚共和国作为其居住地但自服役之日起没有永久居住在拉脱维亚的人；前苏联（拉脱维亚苏维埃社会主义共和国）、克格勃（国家安全委员会）、或者其他一些国家的安全部门、情报机构或其他特殊部门的雇员、密探、特工或安全房警卫，条件是此类事实依照法定程序得到确认；因犯罪（这种罪行自《公民资格法》生效之日在拉脱维亚也是一种罪行）在拉脱维亚或者其他一些国家受到惩处的人；在1991年1月13日后在苏联共产党、拉脱维亚共产党、拉脱维亚苏维埃社会主义共和国工人国际阵线、劳动集体联合委员会、战争及老工人组织、全拉脱维亚社会拯救委员会及其地区委员会或者拉脱维亚共产主义者联盟从事过反对拉脱维亚共和国的工作的人。</w:t>
      </w:r>
    </w:p>
    <w:p w:rsidR="00312ECE" w:rsidRDefault="00312ECE">
      <w:pPr>
        <w:pStyle w:val="SingleTxt"/>
        <w:rPr>
          <w:rFonts w:hint="eastAsia"/>
        </w:rPr>
      </w:pPr>
      <w:r>
        <w:rPr>
          <w:rFonts w:hint="eastAsia"/>
        </w:rPr>
        <w:t>75．如果一个成年人通过入籍被授予拉脱维亚公民资格，其不满15岁且永久居住在拉脱维亚的未成年子女同时当然取得拉脱维亚公民资格。</w:t>
      </w:r>
    </w:p>
    <w:p w:rsidR="00312ECE" w:rsidRDefault="00312ECE">
      <w:pPr>
        <w:pStyle w:val="SingleTxt"/>
        <w:rPr>
          <w:rFonts w:hint="eastAsia"/>
        </w:rPr>
      </w:pPr>
      <w:r>
        <w:rPr>
          <w:rFonts w:hint="eastAsia"/>
        </w:rPr>
        <w:t>76．自1991年8月21日后在拉脱维亚出生的子女是公认的拉脱维亚公民，但条件是：</w:t>
      </w:r>
    </w:p>
    <w:p w:rsidR="00312ECE" w:rsidRDefault="00312ECE">
      <w:pPr>
        <w:pStyle w:val="SingleTxt"/>
        <w:rPr>
          <w:rFonts w:hint="eastAsia"/>
        </w:rPr>
      </w:pPr>
      <w:r>
        <w:rPr>
          <w:rFonts w:hint="eastAsia"/>
        </w:rPr>
        <w:tab/>
        <w:t>(a)</w:t>
      </w:r>
      <w:r>
        <w:rPr>
          <w:rFonts w:hint="eastAsia"/>
        </w:rPr>
        <w:tab/>
        <w:t>他/她的永久居住地是拉脱维亚；</w:t>
      </w:r>
    </w:p>
    <w:p w:rsidR="00312ECE" w:rsidRDefault="00312ECE">
      <w:pPr>
        <w:pStyle w:val="SingleTxt"/>
        <w:rPr>
          <w:rFonts w:hint="eastAsia"/>
        </w:rPr>
      </w:pPr>
      <w:r>
        <w:rPr>
          <w:rFonts w:hint="eastAsia"/>
        </w:rPr>
        <w:tab/>
        <w:t>(</w:t>
      </w:r>
      <w:r>
        <w:t>b</w:t>
      </w:r>
      <w:r>
        <w:rPr>
          <w:rFonts w:hint="eastAsia"/>
        </w:rPr>
        <w:t>)</w:t>
      </w:r>
      <w:r>
        <w:rPr>
          <w:rFonts w:hint="eastAsia"/>
        </w:rPr>
        <w:tab/>
        <w:t>他/她在拉脱维亚或者其他任何国家未因犯罪受到五年以上的监禁；</w:t>
      </w:r>
    </w:p>
    <w:p w:rsidR="00312ECE" w:rsidRDefault="00312ECE">
      <w:pPr>
        <w:pStyle w:val="SingleTxt"/>
        <w:rPr>
          <w:rFonts w:hint="eastAsia"/>
        </w:rPr>
      </w:pPr>
      <w:r>
        <w:rPr>
          <w:rFonts w:hint="eastAsia"/>
        </w:rPr>
        <w:tab/>
        <w:t>(</w:t>
      </w:r>
      <w:r>
        <w:t>c</w:t>
      </w:r>
      <w:r>
        <w:rPr>
          <w:rFonts w:hint="eastAsia"/>
        </w:rPr>
        <w:t>)</w:t>
      </w:r>
      <w:r>
        <w:rPr>
          <w:rFonts w:hint="eastAsia"/>
        </w:rPr>
        <w:tab/>
        <w:t>他/她是无国籍人士或者非公民。</w:t>
      </w:r>
    </w:p>
    <w:p w:rsidR="00312ECE" w:rsidRDefault="00312ECE">
      <w:pPr>
        <w:pStyle w:val="SingleTxt"/>
        <w:rPr>
          <w:rFonts w:hint="eastAsia"/>
        </w:rPr>
      </w:pPr>
      <w:r>
        <w:rPr>
          <w:rFonts w:hint="eastAsia"/>
        </w:rPr>
        <w:t>77．</w:t>
      </w:r>
      <w:r>
        <w:tab/>
      </w:r>
      <w:r>
        <w:rPr>
          <w:rFonts w:hint="eastAsia"/>
        </w:rPr>
        <w:t>根据《公民资格法》第2条，拉脱维亚公民（通过登记取得拉脱维亚公民地位的人）是：</w:t>
      </w:r>
    </w:p>
    <w:p w:rsidR="00312ECE" w:rsidRDefault="00312ECE">
      <w:pPr>
        <w:pStyle w:val="SingleTxt"/>
        <w:rPr>
          <w:rFonts w:hint="eastAsia"/>
        </w:rPr>
      </w:pPr>
      <w:r>
        <w:rPr>
          <w:rFonts w:hint="eastAsia"/>
        </w:rPr>
        <w:tab/>
        <w:t>(a)</w:t>
      </w:r>
      <w:r>
        <w:rPr>
          <w:rFonts w:hint="eastAsia"/>
        </w:rPr>
        <w:tab/>
        <w:t>自1940年6月17日起成为拉脱维亚公民的人，以及其依照法定程序登记过的后裔，但在1990年5月4日后取得另一国公民资格（国籍）的人除外；</w:t>
      </w:r>
    </w:p>
    <w:p w:rsidR="00312ECE" w:rsidRDefault="00312ECE">
      <w:pPr>
        <w:pStyle w:val="SingleTxt"/>
        <w:rPr>
          <w:rFonts w:hint="eastAsia"/>
        </w:rPr>
      </w:pPr>
      <w:r>
        <w:rPr>
          <w:rFonts w:hint="eastAsia"/>
        </w:rPr>
        <w:tab/>
        <w:t>(</w:t>
      </w:r>
      <w:r>
        <w:t>b</w:t>
      </w:r>
      <w:r>
        <w:rPr>
          <w:rFonts w:hint="eastAsia"/>
        </w:rPr>
        <w:t>)</w:t>
      </w:r>
      <w:r>
        <w:rPr>
          <w:rFonts w:hint="eastAsia"/>
        </w:rPr>
        <w:tab/>
        <w:t>永久居住地不是拉脱维亚且没有公民资格（国籍）的拉脱维亚人及Livs；</w:t>
      </w:r>
    </w:p>
    <w:p w:rsidR="00312ECE" w:rsidRDefault="00312ECE">
      <w:pPr>
        <w:pStyle w:val="SingleTxt"/>
        <w:rPr>
          <w:rFonts w:hint="eastAsia"/>
        </w:rPr>
      </w:pPr>
      <w:r>
        <w:rPr>
          <w:rFonts w:hint="eastAsia"/>
        </w:rPr>
        <w:tab/>
        <w:t>(</w:t>
      </w:r>
      <w:r>
        <w:t>c</w:t>
      </w:r>
      <w:r>
        <w:rPr>
          <w:rFonts w:hint="eastAsia"/>
        </w:rPr>
        <w:t>)</w:t>
      </w:r>
      <w:r>
        <w:rPr>
          <w:rFonts w:hint="eastAsia"/>
        </w:rPr>
        <w:tab/>
        <w:t>永久居住地是拉脱维亚并且依照拉脱维亚共和国1919年8月23日“国籍法”第7节丧失拉脱维亚公民资格（国籍）的妇女及其子女，条件是这类人士依照法定程序登记过，但在1990年5月4日后取得另一国公民资格（国籍）的人士除外；</w:t>
      </w:r>
    </w:p>
    <w:p w:rsidR="00312ECE" w:rsidRDefault="00312ECE">
      <w:pPr>
        <w:pStyle w:val="SingleTxt"/>
        <w:rPr>
          <w:rFonts w:hint="eastAsia"/>
        </w:rPr>
      </w:pPr>
      <w:r>
        <w:rPr>
          <w:rFonts w:hint="eastAsia"/>
        </w:rPr>
        <w:tab/>
        <w:t>(</w:t>
      </w:r>
      <w:r>
        <w:t>d</w:t>
      </w:r>
      <w:r>
        <w:rPr>
          <w:rFonts w:hint="eastAsia"/>
        </w:rPr>
        <w:t>)</w:t>
      </w:r>
      <w:r>
        <w:rPr>
          <w:rFonts w:hint="eastAsia"/>
        </w:rPr>
        <w:tab/>
        <w:t>永久居住地是拉脱维亚并且在用拉脱维亚语授课的普通教育学校或者普通教育分（两）组学校拉脱维亚人组修完正式教育课程，并且在这类学校接受小学或者中学教育的人，条件是他们不拥有另一个国家的公民资格。如果一个成年人根据此项规定登记公民地位，公民资格也授予他/她的未满15岁并且永久居住在拉脱维亚的未成年子女；</w:t>
      </w:r>
    </w:p>
    <w:p w:rsidR="00312ECE" w:rsidRDefault="00312ECE">
      <w:pPr>
        <w:pStyle w:val="SingleTxt"/>
        <w:rPr>
          <w:rFonts w:hint="eastAsia"/>
        </w:rPr>
      </w:pPr>
      <w:r>
        <w:rPr>
          <w:rFonts w:hint="eastAsia"/>
        </w:rPr>
        <w:tab/>
        <w:t>(</w:t>
      </w:r>
      <w:r>
        <w:t>e</w:t>
      </w:r>
      <w:r>
        <w:rPr>
          <w:rFonts w:hint="eastAsia"/>
        </w:rPr>
        <w:t>)</w:t>
      </w:r>
      <w:r>
        <w:rPr>
          <w:rFonts w:hint="eastAsia"/>
        </w:rPr>
        <w:tab/>
        <w:t>在拉脱维亚境内且其父母下落不明的儿童；</w:t>
      </w:r>
    </w:p>
    <w:p w:rsidR="00312ECE" w:rsidRDefault="00312ECE">
      <w:pPr>
        <w:pStyle w:val="SingleTxt"/>
        <w:rPr>
          <w:rFonts w:hint="eastAsia"/>
        </w:rPr>
      </w:pPr>
      <w:r>
        <w:rPr>
          <w:rFonts w:hint="eastAsia"/>
        </w:rPr>
        <w:tab/>
        <w:t>(</w:t>
      </w:r>
      <w:r>
        <w:t>f</w:t>
      </w:r>
      <w:r>
        <w:rPr>
          <w:rFonts w:hint="eastAsia"/>
        </w:rPr>
        <w:t>)</w:t>
      </w:r>
      <w:r>
        <w:rPr>
          <w:rFonts w:hint="eastAsia"/>
        </w:rPr>
        <w:tab/>
        <w:t>没有父母并且居住在拉脱维亚儿童中心或特殊寄宿学校的儿童；</w:t>
      </w:r>
    </w:p>
    <w:p w:rsidR="00312ECE" w:rsidRDefault="00312ECE">
      <w:pPr>
        <w:pStyle w:val="SingleTxt"/>
        <w:rPr>
          <w:rFonts w:hint="eastAsia"/>
        </w:rPr>
      </w:pPr>
      <w:r>
        <w:rPr>
          <w:rFonts w:hint="eastAsia"/>
        </w:rPr>
        <w:tab/>
        <w:t>(</w:t>
      </w:r>
      <w:r>
        <w:t>g</w:t>
      </w:r>
      <w:r>
        <w:rPr>
          <w:rFonts w:hint="eastAsia"/>
        </w:rPr>
        <w:t>)</w:t>
      </w:r>
      <w:r>
        <w:rPr>
          <w:rFonts w:hint="eastAsia"/>
        </w:rPr>
        <w:tab/>
        <w:t>出生时生身父母都是拉脱维亚公民的儿童，无论其出生地在哪里。</w:t>
      </w:r>
    </w:p>
    <w:p w:rsidR="00312ECE" w:rsidRDefault="00312ECE">
      <w:pPr>
        <w:pStyle w:val="SingleTxt"/>
        <w:rPr>
          <w:rFonts w:hint="eastAsia"/>
        </w:rPr>
      </w:pPr>
      <w:r>
        <w:rPr>
          <w:rFonts w:hint="eastAsia"/>
        </w:rPr>
        <w:t>78．</w:t>
      </w:r>
      <w:r>
        <w:tab/>
      </w:r>
      <w:r>
        <w:rPr>
          <w:rFonts w:hint="eastAsia"/>
        </w:rPr>
        <w:t>《公民资格法》第25条规定，凡因父母或领养人做出的决定以及法律过错或者非法取消公民资格而丧失拉脱维亚公民资格的人，都可恢复拉脱维亚公民资格。</w:t>
      </w:r>
    </w:p>
    <w:p w:rsidR="00312ECE" w:rsidRDefault="00312ECE">
      <w:pPr>
        <w:pStyle w:val="SingleTxt"/>
        <w:rPr>
          <w:rFonts w:hint="eastAsia"/>
        </w:rPr>
      </w:pPr>
      <w:r>
        <w:rPr>
          <w:rFonts w:hint="eastAsia"/>
        </w:rPr>
        <w:t>79．</w:t>
      </w:r>
      <w:r>
        <w:tab/>
      </w:r>
      <w:r>
        <w:rPr>
          <w:rFonts w:hint="eastAsia"/>
        </w:rPr>
        <w:t>根据入籍委员会提供的统计数据，妇女在入籍过程从事的社会活动较多，这取决于个人的自由意愿和选择。截止2001年10月31日，入籍委员会收到的请求授予拉脱维亚共和国公民资格的申请有48 843份，其中30 480份申请或者全部申请的68%是妇女提交的。</w:t>
      </w:r>
    </w:p>
    <w:p w:rsidR="00312ECE" w:rsidRDefault="00312ECE">
      <w:pPr>
        <w:pStyle w:val="SingleTxt"/>
        <w:rPr>
          <w:rFonts w:hint="eastAsia"/>
        </w:rPr>
      </w:pPr>
      <w:r>
        <w:rPr>
          <w:rFonts w:hint="eastAsia"/>
        </w:rPr>
        <w:t>80．</w:t>
      </w:r>
      <w:r>
        <w:tab/>
      </w:r>
      <w:r>
        <w:rPr>
          <w:rFonts w:hint="eastAsia"/>
        </w:rPr>
        <w:t>根据《公民资格法》，拉脱维亚公民资格也可授予为了拉脱维亚的利益做出特殊贡献的人，此决定由议会代表根据所述人士的申请做出。在比例方面，男子根据这一程序被授予拉脱维亚公民资格的人数比妇女多，其相关的事实是社会对政治家、实业家及运动员等男子目前占主导地位的职业给予更高的尊重。但应当指出，因特殊贡献接受公民资格的每位候选人在个人的基础上进行评估。</w:t>
      </w:r>
    </w:p>
    <w:p w:rsidR="00312ECE" w:rsidRDefault="00312ECE">
      <w:pPr>
        <w:pStyle w:val="SingleTxt"/>
        <w:rPr>
          <w:rFonts w:hint="eastAsia"/>
        </w:rPr>
      </w:pPr>
      <w:r>
        <w:rPr>
          <w:rFonts w:hint="eastAsia"/>
        </w:rPr>
        <w:t>81．关于拉脱维亚公民与外国人的婚姻，《公民资格法》规定，与外国人或无国籍人士缔婚，以及此类婚姻的解除不改变拉脱维亚公民的公民资格。同样，如果配偶一方取得或丧失拉脱维亚公民资格，另一方的公民资格不变。</w:t>
      </w:r>
    </w:p>
    <w:p w:rsidR="00312ECE" w:rsidRDefault="00312ECE">
      <w:pPr>
        <w:pStyle w:val="SingleTxt"/>
        <w:rPr>
          <w:rFonts w:hint="eastAsia"/>
        </w:rPr>
      </w:pPr>
      <w:r>
        <w:rPr>
          <w:rFonts w:hint="eastAsia"/>
        </w:rPr>
        <w:t>82．如果确定子女的公民资格，《公民资格法》在妇女与男子的关系方面，没有对妇女做出任何歧视性限制规定。《公民资格法》第3条规定，子女出生时，父母一方是拉脱维亚公民，而另一方是外国人的，该子女是拉脱维亚公民，条件是该子女生于拉脱维亚，或者生于拉脱维亚以外的国家，并且在出生时，拉脱维亚是其父母或者与他/她住在一起的父母一方的永久居住地。在上述情况下，父母也可在相互同意的情况下为其子女选择另一个国家（不是拉脱维亚）的公民资格。</w:t>
      </w:r>
    </w:p>
    <w:p w:rsidR="00312ECE" w:rsidRDefault="00312ECE">
      <w:pPr>
        <w:pStyle w:val="SingleTxt"/>
        <w:rPr>
          <w:rFonts w:hint="eastAsia"/>
        </w:rPr>
      </w:pPr>
      <w:r>
        <w:rPr>
          <w:rFonts w:hint="eastAsia"/>
        </w:rPr>
        <w:t>83．如果子女在出生时，其父母有一方是拉脱维亚公民，而另一方是外国人，并且父母双方的永久居住地在拉脱维亚以外，父母在相互同意的基础上确定该子女的公民资格。同样，如果在子女出生时，父母有一方是拉脱维亚公民，而另一方是无国籍人士或者身分不明的，该子女无论出生地在哪里都是拉脱维亚公民。</w:t>
      </w:r>
    </w:p>
    <w:p w:rsidR="00312ECE" w:rsidRDefault="00312ECE">
      <w:pPr>
        <w:pStyle w:val="SingleTxt"/>
        <w:rPr>
          <w:rFonts w:ascii="SimHei" w:eastAsia="SimHei" w:hint="eastAsia"/>
          <w:color w:val="FF0000"/>
        </w:rPr>
      </w:pPr>
      <w:r>
        <w:rPr>
          <w:rFonts w:ascii="SimHei" w:eastAsia="SimHei" w:hint="eastAsia"/>
          <w:color w:val="FF0000"/>
        </w:rPr>
        <w:t>第10条</w:t>
      </w:r>
    </w:p>
    <w:p w:rsidR="00312ECE" w:rsidRDefault="00312ECE">
      <w:pPr>
        <w:pStyle w:val="SingleTxt"/>
        <w:rPr>
          <w:rFonts w:ascii="KaiTi_GB2312" w:eastAsia="KaiTi_GB2312" w:hint="eastAsia"/>
          <w:color w:val="0000FF"/>
        </w:rPr>
      </w:pPr>
      <w:r>
        <w:rPr>
          <w:rFonts w:ascii="KaiTi_GB2312" w:eastAsia="KaiTi_GB2312" w:hint="eastAsia"/>
          <w:color w:val="0000FF"/>
        </w:rPr>
        <w:t>妇女接受教育的权利</w:t>
      </w:r>
    </w:p>
    <w:p w:rsidR="00312ECE" w:rsidRDefault="00312ECE">
      <w:pPr>
        <w:pStyle w:val="SingleTxt"/>
        <w:rPr>
          <w:rFonts w:hint="eastAsia"/>
        </w:rPr>
      </w:pPr>
      <w:r>
        <w:rPr>
          <w:rFonts w:hint="eastAsia"/>
        </w:rPr>
        <w:t>84．</w:t>
      </w:r>
      <w:r>
        <w:tab/>
      </w:r>
      <w:r>
        <w:rPr>
          <w:rFonts w:hint="eastAsia"/>
        </w:rPr>
        <w:t>妇女在拉脱维亚不受歧视地接受教育的权利得到宪法的保障。宪法规定人人有接受教育的权利，国家规定人人有权免费接受中小学教育。根据宪法规定，初级教育是义务教育。</w:t>
      </w:r>
    </w:p>
    <w:p w:rsidR="00312ECE" w:rsidRDefault="00312ECE">
      <w:pPr>
        <w:pStyle w:val="SingleTxt"/>
        <w:rPr>
          <w:rFonts w:hint="eastAsia"/>
        </w:rPr>
      </w:pPr>
      <w:r>
        <w:rPr>
          <w:rFonts w:hint="eastAsia"/>
        </w:rPr>
        <w:t>85．</w:t>
      </w:r>
      <w:r>
        <w:tab/>
      </w:r>
      <w:r>
        <w:rPr>
          <w:rFonts w:hint="eastAsia"/>
        </w:rPr>
        <w:t>《拉脱维亚教育法》规定，有权取得拉脱维亚共和国签发的非公民护照和取得永久居住证的每个拉脱维亚公民及每个人，以及取得临时居住证的欧盟成员国公民及其子女，无论其经济及社会状况、种族、国籍、性别、宗教及政治信仰、健康状况、职业及居住地如何，都有接受教育的同等权利。根据上述法律和宪法，拉脱维亚的初级教育或者初级教育至18岁以前的继续教育是义务教育。</w:t>
      </w:r>
    </w:p>
    <w:p w:rsidR="00312ECE" w:rsidRDefault="00312ECE">
      <w:pPr>
        <w:pStyle w:val="SingleTxt"/>
        <w:rPr>
          <w:rFonts w:hint="eastAsia"/>
        </w:rPr>
      </w:pPr>
      <w:r>
        <w:rPr>
          <w:rFonts w:hint="eastAsia"/>
        </w:rPr>
        <w:t>86．</w:t>
      </w:r>
      <w:r>
        <w:tab/>
      </w:r>
      <w:r>
        <w:rPr>
          <w:rFonts w:hint="eastAsia"/>
        </w:rPr>
        <w:t>《教育法》规定，在拉脱维亚接受教育的机会方面，没有性别之分。人人无论男女都有接受教育及取得文凭的同等机会。全体学生学习相关教育大纲的相同课程的机会根据国家教育标准予以保障。</w:t>
      </w:r>
    </w:p>
    <w:p w:rsidR="00312ECE" w:rsidRDefault="00312ECE">
      <w:pPr>
        <w:pStyle w:val="SingleTxt"/>
        <w:rPr>
          <w:rFonts w:hint="eastAsia"/>
        </w:rPr>
      </w:pPr>
      <w:r>
        <w:rPr>
          <w:rFonts w:hint="eastAsia"/>
        </w:rPr>
        <w:t>87．</w:t>
      </w:r>
      <w:r>
        <w:tab/>
      </w:r>
      <w:r>
        <w:rPr>
          <w:rFonts w:hint="eastAsia"/>
        </w:rPr>
        <w:t>拉脱维亚的普通教育分几个阶段，即学前教育、初级教育及中等教育。</w:t>
      </w:r>
    </w:p>
    <w:p w:rsidR="00312ECE" w:rsidRDefault="00312ECE">
      <w:pPr>
        <w:pStyle w:val="SingleTxt"/>
        <w:rPr>
          <w:rFonts w:hint="eastAsia"/>
        </w:rPr>
      </w:pPr>
      <w:r>
        <w:rPr>
          <w:rFonts w:hint="eastAsia"/>
        </w:rPr>
        <w:t>88．</w:t>
      </w:r>
      <w:r>
        <w:tab/>
      </w:r>
      <w:r>
        <w:rPr>
          <w:rFonts w:hint="eastAsia"/>
        </w:rPr>
        <w:t>“普通教育”法规定，不满7岁的儿童学习</w:t>
      </w:r>
      <w:r>
        <w:rPr>
          <w:rFonts w:ascii="KaiTi_GB2312" w:eastAsia="KaiTi_GB2312" w:hint="eastAsia"/>
          <w:color w:val="0000FF"/>
        </w:rPr>
        <w:t>学前教育</w:t>
      </w:r>
      <w:r>
        <w:rPr>
          <w:rFonts w:hint="eastAsia"/>
        </w:rPr>
        <w:t>课程。这个阶段没有性别限制。儿童根据提交申请的顺序进入本地政府的学前教育机构。同样，儿童根据父母亲（监护人）提交的申请以及国家或者地方政府教育医疗委员会的声明可获准进入特殊学前教育小组，接受特殊学前教育。</w:t>
      </w:r>
    </w:p>
    <w:p w:rsidR="00312ECE" w:rsidRDefault="00312ECE">
      <w:pPr>
        <w:pStyle w:val="SingleTxt"/>
        <w:rPr>
          <w:rFonts w:hint="eastAsia"/>
        </w:rPr>
      </w:pPr>
      <w:r>
        <w:rPr>
          <w:rFonts w:hint="eastAsia"/>
        </w:rPr>
        <w:t>89．</w:t>
      </w:r>
      <w:r>
        <w:tab/>
      </w:r>
      <w:r>
        <w:rPr>
          <w:rFonts w:hint="eastAsia"/>
        </w:rPr>
        <w:t>根据“普通教育”法，在拉脱维亚可在提供初级教育课程的教育机构以及职业学校、特殊教育机构、夜校（半日制学校；转换学校）、寄宿学校以及由社会或教师负责管教的班级接受</w:t>
      </w:r>
      <w:r>
        <w:rPr>
          <w:rFonts w:ascii="KaiTi_GB2312" w:eastAsia="KaiTi_GB2312" w:hint="eastAsia"/>
          <w:color w:val="0000FF"/>
        </w:rPr>
        <w:t>初级教育</w:t>
      </w:r>
      <w:r>
        <w:rPr>
          <w:rFonts w:hint="eastAsia"/>
        </w:rPr>
        <w:t>。拉脱维亚的初级教育是义务教育，没有性别限制，提供小学课程的教育机构不得组织招收1-9年级学生的入学考试。</w:t>
      </w:r>
    </w:p>
    <w:p w:rsidR="00312ECE" w:rsidRDefault="00312ECE">
      <w:pPr>
        <w:pStyle w:val="SingleTxt"/>
        <w:rPr>
          <w:rFonts w:hint="eastAsia"/>
        </w:rPr>
      </w:pPr>
      <w:r>
        <w:rPr>
          <w:rFonts w:hint="eastAsia"/>
        </w:rPr>
        <w:t>90．根据“普通教育”法，凡取得初级教育证书的人，有权在不受年龄限制的情况下开始接受</w:t>
      </w:r>
      <w:r>
        <w:rPr>
          <w:rFonts w:ascii="KaiTi_GB2312" w:eastAsia="KaiTi_GB2312" w:hint="eastAsia"/>
          <w:color w:val="0000FF"/>
        </w:rPr>
        <w:t>中等普通教育</w:t>
      </w:r>
      <w:r>
        <w:rPr>
          <w:rFonts w:hint="eastAsia"/>
        </w:rPr>
        <w:t>。在接受普通教育方面没有性别限制。国家及市级普通教育机构有权根据招收截止10年级学生的国家初级教育标准举行入学考试。</w:t>
      </w:r>
    </w:p>
    <w:p w:rsidR="00312ECE" w:rsidRDefault="00312ECE">
      <w:pPr>
        <w:pStyle w:val="SingleTxt"/>
        <w:rPr>
          <w:rFonts w:hint="eastAsia"/>
        </w:rPr>
      </w:pPr>
      <w:r>
        <w:rPr>
          <w:rFonts w:hint="eastAsia"/>
        </w:rPr>
        <w:t>91．</w:t>
      </w:r>
      <w:r>
        <w:tab/>
      </w:r>
      <w:r>
        <w:rPr>
          <w:rFonts w:hint="eastAsia"/>
        </w:rPr>
        <w:t>同样，妇女可学习</w:t>
      </w:r>
      <w:r>
        <w:rPr>
          <w:rFonts w:ascii="KaiTi_GB2312" w:eastAsia="KaiTi_GB2312" w:hint="eastAsia"/>
          <w:color w:val="0000FF"/>
        </w:rPr>
        <w:t>特殊教育课程</w:t>
      </w:r>
      <w:r>
        <w:rPr>
          <w:rFonts w:hint="eastAsia"/>
        </w:rPr>
        <w:t>，并且不受性别限制，这些特殊教育课程为身心发育失调以及有特殊需求的学生提供开发普通实用劳动技能的教育以及带有职业性质的教育。针对学生发育失调、他们的能力以及健康状况制订的特殊教育大纲由教育-医疗委员会执行。在2000-2001学年，在拉脱维亚特殊教育机构以及普通教育机构特殊班级学习的学生达10 250名，其中有3 933名女生，占总人数的38%。</w:t>
      </w:r>
    </w:p>
    <w:p w:rsidR="00312ECE" w:rsidRDefault="00312ECE">
      <w:pPr>
        <w:pStyle w:val="SingleTxt"/>
        <w:rPr>
          <w:rFonts w:hint="eastAsia"/>
        </w:rPr>
      </w:pPr>
      <w:r>
        <w:rPr>
          <w:rFonts w:hint="eastAsia"/>
        </w:rPr>
        <w:t>92．关于学生的</w:t>
      </w:r>
      <w:r>
        <w:rPr>
          <w:rFonts w:ascii="KaiTi_GB2312" w:eastAsia="KaiTi_GB2312" w:hint="eastAsia"/>
          <w:color w:val="0000FF"/>
        </w:rPr>
        <w:t>职业取向</w:t>
      </w:r>
      <w:r>
        <w:rPr>
          <w:rFonts w:hint="eastAsia"/>
        </w:rPr>
        <w:t>以及他们的职业选择，应当强调，择业中心自1987年起开始在拉脱维亚运作，为寻找最适合自己干的工作的择业者提供适当的帮助。在2000-2001学年，48 625名学生，其中有21 287（43%）名妇女，在职业教育机构学习。在2000-2001学年，拉脱维亚高等教育机构的入学学生达101 270人，其中的62 182人是女性（61%）。</w:t>
      </w:r>
    </w:p>
    <w:p w:rsidR="00312ECE" w:rsidRDefault="00312ECE">
      <w:pPr>
        <w:pStyle w:val="SingleTxt"/>
        <w:rPr>
          <w:rFonts w:hint="eastAsia"/>
        </w:rPr>
      </w:pPr>
      <w:r>
        <w:rPr>
          <w:rFonts w:hint="eastAsia"/>
        </w:rPr>
        <w:t>93．妇女在部门教育机构学习不受限制。因此，警察学校25%的学生是女性；女性占警察学院全日制学生的40%，半日制学生的27.5%。在这些机构没有单另为妇女制订教育大纲，唯一的区别是“普通体育”课，各门体育课分别制定了不同的要求，并且考虑到了女性的特殊生理特点。</w:t>
      </w:r>
    </w:p>
    <w:p w:rsidR="00312ECE" w:rsidRDefault="00312ECE">
      <w:pPr>
        <w:pStyle w:val="SingleTxt"/>
      </w:pPr>
      <w:r>
        <w:rPr>
          <w:rFonts w:hint="eastAsia"/>
        </w:rPr>
        <w:t>94．拉脱维亚妇女接受教育和取得文凭不受限制（详细情况参见下表）。</w:t>
      </w:r>
    </w:p>
    <w:p w:rsidR="00312ECE" w:rsidRDefault="00312ECE">
      <w:pPr>
        <w:pStyle w:val="SingleTxt"/>
      </w:pPr>
      <w:r>
        <w:br w:type="page"/>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8"/>
        <w:gridCol w:w="1468"/>
        <w:gridCol w:w="1364"/>
        <w:gridCol w:w="1221"/>
      </w:tblGrid>
      <w:tr w:rsidR="00312ECE">
        <w:tblPrEx>
          <w:tblCellMar>
            <w:top w:w="0" w:type="dxa"/>
            <w:bottom w:w="0" w:type="dxa"/>
          </w:tblCellMar>
        </w:tblPrEx>
        <w:tc>
          <w:tcPr>
            <w:tcW w:w="2251" w:type="pct"/>
          </w:tcPr>
          <w:p w:rsidR="00312ECE" w:rsidRDefault="00312ECE">
            <w:pPr>
              <w:spacing w:line="360" w:lineRule="atLeast"/>
              <w:rPr>
                <w:rFonts w:ascii="KaiTi_GB2312" w:eastAsia="KaiTi_GB2312" w:hint="eastAsia"/>
                <w:color w:val="0000FF"/>
                <w:sz w:val="18"/>
              </w:rPr>
            </w:pPr>
          </w:p>
        </w:tc>
        <w:tc>
          <w:tcPr>
            <w:tcW w:w="996"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学生人数</w:t>
            </w:r>
          </w:p>
        </w:tc>
        <w:tc>
          <w:tcPr>
            <w:tcW w:w="925"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女生人数</w:t>
            </w:r>
          </w:p>
        </w:tc>
        <w:tc>
          <w:tcPr>
            <w:tcW w:w="827"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女生人数%</w:t>
            </w:r>
          </w:p>
        </w:tc>
      </w:tr>
      <w:tr w:rsidR="00312ECE">
        <w:tblPrEx>
          <w:tblCellMar>
            <w:top w:w="0" w:type="dxa"/>
            <w:bottom w:w="0" w:type="dxa"/>
          </w:tblCellMar>
        </w:tblPrEx>
        <w:tc>
          <w:tcPr>
            <w:tcW w:w="5000" w:type="pct"/>
            <w:gridSpan w:val="4"/>
          </w:tcPr>
          <w:p w:rsidR="00312ECE" w:rsidRDefault="00312ECE">
            <w:pPr>
              <w:spacing w:line="360" w:lineRule="atLeast"/>
              <w:ind w:right="1701"/>
              <w:jc w:val="right"/>
              <w:rPr>
                <w:rFonts w:ascii="KaiTi_GB2312" w:eastAsia="KaiTi_GB2312" w:hint="eastAsia"/>
                <w:color w:val="0000FF"/>
                <w:sz w:val="18"/>
              </w:rPr>
            </w:pPr>
            <w:r>
              <w:rPr>
                <w:rFonts w:ascii="KaiTi_GB2312" w:eastAsia="KaiTi_GB2312" w:hint="eastAsia"/>
                <w:color w:val="0000FF"/>
                <w:sz w:val="18"/>
              </w:rPr>
              <w:t>2000-2001学年</w:t>
            </w:r>
          </w:p>
        </w:tc>
      </w:tr>
      <w:tr w:rsidR="00312ECE">
        <w:tblPrEx>
          <w:tblCellMar>
            <w:top w:w="0" w:type="dxa"/>
            <w:bottom w:w="0" w:type="dxa"/>
          </w:tblCellMar>
        </w:tblPrEx>
        <w:tc>
          <w:tcPr>
            <w:tcW w:w="2251" w:type="pct"/>
          </w:tcPr>
          <w:p w:rsidR="00312ECE" w:rsidRDefault="00312ECE">
            <w:pPr>
              <w:spacing w:line="360" w:lineRule="atLeast"/>
              <w:rPr>
                <w:rFonts w:hint="eastAsia"/>
                <w:sz w:val="18"/>
              </w:rPr>
            </w:pPr>
            <w:r>
              <w:rPr>
                <w:rFonts w:hint="eastAsia"/>
                <w:sz w:val="18"/>
              </w:rPr>
              <w:t>上综合（日间）学校</w:t>
            </w:r>
          </w:p>
        </w:tc>
        <w:tc>
          <w:tcPr>
            <w:tcW w:w="996" w:type="pct"/>
          </w:tcPr>
          <w:p w:rsidR="00312ECE" w:rsidRDefault="00312ECE">
            <w:pPr>
              <w:spacing w:line="360" w:lineRule="atLeast"/>
              <w:jc w:val="center"/>
              <w:rPr>
                <w:sz w:val="18"/>
              </w:rPr>
            </w:pPr>
            <w:r>
              <w:rPr>
                <w:sz w:val="18"/>
              </w:rPr>
              <w:t>344 822</w:t>
            </w:r>
          </w:p>
        </w:tc>
        <w:tc>
          <w:tcPr>
            <w:tcW w:w="925" w:type="pct"/>
          </w:tcPr>
          <w:p w:rsidR="00312ECE" w:rsidRDefault="00312ECE">
            <w:pPr>
              <w:spacing w:line="360" w:lineRule="atLeast"/>
              <w:jc w:val="center"/>
              <w:rPr>
                <w:sz w:val="18"/>
              </w:rPr>
            </w:pPr>
            <w:r>
              <w:rPr>
                <w:sz w:val="18"/>
              </w:rPr>
              <w:t>173 238</w:t>
            </w:r>
          </w:p>
        </w:tc>
        <w:tc>
          <w:tcPr>
            <w:tcW w:w="827" w:type="pct"/>
          </w:tcPr>
          <w:p w:rsidR="00312ECE" w:rsidRDefault="00312ECE">
            <w:pPr>
              <w:spacing w:line="360" w:lineRule="atLeast"/>
              <w:jc w:val="center"/>
              <w:rPr>
                <w:sz w:val="18"/>
              </w:rPr>
            </w:pPr>
            <w:r>
              <w:rPr>
                <w:sz w:val="18"/>
              </w:rPr>
              <w:t>50.24</w:t>
            </w:r>
          </w:p>
        </w:tc>
      </w:tr>
      <w:tr w:rsidR="00312ECE">
        <w:tblPrEx>
          <w:tblCellMar>
            <w:top w:w="0" w:type="dxa"/>
            <w:bottom w:w="0" w:type="dxa"/>
          </w:tblCellMar>
        </w:tblPrEx>
        <w:tc>
          <w:tcPr>
            <w:tcW w:w="5000" w:type="pct"/>
            <w:gridSpan w:val="4"/>
          </w:tcPr>
          <w:p w:rsidR="00312ECE" w:rsidRDefault="00312ECE">
            <w:pPr>
              <w:spacing w:line="360" w:lineRule="atLeast"/>
              <w:ind w:right="1701"/>
              <w:jc w:val="right"/>
              <w:rPr>
                <w:rFonts w:ascii="KaiTi_GB2312" w:eastAsia="KaiTi_GB2312" w:hint="eastAsia"/>
                <w:color w:val="0000FF"/>
                <w:sz w:val="18"/>
              </w:rPr>
            </w:pPr>
            <w:r>
              <w:rPr>
                <w:rFonts w:ascii="KaiTi_GB2312" w:eastAsia="KaiTi_GB2312" w:hint="eastAsia"/>
                <w:color w:val="0000FF"/>
                <w:sz w:val="18"/>
              </w:rPr>
              <w:t>1999-2000学年</w:t>
            </w:r>
          </w:p>
        </w:tc>
      </w:tr>
      <w:tr w:rsidR="00312ECE">
        <w:tblPrEx>
          <w:tblCellMar>
            <w:top w:w="0" w:type="dxa"/>
            <w:bottom w:w="0" w:type="dxa"/>
          </w:tblCellMar>
        </w:tblPrEx>
        <w:tc>
          <w:tcPr>
            <w:tcW w:w="2251" w:type="pct"/>
          </w:tcPr>
          <w:p w:rsidR="00312ECE" w:rsidRDefault="00312ECE">
            <w:pPr>
              <w:spacing w:line="360" w:lineRule="atLeast"/>
              <w:rPr>
                <w:rFonts w:hint="eastAsia"/>
                <w:sz w:val="18"/>
              </w:rPr>
            </w:pPr>
            <w:r>
              <w:rPr>
                <w:rFonts w:hint="eastAsia"/>
                <w:sz w:val="18"/>
              </w:rPr>
              <w:t>在综合（日间）学校上完1-4年级的学生人数</w:t>
            </w:r>
          </w:p>
        </w:tc>
        <w:tc>
          <w:tcPr>
            <w:tcW w:w="996" w:type="pct"/>
          </w:tcPr>
          <w:p w:rsidR="00312ECE" w:rsidRDefault="00312ECE">
            <w:pPr>
              <w:spacing w:line="360" w:lineRule="atLeast"/>
              <w:jc w:val="center"/>
              <w:rPr>
                <w:sz w:val="18"/>
              </w:rPr>
            </w:pPr>
            <w:r>
              <w:rPr>
                <w:sz w:val="18"/>
              </w:rPr>
              <w:t>133 039</w:t>
            </w:r>
          </w:p>
        </w:tc>
        <w:tc>
          <w:tcPr>
            <w:tcW w:w="925" w:type="pct"/>
          </w:tcPr>
          <w:p w:rsidR="00312ECE" w:rsidRDefault="00312ECE">
            <w:pPr>
              <w:spacing w:line="360" w:lineRule="atLeast"/>
              <w:jc w:val="center"/>
              <w:rPr>
                <w:sz w:val="18"/>
              </w:rPr>
            </w:pPr>
            <w:r>
              <w:rPr>
                <w:sz w:val="18"/>
              </w:rPr>
              <w:t>64 542</w:t>
            </w:r>
          </w:p>
        </w:tc>
        <w:tc>
          <w:tcPr>
            <w:tcW w:w="827" w:type="pct"/>
          </w:tcPr>
          <w:p w:rsidR="00312ECE" w:rsidRDefault="00312ECE">
            <w:pPr>
              <w:spacing w:line="360" w:lineRule="atLeast"/>
              <w:jc w:val="center"/>
              <w:rPr>
                <w:sz w:val="18"/>
              </w:rPr>
            </w:pPr>
            <w:r>
              <w:rPr>
                <w:sz w:val="18"/>
              </w:rPr>
              <w:t>48.51</w:t>
            </w:r>
          </w:p>
        </w:tc>
      </w:tr>
      <w:tr w:rsidR="00312ECE">
        <w:tblPrEx>
          <w:tblCellMar>
            <w:top w:w="0" w:type="dxa"/>
            <w:bottom w:w="0" w:type="dxa"/>
          </w:tblCellMar>
        </w:tblPrEx>
        <w:tc>
          <w:tcPr>
            <w:tcW w:w="2251" w:type="pct"/>
          </w:tcPr>
          <w:p w:rsidR="00312ECE" w:rsidRDefault="00312ECE">
            <w:pPr>
              <w:spacing w:line="360" w:lineRule="atLeast"/>
              <w:rPr>
                <w:rFonts w:hint="eastAsia"/>
                <w:sz w:val="18"/>
              </w:rPr>
            </w:pPr>
            <w:r>
              <w:rPr>
                <w:rFonts w:hint="eastAsia"/>
                <w:sz w:val="18"/>
              </w:rPr>
              <w:t>在综合（日间）学校上完5-9年级的学生人数</w:t>
            </w:r>
          </w:p>
        </w:tc>
        <w:tc>
          <w:tcPr>
            <w:tcW w:w="996" w:type="pct"/>
          </w:tcPr>
          <w:p w:rsidR="00312ECE" w:rsidRDefault="00312ECE">
            <w:pPr>
              <w:spacing w:line="360" w:lineRule="atLeast"/>
              <w:jc w:val="center"/>
              <w:rPr>
                <w:sz w:val="18"/>
              </w:rPr>
            </w:pPr>
            <w:r>
              <w:rPr>
                <w:sz w:val="18"/>
              </w:rPr>
              <w:t>159 601</w:t>
            </w:r>
          </w:p>
        </w:tc>
        <w:tc>
          <w:tcPr>
            <w:tcW w:w="925" w:type="pct"/>
          </w:tcPr>
          <w:p w:rsidR="00312ECE" w:rsidRDefault="00312ECE">
            <w:pPr>
              <w:spacing w:line="360" w:lineRule="atLeast"/>
              <w:jc w:val="center"/>
              <w:rPr>
                <w:sz w:val="18"/>
              </w:rPr>
            </w:pPr>
            <w:r>
              <w:rPr>
                <w:sz w:val="18"/>
              </w:rPr>
              <w:t>78 128</w:t>
            </w:r>
          </w:p>
        </w:tc>
        <w:tc>
          <w:tcPr>
            <w:tcW w:w="827" w:type="pct"/>
          </w:tcPr>
          <w:p w:rsidR="00312ECE" w:rsidRDefault="00312ECE">
            <w:pPr>
              <w:spacing w:line="360" w:lineRule="atLeast"/>
              <w:jc w:val="center"/>
              <w:rPr>
                <w:sz w:val="18"/>
              </w:rPr>
            </w:pPr>
            <w:r>
              <w:rPr>
                <w:sz w:val="18"/>
              </w:rPr>
              <w:t>48.95</w:t>
            </w:r>
          </w:p>
        </w:tc>
      </w:tr>
      <w:tr w:rsidR="00312ECE">
        <w:tblPrEx>
          <w:tblCellMar>
            <w:top w:w="0" w:type="dxa"/>
            <w:bottom w:w="0" w:type="dxa"/>
          </w:tblCellMar>
        </w:tblPrEx>
        <w:tc>
          <w:tcPr>
            <w:tcW w:w="2251" w:type="pct"/>
          </w:tcPr>
          <w:p w:rsidR="00312ECE" w:rsidRDefault="00312ECE">
            <w:pPr>
              <w:spacing w:line="360" w:lineRule="atLeast"/>
              <w:rPr>
                <w:rFonts w:hint="eastAsia"/>
                <w:sz w:val="18"/>
              </w:rPr>
            </w:pPr>
            <w:r>
              <w:rPr>
                <w:rFonts w:hint="eastAsia"/>
                <w:sz w:val="18"/>
              </w:rPr>
              <w:t>在综合（日间）学校上完10-12年级的学生人数</w:t>
            </w:r>
          </w:p>
        </w:tc>
        <w:tc>
          <w:tcPr>
            <w:tcW w:w="996" w:type="pct"/>
          </w:tcPr>
          <w:p w:rsidR="00312ECE" w:rsidRDefault="00312ECE">
            <w:pPr>
              <w:spacing w:line="360" w:lineRule="atLeast"/>
              <w:jc w:val="center"/>
              <w:rPr>
                <w:sz w:val="18"/>
              </w:rPr>
            </w:pPr>
            <w:r>
              <w:rPr>
                <w:sz w:val="18"/>
              </w:rPr>
              <w:t>341 788</w:t>
            </w:r>
          </w:p>
        </w:tc>
        <w:tc>
          <w:tcPr>
            <w:tcW w:w="925" w:type="pct"/>
          </w:tcPr>
          <w:p w:rsidR="00312ECE" w:rsidRDefault="00312ECE">
            <w:pPr>
              <w:spacing w:line="360" w:lineRule="atLeast"/>
              <w:jc w:val="center"/>
              <w:rPr>
                <w:sz w:val="18"/>
              </w:rPr>
            </w:pPr>
            <w:r>
              <w:rPr>
                <w:sz w:val="18"/>
              </w:rPr>
              <w:t>172 523</w:t>
            </w:r>
          </w:p>
        </w:tc>
        <w:tc>
          <w:tcPr>
            <w:tcW w:w="827" w:type="pct"/>
          </w:tcPr>
          <w:p w:rsidR="00312ECE" w:rsidRDefault="00312ECE">
            <w:pPr>
              <w:spacing w:line="360" w:lineRule="atLeast"/>
              <w:jc w:val="center"/>
              <w:rPr>
                <w:sz w:val="18"/>
              </w:rPr>
            </w:pPr>
            <w:r>
              <w:rPr>
                <w:sz w:val="18"/>
              </w:rPr>
              <w:t>50.48</w:t>
            </w:r>
          </w:p>
        </w:tc>
      </w:tr>
      <w:tr w:rsidR="00312ECE">
        <w:tblPrEx>
          <w:tblCellMar>
            <w:top w:w="0" w:type="dxa"/>
            <w:bottom w:w="0" w:type="dxa"/>
          </w:tblCellMar>
        </w:tblPrEx>
        <w:tc>
          <w:tcPr>
            <w:tcW w:w="2251" w:type="pct"/>
          </w:tcPr>
          <w:p w:rsidR="00312ECE" w:rsidRDefault="00312ECE">
            <w:pPr>
              <w:spacing w:line="360" w:lineRule="atLeast"/>
              <w:rPr>
                <w:rFonts w:hint="eastAsia"/>
                <w:sz w:val="18"/>
              </w:rPr>
            </w:pPr>
            <w:r>
              <w:rPr>
                <w:rFonts w:hint="eastAsia"/>
                <w:sz w:val="18"/>
              </w:rPr>
              <w:t>夜校（轮换上课）的毕业生人数</w:t>
            </w:r>
          </w:p>
        </w:tc>
        <w:tc>
          <w:tcPr>
            <w:tcW w:w="996" w:type="pct"/>
          </w:tcPr>
          <w:p w:rsidR="00312ECE" w:rsidRDefault="00312ECE">
            <w:pPr>
              <w:spacing w:line="360" w:lineRule="atLeast"/>
              <w:jc w:val="center"/>
              <w:rPr>
                <w:sz w:val="18"/>
              </w:rPr>
            </w:pPr>
            <w:r>
              <w:rPr>
                <w:sz w:val="18"/>
              </w:rPr>
              <w:t>17 765</w:t>
            </w:r>
          </w:p>
        </w:tc>
        <w:tc>
          <w:tcPr>
            <w:tcW w:w="925" w:type="pct"/>
          </w:tcPr>
          <w:p w:rsidR="00312ECE" w:rsidRDefault="00312ECE">
            <w:pPr>
              <w:spacing w:line="360" w:lineRule="atLeast"/>
              <w:jc w:val="center"/>
              <w:rPr>
                <w:sz w:val="18"/>
              </w:rPr>
            </w:pPr>
            <w:r>
              <w:rPr>
                <w:sz w:val="18"/>
              </w:rPr>
              <w:t>5 844</w:t>
            </w:r>
          </w:p>
        </w:tc>
        <w:tc>
          <w:tcPr>
            <w:tcW w:w="827" w:type="pct"/>
          </w:tcPr>
          <w:p w:rsidR="00312ECE" w:rsidRDefault="00312ECE">
            <w:pPr>
              <w:spacing w:line="360" w:lineRule="atLeast"/>
              <w:jc w:val="center"/>
              <w:rPr>
                <w:sz w:val="18"/>
              </w:rPr>
            </w:pPr>
            <w:r>
              <w:rPr>
                <w:sz w:val="18"/>
              </w:rPr>
              <w:t>49.67</w:t>
            </w:r>
          </w:p>
        </w:tc>
      </w:tr>
    </w:tbl>
    <w:p w:rsidR="00312ECE" w:rsidRDefault="00312ECE">
      <w:pPr>
        <w:pStyle w:val="SingleTxt"/>
      </w:pPr>
    </w:p>
    <w:p w:rsidR="00312ECE" w:rsidRDefault="00312ECE">
      <w:pPr>
        <w:pStyle w:val="SingleTxt"/>
        <w:rPr>
          <w:rFonts w:hint="eastAsia"/>
        </w:rPr>
      </w:pPr>
      <w:r>
        <w:rPr>
          <w:rFonts w:hint="eastAsia"/>
        </w:rPr>
        <w:t>95．在拉脱维亚接受</w:t>
      </w:r>
      <w:r>
        <w:rPr>
          <w:rFonts w:ascii="KaiTi_GB2312" w:eastAsia="KaiTi_GB2312" w:hint="eastAsia"/>
          <w:color w:val="0000FF"/>
        </w:rPr>
        <w:t>高等教育</w:t>
      </w:r>
      <w:r>
        <w:rPr>
          <w:rFonts w:hint="eastAsia"/>
        </w:rPr>
        <w:t>执行“高等教育机构”法的规定。该项法律规定，拉脱维亚全体公民和拥有拉脱维亚共和国签发的非公民护照的人，以及拥有永久居住证的人，有权在高等教育机构学习。高等教育机构的入学在国家统一考试的基础上按照入学程序进行。</w:t>
      </w:r>
    </w:p>
    <w:p w:rsidR="00312ECE" w:rsidRDefault="00312ECE">
      <w:pPr>
        <w:pStyle w:val="SingleTxt"/>
        <w:rPr>
          <w:rFonts w:hint="eastAsia"/>
        </w:rPr>
      </w:pPr>
      <w:r>
        <w:rPr>
          <w:rFonts w:hint="eastAsia"/>
        </w:rPr>
        <w:t>96．关于开始后期学习阶段的学习，对妇女没有做出歧视性规定。“高等教育法”规定可以开始后期学习阶段的学习，条件是有关学习大纲的前期阶段的考试已在另一个高等教育机构通过，或者另外在有关高等教育机构参加。</w:t>
      </w:r>
    </w:p>
    <w:p w:rsidR="00312ECE" w:rsidRDefault="00312ECE">
      <w:pPr>
        <w:pStyle w:val="SingleTxt"/>
        <w:rPr>
          <w:rFonts w:hint="eastAsia"/>
        </w:rPr>
      </w:pPr>
      <w:r>
        <w:rPr>
          <w:rFonts w:hint="eastAsia"/>
        </w:rPr>
        <w:t>97．在2000-2001学年，高等教育机构实施464个各类学习课程、166个学术研究课程、247个专业学习课程以及51个博士学习课程。考虑到由一些高等教育机构提供的相同学习课程，课程的总数是556个，其中499个在国立高等教育机构实施，57个在由法人提供资助的高等教育机构实施。近年来出现的一种趋势是参加专业学习课程的学生不断增加。2000年，在所有取得学位或资格的个人当中，有44%的人获得了专业资格证书。完成最高级别的学习后，取得硕士学位及专业资格的人不断增多。在上述课程方面，没有歧视妇女的迹象。</w:t>
      </w:r>
    </w:p>
    <w:p w:rsidR="00312ECE" w:rsidRDefault="00312ECE">
      <w:pPr>
        <w:pStyle w:val="SingleTxt"/>
        <w:rPr>
          <w:rFonts w:hint="eastAsia"/>
        </w:rPr>
      </w:pPr>
      <w:r>
        <w:rPr>
          <w:rFonts w:hint="eastAsia"/>
        </w:rPr>
        <w:t>98．拉脱维亚不存在男女生分开接受教育的现象，有效立法也没有这样的规定。因此，拉脱维亚没有不同质量的学校；男女生在利用校舍、设备及教职员工方面享有同等权利。由于高等教育机构的入学规定没有做出任何基于性别的入学限制规定，教育机构的入学根据竞争程序或者学生居住地的程序进行，女生可以上职业教育中心、学院及高等教育机构的任何专业。</w:t>
      </w:r>
    </w:p>
    <w:p w:rsidR="00312ECE" w:rsidRDefault="00312ECE">
      <w:pPr>
        <w:pStyle w:val="Single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教育机构为消除不利的陈规定型观念采取的措施</w:t>
      </w:r>
    </w:p>
    <w:p w:rsidR="00312ECE" w:rsidRDefault="00312ECE">
      <w:pPr>
        <w:pStyle w:val="SingleTxt"/>
        <w:rPr>
          <w:rFonts w:hint="eastAsia"/>
        </w:rPr>
      </w:pPr>
      <w:r>
        <w:rPr>
          <w:rFonts w:hint="eastAsia"/>
        </w:rPr>
        <w:t>99．普通及特殊学习课程的现有内容设想消除男女生陈规定型观念。教育和课程编制中心在国家基础教育标准“公民九年学习”及“中等学校政治和法律课程”学习标准以及各种学习标准框架内实施了一个项目，计划使学生在社会学习-公民学习过程中认识并理解有关的社会政治问题。课程也将侧重与妇女权利与义务有关的问题，在小学一级，更多地是向学生灌输知识，在中学的“政治和法律”课程中，将更加详细地讨论平等问题。目前，教授这些课程的教师在法律或社会科学领域分别获得了更高的资格或者接受过相关的高等教育。</w:t>
      </w:r>
    </w:p>
    <w:p w:rsidR="00312ECE" w:rsidRDefault="00312ECE">
      <w:pPr>
        <w:pStyle w:val="SingleTxt"/>
        <w:rPr>
          <w:rFonts w:hint="eastAsia"/>
        </w:rPr>
      </w:pPr>
      <w:r>
        <w:rPr>
          <w:rFonts w:hint="eastAsia"/>
        </w:rPr>
        <w:t>100.  此外，在2001-2002学年，拉脱维亚大学为学生提供了学习法律专业课程的机会，目的是也学习“所有人的权利”这门旨在为中学开设的学习课程的教学方法。</w:t>
      </w:r>
    </w:p>
    <w:p w:rsidR="00312ECE" w:rsidRDefault="00312ECE">
      <w:pPr>
        <w:pStyle w:val="SingleTxt"/>
        <w:rPr>
          <w:rFonts w:hint="eastAsia"/>
        </w:rPr>
      </w:pPr>
      <w:r>
        <w:rPr>
          <w:rFonts w:hint="eastAsia"/>
        </w:rPr>
        <w:t>101.  另外，教育和科学部考试与课程编制中心在发展新的学习内容以及开发儿童知识和技能测试系统的过程中，在拉脱维亚各学校实行了更加符合现状的各种创新举措。譬如，1994年制订了学习“健康研究课程”的指导方针。上述课程在中学已作为选修课程开设。这门课程在各学校的开设将对妇女自信心及个人稳定性的形成产生直接影响。拉脱维亚计划生育及性健康协会认为，有关性健康及计划生育的课程不应当作为选修课，而应当列为必修课（在普通教育机构和职业教育机构都是这样做）。拉脱维亚两性平等协会在它的评论意见中指出，职业教育机构、中等技术学校以及特殊教育机构没有开设“健康研究课程”，只有教师接受适当的培训并掌握必要的方法，这门课程才能加强妇女的自信和稳定。</w:t>
      </w:r>
    </w:p>
    <w:p w:rsidR="00312ECE" w:rsidRDefault="00312ECE">
      <w:pPr>
        <w:pStyle w:val="SingleTxt"/>
        <w:rPr>
          <w:rFonts w:hint="eastAsia"/>
        </w:rPr>
      </w:pPr>
      <w:r>
        <w:rPr>
          <w:rFonts w:hint="eastAsia"/>
        </w:rPr>
        <w:t>102.  关于消除在各级教育中对男女角色的陈规定型观念，部门内阁第462号“国家基础教育标准”（05.12.2000）条例规定，基础教育课程的主要任务之一，是使学生了解主要的自然和社会发展过程和道德伦理价值的形成，以保证拉脱维亚公民能够获得必要的民主知识及价值。同样，部长内阁第463号“国家普通中等教育标准”（05.12.2000）条例也确认，培养学生对自身和他人持积极而尊重的态度并以这种态度参与公民社会活动的能力是普通教育的主要任务之一。在职业教育领域，部长内阁第211号“国家职业中等教育标准”（27.06.2000）条例规定，培养学生对他人及国家持积极的态度是这类教育的主要目标之一，并且激励个人履行拉脱维亚公民义务的自信和能力。</w:t>
      </w:r>
    </w:p>
    <w:p w:rsidR="00312ECE" w:rsidRDefault="00312ECE">
      <w:pPr>
        <w:pStyle w:val="SingleTxt"/>
        <w:rPr>
          <w:rFonts w:hint="eastAsia"/>
        </w:rPr>
      </w:pPr>
      <w:r>
        <w:rPr>
          <w:rFonts w:hint="eastAsia"/>
        </w:rPr>
        <w:t>103.  拉脱维亚两性平等协会认为，教科书及各种材料反映了两性角色的不平衡，应加大这一领域的工作力度。</w:t>
      </w:r>
    </w:p>
    <w:p w:rsidR="00312ECE" w:rsidRDefault="00312ECE">
      <w:pPr>
        <w:pStyle w:val="SingleTxt"/>
        <w:rPr>
          <w:rFonts w:ascii="KaiTi_GB2312" w:eastAsia="KaiTi_GB2312" w:hint="eastAsia"/>
          <w:color w:val="0000FF"/>
        </w:rPr>
      </w:pPr>
      <w:r>
        <w:rPr>
          <w:rFonts w:ascii="KaiTi_GB2312" w:eastAsia="KaiTi_GB2312" w:hint="eastAsia"/>
          <w:color w:val="0000FF"/>
        </w:rPr>
        <w:t>领受学习和学生贷款的权利</w:t>
      </w:r>
    </w:p>
    <w:p w:rsidR="00312ECE" w:rsidRDefault="00312ECE">
      <w:pPr>
        <w:pStyle w:val="SingleTxt"/>
        <w:rPr>
          <w:rFonts w:hint="eastAsia"/>
        </w:rPr>
      </w:pPr>
      <w:r>
        <w:rPr>
          <w:rFonts w:hint="eastAsia"/>
        </w:rPr>
        <w:t>104.  根据宪法，国家提供免费初级教育及中等教育。同时，拉脱维亚的民办初等和中等教育机构有权向学生收取学费。国家和市级特殊教育机构所需要的资金由国家预算拨款提供。</w:t>
      </w:r>
    </w:p>
    <w:p w:rsidR="00312ECE" w:rsidRDefault="00312ECE">
      <w:pPr>
        <w:pStyle w:val="SingleTxt"/>
        <w:rPr>
          <w:rFonts w:hint="eastAsia"/>
        </w:rPr>
      </w:pPr>
      <w:r>
        <w:rPr>
          <w:rFonts w:hint="eastAsia"/>
        </w:rPr>
        <w:t>105.  凡自然人，无论其性别如何，都可进入高等教育机构学习，学费从国家预算中支出，但这样的待遇仅可享受一次。2000-2001学年，在拉脱维亚所有学生当中，靠国家预算拨款上学的学生占33%；由自然人或法人提供学费的学生占所有学生的66%。自费生的人数有增长的趋势。</w:t>
      </w:r>
    </w:p>
    <w:p w:rsidR="00312ECE" w:rsidRDefault="00312ECE">
      <w:pPr>
        <w:pStyle w:val="SingleTxt"/>
        <w:rPr>
          <w:rFonts w:hint="eastAsia"/>
        </w:rPr>
      </w:pPr>
      <w:r>
        <w:rPr>
          <w:rFonts w:hint="eastAsia"/>
        </w:rPr>
        <w:t>106.  1999年，学费占国家高等教育机构资金的21%。学费的高低取决于特定高等教育机构和课程的不同。</w:t>
      </w:r>
    </w:p>
    <w:p w:rsidR="00312ECE" w:rsidRDefault="00312ECE">
      <w:pPr>
        <w:pStyle w:val="SingleTxt"/>
        <w:rPr>
          <w:rFonts w:ascii="SimHei" w:eastAsia="SimHei" w:hint="eastAsia"/>
          <w:color w:val="FF0000"/>
        </w:rPr>
      </w:pPr>
      <w:r>
        <w:rPr>
          <w:rFonts w:ascii="SimHei" w:eastAsia="SimHei" w:hint="eastAsia"/>
          <w:color w:val="FF0000"/>
        </w:rPr>
        <w:t>拉脱维亚高等教育机构2000-2001学年的学费（拉脱维亚拉特）</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3"/>
        <w:gridCol w:w="1681"/>
        <w:gridCol w:w="1785"/>
        <w:gridCol w:w="1532"/>
      </w:tblGrid>
      <w:tr w:rsidR="00312ECE">
        <w:tblPrEx>
          <w:tblCellMar>
            <w:top w:w="0" w:type="dxa"/>
            <w:bottom w:w="0" w:type="dxa"/>
          </w:tblCellMar>
        </w:tblPrEx>
        <w:tc>
          <w:tcPr>
            <w:tcW w:w="1610" w:type="pct"/>
          </w:tcPr>
          <w:p w:rsidR="00312ECE" w:rsidRDefault="00312ECE">
            <w:pPr>
              <w:spacing w:line="360" w:lineRule="atLeast"/>
              <w:rPr>
                <w:rFonts w:ascii="KaiTi_GB2312" w:eastAsia="KaiTi_GB2312" w:hint="eastAsia"/>
                <w:color w:val="0000FF"/>
                <w:sz w:val="18"/>
              </w:rPr>
            </w:pPr>
          </w:p>
        </w:tc>
        <w:tc>
          <w:tcPr>
            <w:tcW w:w="1140"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学士课程</w:t>
            </w:r>
          </w:p>
        </w:tc>
        <w:tc>
          <w:tcPr>
            <w:tcW w:w="1211"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硕士课程</w:t>
            </w:r>
          </w:p>
        </w:tc>
        <w:tc>
          <w:tcPr>
            <w:tcW w:w="1039"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专业学习课程</w:t>
            </w:r>
          </w:p>
        </w:tc>
      </w:tr>
      <w:tr w:rsidR="00312ECE">
        <w:tblPrEx>
          <w:tblCellMar>
            <w:top w:w="0" w:type="dxa"/>
            <w:bottom w:w="0" w:type="dxa"/>
          </w:tblCellMar>
        </w:tblPrEx>
        <w:tc>
          <w:tcPr>
            <w:tcW w:w="1610" w:type="pct"/>
          </w:tcPr>
          <w:p w:rsidR="00312ECE" w:rsidRDefault="00312ECE">
            <w:pPr>
              <w:spacing w:line="360" w:lineRule="atLeast"/>
              <w:rPr>
                <w:rFonts w:hint="eastAsia"/>
                <w:sz w:val="18"/>
              </w:rPr>
            </w:pPr>
            <w:r>
              <w:rPr>
                <w:rFonts w:hint="eastAsia"/>
                <w:sz w:val="18"/>
              </w:rPr>
              <w:t>日间部（第一学年）</w:t>
            </w:r>
          </w:p>
          <w:p w:rsidR="00312ECE" w:rsidRDefault="00312ECE">
            <w:pPr>
              <w:spacing w:line="360" w:lineRule="atLeast"/>
              <w:rPr>
                <w:rFonts w:hint="eastAsia"/>
                <w:sz w:val="18"/>
              </w:rPr>
            </w:pPr>
            <w:r>
              <w:rPr>
                <w:rFonts w:hint="eastAsia"/>
                <w:sz w:val="18"/>
              </w:rPr>
              <w:t>（全日制学习）</w:t>
            </w:r>
          </w:p>
        </w:tc>
        <w:tc>
          <w:tcPr>
            <w:tcW w:w="1140" w:type="pct"/>
          </w:tcPr>
          <w:p w:rsidR="00312ECE" w:rsidRDefault="00312ECE">
            <w:pPr>
              <w:spacing w:line="360" w:lineRule="atLeast"/>
              <w:jc w:val="center"/>
              <w:rPr>
                <w:sz w:val="18"/>
              </w:rPr>
            </w:pPr>
            <w:r>
              <w:rPr>
                <w:sz w:val="18"/>
              </w:rPr>
              <w:t>100-1802</w:t>
            </w:r>
          </w:p>
        </w:tc>
        <w:tc>
          <w:tcPr>
            <w:tcW w:w="1211" w:type="pct"/>
          </w:tcPr>
          <w:p w:rsidR="00312ECE" w:rsidRDefault="00312ECE">
            <w:pPr>
              <w:spacing w:line="360" w:lineRule="atLeast"/>
              <w:jc w:val="center"/>
              <w:rPr>
                <w:sz w:val="18"/>
              </w:rPr>
            </w:pPr>
            <w:r>
              <w:rPr>
                <w:sz w:val="18"/>
              </w:rPr>
              <w:t>200-1200</w:t>
            </w:r>
          </w:p>
        </w:tc>
        <w:tc>
          <w:tcPr>
            <w:tcW w:w="1039" w:type="pct"/>
          </w:tcPr>
          <w:p w:rsidR="00312ECE" w:rsidRDefault="00312ECE">
            <w:pPr>
              <w:spacing w:line="360" w:lineRule="atLeast"/>
              <w:jc w:val="center"/>
              <w:rPr>
                <w:sz w:val="18"/>
              </w:rPr>
            </w:pPr>
            <w:r>
              <w:rPr>
                <w:sz w:val="18"/>
              </w:rPr>
              <w:t>50-1802</w:t>
            </w:r>
          </w:p>
        </w:tc>
      </w:tr>
      <w:tr w:rsidR="00312ECE">
        <w:tblPrEx>
          <w:tblCellMar>
            <w:top w:w="0" w:type="dxa"/>
            <w:bottom w:w="0" w:type="dxa"/>
          </w:tblCellMar>
        </w:tblPrEx>
        <w:tc>
          <w:tcPr>
            <w:tcW w:w="1610" w:type="pct"/>
          </w:tcPr>
          <w:p w:rsidR="00312ECE" w:rsidRDefault="00312ECE">
            <w:pPr>
              <w:spacing w:line="360" w:lineRule="atLeast"/>
              <w:rPr>
                <w:rFonts w:hint="eastAsia"/>
                <w:sz w:val="18"/>
              </w:rPr>
            </w:pPr>
            <w:r>
              <w:rPr>
                <w:rFonts w:hint="eastAsia"/>
                <w:sz w:val="18"/>
              </w:rPr>
              <w:t>晚间部（半日制学习）</w:t>
            </w:r>
          </w:p>
        </w:tc>
        <w:tc>
          <w:tcPr>
            <w:tcW w:w="1140" w:type="pct"/>
          </w:tcPr>
          <w:p w:rsidR="00312ECE" w:rsidRDefault="00312ECE">
            <w:pPr>
              <w:spacing w:line="360" w:lineRule="atLeast"/>
              <w:jc w:val="center"/>
              <w:rPr>
                <w:sz w:val="18"/>
              </w:rPr>
            </w:pPr>
            <w:r>
              <w:rPr>
                <w:sz w:val="18"/>
              </w:rPr>
              <w:t>380-413</w:t>
            </w:r>
          </w:p>
        </w:tc>
        <w:tc>
          <w:tcPr>
            <w:tcW w:w="1211" w:type="pct"/>
          </w:tcPr>
          <w:p w:rsidR="00312ECE" w:rsidRDefault="00312ECE">
            <w:pPr>
              <w:spacing w:line="360" w:lineRule="atLeast"/>
              <w:jc w:val="center"/>
              <w:rPr>
                <w:sz w:val="18"/>
              </w:rPr>
            </w:pPr>
            <w:r>
              <w:rPr>
                <w:sz w:val="18"/>
              </w:rPr>
              <w:t>60-900</w:t>
            </w:r>
          </w:p>
        </w:tc>
        <w:tc>
          <w:tcPr>
            <w:tcW w:w="1039" w:type="pct"/>
          </w:tcPr>
          <w:p w:rsidR="00312ECE" w:rsidRDefault="00312ECE">
            <w:pPr>
              <w:spacing w:line="360" w:lineRule="atLeast"/>
              <w:jc w:val="center"/>
              <w:rPr>
                <w:sz w:val="18"/>
              </w:rPr>
            </w:pPr>
            <w:r>
              <w:rPr>
                <w:sz w:val="18"/>
              </w:rPr>
              <w:t>160-900</w:t>
            </w:r>
          </w:p>
        </w:tc>
      </w:tr>
      <w:tr w:rsidR="00312ECE">
        <w:tblPrEx>
          <w:tblCellMar>
            <w:top w:w="0" w:type="dxa"/>
            <w:bottom w:w="0" w:type="dxa"/>
          </w:tblCellMar>
        </w:tblPrEx>
        <w:tc>
          <w:tcPr>
            <w:tcW w:w="1610" w:type="pct"/>
          </w:tcPr>
          <w:p w:rsidR="00312ECE" w:rsidRDefault="00312ECE">
            <w:pPr>
              <w:spacing w:line="360" w:lineRule="atLeast"/>
              <w:rPr>
                <w:rFonts w:hint="eastAsia"/>
                <w:sz w:val="18"/>
              </w:rPr>
            </w:pPr>
            <w:r>
              <w:rPr>
                <w:rFonts w:hint="eastAsia"/>
                <w:sz w:val="18"/>
              </w:rPr>
              <w:t>函授部（函授学习）</w:t>
            </w:r>
          </w:p>
        </w:tc>
        <w:tc>
          <w:tcPr>
            <w:tcW w:w="1140" w:type="pct"/>
          </w:tcPr>
          <w:p w:rsidR="00312ECE" w:rsidRDefault="00312ECE">
            <w:pPr>
              <w:spacing w:line="360" w:lineRule="atLeast"/>
              <w:jc w:val="center"/>
              <w:rPr>
                <w:sz w:val="18"/>
              </w:rPr>
            </w:pPr>
            <w:r>
              <w:rPr>
                <w:sz w:val="18"/>
              </w:rPr>
              <w:t>120-600</w:t>
            </w:r>
          </w:p>
        </w:tc>
        <w:tc>
          <w:tcPr>
            <w:tcW w:w="1211" w:type="pct"/>
          </w:tcPr>
          <w:p w:rsidR="00312ECE" w:rsidRDefault="00312ECE">
            <w:pPr>
              <w:spacing w:line="360" w:lineRule="atLeast"/>
              <w:jc w:val="center"/>
              <w:rPr>
                <w:sz w:val="18"/>
              </w:rPr>
            </w:pPr>
            <w:r>
              <w:rPr>
                <w:sz w:val="18"/>
              </w:rPr>
              <w:t>200-600</w:t>
            </w:r>
          </w:p>
        </w:tc>
        <w:tc>
          <w:tcPr>
            <w:tcW w:w="1039" w:type="pct"/>
          </w:tcPr>
          <w:p w:rsidR="00312ECE" w:rsidRDefault="00312ECE">
            <w:pPr>
              <w:spacing w:line="360" w:lineRule="atLeast"/>
              <w:jc w:val="center"/>
              <w:rPr>
                <w:sz w:val="18"/>
              </w:rPr>
            </w:pPr>
            <w:r>
              <w:rPr>
                <w:sz w:val="18"/>
              </w:rPr>
              <w:t>50-600</w:t>
            </w:r>
          </w:p>
        </w:tc>
      </w:tr>
    </w:tbl>
    <w:p w:rsidR="00312ECE" w:rsidRDefault="00312ECE">
      <w:pPr>
        <w:pStyle w:val="SingleTxt"/>
      </w:pPr>
    </w:p>
    <w:p w:rsidR="00312ECE" w:rsidRDefault="00312ECE">
      <w:pPr>
        <w:pStyle w:val="SingleTxt"/>
        <w:rPr>
          <w:rFonts w:hint="eastAsia"/>
        </w:rPr>
      </w:pPr>
      <w:r>
        <w:rPr>
          <w:rFonts w:hint="eastAsia"/>
        </w:rPr>
        <w:t>107.  拉脱维亚学生可以获得学习及学生贷款。学生贷款旨在满足学生的社会需求，而学习贷款旨在缴纳学费。发放贷款的程序遵照部长内阁“由国家担保从贷款机构的资源中发放、偿还及清偿学生贷款的程序”条例规定。这些贷款经两个自然人担保后由贷款机构发放；对于贫困家庭的学生，贷款在收到本地有关政府的担保件后发放。在发放上述贷款方面，没有与性别有关的限制。</w:t>
      </w:r>
    </w:p>
    <w:p w:rsidR="00312ECE" w:rsidRDefault="00312ECE">
      <w:pPr>
        <w:pStyle w:val="SingleTxt"/>
        <w:rPr>
          <w:rFonts w:ascii="KaiTi_GB2312" w:eastAsia="KaiTi_GB2312" w:hint="eastAsia"/>
          <w:color w:val="0000FF"/>
        </w:rPr>
      </w:pPr>
      <w:r>
        <w:rPr>
          <w:rFonts w:ascii="KaiTi_GB2312" w:eastAsia="KaiTi_GB2312" w:hint="eastAsia"/>
          <w:color w:val="0000FF"/>
        </w:rPr>
        <w:t>进修教育</w:t>
      </w:r>
    </w:p>
    <w:p w:rsidR="00312ECE" w:rsidRDefault="00312ECE">
      <w:pPr>
        <w:pStyle w:val="SingleTxt"/>
        <w:rPr>
          <w:rFonts w:hint="eastAsia"/>
        </w:rPr>
      </w:pPr>
      <w:r>
        <w:rPr>
          <w:rFonts w:hint="eastAsia"/>
        </w:rPr>
        <w:t>108.  “普通教育”法规定，人人享有在国家认可的所有学习课程方面接受教育及进修教育的同等权利。各级教育标准为学生继续接受教育及终身学习提供了可能。关于进修教育和接受教育的权利，拉脱维亚不存在性别差异。</w:t>
      </w:r>
    </w:p>
    <w:p w:rsidR="00312ECE" w:rsidRDefault="00312ECE">
      <w:pPr>
        <w:pStyle w:val="SingleTxt"/>
        <w:rPr>
          <w:rFonts w:hint="eastAsia"/>
        </w:rPr>
      </w:pPr>
      <w:r>
        <w:rPr>
          <w:rFonts w:hint="eastAsia"/>
        </w:rPr>
        <w:t>109.  拉脱维亚男子与妇女的知识水平没有差距（参见上表）。根据上表，女性接受高等教育的比例高于男子，在所有其他进修教育的层次上，男女人数基本相同。</w:t>
      </w:r>
    </w:p>
    <w:p w:rsidR="00312ECE" w:rsidRDefault="00312ECE">
      <w:pPr>
        <w:pStyle w:val="SingleTxt"/>
        <w:rPr>
          <w:rFonts w:ascii="SimHei" w:eastAsia="SimHei" w:hint="eastAsia"/>
          <w:color w:val="FF0000"/>
        </w:rPr>
      </w:pPr>
      <w:r>
        <w:rPr>
          <w:rFonts w:ascii="SimHei" w:eastAsia="SimHei" w:hint="eastAsia"/>
          <w:color w:val="FF0000"/>
        </w:rPr>
        <w:t>2000-2001学年</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4"/>
        <w:gridCol w:w="1470"/>
        <w:gridCol w:w="2267"/>
      </w:tblGrid>
      <w:tr w:rsidR="00312ECE">
        <w:tblPrEx>
          <w:tblCellMar>
            <w:top w:w="0" w:type="dxa"/>
            <w:bottom w:w="0" w:type="dxa"/>
          </w:tblCellMar>
        </w:tblPrEx>
        <w:tc>
          <w:tcPr>
            <w:tcW w:w="2465" w:type="pct"/>
          </w:tcPr>
          <w:p w:rsidR="00312ECE" w:rsidRDefault="00312ECE">
            <w:pPr>
              <w:spacing w:line="360" w:lineRule="atLeast"/>
              <w:rPr>
                <w:rFonts w:ascii="KaiTi_GB2312" w:eastAsia="KaiTi_GB2312" w:hint="eastAsia"/>
                <w:color w:val="0000FF"/>
                <w:sz w:val="18"/>
              </w:rPr>
            </w:pPr>
          </w:p>
        </w:tc>
        <w:tc>
          <w:tcPr>
            <w:tcW w:w="997"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学生人数</w:t>
            </w:r>
          </w:p>
        </w:tc>
        <w:tc>
          <w:tcPr>
            <w:tcW w:w="1538"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妇女（女生）所占比例</w:t>
            </w:r>
          </w:p>
        </w:tc>
      </w:tr>
      <w:tr w:rsidR="00312ECE">
        <w:tblPrEx>
          <w:tblCellMar>
            <w:top w:w="0" w:type="dxa"/>
            <w:bottom w:w="0" w:type="dxa"/>
          </w:tblCellMar>
        </w:tblPrEx>
        <w:tc>
          <w:tcPr>
            <w:tcW w:w="2465" w:type="pct"/>
          </w:tcPr>
          <w:p w:rsidR="00312ECE" w:rsidRDefault="00312ECE">
            <w:pPr>
              <w:spacing w:line="360" w:lineRule="atLeast"/>
              <w:rPr>
                <w:rFonts w:hint="eastAsia"/>
                <w:sz w:val="18"/>
              </w:rPr>
            </w:pPr>
            <w:r>
              <w:rPr>
                <w:rFonts w:hint="eastAsia"/>
                <w:sz w:val="18"/>
              </w:rPr>
              <w:t>特殊教育机构、综合教育机构的特殊班级</w:t>
            </w:r>
          </w:p>
        </w:tc>
        <w:tc>
          <w:tcPr>
            <w:tcW w:w="997" w:type="pct"/>
          </w:tcPr>
          <w:p w:rsidR="00312ECE" w:rsidRDefault="00312ECE">
            <w:pPr>
              <w:spacing w:line="360" w:lineRule="atLeast"/>
              <w:jc w:val="center"/>
              <w:rPr>
                <w:sz w:val="18"/>
              </w:rPr>
            </w:pPr>
            <w:r>
              <w:rPr>
                <w:sz w:val="18"/>
              </w:rPr>
              <w:t>10 250</w:t>
            </w:r>
          </w:p>
        </w:tc>
        <w:tc>
          <w:tcPr>
            <w:tcW w:w="1538" w:type="pct"/>
          </w:tcPr>
          <w:p w:rsidR="00312ECE" w:rsidRDefault="00312ECE">
            <w:pPr>
              <w:spacing w:line="360" w:lineRule="atLeast"/>
              <w:jc w:val="center"/>
              <w:rPr>
                <w:sz w:val="18"/>
              </w:rPr>
            </w:pPr>
            <w:r>
              <w:rPr>
                <w:sz w:val="18"/>
              </w:rPr>
              <w:t>3 933(38%)</w:t>
            </w:r>
          </w:p>
        </w:tc>
      </w:tr>
      <w:tr w:rsidR="00312ECE">
        <w:tblPrEx>
          <w:tblCellMar>
            <w:top w:w="0" w:type="dxa"/>
            <w:bottom w:w="0" w:type="dxa"/>
          </w:tblCellMar>
        </w:tblPrEx>
        <w:tc>
          <w:tcPr>
            <w:tcW w:w="2465" w:type="pct"/>
          </w:tcPr>
          <w:p w:rsidR="00312ECE" w:rsidRDefault="00312ECE">
            <w:pPr>
              <w:spacing w:line="360" w:lineRule="atLeast"/>
              <w:rPr>
                <w:rFonts w:hint="eastAsia"/>
                <w:sz w:val="18"/>
              </w:rPr>
            </w:pPr>
            <w:r>
              <w:rPr>
                <w:rFonts w:hint="eastAsia"/>
                <w:sz w:val="18"/>
              </w:rPr>
              <w:t>职业教育机构</w:t>
            </w:r>
          </w:p>
        </w:tc>
        <w:tc>
          <w:tcPr>
            <w:tcW w:w="997" w:type="pct"/>
          </w:tcPr>
          <w:p w:rsidR="00312ECE" w:rsidRDefault="00312ECE">
            <w:pPr>
              <w:spacing w:line="360" w:lineRule="atLeast"/>
              <w:jc w:val="center"/>
              <w:rPr>
                <w:sz w:val="18"/>
              </w:rPr>
            </w:pPr>
            <w:r>
              <w:rPr>
                <w:sz w:val="18"/>
              </w:rPr>
              <w:t>48 625</w:t>
            </w:r>
          </w:p>
        </w:tc>
        <w:tc>
          <w:tcPr>
            <w:tcW w:w="1538" w:type="pct"/>
          </w:tcPr>
          <w:p w:rsidR="00312ECE" w:rsidRDefault="00312ECE">
            <w:pPr>
              <w:spacing w:line="360" w:lineRule="atLeast"/>
              <w:jc w:val="center"/>
              <w:rPr>
                <w:sz w:val="18"/>
              </w:rPr>
            </w:pPr>
            <w:r>
              <w:rPr>
                <w:sz w:val="18"/>
              </w:rPr>
              <w:t>21 287(43%)</w:t>
            </w:r>
          </w:p>
        </w:tc>
      </w:tr>
      <w:tr w:rsidR="00312ECE">
        <w:tblPrEx>
          <w:tblCellMar>
            <w:top w:w="0" w:type="dxa"/>
            <w:bottom w:w="0" w:type="dxa"/>
          </w:tblCellMar>
        </w:tblPrEx>
        <w:tc>
          <w:tcPr>
            <w:tcW w:w="2465" w:type="pct"/>
          </w:tcPr>
          <w:p w:rsidR="00312ECE" w:rsidRDefault="00312ECE">
            <w:pPr>
              <w:spacing w:line="360" w:lineRule="atLeast"/>
              <w:rPr>
                <w:rFonts w:hint="eastAsia"/>
                <w:sz w:val="18"/>
              </w:rPr>
            </w:pPr>
            <w:r>
              <w:rPr>
                <w:rFonts w:hint="eastAsia"/>
                <w:sz w:val="18"/>
              </w:rPr>
              <w:t>高等教育机构</w:t>
            </w:r>
          </w:p>
        </w:tc>
        <w:tc>
          <w:tcPr>
            <w:tcW w:w="997" w:type="pct"/>
          </w:tcPr>
          <w:p w:rsidR="00312ECE" w:rsidRDefault="00312ECE">
            <w:pPr>
              <w:spacing w:line="360" w:lineRule="atLeast"/>
              <w:jc w:val="center"/>
              <w:rPr>
                <w:sz w:val="18"/>
              </w:rPr>
            </w:pPr>
            <w:r>
              <w:rPr>
                <w:sz w:val="18"/>
              </w:rPr>
              <w:t>101 270</w:t>
            </w:r>
          </w:p>
        </w:tc>
        <w:tc>
          <w:tcPr>
            <w:tcW w:w="1538" w:type="pct"/>
          </w:tcPr>
          <w:p w:rsidR="00312ECE" w:rsidRDefault="00312ECE">
            <w:pPr>
              <w:spacing w:line="360" w:lineRule="atLeast"/>
              <w:jc w:val="center"/>
              <w:rPr>
                <w:sz w:val="18"/>
              </w:rPr>
            </w:pPr>
            <w:r>
              <w:rPr>
                <w:sz w:val="18"/>
              </w:rPr>
              <w:t>62 182(61%)</w:t>
            </w:r>
          </w:p>
        </w:tc>
      </w:tr>
    </w:tbl>
    <w:p w:rsidR="00312ECE" w:rsidRDefault="00312ECE">
      <w:pPr>
        <w:pStyle w:val="SingleTxt"/>
      </w:pPr>
    </w:p>
    <w:p w:rsidR="00312ECE" w:rsidRDefault="00312ECE">
      <w:pPr>
        <w:pStyle w:val="SingleTxt"/>
        <w:rPr>
          <w:rFonts w:ascii="KaiTi_GB2312" w:eastAsia="KaiTi_GB2312" w:hint="eastAsia"/>
          <w:color w:val="0000FF"/>
        </w:rPr>
      </w:pPr>
      <w:r>
        <w:br w:type="page"/>
      </w:r>
      <w:r>
        <w:rPr>
          <w:rFonts w:ascii="KaiTi_GB2312" w:eastAsia="KaiTi_GB2312" w:hint="eastAsia"/>
          <w:color w:val="0000FF"/>
        </w:rPr>
        <w:t>辍学者的教育</w:t>
      </w:r>
    </w:p>
    <w:p w:rsidR="00312ECE" w:rsidRDefault="00312ECE">
      <w:pPr>
        <w:pStyle w:val="SingleTxt"/>
        <w:rPr>
          <w:rFonts w:hint="eastAsia"/>
        </w:rPr>
      </w:pPr>
      <w:r>
        <w:rPr>
          <w:rFonts w:hint="eastAsia"/>
        </w:rPr>
        <w:t>110.  拉脱维亚没有为未能毕业或者辍学的女生制定特殊的学习课程。成年人可在夜校接受或者完成初级教育或者接受中等教育。2000-2001学年，拉脱维亚有14 996名学生上了普通教育夜校（轮换学校），其中有7 147名女生；在上述所有学生当中，37名学生（14名女生　）上1-4年级；1 943名学生上5-9年级，其中有657名女生；13 016名学生上10-12年级，其中包括6 476名女生。</w:t>
      </w:r>
    </w:p>
    <w:p w:rsidR="00312ECE" w:rsidRDefault="00312ECE">
      <w:pPr>
        <w:pStyle w:val="SingleTxt"/>
        <w:rPr>
          <w:rFonts w:hint="eastAsia"/>
        </w:rPr>
      </w:pPr>
      <w:r>
        <w:rPr>
          <w:rFonts w:hint="eastAsia"/>
        </w:rPr>
        <w:t>111.  1999-2000学年，9 572名学生离开普通教育日间学校（1-12年级），其中有4 152名女生。学生离开职业教育机构的主要原因有：学生转学到其他学校（834人），生病（199人），学业成绩差（1 996人），未能在教育机构入学（1292人），居住地改变（109人），家庭原因（968人）以及其他原因（1 287人）。</w:t>
      </w:r>
    </w:p>
    <w:p w:rsidR="00312ECE" w:rsidRDefault="00312ECE">
      <w:pPr>
        <w:pStyle w:val="SingleTxt"/>
        <w:rPr>
          <w:rFonts w:ascii="KaiTi_GB2312" w:eastAsia="KaiTi_GB2312" w:hint="eastAsia"/>
          <w:color w:val="0000FF"/>
        </w:rPr>
      </w:pPr>
      <w:r>
        <w:rPr>
          <w:rFonts w:ascii="KaiTi_GB2312" w:eastAsia="KaiTi_GB2312" w:hint="eastAsia"/>
          <w:color w:val="0000FF"/>
        </w:rPr>
        <w:t>参加体育活动的权利</w:t>
      </w:r>
    </w:p>
    <w:p w:rsidR="00312ECE" w:rsidRDefault="00312ECE">
      <w:pPr>
        <w:pStyle w:val="SingleTxt"/>
        <w:rPr>
          <w:rFonts w:hint="eastAsia"/>
        </w:rPr>
      </w:pPr>
      <w:r>
        <w:rPr>
          <w:rFonts w:hint="eastAsia"/>
        </w:rPr>
        <w:t>112.  在拉脱维亚，根据教育机构实施的教育大纲，人人都有积极参加运动及体育训练课程的权利。根据部长内阁的制订的法规，体育运动被列为国家各级初级教育、普通中等教育以及职业教育标准的必修内容。</w:t>
      </w:r>
    </w:p>
    <w:p w:rsidR="00312ECE" w:rsidRDefault="00312ECE">
      <w:pPr>
        <w:pStyle w:val="SingleTxt"/>
        <w:rPr>
          <w:rFonts w:hint="eastAsia"/>
        </w:rPr>
      </w:pPr>
      <w:r>
        <w:rPr>
          <w:rFonts w:hint="eastAsia"/>
        </w:rPr>
        <w:t>113.  男女生享有参加运动及体育活动的同等机会。2001年6月5日由部长内阁批准的“运动”法草案没有作出可能与性别歧视有关的任何限制性规定。</w:t>
      </w:r>
    </w:p>
    <w:p w:rsidR="00312ECE" w:rsidRDefault="00312ECE">
      <w:pPr>
        <w:pStyle w:val="SingleTxt"/>
        <w:rPr>
          <w:rFonts w:ascii="KaiTi_GB2312" w:eastAsia="KaiTi_GB2312" w:hint="eastAsia"/>
          <w:color w:val="0000FF"/>
        </w:rPr>
      </w:pPr>
      <w:r>
        <w:rPr>
          <w:rFonts w:ascii="KaiTi_GB2312" w:eastAsia="KaiTi_GB2312" w:hint="eastAsia"/>
          <w:color w:val="0000FF"/>
        </w:rPr>
        <w:t>获取家庭健康问题资料的权利</w:t>
      </w:r>
    </w:p>
    <w:p w:rsidR="00312ECE" w:rsidRDefault="00312ECE">
      <w:pPr>
        <w:pStyle w:val="SingleTxt"/>
        <w:rPr>
          <w:rFonts w:hint="eastAsia"/>
        </w:rPr>
      </w:pPr>
      <w:r>
        <w:rPr>
          <w:rFonts w:hint="eastAsia"/>
        </w:rPr>
        <w:t>114.  “健康研究”课程以及各级教育标准规定的普通教育课程都要讲授家庭健康问题。</w:t>
      </w:r>
    </w:p>
    <w:p w:rsidR="00312ECE" w:rsidRDefault="00312ECE">
      <w:pPr>
        <w:pStyle w:val="SingleTxt"/>
        <w:rPr>
          <w:rFonts w:hint="eastAsia"/>
        </w:rPr>
      </w:pPr>
      <w:r>
        <w:rPr>
          <w:rFonts w:hint="eastAsia"/>
        </w:rPr>
        <w:t>115.  健康促进中心、国家家庭保健中心、拉脱维亚计划生育及性健康协会负责提供家庭保健信息，保证家庭福利和实行计划生育。“人口的性健康及生殖健康”法已经获得通过，并于2002年7月1日生效。</w:t>
      </w:r>
    </w:p>
    <w:p w:rsidR="00312ECE" w:rsidRDefault="00312ECE">
      <w:pPr>
        <w:pStyle w:val="SingleTxt"/>
        <w:rPr>
          <w:rFonts w:hint="eastAsia"/>
        </w:rPr>
      </w:pPr>
      <w:r>
        <w:rPr>
          <w:rFonts w:hint="eastAsia"/>
        </w:rPr>
        <w:t>116.  里加市妇产医院为加强家庭和刺激出生率举办了多项活动，如开设家庭分娩、婴儿发育和营养以及孕妇家庭关系实用课程及讲座。妇产医院开设了一家母亲学校，越来越多的人参加了该校的活动。一名注册男助产士、新生儿科学专家及一名家庭关系顾问负责授课。</w:t>
      </w:r>
    </w:p>
    <w:p w:rsidR="00312ECE" w:rsidRDefault="00312ECE">
      <w:pPr>
        <w:pStyle w:val="SingleTxt"/>
        <w:rPr>
          <w:rFonts w:hint="eastAsia"/>
        </w:rPr>
      </w:pPr>
      <w:r>
        <w:rPr>
          <w:rFonts w:hint="eastAsia"/>
        </w:rPr>
        <w:t>117.  里加市妇产医院与健康促进中心联手拍摄了两部家庭教育影片（《圣诞节的奇迹》以及《必经之路》。为怀孕期间的妇女提供了妈妈日记：年轻的妈妈和照料孕妇的医务人员都喜欢阅读。一家妇女保健机构已经开业，它的主要目的是为孕妇及其家庭成员提供教育。</w:t>
      </w:r>
    </w:p>
    <w:p w:rsidR="00312ECE" w:rsidRDefault="00312ECE">
      <w:pPr>
        <w:pStyle w:val="SingleTxt"/>
        <w:rPr>
          <w:rFonts w:hint="eastAsia"/>
        </w:rPr>
      </w:pPr>
      <w:r>
        <w:rPr>
          <w:rFonts w:hint="eastAsia"/>
        </w:rPr>
        <w:t>118.  与妇女权利机构合作举办了计划生育讲座及实用课程。另外与非政府组织开展了合作（譬如，利瓦尼的“白房子”），并举办了计划生育讲座。联合国人力资源基金与拉脱维亚计划生育及妇女保健协会合作实施了一个项目，名为“在促进生殖健康领域的两性平等方面加强协调”。福利部成立了一个促进母乳喂养特设协会，在这一领域获得了相当的成功。</w:t>
      </w:r>
    </w:p>
    <w:p w:rsidR="00312ECE" w:rsidRDefault="00312ECE">
      <w:pPr>
        <w:pStyle w:val="SingleTxt"/>
        <w:spacing w:after="120"/>
        <w:rPr>
          <w:rFonts w:hint="eastAsia"/>
        </w:rPr>
      </w:pPr>
      <w:r>
        <w:rPr>
          <w:rFonts w:hint="eastAsia"/>
        </w:rPr>
        <w:t>119.  国家家庭保健中心成立了一个特别医生小组（妇科学家、男科学家、遗传学专家、精神治疗医师、性科学家、实验专家、诊断学专家、免疫学家），负责不育家庭的治疗和康复。不育家庭的检查和康复算法已经拟定。已经开发出分析男女不育症的软件。在性传染及皮肤病中心的配合下，就防止性传染疾病为家庭医生开设了一系列讲座。</w:t>
      </w:r>
    </w:p>
    <w:p w:rsidR="00312ECE" w:rsidRDefault="00312ECE">
      <w:pPr>
        <w:pStyle w:val="SingleTxt"/>
        <w:spacing w:after="120"/>
        <w:rPr>
          <w:rFonts w:ascii="SimHei" w:eastAsia="SimHei" w:hint="eastAsia"/>
          <w:color w:val="FF0000"/>
        </w:rPr>
      </w:pPr>
      <w:r>
        <w:rPr>
          <w:rFonts w:ascii="SimHei" w:eastAsia="SimHei" w:hint="eastAsia"/>
          <w:color w:val="FF0000"/>
        </w:rPr>
        <w:t>第11条</w:t>
      </w:r>
    </w:p>
    <w:p w:rsidR="00312ECE" w:rsidRDefault="00312ECE">
      <w:pPr>
        <w:pStyle w:val="SingleTxt"/>
        <w:spacing w:after="120"/>
        <w:rPr>
          <w:rFonts w:hint="eastAsia"/>
        </w:rPr>
      </w:pPr>
      <w:r>
        <w:rPr>
          <w:rFonts w:hint="eastAsia"/>
        </w:rPr>
        <w:t>120.  拉脱维亚宪法保障每个人根据个人能力及资格自由选择职业和工作的权利。宪法也包括禁止强迫性劳动。</w:t>
      </w:r>
    </w:p>
    <w:p w:rsidR="00312ECE" w:rsidRDefault="00312ECE">
      <w:pPr>
        <w:pStyle w:val="SingleTxt"/>
        <w:spacing w:after="120"/>
        <w:rPr>
          <w:rFonts w:ascii="KaiTi_GB2312" w:eastAsia="KaiTi_GB2312" w:hint="eastAsia"/>
          <w:color w:val="0000FF"/>
        </w:rPr>
      </w:pPr>
      <w:r>
        <w:rPr>
          <w:rFonts w:ascii="KaiTi_GB2312" w:eastAsia="KaiTi_GB2312" w:hint="eastAsia"/>
          <w:color w:val="0000FF"/>
        </w:rPr>
        <w:t>工作权利；禁止劳动关系方面的歧视</w:t>
      </w:r>
    </w:p>
    <w:p w:rsidR="00312ECE" w:rsidRDefault="00312ECE">
      <w:pPr>
        <w:pStyle w:val="SingleTxt"/>
        <w:spacing w:after="120"/>
        <w:rPr>
          <w:rFonts w:hint="eastAsia"/>
        </w:rPr>
      </w:pPr>
      <w:r>
        <w:rPr>
          <w:rFonts w:hint="eastAsia"/>
        </w:rPr>
        <w:t>121.  在拉脱维亚，工作权利作为不可剥夺的权利对妇女来说得到了同男子一样的保障。《拉脱维亚劳工法典》第1条规定，“在拉脱维亚共和国，自然人无论其种族、肤色、性别、年龄、宗教、政治或其他信仰、民族或社会血统以及经济状况如何，在劳动关系方面保证享有平等。”</w:t>
      </w:r>
    </w:p>
    <w:p w:rsidR="00312ECE" w:rsidRDefault="00312ECE">
      <w:pPr>
        <w:pStyle w:val="SingleTxt"/>
        <w:spacing w:after="120"/>
        <w:rPr>
          <w:rFonts w:hint="eastAsia"/>
        </w:rPr>
      </w:pPr>
      <w:r>
        <w:rPr>
          <w:rFonts w:hint="eastAsia"/>
        </w:rPr>
        <w:t>122.  同样，《劳工法》</w:t>
      </w:r>
      <w:r>
        <w:rPr>
          <w:rStyle w:val="FootnoteReference"/>
        </w:rPr>
        <w:footnoteReference w:id="3"/>
      </w:r>
      <w:r>
        <w:t xml:space="preserve"> </w:t>
      </w:r>
      <w:r>
        <w:rPr>
          <w:rFonts w:hint="eastAsia"/>
        </w:rPr>
        <w:t>规定，人人享有同等的工作权利，对健康没有危害的公平、安全工作条件以及公平的工作报酬。根据《劳工法》，这些权利应当不受直接或间接歧视地受到保障，不考虑其种族、肤色、性别、年龄、宗教、政治或其他信仰、民族或社会血统、经济状况或家庭地位或者其他情况。为保障这些权利，也禁止处罚雇员，或者以其他任何方式直接或间接为该人带来不利后果，原因是雇员在劳动关系的框架内以许可的方式行使其权利。</w:t>
      </w:r>
    </w:p>
    <w:p w:rsidR="00312ECE" w:rsidRDefault="00312ECE">
      <w:pPr>
        <w:pStyle w:val="SingleTxt"/>
        <w:spacing w:after="120"/>
        <w:rPr>
          <w:rFonts w:hint="eastAsia"/>
        </w:rPr>
      </w:pPr>
      <w:r>
        <w:rPr>
          <w:rFonts w:hint="eastAsia"/>
        </w:rPr>
        <w:t>123.  违反平等及不歧视原则的行为可能最常发生在确定就业关系的阶段。为了防止这一点，《劳工法典》规定，不得对权利进行直接或间接限制，也不得按种族、肤色、性别、年龄、宗教、政治或其他信仰、民族或社会血统以及经济状况确定直接或间接特权，但法律及其他规范性法律规定的限制及特权除外。</w:t>
      </w:r>
    </w:p>
    <w:p w:rsidR="00312ECE" w:rsidRDefault="00312ECE">
      <w:pPr>
        <w:pStyle w:val="SingleTxt"/>
        <w:spacing w:after="120"/>
        <w:rPr>
          <w:rFonts w:hint="eastAsia"/>
        </w:rPr>
      </w:pPr>
      <w:r>
        <w:rPr>
          <w:rFonts w:hint="eastAsia"/>
        </w:rPr>
        <w:t>124.  《劳工法》还涉及了不平等待遇问题，禁止在确定就业关系时以及就业关系存在期间以性别为由给予不平等待遇，特别是在提拨雇员，确定工作条件、工作报酬或职业培训，以及在中止就业合同时给予不平等待遇。该项法律也对间接歧视的情况做出了规定，即明显的中性的条款、标准或做法对同一性别的一大部分人造成不利后果的情况，除非这类条款、标准或做法既得当又必要，并且根据与性别无关的客观情况具有正当理由。根据这项法律的规定，与雇员性别有关的待遇允许有差别，但条件是属于某个特定性别是完成相关任务或从事相关职业的客观及正当前提条件。除此之外，这项法律还规定，如果发生纠纷，雇员提出可能是以性别为由对他实施直接或间接歧视的情况，雇主的义务是证明差别待遇依据的是与雇员的性别无关的客观情况，或者属于特定性别是完成有关任务或从事有关职业的客观及正当前提条件。</w:t>
      </w:r>
    </w:p>
    <w:p w:rsidR="00312ECE" w:rsidRDefault="00312ECE">
      <w:pPr>
        <w:pStyle w:val="SingleTxt"/>
        <w:rPr>
          <w:rFonts w:hint="eastAsia"/>
        </w:rPr>
      </w:pPr>
      <w:r>
        <w:rPr>
          <w:rFonts w:hint="eastAsia"/>
        </w:rPr>
        <w:t>125.  《劳工法典》在遴选雇员的标准方面未做出规定。《劳工法》包括禁止在遴选雇员时实施性别歧视，并且规定，广告招聘不得只招聘男子或女子，但下述情况除外，即属于某个特定性别是完成有关任务或从事有关职业的客观及正当前提条件。不过，大众媒体上的招聘广告对应聘者的性别仍十分看重。拉脱维亚两性平等协会在它的评论意见中指出，尽管现行法律规定禁止性别歧视，但调查和研究显示，有些雇主不愿雇用已作了母亲，孩子尚小或者有几个孩子的妇女，特别是在她们休完育儿长假后。</w:t>
      </w:r>
    </w:p>
    <w:p w:rsidR="00312ECE" w:rsidRDefault="00312ECE">
      <w:pPr>
        <w:pStyle w:val="SingleTxt"/>
        <w:rPr>
          <w:rFonts w:hint="eastAsia"/>
        </w:rPr>
      </w:pPr>
      <w:r>
        <w:rPr>
          <w:rFonts w:hint="eastAsia"/>
        </w:rPr>
        <w:t>126.  如果在确立就业关系后，雇主违反了禁止不平等待遇的规定，申请人有权根据《劳工法》要求给予相关的赔偿。如果发生纠纷，赔偿的数额由法院酬情确定。如果就业关系因违反禁止不平等待遇的规定未能确立，申请人无权要求强行确立这些关系。拉脱维亚两性平等协会指出，在拉脱维亚同其他国家一样，难以对性别歧视这一事实作出证明，原因是性别歧视可能是隐性歧视并且基于个人的性别和年龄。该协会进一步指出，在这种情况下，可以向国家人权事务处或者国家劳动检查局提出个人申请。该协会认为，缺乏信息以及解决问题的快速有效机制是这类歧视的主要原因。</w:t>
      </w:r>
    </w:p>
    <w:p w:rsidR="00312ECE" w:rsidRDefault="00312ECE">
      <w:pPr>
        <w:pStyle w:val="SingleTxt"/>
        <w:rPr>
          <w:rFonts w:hint="eastAsia"/>
        </w:rPr>
      </w:pPr>
      <w:r>
        <w:rPr>
          <w:rFonts w:hint="eastAsia"/>
        </w:rPr>
        <w:t>127.  如果在就业领域侵害妇女的权利，受害人有权根据民事诉讼程序在法院寻求补救程序。根据《民事诉讼法》，一切拥有完全法律行为能力的成年自然人或法人都可要求法院保护其受到侵害的民事权利。关于违反性别平等的原则，国家法院有两种裁决。在一种情况下，法院参照《公约》、《宪法》和《劳工法典》得出结论，认为以某人是妇女因而从事监狱看守工作身体上吃不消为由而不雇用她违反申请人自由选择职业及就业地点的权利。在另外一种情况下，法院的结论是，妇女与男子从事同样的工作，其固定薪资与男子相比较低，这与禁止歧视以及同工同酬的权利不一致。法院的这种做法表明，在劳动关系这种重要领域的性别平等不仅由法律保障，而且也要在实践中予以保证，从而保证切实落实上述原则。</w:t>
      </w:r>
    </w:p>
    <w:p w:rsidR="00312ECE" w:rsidRDefault="00312ECE">
      <w:pPr>
        <w:pStyle w:val="SingleTxt"/>
        <w:rPr>
          <w:rFonts w:hint="eastAsia"/>
        </w:rPr>
      </w:pPr>
      <w:r>
        <w:rPr>
          <w:rFonts w:hint="eastAsia"/>
        </w:rPr>
        <w:t>128.  根据国家人权办公室提交的资料，就性别歧视的明确案件向人权办公室提出的申诉十分少（2000年有4次申诉，2001年有2次申诉），但在这方面通常会提出其他申诉，譬如，就公平工作条件及社会保障的权利提出的申诉或者与儿童权利有关的申诉。</w:t>
      </w:r>
    </w:p>
    <w:p w:rsidR="00312ECE" w:rsidRDefault="00312ECE">
      <w:pPr>
        <w:pStyle w:val="SingleTxt"/>
        <w:rPr>
          <w:rFonts w:ascii="KaiTi_GB2312" w:eastAsia="KaiTi_GB2312" w:hint="eastAsia"/>
          <w:color w:val="0000FF"/>
        </w:rPr>
      </w:pPr>
      <w:r>
        <w:rPr>
          <w:rFonts w:ascii="KaiTi_GB2312" w:eastAsia="KaiTi_GB2312" w:hint="eastAsia"/>
          <w:color w:val="0000FF"/>
        </w:rPr>
        <w:t>自由选择职业及就业的权利</w:t>
      </w:r>
    </w:p>
    <w:p w:rsidR="00312ECE" w:rsidRDefault="00312ECE">
      <w:pPr>
        <w:pStyle w:val="SingleTxt"/>
        <w:rPr>
          <w:rFonts w:hint="eastAsia"/>
        </w:rPr>
      </w:pPr>
      <w:r>
        <w:rPr>
          <w:rFonts w:hint="eastAsia"/>
        </w:rPr>
        <w:t>129.  在拉脱维亚，在任何人自由选择职业及就业方面，没有性别限制。如上所述，自由选择职业由于没有对职业教育施加性别限制而得到了保证。在遴选雇员时禁止采取不平等态度的上述规定也适用于自由选择就业。</w:t>
      </w:r>
    </w:p>
    <w:p w:rsidR="00312ECE" w:rsidRDefault="00312ECE">
      <w:pPr>
        <w:pStyle w:val="SingleTxt"/>
        <w:rPr>
          <w:rFonts w:hint="eastAsia"/>
        </w:rPr>
      </w:pPr>
      <w:r>
        <w:rPr>
          <w:rFonts w:hint="eastAsia"/>
        </w:rPr>
        <w:t>130.  拉脱维亚立法没有对妇女与男子在职业晋升方面的差别做出规定。职业选择不以性别为由受到限制，对职业选择的管理遵循禁止不平等待遇的原则。同样，“公务员制度”法确定了检验申请人是否适合公务员职位的程序，并且确认了不包括以性别为由实施的歧视的规定。公务员的权利包括申请最高资格的公务员职位空缺招聘程序，以及为获取履行公职所必备的知识和技能而参加有关课程。</w:t>
      </w:r>
    </w:p>
    <w:p w:rsidR="00312ECE" w:rsidRDefault="00312ECE">
      <w:pPr>
        <w:pStyle w:val="SingleTxt"/>
        <w:rPr>
          <w:rFonts w:hint="eastAsia"/>
        </w:rPr>
      </w:pPr>
      <w:r>
        <w:rPr>
          <w:rFonts w:hint="eastAsia"/>
        </w:rPr>
        <w:t>131.  根据国家公务员制度委员会提供的资料，自2000年12月31日，男女在国家公职部门的比例分别是40%和60%，拉脱维亚自实行公务员制度以来，男女的比例差别很大。</w:t>
      </w:r>
    </w:p>
    <w:p w:rsidR="00312ECE" w:rsidRDefault="00312ECE">
      <w:pPr>
        <w:pStyle w:val="SingleTxt"/>
        <w:rPr>
          <w:rFonts w:hint="eastAsia"/>
        </w:rPr>
      </w:pPr>
      <w:r>
        <w:rPr>
          <w:rFonts w:hint="eastAsia"/>
        </w:rPr>
        <w:t>132.  按职位对男女比例进行分析得出的结论是，尽管妇女就任高级职位的比例有增长的趋势，但高级职称仍然只授予男子。譬如，与1999年12月31日的情况相比，妇女担任国务秘书职位的比例上升，从1999年的16%（2人）上升到2000年的27%（3人）。妇女担任副国务秘书的比例仍然基本未变，2000年是36%（10人），1999年是37%。妇女担任公共管理机构经理职位（包括区域办事机构的经理职位）的比例上升。2000年年底，妇女担任机构经理的比例是53%（109人），也就是说比1999年年底增长了6%。与1997年年底的情况相比，妇女担任机构经理职位的比例增加了2.5倍。需要提及的是，关于男女的比例及发展趋势，其重要原因是妇女被吸收到国家公职部门，工作和收入稳定，有社会保障，而公职部门男子人数减少的原因是公职部门的薪酬与私营部门相比居低。</w:t>
      </w:r>
    </w:p>
    <w:p w:rsidR="00312ECE" w:rsidRDefault="00312ECE">
      <w:pPr>
        <w:pStyle w:val="SingleTxt"/>
        <w:rPr>
          <w:rFonts w:hint="eastAsia"/>
        </w:rPr>
      </w:pPr>
      <w:r>
        <w:rPr>
          <w:rFonts w:hint="eastAsia"/>
        </w:rPr>
        <w:t>133.  工会在劳动关系方面积极促进两性平等，特别是拉脱维亚自由工会联合会，其妇女委员会是拉脱维亚两性平等协会的奠基者之一；妇女委员会的代表是拉脱维亚两性平等委员会的成员。拉脱维亚自由工会联合会为促进工作妇女的平等已经制定了具体计划，并在2000年和2001年进行了两次调查，名为“劳动市场上的拉脱维亚工作妇女”及“工作中的性别歧视”。</w:t>
      </w:r>
    </w:p>
    <w:p w:rsidR="00312ECE" w:rsidRDefault="00312ECE">
      <w:pPr>
        <w:pStyle w:val="SingleTxt"/>
        <w:rPr>
          <w:rFonts w:hint="eastAsia"/>
        </w:rPr>
      </w:pPr>
      <w:r>
        <w:rPr>
          <w:rFonts w:hint="eastAsia"/>
        </w:rPr>
        <w:t>134.  同样，《劳工法典》规定，雇员有权不受性别歧视地签署就业、薪酬及社会保障方面的集体协议。《劳工法》对集体协议做出了更加具体的界定，它规定以此实现就业关系内容的规范化，特别是薪酬和劳动保护组织、就业关系的确定和中止、雇员资格的提高、与劳动纪律、雇员的社会保护有关的问题以及与就业关系有关的其他问题，并且对相互权利和义务做出了规定。</w:t>
      </w:r>
    </w:p>
    <w:p w:rsidR="00312ECE" w:rsidRDefault="00312ECE">
      <w:pPr>
        <w:pStyle w:val="SingleTxt"/>
        <w:rPr>
          <w:rFonts w:ascii="KaiTi_GB2312" w:eastAsia="KaiTi_GB2312" w:hint="eastAsia"/>
          <w:color w:val="0000FF"/>
        </w:rPr>
      </w:pPr>
      <w:r>
        <w:rPr>
          <w:rFonts w:ascii="KaiTi_GB2312" w:eastAsia="KaiTi_GB2312" w:hint="eastAsia"/>
          <w:color w:val="0000FF"/>
        </w:rPr>
        <w:t>获得安全工作条件的权利</w:t>
      </w:r>
    </w:p>
    <w:p w:rsidR="00312ECE" w:rsidRDefault="00312ECE">
      <w:pPr>
        <w:pStyle w:val="SingleTxt"/>
        <w:rPr>
          <w:rFonts w:hint="eastAsia"/>
        </w:rPr>
      </w:pPr>
      <w:r>
        <w:rPr>
          <w:rFonts w:hint="eastAsia"/>
        </w:rPr>
        <w:t>135.  1993年5月4日制定的“劳动保护”</w:t>
      </w:r>
      <w:r>
        <w:rPr>
          <w:rStyle w:val="FootnoteReference"/>
        </w:rPr>
        <w:footnoteReference w:id="4"/>
      </w:r>
      <w:r>
        <w:t xml:space="preserve"> </w:t>
      </w:r>
      <w:r>
        <w:rPr>
          <w:rFonts w:hint="eastAsia"/>
        </w:rPr>
        <w:t>法规定，实施这项法律的规定没有性别限制，条件是工作的完成者是下述人士：与雇主存在就业关系的雇员，无论其地位及权益形式如何；有工作能力的农民或渔民的农场的家庭成员；参与个别作业的人士；中等特殊教育机构的学生以及已在学习和从事生产实践的学生；监狱服刑人员；有工作但被拘押的人士，从事强制性国家服务以及有效劳动服务的人士。</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29"/>
        <w:gridCol w:w="452"/>
        <w:gridCol w:w="471"/>
        <w:gridCol w:w="452"/>
        <w:gridCol w:w="454"/>
        <w:gridCol w:w="453"/>
        <w:gridCol w:w="453"/>
        <w:gridCol w:w="453"/>
        <w:gridCol w:w="453"/>
        <w:gridCol w:w="453"/>
        <w:gridCol w:w="453"/>
        <w:gridCol w:w="453"/>
        <w:gridCol w:w="453"/>
        <w:gridCol w:w="453"/>
        <w:gridCol w:w="436"/>
      </w:tblGrid>
      <w:tr w:rsidR="00312ECE">
        <w:tblPrEx>
          <w:tblCellMar>
            <w:top w:w="0" w:type="dxa"/>
            <w:bottom w:w="0" w:type="dxa"/>
          </w:tblCellMar>
        </w:tblPrEx>
        <w:tc>
          <w:tcPr>
            <w:tcW w:w="699" w:type="pct"/>
          </w:tcPr>
          <w:p w:rsidR="00312ECE" w:rsidRDefault="00312ECE">
            <w:pPr>
              <w:spacing w:line="360" w:lineRule="atLeast"/>
              <w:rPr>
                <w:rFonts w:ascii="KaiTi_GB2312" w:eastAsia="KaiTi_GB2312" w:hint="eastAsia"/>
                <w:color w:val="0000FF"/>
                <w:sz w:val="14"/>
              </w:rPr>
            </w:pPr>
          </w:p>
        </w:tc>
        <w:tc>
          <w:tcPr>
            <w:tcW w:w="626"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1995年总计</w:t>
            </w:r>
          </w:p>
        </w:tc>
        <w:tc>
          <w:tcPr>
            <w:tcW w:w="615"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1996年总计</w:t>
            </w:r>
          </w:p>
        </w:tc>
        <w:tc>
          <w:tcPr>
            <w:tcW w:w="614"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1997年总计</w:t>
            </w:r>
          </w:p>
        </w:tc>
        <w:tc>
          <w:tcPr>
            <w:tcW w:w="614"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1998年总计</w:t>
            </w:r>
          </w:p>
        </w:tc>
        <w:tc>
          <w:tcPr>
            <w:tcW w:w="614"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1999年总计</w:t>
            </w:r>
          </w:p>
        </w:tc>
        <w:tc>
          <w:tcPr>
            <w:tcW w:w="614"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2000年总计</w:t>
            </w:r>
          </w:p>
        </w:tc>
        <w:tc>
          <w:tcPr>
            <w:tcW w:w="603"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2001年总计</w:t>
            </w:r>
          </w:p>
        </w:tc>
      </w:tr>
      <w:tr w:rsidR="00312ECE">
        <w:tblPrEx>
          <w:tblCellMar>
            <w:top w:w="0" w:type="dxa"/>
            <w:bottom w:w="0" w:type="dxa"/>
          </w:tblCellMar>
        </w:tblPrEx>
        <w:tc>
          <w:tcPr>
            <w:tcW w:w="699" w:type="pct"/>
          </w:tcPr>
          <w:p w:rsidR="00312ECE" w:rsidRDefault="00312ECE">
            <w:pPr>
              <w:spacing w:line="360" w:lineRule="atLeast"/>
              <w:rPr>
                <w:rFonts w:ascii="KaiTi_GB2312" w:eastAsia="KaiTi_GB2312" w:hint="eastAsia"/>
                <w:color w:val="0000FF"/>
                <w:sz w:val="14"/>
              </w:rPr>
            </w:pP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32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30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返聘</w:t>
            </w:r>
          </w:p>
        </w:tc>
        <w:tc>
          <w:tcPr>
            <w:tcW w:w="3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辞退</w:t>
            </w:r>
          </w:p>
        </w:tc>
        <w:tc>
          <w:tcPr>
            <w:tcW w:w="296"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返聘</w:t>
            </w:r>
          </w:p>
        </w:tc>
      </w:tr>
      <w:tr w:rsidR="00312ECE">
        <w:tblPrEx>
          <w:tblCellMar>
            <w:top w:w="0" w:type="dxa"/>
            <w:bottom w:w="0" w:type="dxa"/>
          </w:tblCellMar>
        </w:tblPrEx>
        <w:tc>
          <w:tcPr>
            <w:tcW w:w="699" w:type="pct"/>
          </w:tcPr>
          <w:p w:rsidR="00312ECE" w:rsidRDefault="00312ECE">
            <w:pPr>
              <w:spacing w:line="360" w:lineRule="atLeast"/>
              <w:rPr>
                <w:rFonts w:hint="eastAsia"/>
                <w:sz w:val="18"/>
              </w:rPr>
            </w:pPr>
            <w:r>
              <w:rPr>
                <w:rFonts w:hint="eastAsia"/>
                <w:sz w:val="18"/>
              </w:rPr>
              <w:t>第146条</w:t>
            </w:r>
          </w:p>
          <w:p w:rsidR="00312ECE" w:rsidRDefault="00312ECE">
            <w:pPr>
              <w:pStyle w:val="Header"/>
              <w:tabs>
                <w:tab w:val="clear" w:pos="4320"/>
                <w:tab w:val="clear" w:pos="8640"/>
              </w:tabs>
              <w:spacing w:line="360" w:lineRule="atLeast"/>
              <w:rPr>
                <w:rFonts w:ascii="SimSun" w:hint="eastAsia"/>
                <w:noProof w:val="0"/>
                <w:kern w:val="14"/>
              </w:rPr>
            </w:pPr>
            <w:r>
              <w:rPr>
                <w:rFonts w:ascii="SimSun" w:hint="eastAsia"/>
                <w:noProof w:val="0"/>
                <w:kern w:val="14"/>
              </w:rPr>
              <w:t>劳动保护规定的违反</w:t>
            </w:r>
          </w:p>
        </w:tc>
        <w:tc>
          <w:tcPr>
            <w:tcW w:w="307" w:type="pct"/>
          </w:tcPr>
          <w:p w:rsidR="00312ECE" w:rsidRDefault="00312ECE">
            <w:pPr>
              <w:spacing w:line="360" w:lineRule="atLeast"/>
              <w:jc w:val="center"/>
              <w:rPr>
                <w:sz w:val="18"/>
              </w:rPr>
            </w:pPr>
            <w:r>
              <w:rPr>
                <w:sz w:val="18"/>
              </w:rPr>
              <w:t>3</w:t>
            </w:r>
          </w:p>
        </w:tc>
        <w:tc>
          <w:tcPr>
            <w:tcW w:w="320" w:type="pct"/>
          </w:tcPr>
          <w:p w:rsidR="00312ECE" w:rsidRDefault="00312ECE">
            <w:pPr>
              <w:spacing w:line="360" w:lineRule="atLeast"/>
              <w:jc w:val="center"/>
              <w:rPr>
                <w:sz w:val="18"/>
              </w:rPr>
            </w:pPr>
            <w:r>
              <w:rPr>
                <w:sz w:val="18"/>
              </w:rPr>
              <w:t>-</w:t>
            </w:r>
          </w:p>
        </w:tc>
        <w:tc>
          <w:tcPr>
            <w:tcW w:w="307" w:type="pct"/>
          </w:tcPr>
          <w:p w:rsidR="00312ECE" w:rsidRDefault="00312ECE">
            <w:pPr>
              <w:spacing w:line="360" w:lineRule="atLeast"/>
              <w:jc w:val="center"/>
              <w:rPr>
                <w:sz w:val="18"/>
              </w:rPr>
            </w:pPr>
            <w:r>
              <w:rPr>
                <w:sz w:val="18"/>
              </w:rPr>
              <w:t>3</w:t>
            </w:r>
          </w:p>
        </w:tc>
        <w:tc>
          <w:tcPr>
            <w:tcW w:w="308" w:type="pct"/>
          </w:tcPr>
          <w:p w:rsidR="00312ECE" w:rsidRDefault="00312ECE">
            <w:pPr>
              <w:spacing w:line="360" w:lineRule="atLeast"/>
              <w:jc w:val="center"/>
              <w:rPr>
                <w:sz w:val="18"/>
              </w:rPr>
            </w:pPr>
            <w:r>
              <w:rPr>
                <w:sz w:val="18"/>
              </w:rPr>
              <w:t>-</w:t>
            </w:r>
          </w:p>
        </w:tc>
        <w:tc>
          <w:tcPr>
            <w:tcW w:w="307" w:type="pct"/>
          </w:tcPr>
          <w:p w:rsidR="00312ECE" w:rsidRDefault="00312ECE">
            <w:pPr>
              <w:spacing w:line="360" w:lineRule="atLeast"/>
              <w:jc w:val="center"/>
              <w:rPr>
                <w:sz w:val="18"/>
              </w:rPr>
            </w:pPr>
            <w:r>
              <w:rPr>
                <w:sz w:val="18"/>
              </w:rPr>
              <w:t>1</w:t>
            </w:r>
          </w:p>
        </w:tc>
        <w:tc>
          <w:tcPr>
            <w:tcW w:w="307" w:type="pct"/>
          </w:tcPr>
          <w:p w:rsidR="00312ECE" w:rsidRDefault="00312ECE">
            <w:pPr>
              <w:spacing w:line="360" w:lineRule="atLeast"/>
              <w:jc w:val="center"/>
              <w:rPr>
                <w:sz w:val="18"/>
              </w:rPr>
            </w:pPr>
            <w:r>
              <w:rPr>
                <w:sz w:val="18"/>
              </w:rPr>
              <w:t>-</w:t>
            </w:r>
          </w:p>
        </w:tc>
        <w:tc>
          <w:tcPr>
            <w:tcW w:w="307" w:type="pct"/>
          </w:tcPr>
          <w:p w:rsidR="00312ECE" w:rsidRDefault="00312ECE">
            <w:pPr>
              <w:spacing w:line="360" w:lineRule="atLeast"/>
              <w:jc w:val="center"/>
              <w:rPr>
                <w:sz w:val="18"/>
              </w:rPr>
            </w:pPr>
            <w:r>
              <w:rPr>
                <w:sz w:val="18"/>
              </w:rPr>
              <w:t>3</w:t>
            </w:r>
          </w:p>
        </w:tc>
        <w:tc>
          <w:tcPr>
            <w:tcW w:w="307" w:type="pct"/>
          </w:tcPr>
          <w:p w:rsidR="00312ECE" w:rsidRDefault="00312ECE">
            <w:pPr>
              <w:spacing w:line="360" w:lineRule="atLeast"/>
              <w:jc w:val="center"/>
              <w:rPr>
                <w:sz w:val="18"/>
              </w:rPr>
            </w:pPr>
            <w:r>
              <w:rPr>
                <w:sz w:val="18"/>
              </w:rPr>
              <w:t>1</w:t>
            </w:r>
          </w:p>
        </w:tc>
        <w:tc>
          <w:tcPr>
            <w:tcW w:w="307" w:type="pct"/>
          </w:tcPr>
          <w:p w:rsidR="00312ECE" w:rsidRDefault="00312ECE">
            <w:pPr>
              <w:spacing w:line="360" w:lineRule="atLeast"/>
              <w:jc w:val="center"/>
              <w:rPr>
                <w:sz w:val="18"/>
              </w:rPr>
            </w:pPr>
            <w:r>
              <w:rPr>
                <w:sz w:val="18"/>
              </w:rPr>
              <w:t>7</w:t>
            </w:r>
          </w:p>
        </w:tc>
        <w:tc>
          <w:tcPr>
            <w:tcW w:w="307" w:type="pct"/>
          </w:tcPr>
          <w:p w:rsidR="00312ECE" w:rsidRDefault="00312ECE">
            <w:pPr>
              <w:spacing w:line="360" w:lineRule="atLeast"/>
              <w:jc w:val="center"/>
              <w:rPr>
                <w:sz w:val="18"/>
              </w:rPr>
            </w:pPr>
            <w:r>
              <w:rPr>
                <w:sz w:val="18"/>
              </w:rPr>
              <w:t>4</w:t>
            </w:r>
          </w:p>
        </w:tc>
        <w:tc>
          <w:tcPr>
            <w:tcW w:w="307" w:type="pct"/>
          </w:tcPr>
          <w:p w:rsidR="00312ECE" w:rsidRDefault="00312ECE">
            <w:pPr>
              <w:spacing w:line="360" w:lineRule="atLeast"/>
              <w:jc w:val="center"/>
              <w:rPr>
                <w:sz w:val="18"/>
              </w:rPr>
            </w:pPr>
            <w:r>
              <w:rPr>
                <w:sz w:val="18"/>
              </w:rPr>
              <w:t>1</w:t>
            </w:r>
          </w:p>
        </w:tc>
        <w:tc>
          <w:tcPr>
            <w:tcW w:w="307" w:type="pct"/>
          </w:tcPr>
          <w:p w:rsidR="00312ECE" w:rsidRDefault="00312ECE">
            <w:pPr>
              <w:spacing w:line="360" w:lineRule="atLeast"/>
              <w:jc w:val="center"/>
              <w:rPr>
                <w:sz w:val="18"/>
              </w:rPr>
            </w:pPr>
            <w:r>
              <w:rPr>
                <w:sz w:val="18"/>
              </w:rPr>
              <w:t>-</w:t>
            </w:r>
          </w:p>
        </w:tc>
        <w:tc>
          <w:tcPr>
            <w:tcW w:w="307" w:type="pct"/>
          </w:tcPr>
          <w:p w:rsidR="00312ECE" w:rsidRDefault="00312ECE">
            <w:pPr>
              <w:spacing w:line="360" w:lineRule="atLeast"/>
              <w:jc w:val="center"/>
              <w:rPr>
                <w:sz w:val="18"/>
              </w:rPr>
            </w:pPr>
            <w:r>
              <w:rPr>
                <w:sz w:val="18"/>
              </w:rPr>
              <w:t>7</w:t>
            </w:r>
          </w:p>
        </w:tc>
        <w:tc>
          <w:tcPr>
            <w:tcW w:w="296" w:type="pct"/>
          </w:tcPr>
          <w:p w:rsidR="00312ECE" w:rsidRDefault="00312ECE">
            <w:pPr>
              <w:spacing w:line="360" w:lineRule="atLeast"/>
              <w:jc w:val="center"/>
              <w:rPr>
                <w:sz w:val="18"/>
              </w:rPr>
            </w:pPr>
            <w:r>
              <w:rPr>
                <w:sz w:val="18"/>
              </w:rPr>
              <w:t>4</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136.  《劳动保护法》还规定，如果其他法律未另行做出规定，该法应适用于就业各个领域。除此之外，本法还规定，根据工作环境的风险及医生的声明由规范法提供特殊保护的雇员（不满18岁的人、孕妇、产后妇女、残疾人以及本法第7条第2款提及的名单上的雇员），有权接受雇主确定的其他救济。</w:t>
      </w:r>
    </w:p>
    <w:p w:rsidR="00312ECE" w:rsidRDefault="00312ECE">
      <w:pPr>
        <w:pStyle w:val="SingleTxt"/>
        <w:rPr>
          <w:rFonts w:hint="eastAsia"/>
        </w:rPr>
      </w:pPr>
      <w:r>
        <w:rPr>
          <w:rFonts w:hint="eastAsia"/>
        </w:rPr>
        <w:t>137.  根据“国家劳动检查”法以及部长内阁“国家劳动检查”条例，国家劳动检查局对上述规定的遵行情况实施监督。目前没有按性别对劳动安全做出的统计数据。仅能补充的是，职业事故发生率最高的是所谓传统上的男性行业——木材加工、建筑和修缮、食品工业及运输和出租车服务业。国家劳动检查局为雇主和雇员提供关于劳动关系和劳动检查的资料及其他帮助。</w:t>
      </w:r>
    </w:p>
    <w:p w:rsidR="00312ECE" w:rsidRDefault="00312ECE">
      <w:pPr>
        <w:pStyle w:val="SingleTxt"/>
        <w:rPr>
          <w:rFonts w:hint="eastAsia"/>
        </w:rPr>
      </w:pPr>
      <w:r>
        <w:rPr>
          <w:rFonts w:hint="eastAsia"/>
        </w:rPr>
        <w:t>138.  应当指出，根据国家劳动检查局散发的调查问卷反馈的信息，目前约有55%的雇员对劳动安全规范法律没有明确认识。除此之外，根据调查问卷的结果判断，在拉脱维亚企业工作的雇员有61%配有个人防护器材，45%的雇主先评估风险，再分发防护器材，35%的企业为预防风险开展了集体防护活动。在企业，与劳动安全和健康保护有关的主要问题是资金开支大、信息获取困难、非危险技术采购不足、缺乏劳动保护方面的称职专家、培训不够以及缺少适合个人用的防护器材。</w:t>
      </w:r>
    </w:p>
    <w:p w:rsidR="00312ECE" w:rsidRDefault="00312ECE">
      <w:pPr>
        <w:pStyle w:val="SingleTxt"/>
        <w:rPr>
          <w:rFonts w:ascii="KaiTi_GB2312" w:eastAsia="KaiTi_GB2312" w:hint="eastAsia"/>
          <w:color w:val="0000FF"/>
        </w:rPr>
      </w:pPr>
      <w:r>
        <w:rPr>
          <w:rFonts w:ascii="KaiTi_GB2312" w:eastAsia="KaiTi_GB2312" w:hint="eastAsia"/>
          <w:color w:val="0000FF"/>
        </w:rPr>
        <w:t>领取与工作量相符的薪酬的权利</w:t>
      </w:r>
    </w:p>
    <w:p w:rsidR="00312ECE" w:rsidRDefault="00312ECE">
      <w:pPr>
        <w:pStyle w:val="SingleTxt"/>
        <w:rPr>
          <w:rFonts w:hint="eastAsia"/>
        </w:rPr>
      </w:pPr>
      <w:r>
        <w:rPr>
          <w:rFonts w:hint="eastAsia"/>
        </w:rPr>
        <w:t>139.  宪法规定人人有权领取与所做工作相符的薪酬，并且不应低于政府规定的最低标准。拉脱维亚的薪酬实行最低月薪制。所有雇主都应向雇员为其正常上班时间（每周40小时）的工作支付最低月薪。拉脱维亚的最低月薪定期上调，但仍然低于中央统计局</w:t>
      </w:r>
      <w:r>
        <w:t xml:space="preserve"> </w:t>
      </w:r>
      <w:r>
        <w:rPr>
          <w:rStyle w:val="FootnoteReference"/>
        </w:rPr>
        <w:footnoteReference w:id="5"/>
      </w:r>
      <w:r>
        <w:t xml:space="preserve"> </w:t>
      </w:r>
      <w:r>
        <w:rPr>
          <w:rFonts w:hint="eastAsia"/>
        </w:rPr>
        <w:t>计算的最低生活费用（参见下表）。</w:t>
      </w:r>
    </w:p>
    <w:p w:rsidR="00312ECE" w:rsidRDefault="00312ECE">
      <w:pPr>
        <w:pStyle w:val="SingleTxt"/>
        <w:rPr>
          <w:rFonts w:ascii="SimHei" w:eastAsia="SimHei" w:hint="eastAsia"/>
          <w:color w:val="FF0000"/>
        </w:rPr>
      </w:pPr>
      <w:r>
        <w:br w:type="page"/>
      </w:r>
      <w:r>
        <w:rPr>
          <w:rFonts w:ascii="SimHei" w:eastAsia="SimHei" w:hint="eastAsia"/>
          <w:color w:val="FF0000"/>
        </w:rPr>
        <w:t>薪酬、最低月薪和最低生活费（1993-2000年）</w:t>
      </w:r>
    </w:p>
    <w:tbl>
      <w:tblPr>
        <w:tblW w:w="7371"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02"/>
        <w:gridCol w:w="1260"/>
        <w:gridCol w:w="1259"/>
        <w:gridCol w:w="1257"/>
        <w:gridCol w:w="1355"/>
        <w:gridCol w:w="1238"/>
      </w:tblGrid>
      <w:tr w:rsidR="00312ECE">
        <w:tblPrEx>
          <w:tblCellMar>
            <w:top w:w="0" w:type="dxa"/>
            <w:bottom w:w="0" w:type="dxa"/>
          </w:tblCellMar>
        </w:tblPrEx>
        <w:trPr>
          <w:tblHeader/>
        </w:trPr>
        <w:tc>
          <w:tcPr>
            <w:tcW w:w="679"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年份</w:t>
            </w:r>
          </w:p>
        </w:tc>
        <w:tc>
          <w:tcPr>
            <w:tcW w:w="855"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年平均最低月薪</w:t>
            </w:r>
          </w:p>
        </w:tc>
        <w:tc>
          <w:tcPr>
            <w:tcW w:w="854"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年平均最低生活费</w:t>
            </w:r>
          </w:p>
        </w:tc>
        <w:tc>
          <w:tcPr>
            <w:tcW w:w="853"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最低月薪占最低生活费的比例</w:t>
            </w:r>
          </w:p>
        </w:tc>
        <w:tc>
          <w:tcPr>
            <w:tcW w:w="919"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国民经济部门工作人员的最低月薪</w:t>
            </w:r>
          </w:p>
        </w:tc>
        <w:tc>
          <w:tcPr>
            <w:tcW w:w="840"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最低月薪占国民经济部门工作人员平均月薪的比例</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1993</w:t>
            </w:r>
          </w:p>
        </w:tc>
        <w:tc>
          <w:tcPr>
            <w:tcW w:w="855" w:type="pct"/>
          </w:tcPr>
          <w:p w:rsidR="00312ECE" w:rsidRDefault="00312ECE">
            <w:pPr>
              <w:spacing w:before="60" w:after="60" w:line="240" w:lineRule="exact"/>
              <w:jc w:val="center"/>
              <w:rPr>
                <w:sz w:val="18"/>
              </w:rPr>
            </w:pPr>
            <w:r>
              <w:rPr>
                <w:sz w:val="18"/>
              </w:rPr>
              <w:t>12.50</w:t>
            </w:r>
          </w:p>
        </w:tc>
        <w:tc>
          <w:tcPr>
            <w:tcW w:w="854" w:type="pct"/>
          </w:tcPr>
          <w:p w:rsidR="00312ECE" w:rsidRDefault="00312ECE">
            <w:pPr>
              <w:spacing w:before="60" w:after="60" w:line="240" w:lineRule="exact"/>
              <w:jc w:val="center"/>
              <w:rPr>
                <w:sz w:val="18"/>
              </w:rPr>
            </w:pPr>
            <w:r>
              <w:rPr>
                <w:sz w:val="18"/>
              </w:rPr>
              <w:t>37.59</w:t>
            </w:r>
          </w:p>
        </w:tc>
        <w:tc>
          <w:tcPr>
            <w:tcW w:w="853" w:type="pct"/>
          </w:tcPr>
          <w:p w:rsidR="00312ECE" w:rsidRDefault="00312ECE">
            <w:pPr>
              <w:spacing w:before="60" w:after="60" w:line="240" w:lineRule="exact"/>
              <w:jc w:val="center"/>
              <w:rPr>
                <w:sz w:val="18"/>
              </w:rPr>
            </w:pPr>
            <w:r>
              <w:rPr>
                <w:sz w:val="18"/>
              </w:rPr>
              <w:t>33.3</w:t>
            </w:r>
          </w:p>
        </w:tc>
        <w:tc>
          <w:tcPr>
            <w:tcW w:w="919" w:type="pct"/>
          </w:tcPr>
          <w:p w:rsidR="00312ECE" w:rsidRDefault="00312ECE">
            <w:pPr>
              <w:spacing w:before="60" w:after="60" w:line="240" w:lineRule="exact"/>
              <w:jc w:val="center"/>
              <w:rPr>
                <w:sz w:val="18"/>
              </w:rPr>
            </w:pPr>
            <w:r>
              <w:rPr>
                <w:sz w:val="18"/>
              </w:rPr>
              <w:t>47.23</w:t>
            </w:r>
          </w:p>
        </w:tc>
        <w:tc>
          <w:tcPr>
            <w:tcW w:w="840" w:type="pct"/>
          </w:tcPr>
          <w:p w:rsidR="00312ECE" w:rsidRDefault="00312ECE">
            <w:pPr>
              <w:spacing w:before="60" w:after="60" w:line="240" w:lineRule="exact"/>
              <w:jc w:val="center"/>
              <w:rPr>
                <w:sz w:val="18"/>
              </w:rPr>
            </w:pPr>
            <w:r>
              <w:rPr>
                <w:sz w:val="18"/>
              </w:rPr>
              <w:t>26.5</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1994</w:t>
            </w:r>
          </w:p>
        </w:tc>
        <w:tc>
          <w:tcPr>
            <w:tcW w:w="855" w:type="pct"/>
          </w:tcPr>
          <w:p w:rsidR="00312ECE" w:rsidRDefault="00312ECE">
            <w:pPr>
              <w:spacing w:before="60" w:after="60" w:line="240" w:lineRule="exact"/>
              <w:jc w:val="center"/>
              <w:rPr>
                <w:sz w:val="18"/>
              </w:rPr>
            </w:pPr>
            <w:r>
              <w:rPr>
                <w:sz w:val="18"/>
              </w:rPr>
              <w:t>22.00</w:t>
            </w:r>
          </w:p>
        </w:tc>
        <w:tc>
          <w:tcPr>
            <w:tcW w:w="854" w:type="pct"/>
          </w:tcPr>
          <w:p w:rsidR="00312ECE" w:rsidRDefault="00312ECE">
            <w:pPr>
              <w:spacing w:before="60" w:after="60" w:line="240" w:lineRule="exact"/>
              <w:jc w:val="center"/>
              <w:rPr>
                <w:sz w:val="18"/>
              </w:rPr>
            </w:pPr>
            <w:r>
              <w:rPr>
                <w:sz w:val="18"/>
              </w:rPr>
              <w:t>51.50</w:t>
            </w:r>
          </w:p>
        </w:tc>
        <w:tc>
          <w:tcPr>
            <w:tcW w:w="853" w:type="pct"/>
          </w:tcPr>
          <w:p w:rsidR="00312ECE" w:rsidRDefault="00312ECE">
            <w:pPr>
              <w:spacing w:before="60" w:after="60" w:line="240" w:lineRule="exact"/>
              <w:jc w:val="center"/>
              <w:rPr>
                <w:sz w:val="18"/>
              </w:rPr>
            </w:pPr>
            <w:r>
              <w:rPr>
                <w:sz w:val="18"/>
              </w:rPr>
              <w:t>42.7</w:t>
            </w:r>
          </w:p>
        </w:tc>
        <w:tc>
          <w:tcPr>
            <w:tcW w:w="919" w:type="pct"/>
          </w:tcPr>
          <w:p w:rsidR="00312ECE" w:rsidRDefault="00312ECE">
            <w:pPr>
              <w:spacing w:before="60" w:after="60" w:line="240" w:lineRule="exact"/>
              <w:jc w:val="center"/>
              <w:rPr>
                <w:sz w:val="18"/>
              </w:rPr>
            </w:pPr>
            <w:r>
              <w:rPr>
                <w:sz w:val="18"/>
              </w:rPr>
              <w:t>71.87</w:t>
            </w:r>
          </w:p>
        </w:tc>
        <w:tc>
          <w:tcPr>
            <w:tcW w:w="840" w:type="pct"/>
          </w:tcPr>
          <w:p w:rsidR="00312ECE" w:rsidRDefault="00312ECE">
            <w:pPr>
              <w:spacing w:before="60" w:after="60" w:line="240" w:lineRule="exact"/>
              <w:jc w:val="center"/>
              <w:rPr>
                <w:sz w:val="18"/>
              </w:rPr>
            </w:pPr>
            <w:r>
              <w:rPr>
                <w:sz w:val="18"/>
              </w:rPr>
              <w:t>30.6</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1995</w:t>
            </w:r>
          </w:p>
        </w:tc>
        <w:tc>
          <w:tcPr>
            <w:tcW w:w="855" w:type="pct"/>
          </w:tcPr>
          <w:p w:rsidR="00312ECE" w:rsidRDefault="00312ECE">
            <w:pPr>
              <w:spacing w:before="60" w:after="60" w:line="240" w:lineRule="exact"/>
              <w:jc w:val="center"/>
              <w:rPr>
                <w:sz w:val="18"/>
              </w:rPr>
            </w:pPr>
            <w:r>
              <w:rPr>
                <w:sz w:val="18"/>
              </w:rPr>
              <w:t>28.00</w:t>
            </w:r>
          </w:p>
        </w:tc>
        <w:tc>
          <w:tcPr>
            <w:tcW w:w="854" w:type="pct"/>
          </w:tcPr>
          <w:p w:rsidR="00312ECE" w:rsidRDefault="00312ECE">
            <w:pPr>
              <w:spacing w:before="60" w:after="60" w:line="240" w:lineRule="exact"/>
              <w:jc w:val="center"/>
              <w:rPr>
                <w:sz w:val="18"/>
              </w:rPr>
            </w:pPr>
            <w:r>
              <w:rPr>
                <w:sz w:val="18"/>
              </w:rPr>
              <w:t>63.82</w:t>
            </w:r>
          </w:p>
        </w:tc>
        <w:tc>
          <w:tcPr>
            <w:tcW w:w="853" w:type="pct"/>
          </w:tcPr>
          <w:p w:rsidR="00312ECE" w:rsidRDefault="00312ECE">
            <w:pPr>
              <w:spacing w:before="60" w:after="60" w:line="240" w:lineRule="exact"/>
              <w:jc w:val="center"/>
              <w:rPr>
                <w:sz w:val="18"/>
              </w:rPr>
            </w:pPr>
            <w:r>
              <w:rPr>
                <w:sz w:val="18"/>
              </w:rPr>
              <w:t>43.9</w:t>
            </w:r>
          </w:p>
        </w:tc>
        <w:tc>
          <w:tcPr>
            <w:tcW w:w="919" w:type="pct"/>
          </w:tcPr>
          <w:p w:rsidR="00312ECE" w:rsidRDefault="00312ECE">
            <w:pPr>
              <w:spacing w:before="60" w:after="60" w:line="240" w:lineRule="exact"/>
              <w:jc w:val="center"/>
              <w:rPr>
                <w:sz w:val="18"/>
              </w:rPr>
            </w:pPr>
            <w:r>
              <w:rPr>
                <w:sz w:val="18"/>
              </w:rPr>
              <w:t>89.50</w:t>
            </w:r>
          </w:p>
        </w:tc>
        <w:tc>
          <w:tcPr>
            <w:tcW w:w="840" w:type="pct"/>
          </w:tcPr>
          <w:p w:rsidR="00312ECE" w:rsidRDefault="00312ECE">
            <w:pPr>
              <w:spacing w:before="60" w:after="60" w:line="240" w:lineRule="exact"/>
              <w:jc w:val="center"/>
              <w:rPr>
                <w:sz w:val="18"/>
              </w:rPr>
            </w:pPr>
            <w:r>
              <w:rPr>
                <w:sz w:val="18"/>
              </w:rPr>
              <w:t>31.3</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1996</w:t>
            </w:r>
          </w:p>
        </w:tc>
        <w:tc>
          <w:tcPr>
            <w:tcW w:w="855" w:type="pct"/>
          </w:tcPr>
          <w:p w:rsidR="00312ECE" w:rsidRDefault="00312ECE">
            <w:pPr>
              <w:spacing w:before="60" w:after="60" w:line="240" w:lineRule="exact"/>
              <w:jc w:val="center"/>
              <w:rPr>
                <w:sz w:val="18"/>
              </w:rPr>
            </w:pPr>
            <w:r>
              <w:rPr>
                <w:sz w:val="18"/>
              </w:rPr>
              <w:t>35.50</w:t>
            </w:r>
          </w:p>
        </w:tc>
        <w:tc>
          <w:tcPr>
            <w:tcW w:w="854" w:type="pct"/>
          </w:tcPr>
          <w:p w:rsidR="00312ECE" w:rsidRDefault="00312ECE">
            <w:pPr>
              <w:spacing w:before="60" w:after="60" w:line="240" w:lineRule="exact"/>
              <w:jc w:val="center"/>
              <w:rPr>
                <w:sz w:val="18"/>
              </w:rPr>
            </w:pPr>
            <w:r>
              <w:rPr>
                <w:sz w:val="18"/>
              </w:rPr>
              <w:t>73.78</w:t>
            </w:r>
          </w:p>
        </w:tc>
        <w:tc>
          <w:tcPr>
            <w:tcW w:w="853" w:type="pct"/>
          </w:tcPr>
          <w:p w:rsidR="00312ECE" w:rsidRDefault="00312ECE">
            <w:pPr>
              <w:spacing w:before="60" w:after="60" w:line="240" w:lineRule="exact"/>
              <w:jc w:val="center"/>
              <w:rPr>
                <w:sz w:val="18"/>
              </w:rPr>
            </w:pPr>
            <w:r>
              <w:rPr>
                <w:sz w:val="18"/>
              </w:rPr>
              <w:t>48.1</w:t>
            </w:r>
          </w:p>
        </w:tc>
        <w:tc>
          <w:tcPr>
            <w:tcW w:w="919" w:type="pct"/>
          </w:tcPr>
          <w:p w:rsidR="00312ECE" w:rsidRDefault="00312ECE">
            <w:pPr>
              <w:spacing w:before="60" w:after="60" w:line="240" w:lineRule="exact"/>
              <w:jc w:val="center"/>
              <w:rPr>
                <w:sz w:val="18"/>
              </w:rPr>
            </w:pPr>
            <w:r>
              <w:rPr>
                <w:sz w:val="18"/>
              </w:rPr>
              <w:t>98.73</w:t>
            </w:r>
          </w:p>
        </w:tc>
        <w:tc>
          <w:tcPr>
            <w:tcW w:w="840" w:type="pct"/>
          </w:tcPr>
          <w:p w:rsidR="00312ECE" w:rsidRDefault="00312ECE">
            <w:pPr>
              <w:spacing w:before="60" w:after="60" w:line="240" w:lineRule="exact"/>
              <w:jc w:val="center"/>
              <w:rPr>
                <w:sz w:val="18"/>
              </w:rPr>
            </w:pPr>
            <w:r>
              <w:rPr>
                <w:sz w:val="18"/>
              </w:rPr>
              <w:t>36.0</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1997</w:t>
            </w:r>
          </w:p>
        </w:tc>
        <w:tc>
          <w:tcPr>
            <w:tcW w:w="855" w:type="pct"/>
          </w:tcPr>
          <w:p w:rsidR="00312ECE" w:rsidRDefault="00312ECE">
            <w:pPr>
              <w:spacing w:before="60" w:after="60" w:line="240" w:lineRule="exact"/>
              <w:jc w:val="center"/>
              <w:rPr>
                <w:sz w:val="18"/>
              </w:rPr>
            </w:pPr>
            <w:r>
              <w:rPr>
                <w:sz w:val="18"/>
              </w:rPr>
              <w:t>38.00</w:t>
            </w:r>
          </w:p>
        </w:tc>
        <w:tc>
          <w:tcPr>
            <w:tcW w:w="854" w:type="pct"/>
          </w:tcPr>
          <w:p w:rsidR="00312ECE" w:rsidRDefault="00312ECE">
            <w:pPr>
              <w:spacing w:before="60" w:after="60" w:line="240" w:lineRule="exact"/>
              <w:jc w:val="center"/>
              <w:rPr>
                <w:sz w:val="18"/>
              </w:rPr>
            </w:pPr>
            <w:r>
              <w:rPr>
                <w:sz w:val="18"/>
              </w:rPr>
              <w:t>78.78</w:t>
            </w:r>
          </w:p>
        </w:tc>
        <w:tc>
          <w:tcPr>
            <w:tcW w:w="853" w:type="pct"/>
          </w:tcPr>
          <w:p w:rsidR="00312ECE" w:rsidRDefault="00312ECE">
            <w:pPr>
              <w:spacing w:before="60" w:after="60" w:line="240" w:lineRule="exact"/>
              <w:jc w:val="center"/>
              <w:rPr>
                <w:sz w:val="18"/>
              </w:rPr>
            </w:pPr>
            <w:r>
              <w:rPr>
                <w:sz w:val="18"/>
              </w:rPr>
              <w:t>48.2</w:t>
            </w:r>
          </w:p>
        </w:tc>
        <w:tc>
          <w:tcPr>
            <w:tcW w:w="919" w:type="pct"/>
          </w:tcPr>
          <w:p w:rsidR="00312ECE" w:rsidRDefault="00312ECE">
            <w:pPr>
              <w:spacing w:before="60" w:after="60" w:line="240" w:lineRule="exact"/>
              <w:jc w:val="center"/>
              <w:rPr>
                <w:sz w:val="18"/>
              </w:rPr>
            </w:pPr>
            <w:r>
              <w:rPr>
                <w:sz w:val="18"/>
              </w:rPr>
              <w:t>120.03</w:t>
            </w:r>
          </w:p>
        </w:tc>
        <w:tc>
          <w:tcPr>
            <w:tcW w:w="840" w:type="pct"/>
          </w:tcPr>
          <w:p w:rsidR="00312ECE" w:rsidRDefault="00312ECE">
            <w:pPr>
              <w:spacing w:before="60" w:after="60" w:line="240" w:lineRule="exact"/>
              <w:jc w:val="center"/>
              <w:rPr>
                <w:sz w:val="18"/>
              </w:rPr>
            </w:pPr>
            <w:r>
              <w:rPr>
                <w:sz w:val="18"/>
              </w:rPr>
              <w:t>31.7</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1998</w:t>
            </w:r>
          </w:p>
        </w:tc>
        <w:tc>
          <w:tcPr>
            <w:tcW w:w="855" w:type="pct"/>
          </w:tcPr>
          <w:p w:rsidR="00312ECE" w:rsidRDefault="00312ECE">
            <w:pPr>
              <w:spacing w:before="60" w:after="60" w:line="240" w:lineRule="exact"/>
              <w:jc w:val="center"/>
              <w:rPr>
                <w:sz w:val="18"/>
              </w:rPr>
            </w:pPr>
            <w:r>
              <w:rPr>
                <w:sz w:val="18"/>
              </w:rPr>
              <w:t>42.00</w:t>
            </w:r>
          </w:p>
        </w:tc>
        <w:tc>
          <w:tcPr>
            <w:tcW w:w="854" w:type="pct"/>
          </w:tcPr>
          <w:p w:rsidR="00312ECE" w:rsidRDefault="00312ECE">
            <w:pPr>
              <w:spacing w:before="60" w:after="60" w:line="240" w:lineRule="exact"/>
              <w:jc w:val="center"/>
              <w:rPr>
                <w:sz w:val="18"/>
              </w:rPr>
            </w:pPr>
            <w:r>
              <w:rPr>
                <w:sz w:val="18"/>
              </w:rPr>
              <w:t>82.43</w:t>
            </w:r>
          </w:p>
        </w:tc>
        <w:tc>
          <w:tcPr>
            <w:tcW w:w="853" w:type="pct"/>
          </w:tcPr>
          <w:p w:rsidR="00312ECE" w:rsidRDefault="00312ECE">
            <w:pPr>
              <w:spacing w:before="60" w:after="60" w:line="240" w:lineRule="exact"/>
              <w:jc w:val="center"/>
              <w:rPr>
                <w:sz w:val="18"/>
              </w:rPr>
            </w:pPr>
            <w:r>
              <w:rPr>
                <w:sz w:val="18"/>
              </w:rPr>
              <w:t>50.9</w:t>
            </w:r>
          </w:p>
        </w:tc>
        <w:tc>
          <w:tcPr>
            <w:tcW w:w="919" w:type="pct"/>
          </w:tcPr>
          <w:p w:rsidR="00312ECE" w:rsidRDefault="00312ECE">
            <w:pPr>
              <w:spacing w:before="60" w:after="60" w:line="240" w:lineRule="exact"/>
              <w:jc w:val="center"/>
              <w:rPr>
                <w:sz w:val="18"/>
              </w:rPr>
            </w:pPr>
            <w:r>
              <w:rPr>
                <w:sz w:val="18"/>
              </w:rPr>
              <w:t>133.30</w:t>
            </w:r>
          </w:p>
        </w:tc>
        <w:tc>
          <w:tcPr>
            <w:tcW w:w="840" w:type="pct"/>
          </w:tcPr>
          <w:p w:rsidR="00312ECE" w:rsidRDefault="00312ECE">
            <w:pPr>
              <w:spacing w:before="60" w:after="60" w:line="240" w:lineRule="exact"/>
              <w:jc w:val="center"/>
              <w:rPr>
                <w:sz w:val="18"/>
              </w:rPr>
            </w:pPr>
            <w:r>
              <w:rPr>
                <w:sz w:val="18"/>
              </w:rPr>
              <w:t>31.5</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1999</w:t>
            </w:r>
          </w:p>
        </w:tc>
        <w:tc>
          <w:tcPr>
            <w:tcW w:w="855" w:type="pct"/>
          </w:tcPr>
          <w:p w:rsidR="00312ECE" w:rsidRDefault="00312ECE">
            <w:pPr>
              <w:spacing w:before="60" w:after="60" w:line="240" w:lineRule="exact"/>
              <w:jc w:val="center"/>
              <w:rPr>
                <w:sz w:val="18"/>
              </w:rPr>
            </w:pPr>
            <w:r>
              <w:rPr>
                <w:sz w:val="18"/>
              </w:rPr>
              <w:t>50.00</w:t>
            </w:r>
          </w:p>
        </w:tc>
        <w:tc>
          <w:tcPr>
            <w:tcW w:w="854" w:type="pct"/>
          </w:tcPr>
          <w:p w:rsidR="00312ECE" w:rsidRDefault="00312ECE">
            <w:pPr>
              <w:spacing w:before="60" w:after="60" w:line="240" w:lineRule="exact"/>
              <w:jc w:val="center"/>
              <w:rPr>
                <w:sz w:val="18"/>
              </w:rPr>
            </w:pPr>
            <w:r>
              <w:rPr>
                <w:sz w:val="18"/>
              </w:rPr>
              <w:t>83.18</w:t>
            </w:r>
          </w:p>
        </w:tc>
        <w:tc>
          <w:tcPr>
            <w:tcW w:w="853" w:type="pct"/>
          </w:tcPr>
          <w:p w:rsidR="00312ECE" w:rsidRDefault="00312ECE">
            <w:pPr>
              <w:spacing w:before="60" w:after="60" w:line="240" w:lineRule="exact"/>
              <w:jc w:val="center"/>
              <w:rPr>
                <w:sz w:val="18"/>
              </w:rPr>
            </w:pPr>
            <w:r>
              <w:rPr>
                <w:sz w:val="18"/>
              </w:rPr>
              <w:t>60.1</w:t>
            </w:r>
          </w:p>
        </w:tc>
        <w:tc>
          <w:tcPr>
            <w:tcW w:w="919" w:type="pct"/>
          </w:tcPr>
          <w:p w:rsidR="00312ECE" w:rsidRDefault="00312ECE">
            <w:pPr>
              <w:spacing w:before="60" w:after="60" w:line="240" w:lineRule="exact"/>
              <w:jc w:val="center"/>
              <w:rPr>
                <w:sz w:val="18"/>
              </w:rPr>
            </w:pPr>
            <w:r>
              <w:rPr>
                <w:sz w:val="18"/>
              </w:rPr>
              <w:t>140.99</w:t>
            </w:r>
          </w:p>
        </w:tc>
        <w:tc>
          <w:tcPr>
            <w:tcW w:w="840" w:type="pct"/>
          </w:tcPr>
          <w:p w:rsidR="00312ECE" w:rsidRDefault="00312ECE">
            <w:pPr>
              <w:spacing w:before="60" w:after="60" w:line="240" w:lineRule="exact"/>
              <w:jc w:val="center"/>
              <w:rPr>
                <w:sz w:val="18"/>
              </w:rPr>
            </w:pPr>
            <w:r>
              <w:rPr>
                <w:sz w:val="18"/>
              </w:rPr>
              <w:t>35.5</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2000</w:t>
            </w:r>
          </w:p>
        </w:tc>
        <w:tc>
          <w:tcPr>
            <w:tcW w:w="855" w:type="pct"/>
          </w:tcPr>
          <w:p w:rsidR="00312ECE" w:rsidRDefault="00312ECE">
            <w:pPr>
              <w:spacing w:before="60" w:after="60" w:line="240" w:lineRule="exact"/>
              <w:jc w:val="center"/>
              <w:rPr>
                <w:sz w:val="18"/>
              </w:rPr>
            </w:pPr>
            <w:r>
              <w:rPr>
                <w:sz w:val="18"/>
              </w:rPr>
              <w:t>50.00</w:t>
            </w:r>
          </w:p>
        </w:tc>
        <w:tc>
          <w:tcPr>
            <w:tcW w:w="854" w:type="pct"/>
          </w:tcPr>
          <w:p w:rsidR="00312ECE" w:rsidRDefault="00312ECE">
            <w:pPr>
              <w:spacing w:before="60" w:after="60" w:line="240" w:lineRule="exact"/>
              <w:jc w:val="center"/>
              <w:rPr>
                <w:sz w:val="18"/>
              </w:rPr>
            </w:pPr>
            <w:r>
              <w:rPr>
                <w:sz w:val="18"/>
              </w:rPr>
              <w:t>84.47</w:t>
            </w:r>
          </w:p>
        </w:tc>
        <w:tc>
          <w:tcPr>
            <w:tcW w:w="853" w:type="pct"/>
          </w:tcPr>
          <w:p w:rsidR="00312ECE" w:rsidRDefault="00312ECE">
            <w:pPr>
              <w:spacing w:before="60" w:after="60" w:line="240" w:lineRule="exact"/>
              <w:jc w:val="center"/>
              <w:rPr>
                <w:sz w:val="18"/>
              </w:rPr>
            </w:pPr>
            <w:r>
              <w:rPr>
                <w:sz w:val="18"/>
              </w:rPr>
              <w:t>59.2</w:t>
            </w:r>
          </w:p>
        </w:tc>
        <w:tc>
          <w:tcPr>
            <w:tcW w:w="919" w:type="pct"/>
          </w:tcPr>
          <w:p w:rsidR="00312ECE" w:rsidRDefault="00312ECE">
            <w:pPr>
              <w:spacing w:before="60" w:after="60" w:line="240" w:lineRule="exact"/>
              <w:jc w:val="center"/>
              <w:rPr>
                <w:sz w:val="18"/>
              </w:rPr>
            </w:pPr>
            <w:r>
              <w:rPr>
                <w:sz w:val="18"/>
              </w:rPr>
              <w:t>149.53</w:t>
            </w:r>
          </w:p>
        </w:tc>
        <w:tc>
          <w:tcPr>
            <w:tcW w:w="840" w:type="pct"/>
          </w:tcPr>
          <w:p w:rsidR="00312ECE" w:rsidRDefault="00312ECE">
            <w:pPr>
              <w:spacing w:before="60" w:after="60" w:line="240" w:lineRule="exact"/>
              <w:jc w:val="center"/>
              <w:rPr>
                <w:sz w:val="18"/>
              </w:rPr>
            </w:pPr>
            <w:r>
              <w:rPr>
                <w:sz w:val="18"/>
              </w:rPr>
              <w:t>33.4</w:t>
            </w:r>
          </w:p>
        </w:tc>
      </w:tr>
      <w:tr w:rsidR="00312ECE">
        <w:tblPrEx>
          <w:tblCellMar>
            <w:top w:w="0" w:type="dxa"/>
            <w:bottom w:w="0" w:type="dxa"/>
          </w:tblCellMar>
        </w:tblPrEx>
        <w:tc>
          <w:tcPr>
            <w:tcW w:w="679" w:type="pct"/>
          </w:tcPr>
          <w:p w:rsidR="00312ECE" w:rsidRDefault="00312ECE">
            <w:pPr>
              <w:spacing w:before="60" w:after="60" w:line="240" w:lineRule="exact"/>
              <w:jc w:val="center"/>
              <w:rPr>
                <w:sz w:val="18"/>
              </w:rPr>
            </w:pPr>
            <w:r>
              <w:rPr>
                <w:sz w:val="18"/>
              </w:rPr>
              <w:t>2001</w:t>
            </w:r>
          </w:p>
        </w:tc>
        <w:tc>
          <w:tcPr>
            <w:tcW w:w="855" w:type="pct"/>
          </w:tcPr>
          <w:p w:rsidR="00312ECE" w:rsidRDefault="00312ECE">
            <w:pPr>
              <w:spacing w:before="60" w:after="60" w:line="240" w:lineRule="exact"/>
              <w:jc w:val="center"/>
              <w:rPr>
                <w:sz w:val="18"/>
              </w:rPr>
            </w:pPr>
            <w:r>
              <w:rPr>
                <w:sz w:val="18"/>
              </w:rPr>
              <w:t>55.00</w:t>
            </w:r>
          </w:p>
        </w:tc>
        <w:tc>
          <w:tcPr>
            <w:tcW w:w="854" w:type="pct"/>
          </w:tcPr>
          <w:p w:rsidR="00312ECE" w:rsidRDefault="00312ECE">
            <w:pPr>
              <w:spacing w:before="60" w:after="60" w:line="240" w:lineRule="exact"/>
              <w:jc w:val="center"/>
              <w:rPr>
                <w:sz w:val="18"/>
              </w:rPr>
            </w:pPr>
            <w:r>
              <w:rPr>
                <w:sz w:val="18"/>
              </w:rPr>
              <w:t>86.93</w:t>
            </w:r>
          </w:p>
        </w:tc>
        <w:tc>
          <w:tcPr>
            <w:tcW w:w="853" w:type="pct"/>
          </w:tcPr>
          <w:p w:rsidR="00312ECE" w:rsidRDefault="00312ECE">
            <w:pPr>
              <w:spacing w:before="60" w:after="60" w:line="240" w:lineRule="exact"/>
              <w:jc w:val="center"/>
              <w:rPr>
                <w:sz w:val="18"/>
              </w:rPr>
            </w:pPr>
            <w:r>
              <w:rPr>
                <w:sz w:val="18"/>
              </w:rPr>
              <w:t>69.0</w:t>
            </w:r>
          </w:p>
        </w:tc>
        <w:tc>
          <w:tcPr>
            <w:tcW w:w="919" w:type="pct"/>
          </w:tcPr>
          <w:p w:rsidR="00312ECE" w:rsidRDefault="00312ECE">
            <w:pPr>
              <w:spacing w:before="60" w:after="60" w:line="240" w:lineRule="exact"/>
              <w:jc w:val="center"/>
              <w:rPr>
                <w:sz w:val="18"/>
              </w:rPr>
            </w:pPr>
            <w:r>
              <w:rPr>
                <w:rFonts w:hint="eastAsia"/>
                <w:sz w:val="18"/>
              </w:rPr>
              <w:t>16 0</w:t>
            </w:r>
            <w:r>
              <w:rPr>
                <w:sz w:val="18"/>
              </w:rPr>
              <w:t>.</w:t>
            </w:r>
            <w:r>
              <w:rPr>
                <w:rFonts w:hint="eastAsia"/>
                <w:sz w:val="18"/>
              </w:rPr>
              <w:t>61(预测)</w:t>
            </w:r>
          </w:p>
        </w:tc>
        <w:tc>
          <w:tcPr>
            <w:tcW w:w="840" w:type="pct"/>
          </w:tcPr>
          <w:p w:rsidR="00312ECE" w:rsidRDefault="00312ECE">
            <w:pPr>
              <w:spacing w:before="60" w:after="60" w:line="240" w:lineRule="exact"/>
              <w:jc w:val="center"/>
              <w:rPr>
                <w:sz w:val="18"/>
              </w:rPr>
            </w:pPr>
            <w:r>
              <w:rPr>
                <w:sz w:val="18"/>
              </w:rPr>
              <w:t>34.2</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140.  《劳工法典》对自然人在劳动关系方面的普遍平等做出了规定。该法还规定，雇员与雇主签署就业合同后，有权领取薪酬。</w:t>
      </w:r>
    </w:p>
    <w:p w:rsidR="00312ECE" w:rsidRDefault="00312ECE">
      <w:pPr>
        <w:pStyle w:val="SingleTxt"/>
        <w:rPr>
          <w:rFonts w:hint="eastAsia"/>
        </w:rPr>
      </w:pPr>
      <w:r>
        <w:rPr>
          <w:rFonts w:hint="eastAsia"/>
        </w:rPr>
        <w:t>141.  《劳工法》规定，根据就业合同，雇员有责任完成一些工作，并要遵守既定工作程序和雇主的指示，而雇主有责任支付议定的薪酬，并提供公平、安全并且无害健康的工作条件。雇主的职责是就同一类型的工作或者相同价值的工作为男女确定同等薪酬。如果雇主违反有关条款所载规定，雇员有权要求通常由雇主为同一类型的工作或者同等价值的工作支付的薪酬。</w:t>
      </w:r>
    </w:p>
    <w:p w:rsidR="00312ECE" w:rsidRDefault="00312ECE">
      <w:pPr>
        <w:pStyle w:val="SingleTxt"/>
        <w:rPr>
          <w:rFonts w:hint="eastAsia"/>
        </w:rPr>
      </w:pPr>
      <w:r>
        <w:rPr>
          <w:rFonts w:hint="eastAsia"/>
        </w:rPr>
        <w:t>142.  为评估脑力工作，部长内阁1996年5月28日通过了“评估脑力工作及确定资格类别的基本方法规定”第185号条例，适用于评估企业、公共组织及宗教组织、政党等的脑力工作。由国家预算提供资金的机构有义务实行该条例。目前，评估体力劳动的条例草案正在拟定当中。</w:t>
      </w:r>
    </w:p>
    <w:p w:rsidR="00312ECE" w:rsidRDefault="00312ECE">
      <w:pPr>
        <w:pStyle w:val="SingleTxt"/>
        <w:rPr>
          <w:rFonts w:hint="eastAsia"/>
        </w:rPr>
      </w:pPr>
      <w:r>
        <w:rPr>
          <w:rFonts w:hint="eastAsia"/>
        </w:rPr>
        <w:t>143.  无论雇员的性别如何，加班薪酬也应核算。</w:t>
      </w:r>
    </w:p>
    <w:p w:rsidR="00312ECE" w:rsidRDefault="00312ECE">
      <w:pPr>
        <w:pStyle w:val="SingleTxt"/>
        <w:rPr>
          <w:rFonts w:hint="eastAsia"/>
        </w:rPr>
      </w:pPr>
      <w:r>
        <w:rPr>
          <w:rFonts w:hint="eastAsia"/>
        </w:rPr>
        <w:t>144.  拉脱维亚的一些法案（譬如，“司法机构”法、“国家管制”法、“检察官办公室”法），对由国家预算提供资金的机构雇员薪酬制度具有约束力。在这种情况下，雇员的薪酬依其地位及资格类别而定。</w:t>
      </w:r>
    </w:p>
    <w:p w:rsidR="00312ECE" w:rsidRDefault="00312ECE">
      <w:pPr>
        <w:pStyle w:val="SingleTxt"/>
        <w:rPr>
          <w:rFonts w:hint="eastAsia"/>
        </w:rPr>
      </w:pPr>
      <w:r>
        <w:rPr>
          <w:rFonts w:hint="eastAsia"/>
        </w:rPr>
        <w:t>145.  上述各种规范法确定了同工同酬的原则。不过，考虑到在由国家预算提供资金的各种机构工作的雇员的薪酬按特定法规支付，这项原则不可能始终得到遵守，同等价值的工作在不同机构的薪酬各异。这种薪酬与人的性别无关，但与各种薪酬制度的存在有关，原因是这些薪酬制度中的基本薪资审查未经相互协调，其后果是基本薪资以及同等价值工作的其他费用差幅很大。为了消解现有矛盾，改善薪酬领域的状况，财政部正着手实行薪酬改革，其中包括制定两种新的薪酬制度。</w:t>
      </w:r>
    </w:p>
    <w:p w:rsidR="00312ECE" w:rsidRDefault="00312ECE">
      <w:pPr>
        <w:pStyle w:val="SingleTxt"/>
        <w:rPr>
          <w:rFonts w:hint="eastAsia"/>
        </w:rPr>
      </w:pPr>
      <w:r>
        <w:rPr>
          <w:rFonts w:hint="eastAsia"/>
        </w:rPr>
        <w:t>146.  根据2001年“国家公务员制度”法，部长内阁通常了“国家公务员薪酬及福利规定”（02.01.2001.）第20号法规。这些法规在完全实施国家机构新的薪酬制度前，对确定公务员薪酬和福利及其数额的程序做出了规定。</w:t>
      </w:r>
    </w:p>
    <w:p w:rsidR="00312ECE" w:rsidRDefault="00312ECE">
      <w:pPr>
        <w:pStyle w:val="SingleTxt"/>
        <w:rPr>
          <w:rFonts w:hint="eastAsia"/>
        </w:rPr>
      </w:pPr>
      <w:r>
        <w:rPr>
          <w:rFonts w:hint="eastAsia"/>
        </w:rPr>
        <w:t>147.  《劳工法》第85条规定，国家及地方机构、企业和组织的雇员的薪酬依照集体就业合同或个人就业合同根据相关机构、企业或组织的财力而定，与雇员的性别无关系。同一条款规定，正式职位、手工艺、职业或专业的名称由雇主根据“职业分类”确定，而资格类别根据完成的工作给予。根据“国家公务员制度”法第36条及部长内阁1996年5月28日第185号法规“评估脑力工作及确定资格类别的基本方法规定”第2段，部长内阁2001年10月23日签署了第5号指令“评估职位和确定职业资格类别的程序”，制定了评估职位及确定有关公职部门职位适用的资格类别的统一程序和标准。</w:t>
      </w:r>
    </w:p>
    <w:p w:rsidR="00312ECE" w:rsidRDefault="00312ECE">
      <w:pPr>
        <w:pStyle w:val="SingleTxt"/>
        <w:rPr>
          <w:rFonts w:hint="eastAsia"/>
        </w:rPr>
      </w:pPr>
      <w:r>
        <w:rPr>
          <w:rFonts w:hint="eastAsia"/>
        </w:rPr>
        <w:t>148.  目前，薪酬制度改革的第一阶段正在实施当中：为公共管理机构的官员和雇员制定一种单一薪酬制度，是公共管理机构改革的内容之一。根据新的薪酬制度，确定公共管理机构的官员及雇员的薪酬时将考虑下述因素：</w:t>
      </w:r>
    </w:p>
    <w:p w:rsidR="00312ECE" w:rsidRDefault="00312ECE">
      <w:pPr>
        <w:pStyle w:val="SingleTxt"/>
        <w:rPr>
          <w:rFonts w:hint="eastAsia"/>
        </w:rPr>
      </w:pPr>
      <w:r>
        <w:rPr>
          <w:rFonts w:hint="eastAsia"/>
        </w:rPr>
        <w:tab/>
        <w:t>(a)</w:t>
      </w:r>
      <w:r>
        <w:rPr>
          <w:rFonts w:hint="eastAsia"/>
        </w:rPr>
        <w:tab/>
        <w:t>职位的资格类别，将根据评估职位的方法通过分析职位来确定。</w:t>
      </w:r>
    </w:p>
    <w:p w:rsidR="00312ECE" w:rsidRDefault="00312ECE">
      <w:pPr>
        <w:pStyle w:val="SingleTxt"/>
        <w:rPr>
          <w:rFonts w:hint="eastAsia"/>
        </w:rPr>
      </w:pPr>
      <w:r>
        <w:rPr>
          <w:rFonts w:hint="eastAsia"/>
        </w:rPr>
        <w:tab/>
        <w:t>(</w:t>
      </w:r>
      <w:r>
        <w:t>b</w:t>
      </w:r>
      <w:r>
        <w:rPr>
          <w:rFonts w:hint="eastAsia"/>
        </w:rPr>
        <w:t>)</w:t>
      </w:r>
      <w:r>
        <w:rPr>
          <w:rFonts w:hint="eastAsia"/>
        </w:rPr>
        <w:tab/>
        <w:t>官员及雇员的资格程度，将依据评估职位的方法授予。</w:t>
      </w:r>
    </w:p>
    <w:p w:rsidR="00312ECE" w:rsidRDefault="00312ECE">
      <w:pPr>
        <w:pStyle w:val="SingleTxt"/>
        <w:rPr>
          <w:rFonts w:hint="eastAsia"/>
        </w:rPr>
      </w:pPr>
      <w:r>
        <w:rPr>
          <w:rFonts w:hint="eastAsia"/>
        </w:rPr>
        <w:t>149.  因此，新的薪酬制度的主要标准是官员及雇员的贡献，每个官员及雇员的工作质量及薪酬的提高将依他的工作业绩而定。根据上述内容，新的薪酬制度将遵循性别平等原则，特定人士的薪酬将不取决于他的种族、肤色、性别、年龄、宗教、政治或其他信仰、民族或社会血统以及经济状况。</w:t>
      </w:r>
    </w:p>
    <w:p w:rsidR="00312ECE" w:rsidRDefault="00312ECE">
      <w:pPr>
        <w:pStyle w:val="SingleTxt"/>
        <w:rPr>
          <w:rFonts w:hint="eastAsia"/>
        </w:rPr>
      </w:pPr>
      <w:r>
        <w:rPr>
          <w:rFonts w:hint="eastAsia"/>
        </w:rPr>
        <w:t>150.  妇女雇主的人数相对很少（参见下表）。</w:t>
      </w:r>
    </w:p>
    <w:p w:rsidR="00312ECE" w:rsidRDefault="00312ECE">
      <w:pPr>
        <w:pStyle w:val="SingleTxt"/>
        <w:rPr>
          <w:rFonts w:ascii="SimHei" w:eastAsia="SimHei" w:hint="eastAsia"/>
          <w:color w:val="FF0000"/>
        </w:rPr>
      </w:pPr>
      <w:r>
        <w:rPr>
          <w:rFonts w:ascii="SimHei" w:eastAsia="SimHei" w:hint="eastAsia"/>
          <w:color w:val="FF0000"/>
        </w:rPr>
        <w:t>按就业状况列示的就业人口分布情况（%）</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19"/>
        <w:gridCol w:w="819"/>
        <w:gridCol w:w="819"/>
        <w:gridCol w:w="820"/>
        <w:gridCol w:w="820"/>
        <w:gridCol w:w="820"/>
        <w:gridCol w:w="820"/>
        <w:gridCol w:w="820"/>
        <w:gridCol w:w="814"/>
      </w:tblGrid>
      <w:tr w:rsidR="00312ECE">
        <w:tblPrEx>
          <w:tblCellMar>
            <w:top w:w="0" w:type="dxa"/>
            <w:bottom w:w="0" w:type="dxa"/>
          </w:tblCellMar>
        </w:tblPrEx>
        <w:trPr>
          <w:cantSplit/>
        </w:trPr>
        <w:tc>
          <w:tcPr>
            <w:tcW w:w="556" w:type="pct"/>
            <w:vMerge w:val="restart"/>
          </w:tcPr>
          <w:p w:rsidR="00312ECE" w:rsidRDefault="00312ECE">
            <w:pPr>
              <w:spacing w:before="40" w:after="40" w:line="240" w:lineRule="exact"/>
              <w:rPr>
                <w:rFonts w:ascii="KaiTi_GB2312" w:eastAsia="KaiTi_GB2312" w:hint="eastAsia"/>
                <w:color w:val="0000FF"/>
                <w:sz w:val="14"/>
              </w:rPr>
            </w:pPr>
          </w:p>
        </w:tc>
        <w:tc>
          <w:tcPr>
            <w:tcW w:w="1111" w:type="pct"/>
            <w:gridSpan w:val="2"/>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雇员</w:t>
            </w:r>
          </w:p>
        </w:tc>
        <w:tc>
          <w:tcPr>
            <w:tcW w:w="1111" w:type="pct"/>
            <w:gridSpan w:val="2"/>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雇主</w:t>
            </w:r>
          </w:p>
        </w:tc>
        <w:tc>
          <w:tcPr>
            <w:tcW w:w="1111" w:type="pct"/>
            <w:gridSpan w:val="2"/>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自营职业者</w:t>
            </w:r>
          </w:p>
        </w:tc>
        <w:tc>
          <w:tcPr>
            <w:tcW w:w="1111" w:type="pct"/>
            <w:gridSpan w:val="2"/>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无酬家庭成员、亲属</w:t>
            </w:r>
          </w:p>
        </w:tc>
      </w:tr>
      <w:tr w:rsidR="00312ECE">
        <w:tblPrEx>
          <w:tblCellMar>
            <w:top w:w="0" w:type="dxa"/>
            <w:bottom w:w="0" w:type="dxa"/>
          </w:tblCellMar>
        </w:tblPrEx>
        <w:trPr>
          <w:cantSplit/>
        </w:trPr>
        <w:tc>
          <w:tcPr>
            <w:tcW w:w="556" w:type="pct"/>
            <w:vMerge/>
          </w:tcPr>
          <w:p w:rsidR="00312ECE" w:rsidRDefault="00312ECE">
            <w:pPr>
              <w:spacing w:before="40" w:after="40" w:line="240" w:lineRule="exact"/>
              <w:rPr>
                <w:rFonts w:ascii="KaiTi_GB2312" w:eastAsia="KaiTi_GB2312" w:hint="eastAsia"/>
                <w:color w:val="0000FF"/>
                <w:sz w:val="14"/>
              </w:rPr>
            </w:pP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556"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r>
      <w:tr w:rsidR="00312ECE">
        <w:tblPrEx>
          <w:tblCellMar>
            <w:top w:w="0" w:type="dxa"/>
            <w:bottom w:w="0" w:type="dxa"/>
          </w:tblCellMar>
        </w:tblPrEx>
        <w:tc>
          <w:tcPr>
            <w:tcW w:w="556" w:type="pct"/>
          </w:tcPr>
          <w:p w:rsidR="00312ECE" w:rsidRDefault="00312ECE">
            <w:pPr>
              <w:spacing w:before="60" w:after="60" w:line="240" w:lineRule="exact"/>
              <w:rPr>
                <w:rFonts w:hint="eastAsia"/>
                <w:sz w:val="18"/>
              </w:rPr>
            </w:pPr>
            <w:r>
              <w:rPr>
                <w:sz w:val="18"/>
              </w:rPr>
              <w:t>1995</w:t>
            </w:r>
            <w:r>
              <w:rPr>
                <w:rFonts w:hint="eastAsia"/>
                <w:sz w:val="18"/>
              </w:rPr>
              <w:t>年</w:t>
            </w:r>
          </w:p>
        </w:tc>
        <w:tc>
          <w:tcPr>
            <w:tcW w:w="556" w:type="pct"/>
          </w:tcPr>
          <w:p w:rsidR="00312ECE" w:rsidRDefault="00312ECE">
            <w:pPr>
              <w:spacing w:before="60" w:after="60" w:line="240" w:lineRule="exact"/>
              <w:jc w:val="center"/>
              <w:rPr>
                <w:rFonts w:hint="eastAsia"/>
                <w:sz w:val="18"/>
              </w:rPr>
            </w:pPr>
            <w:r>
              <w:rPr>
                <w:rFonts w:hint="eastAsia"/>
                <w:sz w:val="18"/>
              </w:rPr>
              <w:t>51</w:t>
            </w:r>
            <w:r>
              <w:rPr>
                <w:sz w:val="18"/>
              </w:rPr>
              <w:t>.</w:t>
            </w:r>
            <w:r>
              <w:rPr>
                <w:rFonts w:hint="eastAsia"/>
                <w:sz w:val="18"/>
              </w:rPr>
              <w:t>7</w:t>
            </w:r>
          </w:p>
        </w:tc>
        <w:tc>
          <w:tcPr>
            <w:tcW w:w="556" w:type="pct"/>
          </w:tcPr>
          <w:p w:rsidR="00312ECE" w:rsidRDefault="00312ECE">
            <w:pPr>
              <w:spacing w:before="60" w:after="60" w:line="240" w:lineRule="exact"/>
              <w:jc w:val="center"/>
              <w:rPr>
                <w:sz w:val="18"/>
              </w:rPr>
            </w:pPr>
            <w:r>
              <w:rPr>
                <w:sz w:val="18"/>
              </w:rPr>
              <w:t>48.3</w:t>
            </w:r>
          </w:p>
        </w:tc>
        <w:tc>
          <w:tcPr>
            <w:tcW w:w="556" w:type="pct"/>
          </w:tcPr>
          <w:p w:rsidR="00312ECE" w:rsidRDefault="00312ECE">
            <w:pPr>
              <w:spacing w:before="60" w:after="60" w:line="240" w:lineRule="exact"/>
              <w:jc w:val="center"/>
              <w:rPr>
                <w:sz w:val="18"/>
              </w:rPr>
            </w:pPr>
            <w:r>
              <w:rPr>
                <w:sz w:val="18"/>
              </w:rPr>
              <w:t>70.3</w:t>
            </w:r>
          </w:p>
        </w:tc>
        <w:tc>
          <w:tcPr>
            <w:tcW w:w="556" w:type="pct"/>
          </w:tcPr>
          <w:p w:rsidR="00312ECE" w:rsidRDefault="00312ECE">
            <w:pPr>
              <w:spacing w:before="60" w:after="60" w:line="240" w:lineRule="exact"/>
              <w:jc w:val="center"/>
              <w:rPr>
                <w:sz w:val="18"/>
              </w:rPr>
            </w:pPr>
            <w:r>
              <w:rPr>
                <w:sz w:val="18"/>
              </w:rPr>
              <w:t>29.7</w:t>
            </w:r>
          </w:p>
        </w:tc>
        <w:tc>
          <w:tcPr>
            <w:tcW w:w="556" w:type="pct"/>
          </w:tcPr>
          <w:p w:rsidR="00312ECE" w:rsidRDefault="00312ECE">
            <w:pPr>
              <w:spacing w:before="60" w:after="60" w:line="240" w:lineRule="exact"/>
              <w:jc w:val="center"/>
              <w:rPr>
                <w:sz w:val="18"/>
              </w:rPr>
            </w:pPr>
            <w:r>
              <w:rPr>
                <w:sz w:val="18"/>
              </w:rPr>
              <w:t>64.6</w:t>
            </w:r>
          </w:p>
        </w:tc>
        <w:tc>
          <w:tcPr>
            <w:tcW w:w="556" w:type="pct"/>
          </w:tcPr>
          <w:p w:rsidR="00312ECE" w:rsidRDefault="00312ECE">
            <w:pPr>
              <w:spacing w:before="60" w:after="60" w:line="240" w:lineRule="exact"/>
              <w:jc w:val="center"/>
              <w:rPr>
                <w:sz w:val="18"/>
              </w:rPr>
            </w:pPr>
            <w:r>
              <w:rPr>
                <w:sz w:val="18"/>
              </w:rPr>
              <w:t>35.4</w:t>
            </w:r>
          </w:p>
        </w:tc>
        <w:tc>
          <w:tcPr>
            <w:tcW w:w="556" w:type="pct"/>
          </w:tcPr>
          <w:p w:rsidR="00312ECE" w:rsidRDefault="00312ECE">
            <w:pPr>
              <w:spacing w:before="60" w:after="60" w:line="240" w:lineRule="exact"/>
              <w:jc w:val="center"/>
              <w:rPr>
                <w:sz w:val="18"/>
              </w:rPr>
            </w:pPr>
            <w:r>
              <w:rPr>
                <w:sz w:val="18"/>
              </w:rPr>
              <w:t>45.3</w:t>
            </w:r>
          </w:p>
        </w:tc>
        <w:tc>
          <w:tcPr>
            <w:tcW w:w="556" w:type="pct"/>
          </w:tcPr>
          <w:p w:rsidR="00312ECE" w:rsidRDefault="00312ECE">
            <w:pPr>
              <w:spacing w:before="60" w:after="60" w:line="240" w:lineRule="exact"/>
              <w:jc w:val="center"/>
              <w:rPr>
                <w:sz w:val="18"/>
              </w:rPr>
            </w:pPr>
            <w:r>
              <w:rPr>
                <w:sz w:val="18"/>
              </w:rPr>
              <w:t>54.7</w:t>
            </w:r>
          </w:p>
        </w:tc>
      </w:tr>
      <w:tr w:rsidR="00312ECE">
        <w:tblPrEx>
          <w:tblCellMar>
            <w:top w:w="0" w:type="dxa"/>
            <w:bottom w:w="0" w:type="dxa"/>
          </w:tblCellMar>
        </w:tblPrEx>
        <w:tc>
          <w:tcPr>
            <w:tcW w:w="556" w:type="pct"/>
          </w:tcPr>
          <w:p w:rsidR="00312ECE" w:rsidRDefault="00312ECE">
            <w:pPr>
              <w:spacing w:before="60" w:after="60" w:line="240" w:lineRule="exact"/>
              <w:rPr>
                <w:rFonts w:hint="eastAsia"/>
                <w:sz w:val="18"/>
              </w:rPr>
            </w:pPr>
            <w:r>
              <w:rPr>
                <w:sz w:val="18"/>
              </w:rPr>
              <w:t>1996</w:t>
            </w:r>
            <w:r>
              <w:rPr>
                <w:rFonts w:hint="eastAsia"/>
                <w:sz w:val="18"/>
              </w:rPr>
              <w:t>年</w:t>
            </w:r>
          </w:p>
        </w:tc>
        <w:tc>
          <w:tcPr>
            <w:tcW w:w="556" w:type="pct"/>
          </w:tcPr>
          <w:p w:rsidR="00312ECE" w:rsidRDefault="00312ECE">
            <w:pPr>
              <w:spacing w:before="60" w:after="60" w:line="240" w:lineRule="exact"/>
              <w:jc w:val="center"/>
              <w:rPr>
                <w:sz w:val="18"/>
              </w:rPr>
            </w:pPr>
            <w:r>
              <w:rPr>
                <w:sz w:val="18"/>
              </w:rPr>
              <w:t>51.1</w:t>
            </w:r>
          </w:p>
        </w:tc>
        <w:tc>
          <w:tcPr>
            <w:tcW w:w="556" w:type="pct"/>
          </w:tcPr>
          <w:p w:rsidR="00312ECE" w:rsidRDefault="00312ECE">
            <w:pPr>
              <w:spacing w:before="60" w:after="60" w:line="240" w:lineRule="exact"/>
              <w:jc w:val="center"/>
              <w:rPr>
                <w:sz w:val="18"/>
              </w:rPr>
            </w:pPr>
            <w:r>
              <w:rPr>
                <w:sz w:val="18"/>
              </w:rPr>
              <w:t>48.9</w:t>
            </w:r>
          </w:p>
        </w:tc>
        <w:tc>
          <w:tcPr>
            <w:tcW w:w="556" w:type="pct"/>
          </w:tcPr>
          <w:p w:rsidR="00312ECE" w:rsidRDefault="00312ECE">
            <w:pPr>
              <w:spacing w:before="60" w:after="60" w:line="240" w:lineRule="exact"/>
              <w:jc w:val="center"/>
              <w:rPr>
                <w:sz w:val="18"/>
              </w:rPr>
            </w:pPr>
            <w:r>
              <w:rPr>
                <w:sz w:val="18"/>
              </w:rPr>
              <w:t>72.0</w:t>
            </w:r>
          </w:p>
        </w:tc>
        <w:tc>
          <w:tcPr>
            <w:tcW w:w="556" w:type="pct"/>
          </w:tcPr>
          <w:p w:rsidR="00312ECE" w:rsidRDefault="00312ECE">
            <w:pPr>
              <w:spacing w:before="60" w:after="60" w:line="240" w:lineRule="exact"/>
              <w:jc w:val="center"/>
              <w:rPr>
                <w:sz w:val="18"/>
              </w:rPr>
            </w:pPr>
            <w:r>
              <w:rPr>
                <w:sz w:val="18"/>
              </w:rPr>
              <w:t>28.0</w:t>
            </w:r>
          </w:p>
        </w:tc>
        <w:tc>
          <w:tcPr>
            <w:tcW w:w="556" w:type="pct"/>
          </w:tcPr>
          <w:p w:rsidR="00312ECE" w:rsidRDefault="00312ECE">
            <w:pPr>
              <w:spacing w:before="60" w:after="60" w:line="240" w:lineRule="exact"/>
              <w:jc w:val="center"/>
              <w:rPr>
                <w:sz w:val="18"/>
              </w:rPr>
            </w:pPr>
            <w:r>
              <w:rPr>
                <w:sz w:val="18"/>
              </w:rPr>
              <w:t>60.3</w:t>
            </w:r>
          </w:p>
        </w:tc>
        <w:tc>
          <w:tcPr>
            <w:tcW w:w="556" w:type="pct"/>
          </w:tcPr>
          <w:p w:rsidR="00312ECE" w:rsidRDefault="00312ECE">
            <w:pPr>
              <w:spacing w:before="60" w:after="60" w:line="240" w:lineRule="exact"/>
              <w:jc w:val="center"/>
              <w:rPr>
                <w:sz w:val="18"/>
              </w:rPr>
            </w:pPr>
            <w:r>
              <w:rPr>
                <w:sz w:val="18"/>
              </w:rPr>
              <w:t>39.7</w:t>
            </w:r>
          </w:p>
        </w:tc>
        <w:tc>
          <w:tcPr>
            <w:tcW w:w="556" w:type="pct"/>
          </w:tcPr>
          <w:p w:rsidR="00312ECE" w:rsidRDefault="00312ECE">
            <w:pPr>
              <w:spacing w:before="60" w:after="60" w:line="240" w:lineRule="exact"/>
              <w:jc w:val="center"/>
              <w:rPr>
                <w:sz w:val="18"/>
              </w:rPr>
            </w:pPr>
            <w:r>
              <w:rPr>
                <w:sz w:val="18"/>
              </w:rPr>
              <w:t>46.1</w:t>
            </w:r>
          </w:p>
        </w:tc>
        <w:tc>
          <w:tcPr>
            <w:tcW w:w="556" w:type="pct"/>
          </w:tcPr>
          <w:p w:rsidR="00312ECE" w:rsidRDefault="00312ECE">
            <w:pPr>
              <w:spacing w:before="60" w:after="60" w:line="240" w:lineRule="exact"/>
              <w:jc w:val="center"/>
              <w:rPr>
                <w:sz w:val="18"/>
              </w:rPr>
            </w:pPr>
            <w:r>
              <w:rPr>
                <w:sz w:val="18"/>
              </w:rPr>
              <w:t>53.9</w:t>
            </w:r>
          </w:p>
        </w:tc>
      </w:tr>
      <w:tr w:rsidR="00312ECE">
        <w:tblPrEx>
          <w:tblCellMar>
            <w:top w:w="0" w:type="dxa"/>
            <w:bottom w:w="0" w:type="dxa"/>
          </w:tblCellMar>
        </w:tblPrEx>
        <w:tc>
          <w:tcPr>
            <w:tcW w:w="556" w:type="pct"/>
          </w:tcPr>
          <w:p w:rsidR="00312ECE" w:rsidRDefault="00312ECE">
            <w:pPr>
              <w:spacing w:before="60" w:after="60" w:line="240" w:lineRule="exact"/>
              <w:rPr>
                <w:sz w:val="18"/>
              </w:rPr>
            </w:pPr>
            <w:r>
              <w:rPr>
                <w:sz w:val="18"/>
              </w:rPr>
              <w:t>1997</w:t>
            </w:r>
            <w:r>
              <w:rPr>
                <w:rFonts w:hint="eastAsia"/>
                <w:sz w:val="18"/>
              </w:rPr>
              <w:t>年</w:t>
            </w:r>
          </w:p>
        </w:tc>
        <w:tc>
          <w:tcPr>
            <w:tcW w:w="556" w:type="pct"/>
          </w:tcPr>
          <w:p w:rsidR="00312ECE" w:rsidRDefault="00312ECE">
            <w:pPr>
              <w:spacing w:before="60" w:after="60" w:line="240" w:lineRule="exact"/>
              <w:jc w:val="center"/>
              <w:rPr>
                <w:sz w:val="18"/>
              </w:rPr>
            </w:pPr>
            <w:r>
              <w:rPr>
                <w:sz w:val="18"/>
              </w:rPr>
              <w:t>51.2</w:t>
            </w:r>
          </w:p>
        </w:tc>
        <w:tc>
          <w:tcPr>
            <w:tcW w:w="556" w:type="pct"/>
          </w:tcPr>
          <w:p w:rsidR="00312ECE" w:rsidRDefault="00312ECE">
            <w:pPr>
              <w:pStyle w:val="Header"/>
              <w:tabs>
                <w:tab w:val="clear" w:pos="4320"/>
                <w:tab w:val="clear" w:pos="8640"/>
              </w:tabs>
              <w:spacing w:before="60" w:after="60" w:line="240" w:lineRule="exact"/>
            </w:pPr>
            <w:r>
              <w:t>48.8</w:t>
            </w:r>
          </w:p>
        </w:tc>
        <w:tc>
          <w:tcPr>
            <w:tcW w:w="556" w:type="pct"/>
          </w:tcPr>
          <w:p w:rsidR="00312ECE" w:rsidRDefault="00312ECE">
            <w:pPr>
              <w:spacing w:before="60" w:after="60" w:line="240" w:lineRule="exact"/>
              <w:jc w:val="center"/>
              <w:rPr>
                <w:sz w:val="18"/>
              </w:rPr>
            </w:pPr>
            <w:r>
              <w:rPr>
                <w:sz w:val="18"/>
              </w:rPr>
              <w:t>75.6</w:t>
            </w:r>
          </w:p>
        </w:tc>
        <w:tc>
          <w:tcPr>
            <w:tcW w:w="556" w:type="pct"/>
          </w:tcPr>
          <w:p w:rsidR="00312ECE" w:rsidRDefault="00312ECE">
            <w:pPr>
              <w:spacing w:before="60" w:after="60" w:line="240" w:lineRule="exact"/>
              <w:jc w:val="center"/>
              <w:rPr>
                <w:sz w:val="18"/>
              </w:rPr>
            </w:pPr>
            <w:r>
              <w:rPr>
                <w:sz w:val="18"/>
              </w:rPr>
              <w:t>24.4</w:t>
            </w:r>
          </w:p>
        </w:tc>
        <w:tc>
          <w:tcPr>
            <w:tcW w:w="556" w:type="pct"/>
          </w:tcPr>
          <w:p w:rsidR="00312ECE" w:rsidRDefault="00312ECE">
            <w:pPr>
              <w:spacing w:before="60" w:after="60" w:line="240" w:lineRule="exact"/>
              <w:jc w:val="center"/>
              <w:rPr>
                <w:sz w:val="18"/>
              </w:rPr>
            </w:pPr>
            <w:r>
              <w:rPr>
                <w:sz w:val="18"/>
              </w:rPr>
              <w:t>54.8</w:t>
            </w:r>
          </w:p>
        </w:tc>
        <w:tc>
          <w:tcPr>
            <w:tcW w:w="556" w:type="pct"/>
          </w:tcPr>
          <w:p w:rsidR="00312ECE" w:rsidRDefault="00312ECE">
            <w:pPr>
              <w:spacing w:before="60" w:after="60" w:line="240" w:lineRule="exact"/>
              <w:jc w:val="center"/>
              <w:rPr>
                <w:sz w:val="18"/>
              </w:rPr>
            </w:pPr>
            <w:r>
              <w:rPr>
                <w:sz w:val="18"/>
              </w:rPr>
              <w:t>45.2</w:t>
            </w:r>
          </w:p>
        </w:tc>
        <w:tc>
          <w:tcPr>
            <w:tcW w:w="556" w:type="pct"/>
          </w:tcPr>
          <w:p w:rsidR="00312ECE" w:rsidRDefault="00312ECE">
            <w:pPr>
              <w:spacing w:before="60" w:after="60" w:line="240" w:lineRule="exact"/>
              <w:jc w:val="center"/>
              <w:rPr>
                <w:sz w:val="18"/>
              </w:rPr>
            </w:pPr>
            <w:r>
              <w:rPr>
                <w:sz w:val="18"/>
              </w:rPr>
              <w:t>43.0</w:t>
            </w:r>
          </w:p>
        </w:tc>
        <w:tc>
          <w:tcPr>
            <w:tcW w:w="556" w:type="pct"/>
          </w:tcPr>
          <w:p w:rsidR="00312ECE" w:rsidRDefault="00312ECE">
            <w:pPr>
              <w:spacing w:before="60" w:after="60" w:line="240" w:lineRule="exact"/>
              <w:jc w:val="center"/>
              <w:rPr>
                <w:sz w:val="18"/>
              </w:rPr>
            </w:pPr>
            <w:r>
              <w:rPr>
                <w:sz w:val="18"/>
              </w:rPr>
              <w:t>57.0</w:t>
            </w:r>
          </w:p>
        </w:tc>
      </w:tr>
      <w:tr w:rsidR="00312ECE">
        <w:tblPrEx>
          <w:tblCellMar>
            <w:top w:w="0" w:type="dxa"/>
            <w:bottom w:w="0" w:type="dxa"/>
          </w:tblCellMar>
        </w:tblPrEx>
        <w:tc>
          <w:tcPr>
            <w:tcW w:w="556" w:type="pct"/>
          </w:tcPr>
          <w:p w:rsidR="00312ECE" w:rsidRDefault="00312ECE">
            <w:pPr>
              <w:spacing w:before="60" w:after="60" w:line="240" w:lineRule="exact"/>
              <w:rPr>
                <w:sz w:val="18"/>
              </w:rPr>
            </w:pPr>
            <w:r>
              <w:rPr>
                <w:sz w:val="18"/>
              </w:rPr>
              <w:t>1998</w:t>
            </w:r>
            <w:r>
              <w:rPr>
                <w:rFonts w:hint="eastAsia"/>
                <w:sz w:val="18"/>
              </w:rPr>
              <w:t>年</w:t>
            </w:r>
          </w:p>
        </w:tc>
        <w:tc>
          <w:tcPr>
            <w:tcW w:w="556" w:type="pct"/>
          </w:tcPr>
          <w:p w:rsidR="00312ECE" w:rsidRDefault="00312ECE">
            <w:pPr>
              <w:spacing w:before="60" w:after="60" w:line="240" w:lineRule="exact"/>
              <w:jc w:val="center"/>
              <w:rPr>
                <w:sz w:val="18"/>
              </w:rPr>
            </w:pPr>
            <w:r>
              <w:rPr>
                <w:sz w:val="18"/>
              </w:rPr>
              <w:t>52.3</w:t>
            </w:r>
          </w:p>
        </w:tc>
        <w:tc>
          <w:tcPr>
            <w:tcW w:w="556" w:type="pct"/>
          </w:tcPr>
          <w:p w:rsidR="00312ECE" w:rsidRDefault="00312ECE">
            <w:pPr>
              <w:spacing w:before="60" w:after="60" w:line="240" w:lineRule="exact"/>
              <w:jc w:val="center"/>
              <w:rPr>
                <w:sz w:val="18"/>
              </w:rPr>
            </w:pPr>
            <w:r>
              <w:rPr>
                <w:sz w:val="18"/>
              </w:rPr>
              <w:t>47.7</w:t>
            </w:r>
          </w:p>
        </w:tc>
        <w:tc>
          <w:tcPr>
            <w:tcW w:w="556" w:type="pct"/>
          </w:tcPr>
          <w:p w:rsidR="00312ECE" w:rsidRDefault="00312ECE">
            <w:pPr>
              <w:spacing w:before="60" w:after="60" w:line="240" w:lineRule="exact"/>
              <w:jc w:val="center"/>
              <w:rPr>
                <w:sz w:val="18"/>
              </w:rPr>
            </w:pPr>
            <w:r>
              <w:rPr>
                <w:sz w:val="18"/>
              </w:rPr>
              <w:t>69.3</w:t>
            </w:r>
          </w:p>
        </w:tc>
        <w:tc>
          <w:tcPr>
            <w:tcW w:w="556" w:type="pct"/>
          </w:tcPr>
          <w:p w:rsidR="00312ECE" w:rsidRDefault="00312ECE">
            <w:pPr>
              <w:spacing w:before="60" w:after="60" w:line="240" w:lineRule="exact"/>
              <w:jc w:val="center"/>
              <w:rPr>
                <w:sz w:val="18"/>
              </w:rPr>
            </w:pPr>
            <w:r>
              <w:rPr>
                <w:sz w:val="18"/>
              </w:rPr>
              <w:t>30.7</w:t>
            </w:r>
          </w:p>
        </w:tc>
        <w:tc>
          <w:tcPr>
            <w:tcW w:w="556" w:type="pct"/>
          </w:tcPr>
          <w:p w:rsidR="00312ECE" w:rsidRDefault="00312ECE">
            <w:pPr>
              <w:spacing w:before="60" w:after="60" w:line="240" w:lineRule="exact"/>
              <w:jc w:val="center"/>
              <w:rPr>
                <w:sz w:val="18"/>
              </w:rPr>
            </w:pPr>
            <w:r>
              <w:rPr>
                <w:sz w:val="18"/>
              </w:rPr>
              <w:t>57.4</w:t>
            </w:r>
          </w:p>
        </w:tc>
        <w:tc>
          <w:tcPr>
            <w:tcW w:w="556" w:type="pct"/>
          </w:tcPr>
          <w:p w:rsidR="00312ECE" w:rsidRDefault="00312ECE">
            <w:pPr>
              <w:spacing w:before="60" w:after="60" w:line="240" w:lineRule="exact"/>
              <w:jc w:val="center"/>
              <w:rPr>
                <w:sz w:val="18"/>
              </w:rPr>
            </w:pPr>
            <w:r>
              <w:rPr>
                <w:sz w:val="18"/>
              </w:rPr>
              <w:t>42.6</w:t>
            </w:r>
          </w:p>
        </w:tc>
        <w:tc>
          <w:tcPr>
            <w:tcW w:w="556" w:type="pct"/>
          </w:tcPr>
          <w:p w:rsidR="00312ECE" w:rsidRDefault="00312ECE">
            <w:pPr>
              <w:spacing w:before="60" w:after="60" w:line="240" w:lineRule="exact"/>
              <w:jc w:val="center"/>
              <w:rPr>
                <w:sz w:val="18"/>
              </w:rPr>
            </w:pPr>
            <w:r>
              <w:rPr>
                <w:sz w:val="18"/>
              </w:rPr>
              <w:t>45.9</w:t>
            </w:r>
          </w:p>
        </w:tc>
        <w:tc>
          <w:tcPr>
            <w:tcW w:w="556" w:type="pct"/>
          </w:tcPr>
          <w:p w:rsidR="00312ECE" w:rsidRDefault="00312ECE">
            <w:pPr>
              <w:spacing w:before="60" w:after="60" w:line="240" w:lineRule="exact"/>
              <w:jc w:val="center"/>
              <w:rPr>
                <w:sz w:val="18"/>
              </w:rPr>
            </w:pPr>
            <w:r>
              <w:rPr>
                <w:sz w:val="18"/>
              </w:rPr>
              <w:t>54.1</w:t>
            </w:r>
          </w:p>
        </w:tc>
      </w:tr>
      <w:tr w:rsidR="00312ECE">
        <w:tblPrEx>
          <w:tblCellMar>
            <w:top w:w="0" w:type="dxa"/>
            <w:bottom w:w="0" w:type="dxa"/>
          </w:tblCellMar>
        </w:tblPrEx>
        <w:tc>
          <w:tcPr>
            <w:tcW w:w="556" w:type="pct"/>
          </w:tcPr>
          <w:p w:rsidR="00312ECE" w:rsidRDefault="00312ECE">
            <w:pPr>
              <w:spacing w:before="60" w:after="60" w:line="240" w:lineRule="exact"/>
              <w:rPr>
                <w:sz w:val="18"/>
              </w:rPr>
            </w:pPr>
            <w:r>
              <w:rPr>
                <w:sz w:val="18"/>
              </w:rPr>
              <w:t>1999</w:t>
            </w:r>
            <w:r>
              <w:rPr>
                <w:rFonts w:hint="eastAsia"/>
                <w:sz w:val="18"/>
              </w:rPr>
              <w:t>年</w:t>
            </w:r>
          </w:p>
        </w:tc>
        <w:tc>
          <w:tcPr>
            <w:tcW w:w="556" w:type="pct"/>
          </w:tcPr>
          <w:p w:rsidR="00312ECE" w:rsidRDefault="00312ECE">
            <w:pPr>
              <w:spacing w:before="60" w:after="60" w:line="240" w:lineRule="exact"/>
              <w:jc w:val="center"/>
              <w:rPr>
                <w:sz w:val="18"/>
              </w:rPr>
            </w:pPr>
            <w:r>
              <w:rPr>
                <w:sz w:val="18"/>
              </w:rPr>
              <w:t>51.6</w:t>
            </w:r>
          </w:p>
        </w:tc>
        <w:tc>
          <w:tcPr>
            <w:tcW w:w="556" w:type="pct"/>
          </w:tcPr>
          <w:p w:rsidR="00312ECE" w:rsidRDefault="00312ECE">
            <w:pPr>
              <w:spacing w:before="60" w:after="60" w:line="240" w:lineRule="exact"/>
              <w:jc w:val="center"/>
              <w:rPr>
                <w:sz w:val="18"/>
              </w:rPr>
            </w:pPr>
            <w:r>
              <w:rPr>
                <w:sz w:val="18"/>
              </w:rPr>
              <w:t>48.4</w:t>
            </w:r>
          </w:p>
        </w:tc>
        <w:tc>
          <w:tcPr>
            <w:tcW w:w="556" w:type="pct"/>
          </w:tcPr>
          <w:p w:rsidR="00312ECE" w:rsidRDefault="00312ECE">
            <w:pPr>
              <w:spacing w:before="60" w:after="60" w:line="240" w:lineRule="exact"/>
              <w:jc w:val="center"/>
              <w:rPr>
                <w:sz w:val="18"/>
              </w:rPr>
            </w:pPr>
            <w:r>
              <w:rPr>
                <w:sz w:val="18"/>
              </w:rPr>
              <w:t>70.5</w:t>
            </w:r>
          </w:p>
        </w:tc>
        <w:tc>
          <w:tcPr>
            <w:tcW w:w="556" w:type="pct"/>
          </w:tcPr>
          <w:p w:rsidR="00312ECE" w:rsidRDefault="00312ECE">
            <w:pPr>
              <w:spacing w:before="60" w:after="60" w:line="240" w:lineRule="exact"/>
              <w:jc w:val="center"/>
              <w:rPr>
                <w:sz w:val="18"/>
              </w:rPr>
            </w:pPr>
            <w:r>
              <w:rPr>
                <w:sz w:val="18"/>
              </w:rPr>
              <w:t>29.5</w:t>
            </w:r>
          </w:p>
        </w:tc>
        <w:tc>
          <w:tcPr>
            <w:tcW w:w="556" w:type="pct"/>
          </w:tcPr>
          <w:p w:rsidR="00312ECE" w:rsidRDefault="00312ECE">
            <w:pPr>
              <w:spacing w:before="60" w:after="60" w:line="240" w:lineRule="exact"/>
              <w:jc w:val="center"/>
              <w:rPr>
                <w:sz w:val="18"/>
              </w:rPr>
            </w:pPr>
            <w:r>
              <w:rPr>
                <w:sz w:val="18"/>
              </w:rPr>
              <w:t>52.2</w:t>
            </w:r>
          </w:p>
        </w:tc>
        <w:tc>
          <w:tcPr>
            <w:tcW w:w="556" w:type="pct"/>
          </w:tcPr>
          <w:p w:rsidR="00312ECE" w:rsidRDefault="00312ECE">
            <w:pPr>
              <w:spacing w:before="60" w:after="60" w:line="240" w:lineRule="exact"/>
              <w:jc w:val="center"/>
              <w:rPr>
                <w:sz w:val="18"/>
              </w:rPr>
            </w:pPr>
            <w:r>
              <w:rPr>
                <w:sz w:val="18"/>
              </w:rPr>
              <w:t>47.8</w:t>
            </w:r>
          </w:p>
        </w:tc>
        <w:tc>
          <w:tcPr>
            <w:tcW w:w="556" w:type="pct"/>
          </w:tcPr>
          <w:p w:rsidR="00312ECE" w:rsidRDefault="00312ECE">
            <w:pPr>
              <w:spacing w:before="60" w:after="60" w:line="240" w:lineRule="exact"/>
              <w:jc w:val="center"/>
              <w:rPr>
                <w:sz w:val="18"/>
              </w:rPr>
            </w:pPr>
            <w:r>
              <w:rPr>
                <w:sz w:val="18"/>
              </w:rPr>
              <w:t>44.3</w:t>
            </w:r>
          </w:p>
        </w:tc>
        <w:tc>
          <w:tcPr>
            <w:tcW w:w="556" w:type="pct"/>
          </w:tcPr>
          <w:p w:rsidR="00312ECE" w:rsidRDefault="00312ECE">
            <w:pPr>
              <w:spacing w:before="60" w:after="60" w:line="240" w:lineRule="exact"/>
              <w:jc w:val="center"/>
              <w:rPr>
                <w:sz w:val="18"/>
              </w:rPr>
            </w:pPr>
            <w:r>
              <w:rPr>
                <w:sz w:val="18"/>
              </w:rPr>
              <w:t>55.7</w:t>
            </w:r>
          </w:p>
        </w:tc>
      </w:tr>
      <w:tr w:rsidR="00312ECE">
        <w:tblPrEx>
          <w:tblCellMar>
            <w:top w:w="0" w:type="dxa"/>
            <w:bottom w:w="0" w:type="dxa"/>
          </w:tblCellMar>
        </w:tblPrEx>
        <w:tc>
          <w:tcPr>
            <w:tcW w:w="556" w:type="pct"/>
          </w:tcPr>
          <w:p w:rsidR="00312ECE" w:rsidRDefault="00312ECE">
            <w:pPr>
              <w:spacing w:before="60" w:after="60" w:line="240" w:lineRule="exact"/>
              <w:rPr>
                <w:sz w:val="18"/>
              </w:rPr>
            </w:pPr>
            <w:r>
              <w:rPr>
                <w:sz w:val="18"/>
              </w:rPr>
              <w:t>2000</w:t>
            </w:r>
            <w:r>
              <w:rPr>
                <w:rFonts w:hint="eastAsia"/>
                <w:sz w:val="18"/>
              </w:rPr>
              <w:t>年</w:t>
            </w:r>
          </w:p>
        </w:tc>
        <w:tc>
          <w:tcPr>
            <w:tcW w:w="556" w:type="pct"/>
          </w:tcPr>
          <w:p w:rsidR="00312ECE" w:rsidRDefault="00312ECE">
            <w:pPr>
              <w:spacing w:before="60" w:after="60" w:line="240" w:lineRule="exact"/>
              <w:jc w:val="center"/>
              <w:rPr>
                <w:sz w:val="18"/>
              </w:rPr>
            </w:pPr>
            <w:r>
              <w:rPr>
                <w:sz w:val="18"/>
              </w:rPr>
              <w:t>50.0</w:t>
            </w:r>
          </w:p>
        </w:tc>
        <w:tc>
          <w:tcPr>
            <w:tcW w:w="556" w:type="pct"/>
          </w:tcPr>
          <w:p w:rsidR="00312ECE" w:rsidRDefault="00312ECE">
            <w:pPr>
              <w:spacing w:before="60" w:after="60" w:line="240" w:lineRule="exact"/>
              <w:jc w:val="center"/>
              <w:rPr>
                <w:sz w:val="18"/>
              </w:rPr>
            </w:pPr>
            <w:r>
              <w:rPr>
                <w:sz w:val="18"/>
              </w:rPr>
              <w:t>50.0</w:t>
            </w:r>
          </w:p>
        </w:tc>
        <w:tc>
          <w:tcPr>
            <w:tcW w:w="556" w:type="pct"/>
          </w:tcPr>
          <w:p w:rsidR="00312ECE" w:rsidRDefault="00312ECE">
            <w:pPr>
              <w:spacing w:before="60" w:after="60" w:line="240" w:lineRule="exact"/>
              <w:jc w:val="center"/>
              <w:rPr>
                <w:sz w:val="18"/>
              </w:rPr>
            </w:pPr>
            <w:r>
              <w:rPr>
                <w:sz w:val="18"/>
              </w:rPr>
              <w:t>70.9</w:t>
            </w:r>
          </w:p>
        </w:tc>
        <w:tc>
          <w:tcPr>
            <w:tcW w:w="556" w:type="pct"/>
          </w:tcPr>
          <w:p w:rsidR="00312ECE" w:rsidRDefault="00312ECE">
            <w:pPr>
              <w:spacing w:before="60" w:after="60" w:line="240" w:lineRule="exact"/>
              <w:jc w:val="center"/>
              <w:rPr>
                <w:sz w:val="18"/>
              </w:rPr>
            </w:pPr>
            <w:r>
              <w:rPr>
                <w:sz w:val="18"/>
              </w:rPr>
              <w:t>29.1</w:t>
            </w:r>
          </w:p>
        </w:tc>
        <w:tc>
          <w:tcPr>
            <w:tcW w:w="556" w:type="pct"/>
          </w:tcPr>
          <w:p w:rsidR="00312ECE" w:rsidRDefault="00312ECE">
            <w:pPr>
              <w:spacing w:before="60" w:after="60" w:line="240" w:lineRule="exact"/>
              <w:jc w:val="center"/>
              <w:rPr>
                <w:sz w:val="18"/>
              </w:rPr>
            </w:pPr>
            <w:r>
              <w:rPr>
                <w:sz w:val="18"/>
              </w:rPr>
              <w:t>51.3</w:t>
            </w:r>
          </w:p>
        </w:tc>
        <w:tc>
          <w:tcPr>
            <w:tcW w:w="556" w:type="pct"/>
          </w:tcPr>
          <w:p w:rsidR="00312ECE" w:rsidRDefault="00312ECE">
            <w:pPr>
              <w:spacing w:before="60" w:after="60" w:line="240" w:lineRule="exact"/>
              <w:jc w:val="center"/>
              <w:rPr>
                <w:sz w:val="18"/>
              </w:rPr>
            </w:pPr>
            <w:r>
              <w:rPr>
                <w:sz w:val="18"/>
              </w:rPr>
              <w:t>48.7</w:t>
            </w:r>
          </w:p>
        </w:tc>
        <w:tc>
          <w:tcPr>
            <w:tcW w:w="556" w:type="pct"/>
          </w:tcPr>
          <w:p w:rsidR="00312ECE" w:rsidRDefault="00312ECE">
            <w:pPr>
              <w:spacing w:before="60" w:after="60" w:line="240" w:lineRule="exact"/>
              <w:jc w:val="center"/>
              <w:rPr>
                <w:sz w:val="18"/>
              </w:rPr>
            </w:pPr>
            <w:r>
              <w:rPr>
                <w:sz w:val="18"/>
              </w:rPr>
              <w:t>47.9</w:t>
            </w:r>
          </w:p>
        </w:tc>
        <w:tc>
          <w:tcPr>
            <w:tcW w:w="556" w:type="pct"/>
          </w:tcPr>
          <w:p w:rsidR="00312ECE" w:rsidRDefault="00312ECE">
            <w:pPr>
              <w:spacing w:before="60" w:after="60" w:line="240" w:lineRule="exact"/>
              <w:jc w:val="center"/>
              <w:rPr>
                <w:sz w:val="18"/>
              </w:rPr>
            </w:pPr>
            <w:r>
              <w:rPr>
                <w:sz w:val="18"/>
              </w:rPr>
              <w:t>52.1</w:t>
            </w:r>
          </w:p>
        </w:tc>
      </w:tr>
    </w:tbl>
    <w:p w:rsidR="00312ECE" w:rsidRDefault="00312ECE">
      <w:pPr>
        <w:pStyle w:val="SingleTxt"/>
      </w:pPr>
    </w:p>
    <w:p w:rsidR="00312ECE" w:rsidRDefault="00312ECE">
      <w:pPr>
        <w:pStyle w:val="SingleTxt"/>
        <w:rPr>
          <w:rFonts w:hint="eastAsia"/>
        </w:rPr>
      </w:pPr>
      <w:r>
        <w:rPr>
          <w:rFonts w:hint="eastAsia"/>
        </w:rPr>
        <w:t>151.  根据中央统计局提供的资料，在所有职业领域，妇女的平均月薪毛额低于男子的薪酬。</w:t>
      </w:r>
    </w:p>
    <w:p w:rsidR="00312ECE" w:rsidRDefault="00312ECE">
      <w:pPr>
        <w:pStyle w:val="SingleTxt"/>
        <w:rPr>
          <w:rFonts w:ascii="SimHei" w:eastAsia="SimHei" w:hint="eastAsia"/>
          <w:color w:val="FF0000"/>
        </w:rPr>
      </w:pPr>
      <w:r>
        <w:rPr>
          <w:rFonts w:ascii="SimHei" w:eastAsia="SimHei" w:hint="eastAsia"/>
          <w:color w:val="FF0000"/>
        </w:rPr>
        <w:t>在国民经济部门工作的男子与妇女的平均薪酬毛额</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05"/>
        <w:gridCol w:w="1888"/>
        <w:gridCol w:w="1766"/>
        <w:gridCol w:w="1912"/>
      </w:tblGrid>
      <w:tr w:rsidR="00312ECE">
        <w:tblPrEx>
          <w:tblCellMar>
            <w:top w:w="0" w:type="dxa"/>
            <w:bottom w:w="0" w:type="dxa"/>
          </w:tblCellMar>
        </w:tblPrEx>
        <w:tc>
          <w:tcPr>
            <w:tcW w:w="1224" w:type="pct"/>
          </w:tcPr>
          <w:p w:rsidR="00312ECE" w:rsidRDefault="00312ECE">
            <w:pPr>
              <w:spacing w:before="60" w:after="60" w:line="240" w:lineRule="exact"/>
              <w:rPr>
                <w:rFonts w:ascii="KaiTi_GB2312" w:eastAsia="KaiTi_GB2312" w:hint="eastAsia"/>
                <w:color w:val="0000FF"/>
                <w:sz w:val="14"/>
              </w:rPr>
            </w:pPr>
          </w:p>
        </w:tc>
        <w:tc>
          <w:tcPr>
            <w:tcW w:w="1281"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妇女</w:t>
            </w:r>
          </w:p>
        </w:tc>
        <w:tc>
          <w:tcPr>
            <w:tcW w:w="1198"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1297" w:type="pct"/>
          </w:tcPr>
          <w:p w:rsidR="00312ECE" w:rsidRDefault="00312ECE">
            <w:pPr>
              <w:spacing w:before="60" w:after="60" w:line="240" w:lineRule="exact"/>
              <w:jc w:val="center"/>
              <w:rPr>
                <w:rFonts w:ascii="KaiTi_GB2312" w:eastAsia="KaiTi_GB2312" w:hint="eastAsia"/>
                <w:color w:val="0000FF"/>
                <w:sz w:val="14"/>
              </w:rPr>
            </w:pPr>
            <w:r>
              <w:rPr>
                <w:rFonts w:ascii="KaiTi_GB2312" w:eastAsia="KaiTi_GB2312" w:hint="eastAsia"/>
                <w:color w:val="0000FF"/>
                <w:sz w:val="14"/>
              </w:rPr>
              <w:t>妇女薪资与男子薪资的比例</w:t>
            </w:r>
          </w:p>
        </w:tc>
      </w:tr>
      <w:tr w:rsidR="00312ECE">
        <w:tblPrEx>
          <w:tblCellMar>
            <w:top w:w="0" w:type="dxa"/>
            <w:bottom w:w="0" w:type="dxa"/>
          </w:tblCellMar>
        </w:tblPrEx>
        <w:tc>
          <w:tcPr>
            <w:tcW w:w="1224" w:type="pct"/>
          </w:tcPr>
          <w:p w:rsidR="00312ECE" w:rsidRDefault="00312ECE">
            <w:pPr>
              <w:spacing w:line="360" w:lineRule="atLeast"/>
              <w:rPr>
                <w:rFonts w:hint="eastAsia"/>
                <w:sz w:val="18"/>
              </w:rPr>
            </w:pPr>
            <w:r>
              <w:rPr>
                <w:rFonts w:hint="eastAsia"/>
                <w:sz w:val="18"/>
              </w:rPr>
              <w:t>1995年</w:t>
            </w:r>
          </w:p>
        </w:tc>
        <w:tc>
          <w:tcPr>
            <w:tcW w:w="1281" w:type="pct"/>
          </w:tcPr>
          <w:p w:rsidR="00312ECE" w:rsidRDefault="00312ECE">
            <w:pPr>
              <w:spacing w:line="360" w:lineRule="atLeast"/>
              <w:jc w:val="center"/>
              <w:rPr>
                <w:sz w:val="18"/>
              </w:rPr>
            </w:pPr>
            <w:r>
              <w:rPr>
                <w:sz w:val="18"/>
              </w:rPr>
              <w:t>72.64</w:t>
            </w:r>
          </w:p>
        </w:tc>
        <w:tc>
          <w:tcPr>
            <w:tcW w:w="1198" w:type="pct"/>
          </w:tcPr>
          <w:p w:rsidR="00312ECE" w:rsidRDefault="00312ECE">
            <w:pPr>
              <w:spacing w:line="360" w:lineRule="atLeast"/>
              <w:jc w:val="center"/>
              <w:rPr>
                <w:sz w:val="18"/>
              </w:rPr>
            </w:pPr>
            <w:r>
              <w:rPr>
                <w:sz w:val="18"/>
              </w:rPr>
              <w:t>92.82</w:t>
            </w:r>
          </w:p>
        </w:tc>
        <w:tc>
          <w:tcPr>
            <w:tcW w:w="1297" w:type="pct"/>
          </w:tcPr>
          <w:p w:rsidR="00312ECE" w:rsidRDefault="00312ECE">
            <w:pPr>
              <w:spacing w:line="360" w:lineRule="atLeast"/>
              <w:jc w:val="center"/>
              <w:rPr>
                <w:sz w:val="18"/>
              </w:rPr>
            </w:pPr>
            <w:r>
              <w:rPr>
                <w:sz w:val="18"/>
              </w:rPr>
              <w:t>78.3</w:t>
            </w:r>
          </w:p>
        </w:tc>
      </w:tr>
      <w:tr w:rsidR="00312ECE">
        <w:tblPrEx>
          <w:tblCellMar>
            <w:top w:w="0" w:type="dxa"/>
            <w:bottom w:w="0" w:type="dxa"/>
          </w:tblCellMar>
        </w:tblPrEx>
        <w:tc>
          <w:tcPr>
            <w:tcW w:w="1224" w:type="pct"/>
          </w:tcPr>
          <w:p w:rsidR="00312ECE" w:rsidRDefault="00312ECE">
            <w:pPr>
              <w:spacing w:line="360" w:lineRule="atLeast"/>
              <w:rPr>
                <w:rFonts w:hint="eastAsia"/>
                <w:sz w:val="18"/>
              </w:rPr>
            </w:pPr>
            <w:r>
              <w:rPr>
                <w:rFonts w:hint="eastAsia"/>
                <w:sz w:val="18"/>
              </w:rPr>
              <w:t>1996年</w:t>
            </w:r>
          </w:p>
        </w:tc>
        <w:tc>
          <w:tcPr>
            <w:tcW w:w="1281" w:type="pct"/>
          </w:tcPr>
          <w:p w:rsidR="00312ECE" w:rsidRDefault="00312ECE">
            <w:pPr>
              <w:spacing w:line="360" w:lineRule="atLeast"/>
              <w:jc w:val="center"/>
              <w:rPr>
                <w:sz w:val="18"/>
              </w:rPr>
            </w:pPr>
            <w:r>
              <w:rPr>
                <w:sz w:val="18"/>
              </w:rPr>
              <w:t>79.07</w:t>
            </w:r>
          </w:p>
        </w:tc>
        <w:tc>
          <w:tcPr>
            <w:tcW w:w="1198" w:type="pct"/>
          </w:tcPr>
          <w:p w:rsidR="00312ECE" w:rsidRDefault="00312ECE">
            <w:pPr>
              <w:spacing w:line="360" w:lineRule="atLeast"/>
              <w:jc w:val="center"/>
              <w:rPr>
                <w:sz w:val="18"/>
              </w:rPr>
            </w:pPr>
            <w:r>
              <w:rPr>
                <w:sz w:val="18"/>
              </w:rPr>
              <w:t>100.73</w:t>
            </w:r>
          </w:p>
        </w:tc>
        <w:tc>
          <w:tcPr>
            <w:tcW w:w="1297" w:type="pct"/>
          </w:tcPr>
          <w:p w:rsidR="00312ECE" w:rsidRDefault="00312ECE">
            <w:pPr>
              <w:spacing w:line="360" w:lineRule="atLeast"/>
              <w:jc w:val="center"/>
              <w:rPr>
                <w:sz w:val="18"/>
              </w:rPr>
            </w:pPr>
            <w:r>
              <w:rPr>
                <w:sz w:val="18"/>
              </w:rPr>
              <w:t>78.5</w:t>
            </w:r>
          </w:p>
        </w:tc>
      </w:tr>
      <w:tr w:rsidR="00312ECE">
        <w:tblPrEx>
          <w:tblCellMar>
            <w:top w:w="0" w:type="dxa"/>
            <w:bottom w:w="0" w:type="dxa"/>
          </w:tblCellMar>
        </w:tblPrEx>
        <w:tc>
          <w:tcPr>
            <w:tcW w:w="1224" w:type="pct"/>
          </w:tcPr>
          <w:p w:rsidR="00312ECE" w:rsidRDefault="00312ECE">
            <w:pPr>
              <w:spacing w:line="360" w:lineRule="atLeast"/>
              <w:rPr>
                <w:rFonts w:hint="eastAsia"/>
                <w:sz w:val="18"/>
              </w:rPr>
            </w:pPr>
            <w:r>
              <w:rPr>
                <w:rFonts w:hint="eastAsia"/>
                <w:sz w:val="18"/>
              </w:rPr>
              <w:t>1997年</w:t>
            </w:r>
          </w:p>
        </w:tc>
        <w:tc>
          <w:tcPr>
            <w:tcW w:w="1281" w:type="pct"/>
          </w:tcPr>
          <w:p w:rsidR="00312ECE" w:rsidRDefault="00312ECE">
            <w:pPr>
              <w:spacing w:line="360" w:lineRule="atLeast"/>
              <w:jc w:val="center"/>
              <w:rPr>
                <w:sz w:val="18"/>
              </w:rPr>
            </w:pPr>
            <w:r>
              <w:rPr>
                <w:sz w:val="18"/>
              </w:rPr>
              <w:t>97.91</w:t>
            </w:r>
          </w:p>
        </w:tc>
        <w:tc>
          <w:tcPr>
            <w:tcW w:w="1198" w:type="pct"/>
          </w:tcPr>
          <w:p w:rsidR="00312ECE" w:rsidRDefault="00312ECE">
            <w:pPr>
              <w:spacing w:line="360" w:lineRule="atLeast"/>
              <w:jc w:val="center"/>
              <w:rPr>
                <w:sz w:val="18"/>
              </w:rPr>
            </w:pPr>
            <w:r>
              <w:rPr>
                <w:sz w:val="18"/>
              </w:rPr>
              <w:t>122.83</w:t>
            </w:r>
          </w:p>
        </w:tc>
        <w:tc>
          <w:tcPr>
            <w:tcW w:w="1297" w:type="pct"/>
          </w:tcPr>
          <w:p w:rsidR="00312ECE" w:rsidRDefault="00312ECE">
            <w:pPr>
              <w:spacing w:line="360" w:lineRule="atLeast"/>
              <w:jc w:val="center"/>
              <w:rPr>
                <w:sz w:val="18"/>
              </w:rPr>
            </w:pPr>
            <w:r>
              <w:rPr>
                <w:sz w:val="18"/>
              </w:rPr>
              <w:t>79.7</w:t>
            </w:r>
          </w:p>
        </w:tc>
      </w:tr>
      <w:tr w:rsidR="00312ECE">
        <w:tblPrEx>
          <w:tblCellMar>
            <w:top w:w="0" w:type="dxa"/>
            <w:bottom w:w="0" w:type="dxa"/>
          </w:tblCellMar>
        </w:tblPrEx>
        <w:tc>
          <w:tcPr>
            <w:tcW w:w="1224" w:type="pct"/>
          </w:tcPr>
          <w:p w:rsidR="00312ECE" w:rsidRDefault="00312ECE">
            <w:pPr>
              <w:spacing w:line="360" w:lineRule="atLeast"/>
              <w:rPr>
                <w:rFonts w:hint="eastAsia"/>
                <w:sz w:val="18"/>
              </w:rPr>
            </w:pPr>
            <w:r>
              <w:rPr>
                <w:rFonts w:hint="eastAsia"/>
                <w:sz w:val="18"/>
              </w:rPr>
              <w:t>1998年</w:t>
            </w:r>
          </w:p>
        </w:tc>
        <w:tc>
          <w:tcPr>
            <w:tcW w:w="1281" w:type="pct"/>
          </w:tcPr>
          <w:p w:rsidR="00312ECE" w:rsidRDefault="00312ECE">
            <w:pPr>
              <w:spacing w:line="360" w:lineRule="atLeast"/>
              <w:jc w:val="center"/>
              <w:rPr>
                <w:sz w:val="18"/>
              </w:rPr>
            </w:pPr>
            <w:r>
              <w:rPr>
                <w:sz w:val="18"/>
              </w:rPr>
              <w:t>109.26</w:t>
            </w:r>
          </w:p>
        </w:tc>
        <w:tc>
          <w:tcPr>
            <w:tcW w:w="1198" w:type="pct"/>
          </w:tcPr>
          <w:p w:rsidR="00312ECE" w:rsidRDefault="00312ECE">
            <w:pPr>
              <w:spacing w:line="360" w:lineRule="atLeast"/>
              <w:jc w:val="center"/>
              <w:rPr>
                <w:sz w:val="18"/>
              </w:rPr>
            </w:pPr>
            <w:r>
              <w:rPr>
                <w:sz w:val="18"/>
              </w:rPr>
              <w:t>137.71</w:t>
            </w:r>
          </w:p>
        </w:tc>
        <w:tc>
          <w:tcPr>
            <w:tcW w:w="1297" w:type="pct"/>
          </w:tcPr>
          <w:p w:rsidR="00312ECE" w:rsidRDefault="00312ECE">
            <w:pPr>
              <w:spacing w:line="360" w:lineRule="atLeast"/>
              <w:jc w:val="center"/>
              <w:rPr>
                <w:sz w:val="18"/>
              </w:rPr>
            </w:pPr>
            <w:r>
              <w:rPr>
                <w:sz w:val="18"/>
              </w:rPr>
              <w:t>79.3</w:t>
            </w:r>
          </w:p>
        </w:tc>
      </w:tr>
      <w:tr w:rsidR="00312ECE">
        <w:tblPrEx>
          <w:tblCellMar>
            <w:top w:w="0" w:type="dxa"/>
            <w:bottom w:w="0" w:type="dxa"/>
          </w:tblCellMar>
        </w:tblPrEx>
        <w:tc>
          <w:tcPr>
            <w:tcW w:w="1224" w:type="pct"/>
          </w:tcPr>
          <w:p w:rsidR="00312ECE" w:rsidRDefault="00312ECE">
            <w:pPr>
              <w:spacing w:line="360" w:lineRule="atLeast"/>
              <w:rPr>
                <w:rFonts w:hint="eastAsia"/>
                <w:sz w:val="18"/>
              </w:rPr>
            </w:pPr>
            <w:r>
              <w:rPr>
                <w:rFonts w:hint="eastAsia"/>
                <w:sz w:val="18"/>
              </w:rPr>
              <w:t>1999年</w:t>
            </w:r>
          </w:p>
        </w:tc>
        <w:tc>
          <w:tcPr>
            <w:tcW w:w="1281" w:type="pct"/>
          </w:tcPr>
          <w:p w:rsidR="00312ECE" w:rsidRDefault="00312ECE">
            <w:pPr>
              <w:spacing w:line="360" w:lineRule="atLeast"/>
              <w:jc w:val="center"/>
              <w:rPr>
                <w:sz w:val="18"/>
              </w:rPr>
            </w:pPr>
            <w:r>
              <w:rPr>
                <w:sz w:val="18"/>
              </w:rPr>
              <w:t>118.48</w:t>
            </w:r>
          </w:p>
        </w:tc>
        <w:tc>
          <w:tcPr>
            <w:tcW w:w="1198" w:type="pct"/>
          </w:tcPr>
          <w:p w:rsidR="00312ECE" w:rsidRDefault="00312ECE">
            <w:pPr>
              <w:spacing w:line="360" w:lineRule="atLeast"/>
              <w:jc w:val="center"/>
              <w:rPr>
                <w:sz w:val="18"/>
              </w:rPr>
            </w:pPr>
            <w:r>
              <w:rPr>
                <w:sz w:val="18"/>
              </w:rPr>
              <w:t>148.1</w:t>
            </w:r>
          </w:p>
        </w:tc>
        <w:tc>
          <w:tcPr>
            <w:tcW w:w="1297" w:type="pct"/>
          </w:tcPr>
          <w:p w:rsidR="00312ECE" w:rsidRDefault="00312ECE">
            <w:pPr>
              <w:spacing w:line="360" w:lineRule="atLeast"/>
              <w:jc w:val="center"/>
              <w:rPr>
                <w:sz w:val="18"/>
              </w:rPr>
            </w:pPr>
            <w:r>
              <w:rPr>
                <w:sz w:val="18"/>
              </w:rPr>
              <w:t>80</w:t>
            </w:r>
          </w:p>
        </w:tc>
      </w:tr>
      <w:tr w:rsidR="00312ECE">
        <w:tblPrEx>
          <w:tblCellMar>
            <w:top w:w="0" w:type="dxa"/>
            <w:bottom w:w="0" w:type="dxa"/>
          </w:tblCellMar>
        </w:tblPrEx>
        <w:tc>
          <w:tcPr>
            <w:tcW w:w="1224" w:type="pct"/>
          </w:tcPr>
          <w:p w:rsidR="00312ECE" w:rsidRDefault="00312ECE">
            <w:pPr>
              <w:spacing w:line="360" w:lineRule="atLeast"/>
              <w:rPr>
                <w:rFonts w:hint="eastAsia"/>
                <w:sz w:val="18"/>
              </w:rPr>
            </w:pPr>
            <w:r>
              <w:rPr>
                <w:rFonts w:hint="eastAsia"/>
                <w:sz w:val="18"/>
              </w:rPr>
              <w:t>2000年</w:t>
            </w:r>
          </w:p>
        </w:tc>
        <w:tc>
          <w:tcPr>
            <w:tcW w:w="1281" w:type="pct"/>
          </w:tcPr>
          <w:p w:rsidR="00312ECE" w:rsidRDefault="00312ECE">
            <w:pPr>
              <w:spacing w:line="360" w:lineRule="atLeast"/>
              <w:jc w:val="center"/>
              <w:rPr>
                <w:sz w:val="18"/>
              </w:rPr>
            </w:pPr>
            <w:r>
              <w:rPr>
                <w:sz w:val="18"/>
              </w:rPr>
              <w:t>126.16</w:t>
            </w:r>
          </w:p>
        </w:tc>
        <w:tc>
          <w:tcPr>
            <w:tcW w:w="1198" w:type="pct"/>
          </w:tcPr>
          <w:p w:rsidR="00312ECE" w:rsidRDefault="00312ECE">
            <w:pPr>
              <w:spacing w:line="360" w:lineRule="atLeast"/>
              <w:jc w:val="center"/>
              <w:rPr>
                <w:sz w:val="18"/>
              </w:rPr>
            </w:pPr>
            <w:r>
              <w:rPr>
                <w:sz w:val="18"/>
              </w:rPr>
              <w:t>160.45</w:t>
            </w:r>
          </w:p>
        </w:tc>
        <w:tc>
          <w:tcPr>
            <w:tcW w:w="1297" w:type="pct"/>
          </w:tcPr>
          <w:p w:rsidR="00312ECE" w:rsidRDefault="00312ECE">
            <w:pPr>
              <w:spacing w:line="360" w:lineRule="atLeast"/>
              <w:jc w:val="center"/>
              <w:rPr>
                <w:sz w:val="18"/>
              </w:rPr>
            </w:pPr>
            <w:r>
              <w:rPr>
                <w:sz w:val="18"/>
              </w:rPr>
              <w:t>78.6</w:t>
            </w:r>
          </w:p>
        </w:tc>
      </w:tr>
      <w:tr w:rsidR="00312ECE">
        <w:tblPrEx>
          <w:tblCellMar>
            <w:top w:w="0" w:type="dxa"/>
            <w:bottom w:w="0" w:type="dxa"/>
          </w:tblCellMar>
        </w:tblPrEx>
        <w:trPr>
          <w:trHeight w:val="320"/>
        </w:trPr>
        <w:tc>
          <w:tcPr>
            <w:tcW w:w="1224" w:type="pct"/>
          </w:tcPr>
          <w:p w:rsidR="00312ECE" w:rsidRDefault="00312ECE">
            <w:pPr>
              <w:spacing w:line="360" w:lineRule="atLeast"/>
              <w:rPr>
                <w:rFonts w:hint="eastAsia"/>
                <w:sz w:val="18"/>
              </w:rPr>
            </w:pPr>
            <w:r>
              <w:rPr>
                <w:rFonts w:hint="eastAsia"/>
                <w:sz w:val="18"/>
              </w:rPr>
              <w:t>2001年</w:t>
            </w:r>
          </w:p>
        </w:tc>
        <w:tc>
          <w:tcPr>
            <w:tcW w:w="1281" w:type="pct"/>
          </w:tcPr>
          <w:p w:rsidR="00312ECE" w:rsidRDefault="00312ECE">
            <w:pPr>
              <w:spacing w:line="360" w:lineRule="atLeast"/>
              <w:jc w:val="center"/>
              <w:rPr>
                <w:sz w:val="18"/>
              </w:rPr>
            </w:pPr>
            <w:r>
              <w:rPr>
                <w:sz w:val="18"/>
              </w:rPr>
              <w:t>133.38</w:t>
            </w:r>
          </w:p>
        </w:tc>
        <w:tc>
          <w:tcPr>
            <w:tcW w:w="1198" w:type="pct"/>
          </w:tcPr>
          <w:p w:rsidR="00312ECE" w:rsidRDefault="00312ECE">
            <w:pPr>
              <w:spacing w:line="360" w:lineRule="atLeast"/>
              <w:jc w:val="center"/>
              <w:rPr>
                <w:sz w:val="18"/>
              </w:rPr>
            </w:pPr>
            <w:r>
              <w:rPr>
                <w:sz w:val="18"/>
              </w:rPr>
              <w:t>167.67</w:t>
            </w:r>
          </w:p>
        </w:tc>
        <w:tc>
          <w:tcPr>
            <w:tcW w:w="1297" w:type="pct"/>
          </w:tcPr>
          <w:p w:rsidR="00312ECE" w:rsidRDefault="00312ECE">
            <w:pPr>
              <w:spacing w:line="360" w:lineRule="atLeast"/>
              <w:jc w:val="center"/>
              <w:rPr>
                <w:sz w:val="18"/>
              </w:rPr>
            </w:pPr>
            <w:r>
              <w:rPr>
                <w:sz w:val="18"/>
              </w:rPr>
              <w:t>79.5</w:t>
            </w:r>
          </w:p>
        </w:tc>
      </w:tr>
    </w:tbl>
    <w:p w:rsidR="00312ECE" w:rsidRDefault="00312ECE">
      <w:pPr>
        <w:pStyle w:val="SingleTxt"/>
      </w:pPr>
    </w:p>
    <w:p w:rsidR="00312ECE" w:rsidRDefault="00312ECE">
      <w:pPr>
        <w:pStyle w:val="SingleTxt"/>
        <w:rPr>
          <w:rFonts w:hint="eastAsia"/>
        </w:rPr>
      </w:pPr>
      <w:r>
        <w:rPr>
          <w:rFonts w:hint="eastAsia"/>
        </w:rPr>
        <w:t>152.  产生的各种问题与劳动市场的男女隔离，即在所谓“男性”及“女性”行业的就业分工有关。目前，大多数妇女在教育、保健、社会照料等行业工作，她们的平均薪酬以及职业提升的机会比男子占主导地位行业的少。</w:t>
      </w:r>
    </w:p>
    <w:p w:rsidR="00312ECE" w:rsidRDefault="00312ECE">
      <w:pPr>
        <w:pStyle w:val="SingleTxt"/>
        <w:rPr>
          <w:rFonts w:hint="eastAsia"/>
        </w:rPr>
      </w:pPr>
      <w:r>
        <w:rPr>
          <w:rFonts w:hint="eastAsia"/>
        </w:rPr>
        <w:t>153.  统计数据显示，大多数妇女选择在公营或市级企业工作，原因是尽管她们的薪酬较低，但那里的社会保障既稳定又有保证。这是间接歧视表现为男女之间义务不平等（因为妇女通常得照料子女，考虑家庭的社会保障）并转化为经济生活领域的间接歧视（社会原因是妇女进入工作待遇较高的领域的机会较少）的例子之一。同时，最为司空见惯的是没有上社会保险的人很多，因此，这些人没有社会保障，从而使农村地区的贫困形成恶性循环。</w:t>
      </w:r>
    </w:p>
    <w:p w:rsidR="00312ECE" w:rsidRDefault="00312ECE">
      <w:pPr>
        <w:pStyle w:val="SingleTxt"/>
        <w:rPr>
          <w:rFonts w:hint="eastAsia"/>
        </w:rPr>
      </w:pPr>
      <w:r>
        <w:rPr>
          <w:rFonts w:hint="eastAsia"/>
        </w:rPr>
        <w:t>154.  为依照法规促进法定社会保险费的核算及缴纳，防止雇主逃避缴纳规定的保险费，制止隐瞒雇员的实际薪酬，国家税收部门主要采取对雇主进行专项审查及税务审计的形式对此实行管制。此外，为了改善对纳税人的服务，在税务管理方面做了以下工作：承兑帐单和申报单，以及向纳税人通报情况，并为他们提供教育和咨询。关于拟提供的有系统的援助以及国家税收部门出台的修正案的资料，将定期在国家税收部门的主页上予以更新。2002年，在国家税收部门的地区办事处，征询纳税人意见的次数达298 000次，并举行了1 357次教育活动-研讨会、讲座及讨论等。为在2002年改善公共关系，国家税收部门组织了1 915次宣传活动-在报纸上发表文章，在广播电台及电视上播放访谈节目，与学生和非政府组织等在学校举行各种会议等。</w:t>
      </w:r>
    </w:p>
    <w:p w:rsidR="00312ECE" w:rsidRDefault="00312ECE">
      <w:pPr>
        <w:pStyle w:val="SingleTxt"/>
        <w:rPr>
          <w:rFonts w:hint="eastAsia"/>
        </w:rPr>
      </w:pPr>
      <w:r>
        <w:rPr>
          <w:rFonts w:hint="eastAsia"/>
        </w:rPr>
        <w:t>155.  为了披露雇主不与雇员签署劳动合同以及不核算工资的个案，或者通过“从雇员收入及居民个人所得税中扣除的法定社会保险费帐目”表明支付的工资达到或低于国家规定的最低工资额，以及以另外一种形式支付的工资其余部分，国家税收部门组织了专项审查（主题-“雇主”），以披露所述类型的违规行为。约60%的审查在里加市以外进行。2002年，国家税收部门进行了13 221次主题为“雇主”的审查，占所有专项审查的64%，按比例来说，这是审查最多的主题。与2001年相比，“雇主”专项审查的数量增加了16%，7%的个案披露有违规行为。与2001年相比，披露的违规数量增长了2%。</w:t>
      </w:r>
    </w:p>
    <w:p w:rsidR="00312ECE" w:rsidRDefault="00312ECE">
      <w:pPr>
        <w:pStyle w:val="SingleTxt"/>
        <w:rPr>
          <w:rFonts w:hint="eastAsia"/>
        </w:rPr>
      </w:pPr>
      <w:r>
        <w:rPr>
          <w:rFonts w:hint="eastAsia"/>
        </w:rPr>
        <w:t>156.  国家税收部门在每个年度确认“税务审计规划及会计程序”，根据这个程序，在所有类型的企业活动中，贸易公司在已经进行了几年的年度审计方面享有优先权。在最后挑选接受税务审计的纳税人时，采用下述挑选风险标准：国家税收部门地区办事处掌握着如下一些公司（商业实体）的资料：没有核算其雇员工资或者其雇员工资达到或者略高于部长内阁确定的最低工资额；营业额很大，但雇员人数很少；未申报有酬就业，或者经营被认为是风险因素的其他活动。2002年，当最后挑选接受税务审计的纳税人时，633家公司被认为有风险因素，占列入审计议程的所有公司（1 096家）的58%。2002年，法定社会保险费在1 152次税务审计中得到审计，也就是说占全部税务审计数量的67%。经核算，在这类支付方面，另外支付了673 200拉特。</w:t>
      </w:r>
    </w:p>
    <w:p w:rsidR="00312ECE" w:rsidRDefault="00312ECE">
      <w:pPr>
        <w:pStyle w:val="SingleTxt"/>
        <w:rPr>
          <w:rFonts w:ascii="KaiTi_GB2312" w:eastAsia="KaiTi_GB2312" w:hint="eastAsia"/>
          <w:color w:val="0000FF"/>
        </w:rPr>
      </w:pPr>
      <w:r>
        <w:rPr>
          <w:rFonts w:ascii="KaiTi_GB2312" w:eastAsia="KaiTi_GB2312" w:hint="eastAsia"/>
          <w:color w:val="0000FF"/>
        </w:rPr>
        <w:t>领取劳动救济的权利</w:t>
      </w:r>
    </w:p>
    <w:p w:rsidR="00312ECE" w:rsidRDefault="00312ECE">
      <w:pPr>
        <w:pStyle w:val="SingleTxt"/>
        <w:rPr>
          <w:rFonts w:hint="eastAsia"/>
        </w:rPr>
      </w:pPr>
      <w:r>
        <w:rPr>
          <w:rFonts w:hint="eastAsia"/>
        </w:rPr>
        <w:t>157.  在领取劳动救济方面，拉脱维亚不存在按性别区别对待的做法，但由不同性别的生理特点及雇员家庭状况决定的情况除外，无论雇员的性别是什么。</w:t>
      </w:r>
    </w:p>
    <w:p w:rsidR="00312ECE" w:rsidRDefault="00312ECE">
      <w:pPr>
        <w:pStyle w:val="SingleTxt"/>
        <w:rPr>
          <w:rFonts w:hint="eastAsia"/>
        </w:rPr>
      </w:pPr>
      <w:r>
        <w:rPr>
          <w:rFonts w:hint="eastAsia"/>
        </w:rPr>
        <w:t>158.  《劳工法典》的规定适用于一切雇员及雇主，无论其地位及权益形式如何，条件是就业关系以就业合同为依据。上述法典确定了应缩短工作时间的雇员的类别，即16-18岁的雇员、在危险或者艰苦工作条件中工作的雇员以及孩子不满三岁的妇女。同样，对不满18岁的雇员、孕妇、孩子不满三岁的妇女、抚养不满三岁且没有母亲的子女的父亲以及上述年龄的子女的监护人，制定了限制他们上夜班的规定。应为如下人员制定非全日工作的规定：事先与雇主达成协议的雇员，如果非全日工作的要求由孕妇提出；子女不满14岁的配偶任一方或者抚养没有母亲且不满14岁（伤残子女-不满16岁）的子女的父亲；上述年龄的子女的监护人或者根据医疗证明照料生病家庭成员的人士。拉脱维亚两性平等协会在它的评论意见中指出，根据按福利部的要求进行的“雇主和雇员认识劳动关系”的调查，对这些救济的认识水平低下。</w:t>
      </w:r>
    </w:p>
    <w:p w:rsidR="00312ECE" w:rsidRDefault="00312ECE">
      <w:pPr>
        <w:pStyle w:val="SingleTxt"/>
        <w:rPr>
          <w:rFonts w:hint="eastAsia"/>
        </w:rPr>
      </w:pPr>
      <w:r>
        <w:rPr>
          <w:rFonts w:hint="eastAsia"/>
        </w:rPr>
        <w:t>159.  《劳工法》禁止雇用儿童从事长期工作，也禁止在接到医疗证明后，雇用孕妇及产后一年期限内的妇女，以及哺乳期妇女-在整个哺乳期，如果确认从事相关工作对妇女或其子女的安全与健康有害。</w:t>
      </w:r>
    </w:p>
    <w:p w:rsidR="00312ECE" w:rsidRDefault="00312ECE">
      <w:pPr>
        <w:pStyle w:val="SingleTxt"/>
        <w:rPr>
          <w:rFonts w:hint="eastAsia"/>
        </w:rPr>
      </w:pPr>
      <w:r>
        <w:rPr>
          <w:rFonts w:hint="eastAsia"/>
        </w:rPr>
        <w:t>160.  达成非全日工作协议的可能性已经由《劳工法》做出了规定，如果该等要求由孕妇、产后一年期限内的妇女以及哺乳期妇女（在整个哺乳期）、以及子女不满14岁或者伤残子女不满16岁的雇员提出。此外，雇员拒绝从全日制工作改为非全日工作或者出现相反的情况，不能作为中止就业合同或者对雇员权利进行任何其他限制的理由。《劳工法》禁止雇用不满18岁的人、孕妇、产后一年期限内的妇女、哺乳期妇女（在整个哺乳期）加班及上夜班。准许雇用子女不满三岁的雇员上夜班，但须征得他的同意。据国家人权办公室讲，关于子女不满三岁的妇女可以从事非全日工作的法律规定实际上并未奏效，其原因有两个：雇主不同意非全日工作或按规定达成非全日工作协议，因此，妇女仍继续从事全日工作。</w:t>
      </w:r>
    </w:p>
    <w:p w:rsidR="00312ECE" w:rsidRDefault="00312ECE">
      <w:pPr>
        <w:pStyle w:val="SingleTxt"/>
        <w:rPr>
          <w:rFonts w:ascii="KaiTi_GB2312" w:eastAsia="KaiTi_GB2312" w:hint="eastAsia"/>
          <w:color w:val="0000FF"/>
        </w:rPr>
      </w:pPr>
      <w:r>
        <w:rPr>
          <w:rFonts w:ascii="KaiTi_GB2312" w:eastAsia="KaiTi_GB2312" w:hint="eastAsia"/>
          <w:color w:val="0000FF"/>
        </w:rPr>
        <w:t>休带薪年假的权利</w:t>
      </w:r>
    </w:p>
    <w:p w:rsidR="00312ECE" w:rsidRDefault="00312ECE">
      <w:pPr>
        <w:pStyle w:val="SingleTxt"/>
        <w:rPr>
          <w:rFonts w:hint="eastAsia"/>
        </w:rPr>
      </w:pPr>
      <w:r>
        <w:rPr>
          <w:rFonts w:hint="eastAsia"/>
        </w:rPr>
        <w:t>161.  《劳工法典》规定，所有雇员都有年假，休假期间保留职务并领取平均工资。雇员的年假不少于四个日历周，但公众假日除外。不得用现金补偿假期，但没有休假的雇员遭到解雇的情况除外。第一个工作年的假期将给予连续在有关企业、机构或组织工作6个月的雇员。如果雇员未连续工作满6个月，第一个工作年的假期可给予休产假前的妇女或者刚休产假后的妇女，以及子女不满12岁的妇女；不满18岁的雇员，遭受政治压迫的个人以及其他法定情况下的个人。第二个工作年及随后各个工作年的假期可在该工作年根据批假顺序随时批给雇员。妇女有三个及三个以上不满16岁的子女或者有一名残疾子女的，有资格多休三个工作日的假期。</w:t>
      </w:r>
    </w:p>
    <w:p w:rsidR="00312ECE" w:rsidRDefault="00312ECE">
      <w:pPr>
        <w:pStyle w:val="SingleTxt"/>
        <w:rPr>
          <w:rFonts w:hint="eastAsia"/>
        </w:rPr>
      </w:pPr>
      <w:r>
        <w:rPr>
          <w:rFonts w:hint="eastAsia"/>
        </w:rPr>
        <w:t>162.  《劳工法》规定，每个雇员均有权休带薪年假。带薪年假不得少于四个日历周，但公众假日除外。不满18岁的人可休一个月的带薪年假。例外情况是，如果在当年批准雇员休完全部带薪年假对企业的正常工作进度产生不利影响，准许在征得雇员书面同意后将部分假期顺延到下个年度。这些规定不适用于不满18岁的人、孕妇及产后一年期限内的妇女，以及哺乳期妇女（在整个哺乳期）。不得用现金补偿带薪年假，但就业关系中止及雇员未休带薪年假的情况除外。与《劳工法典》相反，雇员有三个或三个以上不满16岁的子女或者一名残疾子女的，无论其子女的性别如何，雇员都可多休三天的假期。雇员如果为雇主连续工作不到6个月，可申请给予他第一个工作年度的带薪年假。雇主的职责是给予此类全部假期。妇女可在休产假前或者刚休完产假后要求准许她休带薪年假，不管该妇女为有关雇主工作的期限多长。</w:t>
      </w:r>
    </w:p>
    <w:p w:rsidR="00312ECE" w:rsidRDefault="00312ECE">
      <w:pPr>
        <w:pStyle w:val="SingleTxt"/>
        <w:rPr>
          <w:rFonts w:ascii="KaiTi_GB2312" w:eastAsia="KaiTi_GB2312" w:hint="eastAsia"/>
          <w:color w:val="0000FF"/>
        </w:rPr>
      </w:pPr>
      <w:r>
        <w:rPr>
          <w:rFonts w:ascii="KaiTi_GB2312" w:eastAsia="KaiTi_GB2312" w:hint="eastAsia"/>
          <w:color w:val="0000FF"/>
        </w:rPr>
        <w:t>社会保障的权利</w:t>
      </w:r>
    </w:p>
    <w:p w:rsidR="00312ECE" w:rsidRDefault="00312ECE">
      <w:pPr>
        <w:pStyle w:val="SingleTxt"/>
        <w:rPr>
          <w:rFonts w:hint="eastAsia"/>
        </w:rPr>
      </w:pPr>
      <w:r>
        <w:rPr>
          <w:rFonts w:hint="eastAsia"/>
        </w:rPr>
        <w:t>163.  拉脱维亚遵循的社会保障政策规定缴纳社会税是获得多数社会保障的前提条件。</w:t>
      </w:r>
    </w:p>
    <w:p w:rsidR="00312ECE" w:rsidRDefault="00312ECE">
      <w:pPr>
        <w:pStyle w:val="SingleTxt"/>
        <w:rPr>
          <w:rFonts w:hint="eastAsia"/>
        </w:rPr>
      </w:pPr>
      <w:r>
        <w:rPr>
          <w:rFonts w:hint="eastAsia"/>
        </w:rPr>
        <w:t>164.  自恢复独立以来，国家社会保障政策发生了很大变化。保证社会保障的立法基础需要变革，因为现在不可能继续提供苏维埃时期提供的社会保障；同样，推行市场经济原则后，人民不得不为自己的生活履行更多的义务。最初，政府试图继续实行提供最大规模社会保障的政策（譬如，通过在1991年制订“国家养恤金”法）。不过，这项政策的实施经证明是不可能的，而且有可能起到破坏社会援助预算的作用。</w:t>
      </w:r>
    </w:p>
    <w:p w:rsidR="00312ECE" w:rsidRDefault="00312ECE">
      <w:pPr>
        <w:pStyle w:val="SingleTxt"/>
        <w:rPr>
          <w:rFonts w:hint="eastAsia"/>
        </w:rPr>
      </w:pPr>
      <w:r>
        <w:rPr>
          <w:rFonts w:hint="eastAsia"/>
        </w:rPr>
        <w:t>165.  现行的社会保障模式依据的事实是使缴纳社会税成为获取多数社会保障的前提条件。此外，缴纳社会税的数额也决定着将来领受福利金和养恤金的数额。社会税由个人缴纳，每个居民缴纳的税金将记入他/她在国家社会保险机构的帐户中。2001年3月13日，宪法法院的裁决确定，即使雇主没有为雇员缴纳社会税，雇员也有权接受社会保障服务。有人指出，雇员没有能力影响雇主的这类行为，因此必然要登记为社会保险制度的参与者，还要说明的是，国家承诺保证社会保险制度的运作和社会税的征收。</w:t>
      </w:r>
    </w:p>
    <w:p w:rsidR="00312ECE" w:rsidRDefault="00312ECE">
      <w:pPr>
        <w:pStyle w:val="SingleTxt"/>
        <w:rPr>
          <w:rFonts w:hint="eastAsia"/>
        </w:rPr>
      </w:pPr>
      <w:r>
        <w:rPr>
          <w:rFonts w:hint="eastAsia"/>
        </w:rPr>
        <w:t>166.  社会保险制度运行的基本原则是保障社会服务方面的平等，无论性别、国籍及宗教信仰如何。社会保障制度包括两个领域-国家社会保险和社会救济。</w:t>
      </w:r>
    </w:p>
    <w:p w:rsidR="00312ECE" w:rsidRDefault="00312ECE">
      <w:pPr>
        <w:pStyle w:val="SingleTxt"/>
        <w:rPr>
          <w:rFonts w:hint="eastAsia"/>
        </w:rPr>
      </w:pPr>
      <w:r>
        <w:rPr>
          <w:rFonts w:hint="eastAsia"/>
        </w:rPr>
        <w:t>167.  社会救济活动是社会保障制度的组成部分，旨在保证为处于贫困或任何其他社会风险状况，而且其他社会保险措施不适用或者不充分的居民提供保护。社会救济职能在国家和地方政府之间分工。根据“社会救济”法，国家提供社会救济的主要形式是社会案例、物质援助以及社会复兴。</w:t>
      </w:r>
    </w:p>
    <w:p w:rsidR="00312ECE" w:rsidRDefault="00312ECE">
      <w:pPr>
        <w:pStyle w:val="SingleTxt"/>
        <w:rPr>
          <w:rFonts w:hint="eastAsia"/>
        </w:rPr>
      </w:pPr>
      <w:r>
        <w:rPr>
          <w:rFonts w:hint="eastAsia"/>
        </w:rPr>
        <w:t>168.  根据“社会救济”法，接受社会救济服务这项权利的享受人是拥有社会身份代码的拉脱维公民、非公民、外国人以及无国籍人士，但领到临时居住证的人士除外。这项权利与缴纳的社会保险费的多少无关。在拉脱维亚，社会津贴制度包括普遍的国家社会津贴，这种津贴的发放取决于发放对象属于哪个人口群体以及财力经过检验的市社会津贴。</w:t>
      </w:r>
    </w:p>
    <w:p w:rsidR="00312ECE" w:rsidRDefault="00312ECE">
      <w:pPr>
        <w:pStyle w:val="SingleTxt"/>
        <w:rPr>
          <w:rFonts w:hint="eastAsia"/>
        </w:rPr>
      </w:pPr>
      <w:r>
        <w:rPr>
          <w:rFonts w:hint="eastAsia"/>
        </w:rPr>
        <w:t>169.  国家社会津贴和市社会津贴有区别。国家社会津贴分为定期支付的津贴和一次性支付的津贴。定期支付的国家社会津贴包括：</w:t>
      </w:r>
    </w:p>
    <w:p w:rsidR="00312ECE" w:rsidRDefault="00312ECE">
      <w:pPr>
        <w:pStyle w:val="SingleTxt"/>
        <w:rPr>
          <w:rFonts w:hint="eastAsia"/>
        </w:rPr>
      </w:pPr>
      <w:r>
        <w:rPr>
          <w:rFonts w:hint="eastAsia"/>
        </w:rPr>
        <w:tab/>
        <w:t>(a)</w:t>
      </w:r>
      <w:r>
        <w:rPr>
          <w:rFonts w:hint="eastAsia"/>
        </w:rPr>
        <w:tab/>
        <w:t>国家社会保障津贴；</w:t>
      </w:r>
    </w:p>
    <w:p w:rsidR="00312ECE" w:rsidRDefault="00312ECE">
      <w:pPr>
        <w:pStyle w:val="SingleTxt"/>
        <w:rPr>
          <w:rFonts w:hint="eastAsia"/>
        </w:rPr>
      </w:pPr>
      <w:r>
        <w:rPr>
          <w:rFonts w:hint="eastAsia"/>
        </w:rPr>
        <w:tab/>
        <w:t>(</w:t>
      </w:r>
      <w:r>
        <w:t>b</w:t>
      </w:r>
      <w:r>
        <w:rPr>
          <w:rFonts w:hint="eastAsia"/>
        </w:rPr>
        <w:t>)</w:t>
      </w:r>
      <w:r>
        <w:rPr>
          <w:rFonts w:hint="eastAsia"/>
        </w:rPr>
        <w:tab/>
        <w:t>儿童保育津贴；</w:t>
      </w:r>
    </w:p>
    <w:p w:rsidR="00312ECE" w:rsidRDefault="00312ECE">
      <w:pPr>
        <w:pStyle w:val="SingleTxt"/>
        <w:rPr>
          <w:rFonts w:hint="eastAsia"/>
        </w:rPr>
      </w:pPr>
      <w:r>
        <w:rPr>
          <w:rFonts w:hint="eastAsia"/>
        </w:rPr>
        <w:tab/>
        <w:t>(</w:t>
      </w:r>
      <w:r>
        <w:t>c</w:t>
      </w:r>
      <w:r>
        <w:rPr>
          <w:rFonts w:hint="eastAsia"/>
        </w:rPr>
        <w:t>)</w:t>
      </w:r>
      <w:r>
        <w:rPr>
          <w:rFonts w:hint="eastAsia"/>
        </w:rPr>
        <w:tab/>
        <w:t>国家发给家庭的津贴；</w:t>
      </w:r>
    </w:p>
    <w:p w:rsidR="00312ECE" w:rsidRDefault="00312ECE">
      <w:pPr>
        <w:pStyle w:val="SingleTxt"/>
        <w:rPr>
          <w:rFonts w:hint="eastAsia"/>
        </w:rPr>
      </w:pPr>
      <w:r>
        <w:rPr>
          <w:rFonts w:hint="eastAsia"/>
        </w:rPr>
        <w:tab/>
        <w:t>(</w:t>
      </w:r>
      <w:r>
        <w:t>d</w:t>
      </w:r>
      <w:r>
        <w:rPr>
          <w:rFonts w:hint="eastAsia"/>
        </w:rPr>
        <w:t>)</w:t>
      </w:r>
      <w:r>
        <w:rPr>
          <w:rFonts w:hint="eastAsia"/>
        </w:rPr>
        <w:tab/>
        <w:t>补偿交通费的津贴发放对象是肌肉运动有障碍，而且已经接到医生和专家的说明，证明其需要专用交通用具的残疾人（这笔津贴每两年发放一次）；</w:t>
      </w:r>
    </w:p>
    <w:p w:rsidR="00312ECE" w:rsidRDefault="00312ECE">
      <w:pPr>
        <w:pStyle w:val="SingleTxt"/>
        <w:rPr>
          <w:rFonts w:hint="eastAsia"/>
        </w:rPr>
      </w:pPr>
      <w:r>
        <w:rPr>
          <w:rFonts w:hint="eastAsia"/>
        </w:rPr>
        <w:tab/>
        <w:t>(</w:t>
      </w:r>
      <w:r>
        <w:t>e</w:t>
      </w:r>
      <w:r>
        <w:rPr>
          <w:rFonts w:hint="eastAsia"/>
        </w:rPr>
        <w:t>)</w:t>
      </w:r>
      <w:r>
        <w:rPr>
          <w:rFonts w:hint="eastAsia"/>
        </w:rPr>
        <w:tab/>
        <w:t>监护人的薪酬；</w:t>
      </w:r>
    </w:p>
    <w:p w:rsidR="00312ECE" w:rsidRDefault="00312ECE">
      <w:pPr>
        <w:pStyle w:val="SingleTxt"/>
        <w:rPr>
          <w:rFonts w:hint="eastAsia"/>
        </w:rPr>
      </w:pPr>
      <w:r>
        <w:rPr>
          <w:rFonts w:hint="eastAsia"/>
        </w:rPr>
        <w:tab/>
        <w:t>(</w:t>
      </w:r>
      <w:r>
        <w:t>f</w:t>
      </w:r>
      <w:r>
        <w:rPr>
          <w:rFonts w:hint="eastAsia"/>
        </w:rPr>
        <w:t>)</w:t>
      </w:r>
      <w:r>
        <w:rPr>
          <w:rFonts w:hint="eastAsia"/>
        </w:rPr>
        <w:tab/>
        <w:t>寄养家庭的薪酬；</w:t>
      </w:r>
    </w:p>
    <w:p w:rsidR="00312ECE" w:rsidRDefault="00312ECE">
      <w:pPr>
        <w:pStyle w:val="SingleTxt"/>
        <w:rPr>
          <w:rFonts w:hint="eastAsia"/>
        </w:rPr>
      </w:pPr>
      <w:r>
        <w:rPr>
          <w:rFonts w:hint="eastAsia"/>
        </w:rPr>
        <w:tab/>
        <w:t>(</w:t>
      </w:r>
      <w:r>
        <w:t>g</w:t>
      </w:r>
      <w:r>
        <w:rPr>
          <w:rFonts w:hint="eastAsia"/>
        </w:rPr>
        <w:t>)</w:t>
      </w:r>
      <w:r>
        <w:rPr>
          <w:rFonts w:hint="eastAsia"/>
        </w:rPr>
        <w:tab/>
        <w:t>监护人为儿童提供营养的薪酬。</w:t>
      </w:r>
    </w:p>
    <w:p w:rsidR="00312ECE" w:rsidRDefault="00312ECE">
      <w:pPr>
        <w:pStyle w:val="SingleTxt"/>
        <w:rPr>
          <w:rFonts w:hint="eastAsia"/>
        </w:rPr>
      </w:pPr>
      <w:r>
        <w:rPr>
          <w:rFonts w:hint="eastAsia"/>
        </w:rPr>
        <w:t>170.  分娩津贴及丧葬津贴均为一次性支付。</w:t>
      </w:r>
    </w:p>
    <w:p w:rsidR="00312ECE" w:rsidRDefault="00312ECE">
      <w:pPr>
        <w:pStyle w:val="SingleTxt"/>
        <w:rPr>
          <w:rFonts w:hint="eastAsia"/>
        </w:rPr>
      </w:pPr>
      <w:r>
        <w:rPr>
          <w:rFonts w:hint="eastAsia"/>
        </w:rPr>
        <w:t>171.  根据“社会救济”法，地方政府负责发放下述社会津贴：</w:t>
      </w:r>
    </w:p>
    <w:p w:rsidR="00312ECE" w:rsidRDefault="00312ECE">
      <w:pPr>
        <w:pStyle w:val="SingleTxt"/>
        <w:rPr>
          <w:rFonts w:hint="eastAsia"/>
        </w:rPr>
      </w:pPr>
      <w:r>
        <w:rPr>
          <w:rFonts w:hint="eastAsia"/>
        </w:rPr>
        <w:tab/>
        <w:t>(a)</w:t>
      </w:r>
      <w:r>
        <w:rPr>
          <w:rFonts w:hint="eastAsia"/>
        </w:rPr>
        <w:tab/>
        <w:t>为贫困家庭发放社会救济津贴；</w:t>
      </w:r>
    </w:p>
    <w:p w:rsidR="00312ECE" w:rsidRDefault="00312ECE">
      <w:pPr>
        <w:pStyle w:val="SingleTxt"/>
        <w:rPr>
          <w:rFonts w:hint="eastAsia"/>
        </w:rPr>
      </w:pPr>
      <w:r>
        <w:rPr>
          <w:rFonts w:hint="eastAsia"/>
        </w:rPr>
        <w:tab/>
        <w:t>(</w:t>
      </w:r>
      <w:r>
        <w:t>b</w:t>
      </w:r>
      <w:r>
        <w:rPr>
          <w:rFonts w:hint="eastAsia"/>
        </w:rPr>
        <w:t>)</w:t>
      </w:r>
      <w:r>
        <w:rPr>
          <w:rFonts w:hint="eastAsia"/>
        </w:rPr>
        <w:tab/>
        <w:t>住房津贴；</w:t>
      </w:r>
    </w:p>
    <w:p w:rsidR="00312ECE" w:rsidRDefault="00312ECE">
      <w:pPr>
        <w:pStyle w:val="SingleTxt"/>
        <w:rPr>
          <w:rFonts w:hint="eastAsia"/>
        </w:rPr>
      </w:pPr>
      <w:r>
        <w:rPr>
          <w:rFonts w:hint="eastAsia"/>
        </w:rPr>
        <w:tab/>
        <w:t>(</w:t>
      </w:r>
      <w:r>
        <w:t>c</w:t>
      </w:r>
      <w:r>
        <w:rPr>
          <w:rFonts w:hint="eastAsia"/>
        </w:rPr>
        <w:t>)</w:t>
      </w:r>
      <w:r>
        <w:rPr>
          <w:rFonts w:hint="eastAsia"/>
        </w:rPr>
        <w:tab/>
        <w:t>护理津贴。</w:t>
      </w:r>
    </w:p>
    <w:p w:rsidR="00312ECE" w:rsidRDefault="00312ECE">
      <w:pPr>
        <w:pStyle w:val="SingleTxt"/>
        <w:rPr>
          <w:rFonts w:hint="eastAsia"/>
        </w:rPr>
      </w:pPr>
      <w:r>
        <w:rPr>
          <w:rFonts w:hint="eastAsia"/>
        </w:rPr>
        <w:t>172.  地方政府视自己的预算情况可发放其他津贴。</w:t>
      </w:r>
    </w:p>
    <w:p w:rsidR="00312ECE" w:rsidRDefault="00312ECE">
      <w:pPr>
        <w:pStyle w:val="SingleTxt"/>
        <w:rPr>
          <w:rFonts w:hint="eastAsia"/>
        </w:rPr>
      </w:pPr>
      <w:r>
        <w:rPr>
          <w:rFonts w:hint="eastAsia"/>
        </w:rPr>
        <w:t>173.  应当指出，据国家人权办公室讲，拉脱维亚的人口贫困状况带有明显的性别特征。如果家庭成员人数增多，妇女陷入贫困的危险也会增大。有孩子的妇女比没有孩子的妇女贫穷，原因是照料子女的责任限制了妇女参加经济活动的可能性。由妇女单独抚养小孩的家庭尤其面临这种风险，原因是孩子的父亲通常逃避支付离婚抚养费，尽管法院的有效裁决勒令其支付该等费用。通常，执法机构不能保证这种裁决能够得到遵行。</w:t>
      </w:r>
    </w:p>
    <w:p w:rsidR="00312ECE" w:rsidRDefault="00312ECE">
      <w:pPr>
        <w:pStyle w:val="SingleTxt"/>
        <w:rPr>
          <w:rFonts w:hint="eastAsia"/>
        </w:rPr>
      </w:pPr>
      <w:r>
        <w:rPr>
          <w:rFonts w:hint="eastAsia"/>
        </w:rPr>
        <w:t xml:space="preserve">174.  </w:t>
      </w:r>
      <w:r>
        <w:rPr>
          <w:rFonts w:ascii="KaiTi_GB2312" w:eastAsia="KaiTi_GB2312" w:hint="eastAsia"/>
          <w:color w:val="0000FF"/>
        </w:rPr>
        <w:t>社会保险</w:t>
      </w:r>
      <w:r>
        <w:rPr>
          <w:rFonts w:hint="eastAsia"/>
        </w:rPr>
        <w:t>对社会的稳定和社区安全做出了规定，保障每个缴纳社会保险费的人在失去现有收入时能够根据缴纳的保险费按比例领取收入补偿金。社会保险是国家组织的一系列活动，目的是为因被保险人生病、残疾、孕产、失业、年老、职业事故或职业病，以及因被保险人或其亲属死亡增加的开支而失去工作收入的人或其亲属承担的风险上保险。“国家社会保险”法已界定社会保险的类型。</w:t>
      </w:r>
    </w:p>
    <w:p w:rsidR="00312ECE" w:rsidRDefault="00312ECE">
      <w:pPr>
        <w:pStyle w:val="SingleTxt"/>
        <w:rPr>
          <w:rFonts w:hint="eastAsia"/>
        </w:rPr>
      </w:pPr>
      <w:r>
        <w:rPr>
          <w:rFonts w:hint="eastAsia"/>
        </w:rPr>
        <w:t>175.  根据目前有效的法律规定，拉脱维亚存在着三级</w:t>
      </w:r>
      <w:r>
        <w:rPr>
          <w:rFonts w:ascii="KaiTi_GB2312" w:eastAsia="KaiTi_GB2312" w:hint="eastAsia"/>
          <w:color w:val="0000FF"/>
        </w:rPr>
        <w:t>老年养恤金体系</w:t>
      </w:r>
      <w:r>
        <w:rPr>
          <w:rFonts w:hint="eastAsia"/>
        </w:rPr>
        <w:t>。这一体系的各个级别相辅相成。如果已缴纳强制性社会保险费，可领取老年养恤金（一级养恤金体系）；通过参加国家养恤金基金（养恤金在其中不断累积），保证养恤金的循环（二级养恤金体系，将从2001年7月开始运作）；在私人养恤金基金投资（三级养恤金体系）。</w:t>
      </w:r>
    </w:p>
    <w:p w:rsidR="00312ECE" w:rsidRDefault="00312ECE">
      <w:pPr>
        <w:pStyle w:val="SingleTxt"/>
        <w:rPr>
          <w:rFonts w:hint="eastAsia"/>
        </w:rPr>
      </w:pPr>
      <w:r>
        <w:rPr>
          <w:rFonts w:hint="eastAsia"/>
        </w:rPr>
        <w:t>176.  养恤金的数额依缴纳的社会保险费的数额及缴纳期限的长短而定。因此，在这方面遵循两项原则，一项原则是“缴纳的越多，领取的越多”，另一项是“退休越晚，领取的养恤金越多。”</w:t>
      </w:r>
    </w:p>
    <w:p w:rsidR="00312ECE" w:rsidRDefault="00312ECE">
      <w:pPr>
        <w:pStyle w:val="SingleTxt"/>
        <w:rPr>
          <w:rFonts w:hint="eastAsia"/>
        </w:rPr>
      </w:pPr>
      <w:r>
        <w:rPr>
          <w:rFonts w:hint="eastAsia"/>
        </w:rPr>
        <w:t>177.  在国家养恤金制度方面，只有在确定退休年龄时才考虑性别。1995年，妇女的最低退休年龄是55岁，男子是60到62岁。1996年，妇女的退休年龄根据“国家养恤金”法提高到56岁，并在每个日历年延长半年，直至满62岁为止。2001年，老年养恤金权利的享有者（男子和妇女）是年满62岁，保险期不少于10年的人。年满60岁的人有权申请提前退休，条件是其保险期不少于30年。</w:t>
      </w:r>
    </w:p>
    <w:p w:rsidR="00312ECE" w:rsidRDefault="00312ECE">
      <w:pPr>
        <w:pStyle w:val="SingleTxt"/>
        <w:rPr>
          <w:rFonts w:hint="eastAsia"/>
        </w:rPr>
      </w:pPr>
      <w:r>
        <w:rPr>
          <w:rFonts w:hint="eastAsia"/>
        </w:rPr>
        <w:t>178.  男子与妇女可比法定退休年龄提前两年退休，条件是社会保险期不少于30年。如果提前退休，仅可领取80%的养恤金。</w:t>
      </w:r>
    </w:p>
    <w:p w:rsidR="00312ECE" w:rsidRDefault="00312ECE">
      <w:pPr>
        <w:pStyle w:val="SingleTxt"/>
        <w:rPr>
          <w:rFonts w:hint="eastAsia"/>
        </w:rPr>
      </w:pPr>
      <w:r>
        <w:rPr>
          <w:rFonts w:hint="eastAsia"/>
        </w:rPr>
        <w:t>179.  由于妇女领取的薪资比男子的低，她们的平均养恤金也较低。拉脱维亚两性平等协会在它的评论意见中指出，妇女的老年养恤金按她们的社会保险费比例发放，这种做法带有歧视性，其原因是：首先，妇女的平均薪资因职业和部门不同而较低；其次，妇女的职业因专事于照料子女而中断，由于国家在这个阶段按最低月薪为她们缴纳社会保险费，因此，她们的老年养恤金的最终金额较低。</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4"/>
        <w:gridCol w:w="646"/>
        <w:gridCol w:w="601"/>
        <w:gridCol w:w="690"/>
        <w:gridCol w:w="646"/>
        <w:gridCol w:w="618"/>
        <w:gridCol w:w="600"/>
        <w:gridCol w:w="721"/>
        <w:gridCol w:w="634"/>
        <w:gridCol w:w="600"/>
        <w:gridCol w:w="601"/>
      </w:tblGrid>
      <w:tr w:rsidR="00312ECE">
        <w:tblPrEx>
          <w:tblCellMar>
            <w:top w:w="0" w:type="dxa"/>
            <w:bottom w:w="0" w:type="dxa"/>
          </w:tblCellMar>
        </w:tblPrEx>
        <w:trPr>
          <w:trHeight w:val="112"/>
        </w:trPr>
        <w:tc>
          <w:tcPr>
            <w:tcW w:w="5000" w:type="pct"/>
            <w:gridSpan w:val="11"/>
          </w:tcPr>
          <w:p w:rsidR="00312ECE" w:rsidRDefault="00312ECE">
            <w:pPr>
              <w:pStyle w:val="Date"/>
              <w:spacing w:line="360" w:lineRule="atLeast"/>
              <w:rPr>
                <w:rFonts w:ascii="SimHei" w:eastAsia="SimHei" w:hint="eastAsia"/>
                <w:color w:val="FF0000"/>
                <w:sz w:val="18"/>
              </w:rPr>
            </w:pPr>
            <w:r>
              <w:rPr>
                <w:rFonts w:ascii="SimHei" w:eastAsia="SimHei" w:hint="eastAsia"/>
                <w:color w:val="FF0000"/>
                <w:sz w:val="18"/>
              </w:rPr>
              <w:t>老年养恤金的平均数额，每个月按实际价格计算的拉脱维亚拉特</w:t>
            </w:r>
          </w:p>
        </w:tc>
      </w:tr>
      <w:tr w:rsidR="00312ECE">
        <w:tblPrEx>
          <w:tblCellMar>
            <w:top w:w="0" w:type="dxa"/>
            <w:bottom w:w="0" w:type="dxa"/>
          </w:tblCellMar>
        </w:tblPrEx>
        <w:tc>
          <w:tcPr>
            <w:tcW w:w="688" w:type="pct"/>
          </w:tcPr>
          <w:p w:rsidR="00312ECE" w:rsidRDefault="00312ECE">
            <w:pPr>
              <w:spacing w:line="360" w:lineRule="atLeast"/>
              <w:rPr>
                <w:rFonts w:ascii="KaiTi_GB2312" w:eastAsia="KaiTi_GB2312" w:hint="eastAsia"/>
                <w:color w:val="0000FF"/>
                <w:sz w:val="14"/>
              </w:rPr>
            </w:pPr>
          </w:p>
        </w:tc>
        <w:tc>
          <w:tcPr>
            <w:tcW w:w="43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1992年</w:t>
            </w:r>
          </w:p>
        </w:tc>
        <w:tc>
          <w:tcPr>
            <w:tcW w:w="40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1993年</w:t>
            </w:r>
          </w:p>
        </w:tc>
        <w:tc>
          <w:tcPr>
            <w:tcW w:w="46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1994年</w:t>
            </w:r>
          </w:p>
        </w:tc>
        <w:tc>
          <w:tcPr>
            <w:tcW w:w="43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1995年</w:t>
            </w:r>
          </w:p>
        </w:tc>
        <w:tc>
          <w:tcPr>
            <w:tcW w:w="419"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1996年</w:t>
            </w:r>
          </w:p>
        </w:tc>
        <w:tc>
          <w:tcPr>
            <w:tcW w:w="4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1997年</w:t>
            </w:r>
          </w:p>
        </w:tc>
        <w:tc>
          <w:tcPr>
            <w:tcW w:w="489"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1998年</w:t>
            </w:r>
          </w:p>
        </w:tc>
        <w:tc>
          <w:tcPr>
            <w:tcW w:w="43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1999年</w:t>
            </w:r>
          </w:p>
        </w:tc>
        <w:tc>
          <w:tcPr>
            <w:tcW w:w="407"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2000年</w:t>
            </w:r>
          </w:p>
        </w:tc>
        <w:tc>
          <w:tcPr>
            <w:tcW w:w="40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2001年</w:t>
            </w:r>
          </w:p>
        </w:tc>
      </w:tr>
      <w:tr w:rsidR="00312ECE">
        <w:tblPrEx>
          <w:tblCellMar>
            <w:top w:w="0" w:type="dxa"/>
            <w:bottom w:w="0" w:type="dxa"/>
          </w:tblCellMar>
        </w:tblPrEx>
        <w:tc>
          <w:tcPr>
            <w:tcW w:w="688" w:type="pct"/>
          </w:tcPr>
          <w:p w:rsidR="00312ECE" w:rsidRDefault="00312ECE">
            <w:pPr>
              <w:spacing w:line="360" w:lineRule="atLeast"/>
              <w:rPr>
                <w:rFonts w:hint="eastAsia"/>
                <w:sz w:val="17"/>
              </w:rPr>
            </w:pPr>
            <w:r>
              <w:rPr>
                <w:rFonts w:hint="eastAsia"/>
                <w:sz w:val="17"/>
              </w:rPr>
              <w:t>各种养恤金的平均数额</w:t>
            </w:r>
          </w:p>
        </w:tc>
        <w:tc>
          <w:tcPr>
            <w:tcW w:w="438" w:type="pct"/>
          </w:tcPr>
          <w:p w:rsidR="00312ECE" w:rsidRDefault="00312ECE">
            <w:pPr>
              <w:spacing w:line="360" w:lineRule="atLeast"/>
              <w:jc w:val="center"/>
              <w:rPr>
                <w:sz w:val="17"/>
              </w:rPr>
            </w:pPr>
            <w:r>
              <w:rPr>
                <w:sz w:val="17"/>
              </w:rPr>
              <w:t>8.29</w:t>
            </w:r>
          </w:p>
        </w:tc>
        <w:tc>
          <w:tcPr>
            <w:tcW w:w="408" w:type="pct"/>
          </w:tcPr>
          <w:p w:rsidR="00312ECE" w:rsidRDefault="00312ECE">
            <w:pPr>
              <w:spacing w:line="360" w:lineRule="atLeast"/>
              <w:jc w:val="center"/>
              <w:rPr>
                <w:sz w:val="17"/>
              </w:rPr>
            </w:pPr>
            <w:r>
              <w:rPr>
                <w:sz w:val="17"/>
              </w:rPr>
              <w:t>10.50</w:t>
            </w:r>
          </w:p>
        </w:tc>
        <w:tc>
          <w:tcPr>
            <w:tcW w:w="468" w:type="pct"/>
          </w:tcPr>
          <w:p w:rsidR="00312ECE" w:rsidRDefault="00312ECE">
            <w:pPr>
              <w:spacing w:line="360" w:lineRule="atLeast"/>
              <w:jc w:val="center"/>
              <w:rPr>
                <w:sz w:val="17"/>
              </w:rPr>
            </w:pPr>
            <w:r>
              <w:rPr>
                <w:sz w:val="17"/>
              </w:rPr>
              <w:t>27.00</w:t>
            </w:r>
          </w:p>
        </w:tc>
        <w:tc>
          <w:tcPr>
            <w:tcW w:w="438" w:type="pct"/>
          </w:tcPr>
          <w:p w:rsidR="00312ECE" w:rsidRDefault="00312ECE">
            <w:pPr>
              <w:spacing w:line="360" w:lineRule="atLeast"/>
              <w:jc w:val="center"/>
              <w:rPr>
                <w:sz w:val="17"/>
              </w:rPr>
            </w:pPr>
            <w:r>
              <w:rPr>
                <w:sz w:val="17"/>
              </w:rPr>
              <w:t>32.72</w:t>
            </w:r>
          </w:p>
        </w:tc>
        <w:tc>
          <w:tcPr>
            <w:tcW w:w="419" w:type="pct"/>
          </w:tcPr>
          <w:p w:rsidR="00312ECE" w:rsidRDefault="00312ECE">
            <w:pPr>
              <w:spacing w:line="360" w:lineRule="atLeast"/>
              <w:jc w:val="center"/>
              <w:rPr>
                <w:sz w:val="17"/>
              </w:rPr>
            </w:pPr>
            <w:r>
              <w:rPr>
                <w:sz w:val="17"/>
              </w:rPr>
              <w:t>38.50</w:t>
            </w:r>
          </w:p>
        </w:tc>
        <w:tc>
          <w:tcPr>
            <w:tcW w:w="407" w:type="pct"/>
          </w:tcPr>
          <w:p w:rsidR="00312ECE" w:rsidRDefault="00312ECE">
            <w:pPr>
              <w:spacing w:line="360" w:lineRule="atLeast"/>
              <w:jc w:val="center"/>
              <w:rPr>
                <w:sz w:val="17"/>
              </w:rPr>
            </w:pPr>
            <w:r>
              <w:rPr>
                <w:sz w:val="17"/>
              </w:rPr>
              <w:t>42.42</w:t>
            </w:r>
          </w:p>
        </w:tc>
        <w:tc>
          <w:tcPr>
            <w:tcW w:w="489" w:type="pct"/>
          </w:tcPr>
          <w:p w:rsidR="00312ECE" w:rsidRDefault="00312ECE">
            <w:pPr>
              <w:spacing w:line="360" w:lineRule="atLeast"/>
              <w:jc w:val="center"/>
              <w:rPr>
                <w:sz w:val="17"/>
              </w:rPr>
            </w:pPr>
            <w:r>
              <w:rPr>
                <w:sz w:val="17"/>
              </w:rPr>
              <w:t>51.23</w:t>
            </w:r>
          </w:p>
        </w:tc>
        <w:tc>
          <w:tcPr>
            <w:tcW w:w="430" w:type="pct"/>
          </w:tcPr>
          <w:p w:rsidR="00312ECE" w:rsidRDefault="00312ECE">
            <w:pPr>
              <w:spacing w:line="360" w:lineRule="atLeast"/>
              <w:jc w:val="center"/>
              <w:rPr>
                <w:sz w:val="17"/>
              </w:rPr>
            </w:pPr>
            <w:r>
              <w:rPr>
                <w:sz w:val="17"/>
              </w:rPr>
              <w:t>58.00</w:t>
            </w:r>
          </w:p>
        </w:tc>
        <w:tc>
          <w:tcPr>
            <w:tcW w:w="407" w:type="pct"/>
          </w:tcPr>
          <w:p w:rsidR="00312ECE" w:rsidRDefault="00312ECE">
            <w:pPr>
              <w:spacing w:line="360" w:lineRule="atLeast"/>
              <w:jc w:val="center"/>
              <w:rPr>
                <w:sz w:val="17"/>
              </w:rPr>
            </w:pPr>
            <w:r>
              <w:rPr>
                <w:sz w:val="17"/>
              </w:rPr>
              <w:t>58.54</w:t>
            </w:r>
          </w:p>
        </w:tc>
        <w:tc>
          <w:tcPr>
            <w:tcW w:w="408" w:type="pct"/>
          </w:tcPr>
          <w:p w:rsidR="00312ECE" w:rsidRDefault="00312ECE">
            <w:pPr>
              <w:spacing w:line="360" w:lineRule="atLeast"/>
              <w:jc w:val="center"/>
              <w:rPr>
                <w:sz w:val="17"/>
              </w:rPr>
            </w:pPr>
            <w:r>
              <w:rPr>
                <w:sz w:val="17"/>
              </w:rPr>
              <w:t>58.87</w:t>
            </w:r>
          </w:p>
        </w:tc>
      </w:tr>
      <w:tr w:rsidR="00312ECE">
        <w:tblPrEx>
          <w:tblCellMar>
            <w:top w:w="0" w:type="dxa"/>
            <w:bottom w:w="0" w:type="dxa"/>
          </w:tblCellMar>
        </w:tblPrEx>
        <w:tc>
          <w:tcPr>
            <w:tcW w:w="688" w:type="pct"/>
          </w:tcPr>
          <w:p w:rsidR="00312ECE" w:rsidRDefault="00312ECE">
            <w:pPr>
              <w:spacing w:line="360" w:lineRule="atLeast"/>
              <w:rPr>
                <w:rFonts w:hint="eastAsia"/>
                <w:sz w:val="17"/>
              </w:rPr>
            </w:pPr>
            <w:r>
              <w:rPr>
                <w:rFonts w:hint="eastAsia"/>
                <w:sz w:val="17"/>
              </w:rPr>
              <w:t>男子</w:t>
            </w:r>
          </w:p>
        </w:tc>
        <w:tc>
          <w:tcPr>
            <w:tcW w:w="438" w:type="pct"/>
          </w:tcPr>
          <w:p w:rsidR="00312ECE" w:rsidRDefault="00312ECE">
            <w:pPr>
              <w:spacing w:line="360" w:lineRule="atLeast"/>
              <w:jc w:val="center"/>
              <w:rPr>
                <w:sz w:val="17"/>
              </w:rPr>
            </w:pPr>
            <w:r>
              <w:rPr>
                <w:sz w:val="17"/>
              </w:rPr>
              <w:t>X</w:t>
            </w:r>
          </w:p>
        </w:tc>
        <w:tc>
          <w:tcPr>
            <w:tcW w:w="408" w:type="pct"/>
          </w:tcPr>
          <w:p w:rsidR="00312ECE" w:rsidRDefault="00312ECE">
            <w:pPr>
              <w:spacing w:line="360" w:lineRule="atLeast"/>
              <w:jc w:val="center"/>
              <w:rPr>
                <w:sz w:val="17"/>
              </w:rPr>
            </w:pPr>
            <w:r>
              <w:rPr>
                <w:sz w:val="17"/>
              </w:rPr>
              <w:t>X</w:t>
            </w:r>
          </w:p>
        </w:tc>
        <w:tc>
          <w:tcPr>
            <w:tcW w:w="468" w:type="pct"/>
          </w:tcPr>
          <w:p w:rsidR="00312ECE" w:rsidRDefault="00312ECE">
            <w:pPr>
              <w:spacing w:line="360" w:lineRule="atLeast"/>
              <w:jc w:val="center"/>
              <w:rPr>
                <w:rFonts w:hint="eastAsia"/>
                <w:sz w:val="17"/>
              </w:rPr>
            </w:pPr>
            <w:r>
              <w:rPr>
                <w:sz w:val="17"/>
              </w:rPr>
              <w:t>X</w:t>
            </w:r>
          </w:p>
        </w:tc>
        <w:tc>
          <w:tcPr>
            <w:tcW w:w="438" w:type="pct"/>
          </w:tcPr>
          <w:p w:rsidR="00312ECE" w:rsidRDefault="00312ECE">
            <w:pPr>
              <w:spacing w:line="360" w:lineRule="atLeast"/>
              <w:jc w:val="center"/>
              <w:rPr>
                <w:rFonts w:hint="eastAsia"/>
                <w:sz w:val="17"/>
              </w:rPr>
            </w:pPr>
            <w:r>
              <w:rPr>
                <w:sz w:val="17"/>
              </w:rPr>
              <w:t>X</w:t>
            </w:r>
          </w:p>
        </w:tc>
        <w:tc>
          <w:tcPr>
            <w:tcW w:w="419" w:type="pct"/>
          </w:tcPr>
          <w:p w:rsidR="00312ECE" w:rsidRDefault="00312ECE">
            <w:pPr>
              <w:spacing w:line="360" w:lineRule="atLeast"/>
              <w:jc w:val="center"/>
              <w:rPr>
                <w:sz w:val="17"/>
              </w:rPr>
            </w:pPr>
            <w:r>
              <w:rPr>
                <w:sz w:val="17"/>
              </w:rPr>
              <w:t>X</w:t>
            </w:r>
          </w:p>
        </w:tc>
        <w:tc>
          <w:tcPr>
            <w:tcW w:w="407" w:type="pct"/>
          </w:tcPr>
          <w:p w:rsidR="00312ECE" w:rsidRDefault="00312ECE">
            <w:pPr>
              <w:spacing w:line="360" w:lineRule="atLeast"/>
              <w:jc w:val="center"/>
              <w:rPr>
                <w:sz w:val="17"/>
              </w:rPr>
            </w:pPr>
            <w:r>
              <w:rPr>
                <w:sz w:val="17"/>
              </w:rPr>
              <w:t>44.36</w:t>
            </w:r>
          </w:p>
        </w:tc>
        <w:tc>
          <w:tcPr>
            <w:tcW w:w="489" w:type="pct"/>
          </w:tcPr>
          <w:p w:rsidR="00312ECE" w:rsidRDefault="00312ECE">
            <w:pPr>
              <w:spacing w:line="360" w:lineRule="atLeast"/>
              <w:jc w:val="center"/>
              <w:rPr>
                <w:sz w:val="17"/>
              </w:rPr>
            </w:pPr>
            <w:r>
              <w:rPr>
                <w:sz w:val="17"/>
              </w:rPr>
              <w:t>53.78</w:t>
            </w:r>
          </w:p>
        </w:tc>
        <w:tc>
          <w:tcPr>
            <w:tcW w:w="430" w:type="pct"/>
          </w:tcPr>
          <w:p w:rsidR="00312ECE" w:rsidRDefault="00312ECE">
            <w:pPr>
              <w:spacing w:line="360" w:lineRule="atLeast"/>
              <w:jc w:val="center"/>
              <w:rPr>
                <w:sz w:val="17"/>
              </w:rPr>
            </w:pPr>
            <w:r>
              <w:rPr>
                <w:sz w:val="17"/>
              </w:rPr>
              <w:t>62.34</w:t>
            </w:r>
          </w:p>
        </w:tc>
        <w:tc>
          <w:tcPr>
            <w:tcW w:w="407" w:type="pct"/>
          </w:tcPr>
          <w:p w:rsidR="00312ECE" w:rsidRDefault="00312ECE">
            <w:pPr>
              <w:spacing w:line="360" w:lineRule="atLeast"/>
              <w:jc w:val="center"/>
              <w:rPr>
                <w:sz w:val="17"/>
              </w:rPr>
            </w:pPr>
            <w:r>
              <w:rPr>
                <w:sz w:val="17"/>
              </w:rPr>
              <w:t>62.91</w:t>
            </w:r>
          </w:p>
        </w:tc>
        <w:tc>
          <w:tcPr>
            <w:tcW w:w="408" w:type="pct"/>
          </w:tcPr>
          <w:p w:rsidR="00312ECE" w:rsidRDefault="00312ECE">
            <w:pPr>
              <w:spacing w:line="360" w:lineRule="atLeast"/>
              <w:jc w:val="center"/>
              <w:rPr>
                <w:sz w:val="17"/>
              </w:rPr>
            </w:pPr>
            <w:r>
              <w:rPr>
                <w:sz w:val="17"/>
              </w:rPr>
              <w:t>63.19</w:t>
            </w:r>
          </w:p>
        </w:tc>
      </w:tr>
      <w:tr w:rsidR="00312ECE">
        <w:tblPrEx>
          <w:tblCellMar>
            <w:top w:w="0" w:type="dxa"/>
            <w:bottom w:w="0" w:type="dxa"/>
          </w:tblCellMar>
        </w:tblPrEx>
        <w:tc>
          <w:tcPr>
            <w:tcW w:w="688" w:type="pct"/>
          </w:tcPr>
          <w:p w:rsidR="00312ECE" w:rsidRDefault="00312ECE">
            <w:pPr>
              <w:spacing w:line="360" w:lineRule="atLeast"/>
              <w:rPr>
                <w:rFonts w:hint="eastAsia"/>
                <w:sz w:val="17"/>
              </w:rPr>
            </w:pPr>
            <w:r>
              <w:rPr>
                <w:rFonts w:hint="eastAsia"/>
                <w:sz w:val="17"/>
              </w:rPr>
              <w:t>妇女</w:t>
            </w:r>
          </w:p>
        </w:tc>
        <w:tc>
          <w:tcPr>
            <w:tcW w:w="438" w:type="pct"/>
          </w:tcPr>
          <w:p w:rsidR="00312ECE" w:rsidRDefault="00312ECE">
            <w:pPr>
              <w:spacing w:line="360" w:lineRule="atLeast"/>
              <w:jc w:val="center"/>
              <w:rPr>
                <w:sz w:val="17"/>
              </w:rPr>
            </w:pPr>
            <w:r>
              <w:rPr>
                <w:sz w:val="17"/>
              </w:rPr>
              <w:t>X</w:t>
            </w:r>
          </w:p>
        </w:tc>
        <w:tc>
          <w:tcPr>
            <w:tcW w:w="408" w:type="pct"/>
          </w:tcPr>
          <w:p w:rsidR="00312ECE" w:rsidRDefault="00312ECE">
            <w:pPr>
              <w:spacing w:line="360" w:lineRule="atLeast"/>
              <w:jc w:val="center"/>
              <w:rPr>
                <w:rFonts w:hint="eastAsia"/>
                <w:sz w:val="17"/>
              </w:rPr>
            </w:pPr>
            <w:r>
              <w:rPr>
                <w:sz w:val="17"/>
              </w:rPr>
              <w:t>X</w:t>
            </w:r>
          </w:p>
        </w:tc>
        <w:tc>
          <w:tcPr>
            <w:tcW w:w="468" w:type="pct"/>
          </w:tcPr>
          <w:p w:rsidR="00312ECE" w:rsidRDefault="00312ECE">
            <w:pPr>
              <w:spacing w:line="360" w:lineRule="atLeast"/>
              <w:jc w:val="center"/>
              <w:rPr>
                <w:rFonts w:hint="eastAsia"/>
                <w:sz w:val="17"/>
              </w:rPr>
            </w:pPr>
            <w:r>
              <w:rPr>
                <w:sz w:val="17"/>
              </w:rPr>
              <w:t>X</w:t>
            </w:r>
          </w:p>
        </w:tc>
        <w:tc>
          <w:tcPr>
            <w:tcW w:w="438" w:type="pct"/>
          </w:tcPr>
          <w:p w:rsidR="00312ECE" w:rsidRDefault="00312ECE">
            <w:pPr>
              <w:spacing w:line="360" w:lineRule="atLeast"/>
              <w:jc w:val="center"/>
              <w:rPr>
                <w:rFonts w:hint="eastAsia"/>
                <w:sz w:val="17"/>
              </w:rPr>
            </w:pPr>
            <w:r>
              <w:rPr>
                <w:sz w:val="17"/>
              </w:rPr>
              <w:t>X</w:t>
            </w:r>
          </w:p>
        </w:tc>
        <w:tc>
          <w:tcPr>
            <w:tcW w:w="419" w:type="pct"/>
          </w:tcPr>
          <w:p w:rsidR="00312ECE" w:rsidRDefault="00312ECE">
            <w:pPr>
              <w:spacing w:line="360" w:lineRule="atLeast"/>
              <w:jc w:val="center"/>
              <w:rPr>
                <w:rFonts w:hint="eastAsia"/>
                <w:sz w:val="17"/>
              </w:rPr>
            </w:pPr>
            <w:r>
              <w:rPr>
                <w:sz w:val="17"/>
              </w:rPr>
              <w:t>X</w:t>
            </w:r>
          </w:p>
        </w:tc>
        <w:tc>
          <w:tcPr>
            <w:tcW w:w="407" w:type="pct"/>
          </w:tcPr>
          <w:p w:rsidR="00312ECE" w:rsidRDefault="00312ECE">
            <w:pPr>
              <w:spacing w:line="360" w:lineRule="atLeast"/>
              <w:jc w:val="center"/>
              <w:rPr>
                <w:sz w:val="17"/>
              </w:rPr>
            </w:pPr>
            <w:r>
              <w:rPr>
                <w:sz w:val="17"/>
              </w:rPr>
              <w:t>41.90</w:t>
            </w:r>
          </w:p>
        </w:tc>
        <w:tc>
          <w:tcPr>
            <w:tcW w:w="489" w:type="pct"/>
          </w:tcPr>
          <w:p w:rsidR="00312ECE" w:rsidRDefault="00312ECE">
            <w:pPr>
              <w:spacing w:line="360" w:lineRule="atLeast"/>
              <w:jc w:val="center"/>
              <w:rPr>
                <w:sz w:val="17"/>
              </w:rPr>
            </w:pPr>
            <w:r>
              <w:rPr>
                <w:sz w:val="17"/>
              </w:rPr>
              <w:t>50.56</w:t>
            </w:r>
          </w:p>
        </w:tc>
        <w:tc>
          <w:tcPr>
            <w:tcW w:w="430" w:type="pct"/>
          </w:tcPr>
          <w:p w:rsidR="00312ECE" w:rsidRDefault="00312ECE">
            <w:pPr>
              <w:spacing w:line="360" w:lineRule="atLeast"/>
              <w:jc w:val="center"/>
              <w:rPr>
                <w:sz w:val="17"/>
              </w:rPr>
            </w:pPr>
            <w:r>
              <w:rPr>
                <w:sz w:val="17"/>
              </w:rPr>
              <w:t>56.56</w:t>
            </w:r>
          </w:p>
        </w:tc>
        <w:tc>
          <w:tcPr>
            <w:tcW w:w="407" w:type="pct"/>
          </w:tcPr>
          <w:p w:rsidR="00312ECE" w:rsidRDefault="00312ECE">
            <w:pPr>
              <w:spacing w:line="360" w:lineRule="atLeast"/>
              <w:jc w:val="center"/>
              <w:rPr>
                <w:sz w:val="17"/>
              </w:rPr>
            </w:pPr>
            <w:r>
              <w:rPr>
                <w:sz w:val="17"/>
              </w:rPr>
              <w:t>57.16</w:t>
            </w:r>
          </w:p>
        </w:tc>
        <w:tc>
          <w:tcPr>
            <w:tcW w:w="408" w:type="pct"/>
          </w:tcPr>
          <w:p w:rsidR="00312ECE" w:rsidRDefault="00312ECE">
            <w:pPr>
              <w:spacing w:line="360" w:lineRule="atLeast"/>
              <w:jc w:val="center"/>
              <w:rPr>
                <w:sz w:val="17"/>
              </w:rPr>
            </w:pPr>
            <w:r>
              <w:rPr>
                <w:sz w:val="17"/>
              </w:rPr>
              <w:t>57.55</w:t>
            </w:r>
          </w:p>
        </w:tc>
      </w:tr>
      <w:tr w:rsidR="00312ECE">
        <w:tblPrEx>
          <w:tblCellMar>
            <w:top w:w="0" w:type="dxa"/>
            <w:bottom w:w="0" w:type="dxa"/>
          </w:tblCellMar>
        </w:tblPrEx>
        <w:tc>
          <w:tcPr>
            <w:tcW w:w="688" w:type="pct"/>
          </w:tcPr>
          <w:p w:rsidR="00312ECE" w:rsidRDefault="00312ECE">
            <w:pPr>
              <w:spacing w:line="360" w:lineRule="atLeast"/>
              <w:rPr>
                <w:rFonts w:hint="eastAsia"/>
                <w:sz w:val="17"/>
              </w:rPr>
            </w:pPr>
            <w:r>
              <w:rPr>
                <w:rFonts w:hint="eastAsia"/>
                <w:sz w:val="17"/>
              </w:rPr>
              <w:t>其中：</w:t>
            </w:r>
          </w:p>
        </w:tc>
        <w:tc>
          <w:tcPr>
            <w:tcW w:w="438" w:type="pct"/>
          </w:tcPr>
          <w:p w:rsidR="00312ECE" w:rsidRDefault="00312ECE">
            <w:pPr>
              <w:spacing w:line="360" w:lineRule="atLeast"/>
              <w:jc w:val="center"/>
              <w:rPr>
                <w:rFonts w:hint="eastAsia"/>
                <w:sz w:val="17"/>
              </w:rPr>
            </w:pPr>
          </w:p>
        </w:tc>
        <w:tc>
          <w:tcPr>
            <w:tcW w:w="408" w:type="pct"/>
          </w:tcPr>
          <w:p w:rsidR="00312ECE" w:rsidRDefault="00312ECE">
            <w:pPr>
              <w:spacing w:line="360" w:lineRule="atLeast"/>
              <w:jc w:val="center"/>
              <w:rPr>
                <w:rFonts w:hint="eastAsia"/>
                <w:sz w:val="17"/>
              </w:rPr>
            </w:pPr>
          </w:p>
        </w:tc>
        <w:tc>
          <w:tcPr>
            <w:tcW w:w="468" w:type="pct"/>
          </w:tcPr>
          <w:p w:rsidR="00312ECE" w:rsidRDefault="00312ECE">
            <w:pPr>
              <w:spacing w:line="360" w:lineRule="atLeast"/>
              <w:jc w:val="center"/>
              <w:rPr>
                <w:rFonts w:hint="eastAsia"/>
                <w:sz w:val="17"/>
              </w:rPr>
            </w:pPr>
          </w:p>
        </w:tc>
        <w:tc>
          <w:tcPr>
            <w:tcW w:w="438" w:type="pct"/>
          </w:tcPr>
          <w:p w:rsidR="00312ECE" w:rsidRDefault="00312ECE">
            <w:pPr>
              <w:spacing w:line="360" w:lineRule="atLeast"/>
              <w:jc w:val="center"/>
              <w:rPr>
                <w:rFonts w:hint="eastAsia"/>
                <w:sz w:val="17"/>
              </w:rPr>
            </w:pPr>
          </w:p>
        </w:tc>
        <w:tc>
          <w:tcPr>
            <w:tcW w:w="419" w:type="pct"/>
          </w:tcPr>
          <w:p w:rsidR="00312ECE" w:rsidRDefault="00312ECE">
            <w:pPr>
              <w:spacing w:line="360" w:lineRule="atLeast"/>
              <w:jc w:val="center"/>
              <w:rPr>
                <w:rFonts w:hint="eastAsia"/>
                <w:sz w:val="17"/>
              </w:rPr>
            </w:pPr>
          </w:p>
        </w:tc>
        <w:tc>
          <w:tcPr>
            <w:tcW w:w="407" w:type="pct"/>
          </w:tcPr>
          <w:p w:rsidR="00312ECE" w:rsidRDefault="00312ECE">
            <w:pPr>
              <w:spacing w:line="360" w:lineRule="atLeast"/>
              <w:jc w:val="center"/>
              <w:rPr>
                <w:rFonts w:hint="eastAsia"/>
                <w:sz w:val="17"/>
              </w:rPr>
            </w:pPr>
          </w:p>
        </w:tc>
        <w:tc>
          <w:tcPr>
            <w:tcW w:w="489" w:type="pct"/>
          </w:tcPr>
          <w:p w:rsidR="00312ECE" w:rsidRDefault="00312ECE">
            <w:pPr>
              <w:spacing w:line="360" w:lineRule="atLeast"/>
              <w:jc w:val="center"/>
              <w:rPr>
                <w:rFonts w:hint="eastAsia"/>
                <w:sz w:val="17"/>
              </w:rPr>
            </w:pPr>
          </w:p>
        </w:tc>
        <w:tc>
          <w:tcPr>
            <w:tcW w:w="430" w:type="pct"/>
          </w:tcPr>
          <w:p w:rsidR="00312ECE" w:rsidRDefault="00312ECE">
            <w:pPr>
              <w:spacing w:line="360" w:lineRule="atLeast"/>
              <w:jc w:val="center"/>
              <w:rPr>
                <w:rFonts w:hint="eastAsia"/>
                <w:sz w:val="17"/>
              </w:rPr>
            </w:pPr>
          </w:p>
        </w:tc>
        <w:tc>
          <w:tcPr>
            <w:tcW w:w="407" w:type="pct"/>
          </w:tcPr>
          <w:p w:rsidR="00312ECE" w:rsidRDefault="00312ECE">
            <w:pPr>
              <w:spacing w:line="360" w:lineRule="atLeast"/>
              <w:jc w:val="center"/>
              <w:rPr>
                <w:rFonts w:hint="eastAsia"/>
                <w:sz w:val="17"/>
              </w:rPr>
            </w:pPr>
          </w:p>
        </w:tc>
        <w:tc>
          <w:tcPr>
            <w:tcW w:w="408" w:type="pct"/>
          </w:tcPr>
          <w:p w:rsidR="00312ECE" w:rsidRDefault="00312ECE">
            <w:pPr>
              <w:spacing w:line="360" w:lineRule="atLeast"/>
              <w:jc w:val="center"/>
              <w:rPr>
                <w:rFonts w:hint="eastAsia"/>
                <w:sz w:val="17"/>
              </w:rPr>
            </w:pPr>
          </w:p>
        </w:tc>
      </w:tr>
      <w:tr w:rsidR="00312ECE">
        <w:tblPrEx>
          <w:tblCellMar>
            <w:top w:w="0" w:type="dxa"/>
            <w:bottom w:w="0" w:type="dxa"/>
          </w:tblCellMar>
        </w:tblPrEx>
        <w:tc>
          <w:tcPr>
            <w:tcW w:w="688" w:type="pct"/>
          </w:tcPr>
          <w:p w:rsidR="00312ECE" w:rsidRDefault="00312ECE">
            <w:pPr>
              <w:spacing w:line="360" w:lineRule="atLeast"/>
              <w:rPr>
                <w:rFonts w:hint="eastAsia"/>
                <w:sz w:val="17"/>
              </w:rPr>
            </w:pPr>
            <w:r>
              <w:rPr>
                <w:rFonts w:hint="eastAsia"/>
                <w:sz w:val="17"/>
              </w:rPr>
              <w:t>老年养恤金</w:t>
            </w:r>
          </w:p>
        </w:tc>
        <w:tc>
          <w:tcPr>
            <w:tcW w:w="438" w:type="pct"/>
          </w:tcPr>
          <w:p w:rsidR="00312ECE" w:rsidRDefault="00312ECE">
            <w:pPr>
              <w:spacing w:line="360" w:lineRule="atLeast"/>
              <w:jc w:val="center"/>
              <w:rPr>
                <w:sz w:val="17"/>
              </w:rPr>
            </w:pPr>
            <w:r>
              <w:rPr>
                <w:sz w:val="17"/>
              </w:rPr>
              <w:t>7.42</w:t>
            </w:r>
          </w:p>
        </w:tc>
        <w:tc>
          <w:tcPr>
            <w:tcW w:w="408" w:type="pct"/>
          </w:tcPr>
          <w:p w:rsidR="00312ECE" w:rsidRDefault="00312ECE">
            <w:pPr>
              <w:spacing w:line="360" w:lineRule="atLeast"/>
              <w:jc w:val="center"/>
              <w:rPr>
                <w:sz w:val="17"/>
              </w:rPr>
            </w:pPr>
            <w:r>
              <w:rPr>
                <w:sz w:val="17"/>
              </w:rPr>
              <w:t>9.90</w:t>
            </w:r>
          </w:p>
        </w:tc>
        <w:tc>
          <w:tcPr>
            <w:tcW w:w="468" w:type="pct"/>
          </w:tcPr>
          <w:p w:rsidR="00312ECE" w:rsidRDefault="00312ECE">
            <w:pPr>
              <w:spacing w:line="360" w:lineRule="atLeast"/>
              <w:jc w:val="center"/>
              <w:rPr>
                <w:sz w:val="17"/>
              </w:rPr>
            </w:pPr>
            <w:r>
              <w:rPr>
                <w:sz w:val="17"/>
              </w:rPr>
              <w:t>27.30</w:t>
            </w:r>
          </w:p>
        </w:tc>
        <w:tc>
          <w:tcPr>
            <w:tcW w:w="438" w:type="pct"/>
          </w:tcPr>
          <w:p w:rsidR="00312ECE" w:rsidRDefault="00312ECE">
            <w:pPr>
              <w:spacing w:line="360" w:lineRule="atLeast"/>
              <w:jc w:val="center"/>
              <w:rPr>
                <w:sz w:val="17"/>
              </w:rPr>
            </w:pPr>
            <w:r>
              <w:rPr>
                <w:sz w:val="17"/>
              </w:rPr>
              <w:t>32.60</w:t>
            </w:r>
          </w:p>
        </w:tc>
        <w:tc>
          <w:tcPr>
            <w:tcW w:w="419" w:type="pct"/>
          </w:tcPr>
          <w:p w:rsidR="00312ECE" w:rsidRDefault="00312ECE">
            <w:pPr>
              <w:spacing w:line="360" w:lineRule="atLeast"/>
              <w:jc w:val="center"/>
              <w:rPr>
                <w:sz w:val="17"/>
              </w:rPr>
            </w:pPr>
            <w:r>
              <w:rPr>
                <w:sz w:val="17"/>
              </w:rPr>
              <w:t>38.30</w:t>
            </w:r>
          </w:p>
        </w:tc>
        <w:tc>
          <w:tcPr>
            <w:tcW w:w="407" w:type="pct"/>
          </w:tcPr>
          <w:p w:rsidR="00312ECE" w:rsidRDefault="00312ECE">
            <w:pPr>
              <w:spacing w:line="360" w:lineRule="atLeast"/>
              <w:jc w:val="center"/>
              <w:rPr>
                <w:sz w:val="17"/>
              </w:rPr>
            </w:pPr>
            <w:r>
              <w:rPr>
                <w:sz w:val="17"/>
              </w:rPr>
              <w:t>42.55</w:t>
            </w:r>
          </w:p>
        </w:tc>
        <w:tc>
          <w:tcPr>
            <w:tcW w:w="489" w:type="pct"/>
          </w:tcPr>
          <w:p w:rsidR="00312ECE" w:rsidRDefault="00312ECE">
            <w:pPr>
              <w:spacing w:line="360" w:lineRule="atLeast"/>
              <w:jc w:val="center"/>
              <w:rPr>
                <w:sz w:val="17"/>
              </w:rPr>
            </w:pPr>
            <w:r>
              <w:rPr>
                <w:sz w:val="17"/>
              </w:rPr>
              <w:t>51.57</w:t>
            </w:r>
          </w:p>
        </w:tc>
        <w:tc>
          <w:tcPr>
            <w:tcW w:w="430" w:type="pct"/>
          </w:tcPr>
          <w:p w:rsidR="00312ECE" w:rsidRDefault="00312ECE">
            <w:pPr>
              <w:spacing w:line="360" w:lineRule="atLeast"/>
              <w:jc w:val="center"/>
              <w:rPr>
                <w:sz w:val="17"/>
              </w:rPr>
            </w:pPr>
            <w:r>
              <w:rPr>
                <w:sz w:val="17"/>
              </w:rPr>
              <w:t>58.92</w:t>
            </w:r>
          </w:p>
        </w:tc>
        <w:tc>
          <w:tcPr>
            <w:tcW w:w="407" w:type="pct"/>
          </w:tcPr>
          <w:p w:rsidR="00312ECE" w:rsidRDefault="00312ECE">
            <w:pPr>
              <w:spacing w:line="360" w:lineRule="atLeast"/>
              <w:jc w:val="center"/>
              <w:rPr>
                <w:sz w:val="17"/>
              </w:rPr>
            </w:pPr>
            <w:r>
              <w:rPr>
                <w:sz w:val="17"/>
              </w:rPr>
              <w:t>59.76</w:t>
            </w:r>
          </w:p>
        </w:tc>
        <w:tc>
          <w:tcPr>
            <w:tcW w:w="408" w:type="pct"/>
          </w:tcPr>
          <w:p w:rsidR="00312ECE" w:rsidRDefault="00312ECE">
            <w:pPr>
              <w:spacing w:line="360" w:lineRule="atLeast"/>
              <w:jc w:val="center"/>
              <w:rPr>
                <w:sz w:val="17"/>
              </w:rPr>
            </w:pPr>
            <w:r>
              <w:rPr>
                <w:sz w:val="17"/>
              </w:rPr>
              <w:t>60.27</w:t>
            </w:r>
          </w:p>
        </w:tc>
      </w:tr>
      <w:tr w:rsidR="00312ECE">
        <w:tblPrEx>
          <w:tblCellMar>
            <w:top w:w="0" w:type="dxa"/>
            <w:bottom w:w="0" w:type="dxa"/>
          </w:tblCellMar>
        </w:tblPrEx>
        <w:tc>
          <w:tcPr>
            <w:tcW w:w="688" w:type="pct"/>
          </w:tcPr>
          <w:p w:rsidR="00312ECE" w:rsidRDefault="00312ECE">
            <w:pPr>
              <w:spacing w:line="360" w:lineRule="atLeast"/>
              <w:rPr>
                <w:rFonts w:hint="eastAsia"/>
                <w:sz w:val="17"/>
              </w:rPr>
            </w:pPr>
            <w:r>
              <w:rPr>
                <w:rFonts w:hint="eastAsia"/>
                <w:sz w:val="17"/>
              </w:rPr>
              <w:t>男子</w:t>
            </w:r>
          </w:p>
        </w:tc>
        <w:tc>
          <w:tcPr>
            <w:tcW w:w="438" w:type="pct"/>
          </w:tcPr>
          <w:p w:rsidR="00312ECE" w:rsidRDefault="00312ECE">
            <w:pPr>
              <w:spacing w:line="360" w:lineRule="atLeast"/>
              <w:jc w:val="center"/>
              <w:rPr>
                <w:sz w:val="17"/>
              </w:rPr>
            </w:pPr>
            <w:r>
              <w:rPr>
                <w:sz w:val="17"/>
              </w:rPr>
              <w:t>X</w:t>
            </w:r>
          </w:p>
        </w:tc>
        <w:tc>
          <w:tcPr>
            <w:tcW w:w="408" w:type="pct"/>
          </w:tcPr>
          <w:p w:rsidR="00312ECE" w:rsidRDefault="00312ECE">
            <w:pPr>
              <w:spacing w:line="360" w:lineRule="atLeast"/>
              <w:jc w:val="center"/>
              <w:rPr>
                <w:rFonts w:hint="eastAsia"/>
                <w:sz w:val="17"/>
              </w:rPr>
            </w:pPr>
            <w:r>
              <w:rPr>
                <w:sz w:val="17"/>
              </w:rPr>
              <w:t>X</w:t>
            </w:r>
          </w:p>
        </w:tc>
        <w:tc>
          <w:tcPr>
            <w:tcW w:w="468" w:type="pct"/>
          </w:tcPr>
          <w:p w:rsidR="00312ECE" w:rsidRDefault="00312ECE">
            <w:pPr>
              <w:spacing w:line="360" w:lineRule="atLeast"/>
              <w:jc w:val="center"/>
              <w:rPr>
                <w:rFonts w:hint="eastAsia"/>
                <w:sz w:val="17"/>
              </w:rPr>
            </w:pPr>
            <w:r>
              <w:rPr>
                <w:sz w:val="17"/>
              </w:rPr>
              <w:t>X</w:t>
            </w:r>
          </w:p>
        </w:tc>
        <w:tc>
          <w:tcPr>
            <w:tcW w:w="438" w:type="pct"/>
          </w:tcPr>
          <w:p w:rsidR="00312ECE" w:rsidRDefault="00312ECE">
            <w:pPr>
              <w:spacing w:line="360" w:lineRule="atLeast"/>
              <w:jc w:val="center"/>
              <w:rPr>
                <w:rFonts w:hint="eastAsia"/>
                <w:sz w:val="17"/>
              </w:rPr>
            </w:pPr>
            <w:r>
              <w:rPr>
                <w:sz w:val="17"/>
              </w:rPr>
              <w:t>X</w:t>
            </w:r>
          </w:p>
        </w:tc>
        <w:tc>
          <w:tcPr>
            <w:tcW w:w="419" w:type="pct"/>
          </w:tcPr>
          <w:p w:rsidR="00312ECE" w:rsidRDefault="00312ECE">
            <w:pPr>
              <w:spacing w:line="360" w:lineRule="atLeast"/>
              <w:jc w:val="center"/>
              <w:rPr>
                <w:rFonts w:hint="eastAsia"/>
                <w:sz w:val="17"/>
              </w:rPr>
            </w:pPr>
            <w:r>
              <w:rPr>
                <w:sz w:val="17"/>
              </w:rPr>
              <w:t>X</w:t>
            </w:r>
          </w:p>
        </w:tc>
        <w:tc>
          <w:tcPr>
            <w:tcW w:w="407" w:type="pct"/>
          </w:tcPr>
          <w:p w:rsidR="00312ECE" w:rsidRDefault="00312ECE">
            <w:pPr>
              <w:spacing w:line="360" w:lineRule="atLeast"/>
              <w:jc w:val="center"/>
              <w:rPr>
                <w:sz w:val="17"/>
              </w:rPr>
            </w:pPr>
            <w:r>
              <w:rPr>
                <w:sz w:val="17"/>
              </w:rPr>
              <w:t>44.50</w:t>
            </w:r>
          </w:p>
        </w:tc>
        <w:tc>
          <w:tcPr>
            <w:tcW w:w="489" w:type="pct"/>
          </w:tcPr>
          <w:p w:rsidR="00312ECE" w:rsidRDefault="00312ECE">
            <w:pPr>
              <w:spacing w:line="360" w:lineRule="atLeast"/>
              <w:jc w:val="center"/>
              <w:rPr>
                <w:sz w:val="17"/>
              </w:rPr>
            </w:pPr>
            <w:r>
              <w:rPr>
                <w:sz w:val="17"/>
              </w:rPr>
              <w:t>54.20</w:t>
            </w:r>
          </w:p>
        </w:tc>
        <w:tc>
          <w:tcPr>
            <w:tcW w:w="430" w:type="pct"/>
          </w:tcPr>
          <w:p w:rsidR="00312ECE" w:rsidRDefault="00312ECE">
            <w:pPr>
              <w:spacing w:line="360" w:lineRule="atLeast"/>
              <w:jc w:val="center"/>
              <w:rPr>
                <w:sz w:val="17"/>
              </w:rPr>
            </w:pPr>
            <w:r>
              <w:rPr>
                <w:sz w:val="17"/>
              </w:rPr>
              <w:t>64.03</w:t>
            </w:r>
          </w:p>
        </w:tc>
        <w:tc>
          <w:tcPr>
            <w:tcW w:w="407" w:type="pct"/>
          </w:tcPr>
          <w:p w:rsidR="00312ECE" w:rsidRDefault="00312ECE">
            <w:pPr>
              <w:spacing w:line="360" w:lineRule="atLeast"/>
              <w:jc w:val="center"/>
              <w:rPr>
                <w:sz w:val="17"/>
              </w:rPr>
            </w:pPr>
            <w:r>
              <w:rPr>
                <w:sz w:val="17"/>
              </w:rPr>
              <w:t>65.02</w:t>
            </w:r>
          </w:p>
        </w:tc>
        <w:tc>
          <w:tcPr>
            <w:tcW w:w="408" w:type="pct"/>
          </w:tcPr>
          <w:p w:rsidR="00312ECE" w:rsidRDefault="00312ECE">
            <w:pPr>
              <w:spacing w:line="360" w:lineRule="atLeast"/>
              <w:jc w:val="center"/>
              <w:rPr>
                <w:sz w:val="17"/>
              </w:rPr>
            </w:pPr>
            <w:r>
              <w:rPr>
                <w:sz w:val="17"/>
              </w:rPr>
              <w:t>65.51</w:t>
            </w:r>
          </w:p>
        </w:tc>
      </w:tr>
      <w:tr w:rsidR="00312ECE">
        <w:tblPrEx>
          <w:tblCellMar>
            <w:top w:w="0" w:type="dxa"/>
            <w:bottom w:w="0" w:type="dxa"/>
          </w:tblCellMar>
        </w:tblPrEx>
        <w:tc>
          <w:tcPr>
            <w:tcW w:w="688" w:type="pct"/>
          </w:tcPr>
          <w:p w:rsidR="00312ECE" w:rsidRDefault="00312ECE">
            <w:pPr>
              <w:spacing w:line="360" w:lineRule="atLeast"/>
              <w:rPr>
                <w:rFonts w:hint="eastAsia"/>
                <w:sz w:val="17"/>
              </w:rPr>
            </w:pPr>
            <w:r>
              <w:rPr>
                <w:rFonts w:hint="eastAsia"/>
                <w:sz w:val="17"/>
              </w:rPr>
              <w:t>妇女</w:t>
            </w:r>
          </w:p>
        </w:tc>
        <w:tc>
          <w:tcPr>
            <w:tcW w:w="438" w:type="pct"/>
          </w:tcPr>
          <w:p w:rsidR="00312ECE" w:rsidRDefault="00312ECE">
            <w:pPr>
              <w:spacing w:line="360" w:lineRule="atLeast"/>
              <w:jc w:val="center"/>
              <w:rPr>
                <w:rFonts w:hint="eastAsia"/>
                <w:sz w:val="17"/>
              </w:rPr>
            </w:pPr>
            <w:r>
              <w:rPr>
                <w:sz w:val="17"/>
              </w:rPr>
              <w:t>X</w:t>
            </w:r>
          </w:p>
        </w:tc>
        <w:tc>
          <w:tcPr>
            <w:tcW w:w="408" w:type="pct"/>
          </w:tcPr>
          <w:p w:rsidR="00312ECE" w:rsidRDefault="00312ECE">
            <w:pPr>
              <w:spacing w:line="360" w:lineRule="atLeast"/>
              <w:jc w:val="center"/>
              <w:rPr>
                <w:rFonts w:hint="eastAsia"/>
                <w:sz w:val="17"/>
              </w:rPr>
            </w:pPr>
            <w:r>
              <w:rPr>
                <w:sz w:val="17"/>
              </w:rPr>
              <w:t>X</w:t>
            </w:r>
          </w:p>
        </w:tc>
        <w:tc>
          <w:tcPr>
            <w:tcW w:w="468" w:type="pct"/>
          </w:tcPr>
          <w:p w:rsidR="00312ECE" w:rsidRDefault="00312ECE">
            <w:pPr>
              <w:spacing w:line="360" w:lineRule="atLeast"/>
              <w:jc w:val="center"/>
              <w:rPr>
                <w:rFonts w:hint="eastAsia"/>
                <w:sz w:val="17"/>
              </w:rPr>
            </w:pPr>
            <w:r>
              <w:rPr>
                <w:sz w:val="17"/>
              </w:rPr>
              <w:t>X</w:t>
            </w:r>
          </w:p>
        </w:tc>
        <w:tc>
          <w:tcPr>
            <w:tcW w:w="438" w:type="pct"/>
          </w:tcPr>
          <w:p w:rsidR="00312ECE" w:rsidRDefault="00312ECE">
            <w:pPr>
              <w:spacing w:line="360" w:lineRule="atLeast"/>
              <w:jc w:val="center"/>
              <w:rPr>
                <w:rFonts w:hint="eastAsia"/>
                <w:sz w:val="17"/>
              </w:rPr>
            </w:pPr>
            <w:r>
              <w:rPr>
                <w:sz w:val="17"/>
              </w:rPr>
              <w:t>X</w:t>
            </w:r>
          </w:p>
        </w:tc>
        <w:tc>
          <w:tcPr>
            <w:tcW w:w="419" w:type="pct"/>
          </w:tcPr>
          <w:p w:rsidR="00312ECE" w:rsidRDefault="00312ECE">
            <w:pPr>
              <w:spacing w:line="360" w:lineRule="atLeast"/>
              <w:jc w:val="center"/>
              <w:rPr>
                <w:rFonts w:hint="eastAsia"/>
                <w:sz w:val="17"/>
              </w:rPr>
            </w:pPr>
            <w:r>
              <w:rPr>
                <w:sz w:val="17"/>
              </w:rPr>
              <w:t>X</w:t>
            </w:r>
          </w:p>
        </w:tc>
        <w:tc>
          <w:tcPr>
            <w:tcW w:w="407" w:type="pct"/>
          </w:tcPr>
          <w:p w:rsidR="00312ECE" w:rsidRDefault="00312ECE">
            <w:pPr>
              <w:spacing w:line="360" w:lineRule="atLeast"/>
              <w:jc w:val="center"/>
              <w:rPr>
                <w:sz w:val="17"/>
              </w:rPr>
            </w:pPr>
            <w:r>
              <w:rPr>
                <w:sz w:val="17"/>
              </w:rPr>
              <w:t>41.74</w:t>
            </w:r>
          </w:p>
        </w:tc>
        <w:tc>
          <w:tcPr>
            <w:tcW w:w="489" w:type="pct"/>
          </w:tcPr>
          <w:p w:rsidR="00312ECE" w:rsidRDefault="00312ECE">
            <w:pPr>
              <w:spacing w:line="360" w:lineRule="atLeast"/>
              <w:jc w:val="center"/>
              <w:rPr>
                <w:sz w:val="17"/>
              </w:rPr>
            </w:pPr>
            <w:r>
              <w:rPr>
                <w:sz w:val="17"/>
              </w:rPr>
              <w:t>50.44</w:t>
            </w:r>
          </w:p>
        </w:tc>
        <w:tc>
          <w:tcPr>
            <w:tcW w:w="430" w:type="pct"/>
          </w:tcPr>
          <w:p w:rsidR="00312ECE" w:rsidRDefault="00312ECE">
            <w:pPr>
              <w:spacing w:line="360" w:lineRule="atLeast"/>
              <w:jc w:val="center"/>
              <w:rPr>
                <w:sz w:val="17"/>
              </w:rPr>
            </w:pPr>
            <w:r>
              <w:rPr>
                <w:sz w:val="17"/>
              </w:rPr>
              <w:t>56.69</w:t>
            </w:r>
          </w:p>
        </w:tc>
        <w:tc>
          <w:tcPr>
            <w:tcW w:w="407" w:type="pct"/>
          </w:tcPr>
          <w:p w:rsidR="00312ECE" w:rsidRDefault="00312ECE">
            <w:pPr>
              <w:spacing w:line="360" w:lineRule="atLeast"/>
              <w:jc w:val="center"/>
              <w:rPr>
                <w:sz w:val="17"/>
              </w:rPr>
            </w:pPr>
            <w:r>
              <w:rPr>
                <w:sz w:val="17"/>
              </w:rPr>
              <w:t>57.42</w:t>
            </w:r>
          </w:p>
        </w:tc>
        <w:tc>
          <w:tcPr>
            <w:tcW w:w="408" w:type="pct"/>
          </w:tcPr>
          <w:p w:rsidR="00312ECE" w:rsidRDefault="00312ECE">
            <w:pPr>
              <w:spacing w:line="360" w:lineRule="atLeast"/>
              <w:jc w:val="center"/>
              <w:rPr>
                <w:sz w:val="17"/>
              </w:rPr>
            </w:pPr>
            <w:r>
              <w:rPr>
                <w:sz w:val="17"/>
              </w:rPr>
              <w:t>57.91</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180.  “失业保险”法对失业时提供社会保险服务的程序（</w:t>
      </w:r>
      <w:r>
        <w:rPr>
          <w:rFonts w:ascii="KaiTi_GB2312" w:eastAsia="KaiTi_GB2312" w:hint="eastAsia"/>
          <w:color w:val="0000FF"/>
        </w:rPr>
        <w:t>失业保险</w:t>
      </w:r>
      <w:r>
        <w:rPr>
          <w:rFonts w:hint="eastAsia"/>
        </w:rPr>
        <w:t>）、有资格享有这项服务的人以及他们的责任和义务均作出了规定。根据上述法律，提供的服务如下：失业津贴、失业人员死亡时的丧葬津贴、职业培训或者失业人员再培训期间的补助金。已经根据“国家社会保险”法为失业人员提供保险，如果其社会保险的期限不少于一年（在前一年缴纳的保险费不少于9个月）并且根据“失业”法规定的程序获得失业地位，就有资格享受这些服务。</w:t>
      </w:r>
    </w:p>
    <w:p w:rsidR="00312ECE" w:rsidRDefault="00312ECE">
      <w:pPr>
        <w:pStyle w:val="SingleTxt"/>
        <w:rPr>
          <w:rFonts w:hint="eastAsia"/>
        </w:rPr>
      </w:pPr>
      <w:r>
        <w:rPr>
          <w:rFonts w:hint="eastAsia"/>
        </w:rPr>
        <w:t>181.  在根据“失业”法赋予失业人员地位方面，不存在以性别为由的歧视。凡拉脱维亚共和国公民或者外国人（无国籍人士），领到永久居住证或者其护照上盖有人口登记机关的印章并且有个人身份代码，有工作能力但没有工作且达到工作年龄，没有参加商业活动，正在寻找工作，在其居住地国家就业机关登记过并且每月至少到该机关走访一次的，被确认为失业人员。</w:t>
      </w:r>
    </w:p>
    <w:p w:rsidR="00312ECE" w:rsidRDefault="00312ECE">
      <w:pPr>
        <w:pStyle w:val="SingleTxt"/>
        <w:rPr>
          <w:rFonts w:hint="eastAsia"/>
        </w:rPr>
      </w:pPr>
      <w:r>
        <w:rPr>
          <w:rFonts w:hint="eastAsia"/>
        </w:rPr>
        <w:t>182.  在丧失失业人员身份方面，也不考虑性别。失业人员在如下情况下属丧失失业人员身份者：订立了无限期合同或者超过两个月的固定合同；根据法律获得领取老年养恤金的权利；被移交给国家正式监护；在教育机构的日间部就读；连续两次拒绝合适的工作机会，连续两次拒绝接受职业培训或再培训，无任何正当理由未能参加职业培训或再培训课程，或者未能执行有酬临时社区工作就业合同，为取得失业人员地位提交虚假资料，将永久居住地迁移到拉脱维亚共和国境外。</w:t>
      </w:r>
    </w:p>
    <w:p w:rsidR="00312ECE" w:rsidRDefault="00312ECE">
      <w:pPr>
        <w:pStyle w:val="SingleTxt"/>
        <w:rPr>
          <w:rFonts w:hint="eastAsia"/>
        </w:rPr>
      </w:pPr>
      <w:r>
        <w:rPr>
          <w:rFonts w:hint="eastAsia"/>
        </w:rPr>
        <w:t>183.  根据“国家社会保险”法，订立就业关系的所有人以及没有订立就业关系的特定弱势人口应上失业险。这些人包括义务制现役部队的士兵；照料不满18个月的子女的人；以及领受疾病津贴的人。</w:t>
      </w:r>
    </w:p>
    <w:p w:rsidR="00312ECE" w:rsidRDefault="00312ECE">
      <w:pPr>
        <w:pStyle w:val="SingleTxt"/>
        <w:rPr>
          <w:rFonts w:hint="eastAsia"/>
        </w:rPr>
      </w:pPr>
      <w:r>
        <w:rPr>
          <w:rFonts w:hint="eastAsia"/>
        </w:rPr>
        <w:t>184.  确定失业津贴的数额时，无论失业者的性别如何，均应参照失业者的社会保险期以及失业者的收入（社会保险费从中提取）按比例定额。</w:t>
      </w:r>
    </w:p>
    <w:p w:rsidR="00312ECE" w:rsidRDefault="00312ECE">
      <w:pPr>
        <w:pStyle w:val="SingleTxt"/>
        <w:rPr>
          <w:rFonts w:hint="eastAsia"/>
        </w:rPr>
      </w:pPr>
      <w:r>
        <w:rPr>
          <w:rFonts w:hint="eastAsia"/>
        </w:rPr>
        <w:t>185.  2001年年底，在国家就业部门登记过的所有失业者有57.4%是妇女。2001年与2000年相比，所有失业者中的女性失业者增加了0.2%。拉脱维亚两性平等协会在它的评论意见中指出，年龄大的妇女通常会失去工作，或者长期失业。因此，在达到领受养恤金年龄之前的妇女应当被视为一个特别易遭受贫困风险的社会群体。由于就业率低，未达到领受养恤金年龄并且没有订立劳动关系的很多妇女都会借机提前退休，也就是说在法定退休年龄之前退休，这样至少能领到最低的薪金。根据1998年（按福利部要求）进行的题为“贫困女性化：1991年至2000年拉脱维亚风险指数变化”的调查，在所有退休的妇女中，80%在法定退休年龄之前退了休。</w:t>
      </w:r>
    </w:p>
    <w:p w:rsidR="00312ECE" w:rsidRDefault="00312ECE">
      <w:pPr>
        <w:pStyle w:val="SingleTxt"/>
        <w:rPr>
          <w:rFonts w:hint="eastAsia"/>
        </w:rPr>
      </w:pPr>
      <w:r>
        <w:rPr>
          <w:rFonts w:hint="eastAsia"/>
        </w:rPr>
        <w:t>186.  妇女失业率高也与下述事实有关：</w:t>
      </w:r>
    </w:p>
    <w:p w:rsidR="00312ECE" w:rsidRDefault="00312ECE">
      <w:pPr>
        <w:pStyle w:val="SingleTxt"/>
        <w:rPr>
          <w:rFonts w:hint="eastAsia"/>
        </w:rPr>
      </w:pPr>
      <w:r>
        <w:rPr>
          <w:rFonts w:hint="eastAsia"/>
        </w:rPr>
        <w:tab/>
        <w:t>(a)</w:t>
      </w:r>
      <w:r>
        <w:rPr>
          <w:rFonts w:hint="eastAsia"/>
        </w:rPr>
        <w:tab/>
        <w:t>在孩子未达到最低入学年龄前，雇主不愿意雇用养育学龄前子女的妇女，原因是这通常妨碍雇员的工作；</w:t>
      </w:r>
    </w:p>
    <w:p w:rsidR="00312ECE" w:rsidRDefault="00312ECE">
      <w:pPr>
        <w:pStyle w:val="SingleTxt"/>
        <w:rPr>
          <w:rFonts w:hint="eastAsia"/>
        </w:rPr>
      </w:pPr>
      <w:r>
        <w:rPr>
          <w:rFonts w:hint="eastAsia"/>
        </w:rPr>
        <w:tab/>
        <w:t>(</w:t>
      </w:r>
      <w:r>
        <w:t>b</w:t>
      </w:r>
      <w:r>
        <w:rPr>
          <w:rFonts w:hint="eastAsia"/>
        </w:rPr>
        <w:t>)</w:t>
      </w:r>
      <w:r>
        <w:rPr>
          <w:rFonts w:hint="eastAsia"/>
        </w:rPr>
        <w:tab/>
        <w:t>妇女休完育儿假重返劳动力市场后，发现自己难以适应，这主要是因为她的职业技能在育儿期下降，因此必须掌握工作所需的新技能；</w:t>
      </w:r>
    </w:p>
    <w:p w:rsidR="00312ECE" w:rsidRDefault="00312ECE">
      <w:pPr>
        <w:pStyle w:val="SingleTxt"/>
        <w:rPr>
          <w:rFonts w:hint="eastAsia"/>
        </w:rPr>
      </w:pPr>
      <w:r>
        <w:rPr>
          <w:rFonts w:hint="eastAsia"/>
        </w:rPr>
        <w:tab/>
        <w:t>(</w:t>
      </w:r>
      <w:r>
        <w:t>c</w:t>
      </w:r>
      <w:r>
        <w:rPr>
          <w:rFonts w:hint="eastAsia"/>
        </w:rPr>
        <w:t>)</w:t>
      </w:r>
      <w:r>
        <w:rPr>
          <w:rFonts w:hint="eastAsia"/>
        </w:rPr>
        <w:tab/>
        <w:t>青年妇女被雇用时一般都很勉强，原因是妇女有可能以分娩为由请假。</w:t>
      </w:r>
    </w:p>
    <w:p w:rsidR="00312ECE" w:rsidRDefault="00312ECE">
      <w:pPr>
        <w:pStyle w:val="SingleTxt"/>
        <w:rPr>
          <w:rFonts w:hint="eastAsia"/>
        </w:rPr>
      </w:pPr>
      <w:r>
        <w:rPr>
          <w:rFonts w:hint="eastAsia"/>
        </w:rPr>
        <w:t>187.  国家就业部门负责管理给予失业人员身份和对失业人员进行再培训的工作以及与落实失业政策有关的其他工作。根据国家就业部门提供的资料，希望入校学习、接受再培训或者提高资格的妇女通常约为男子的两倍；国家就业部门送去接受培训、再培训或是提高资格的妇女也多于男子（参见下表）。</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06"/>
        <w:gridCol w:w="1890"/>
        <w:gridCol w:w="1890"/>
        <w:gridCol w:w="1785"/>
      </w:tblGrid>
      <w:tr w:rsidR="00312ECE">
        <w:tblPrEx>
          <w:tblCellMar>
            <w:top w:w="0" w:type="dxa"/>
            <w:bottom w:w="0" w:type="dxa"/>
          </w:tblCellMar>
        </w:tblPrEx>
        <w:tc>
          <w:tcPr>
            <w:tcW w:w="5000" w:type="pct"/>
            <w:gridSpan w:val="4"/>
          </w:tcPr>
          <w:p w:rsidR="00312ECE" w:rsidRDefault="00312ECE">
            <w:pPr>
              <w:spacing w:line="360" w:lineRule="atLeast"/>
              <w:rPr>
                <w:rFonts w:ascii="SimHei" w:eastAsia="SimHei" w:hint="eastAsia"/>
                <w:color w:val="FF0000"/>
                <w:sz w:val="18"/>
              </w:rPr>
            </w:pPr>
            <w:r>
              <w:rPr>
                <w:rFonts w:ascii="SimHei" w:eastAsia="SimHei" w:hint="eastAsia"/>
                <w:color w:val="FF0000"/>
                <w:sz w:val="18"/>
              </w:rPr>
              <w:t>希望接受培训、再培训或提高资格的男女人数</w:t>
            </w:r>
          </w:p>
        </w:tc>
      </w:tr>
      <w:tr w:rsidR="00312ECE">
        <w:tblPrEx>
          <w:tblCellMar>
            <w:top w:w="0" w:type="dxa"/>
            <w:bottom w:w="0" w:type="dxa"/>
          </w:tblCellMar>
        </w:tblPrEx>
        <w:tc>
          <w:tcPr>
            <w:tcW w:w="1225" w:type="pct"/>
          </w:tcPr>
          <w:p w:rsidR="00312ECE" w:rsidRDefault="00312ECE">
            <w:pPr>
              <w:spacing w:line="360" w:lineRule="atLeast"/>
              <w:rPr>
                <w:rFonts w:ascii="KaiTi_GB2312" w:eastAsia="KaiTi_GB2312" w:hint="eastAsia"/>
                <w:color w:val="0000FF"/>
                <w:sz w:val="14"/>
              </w:rPr>
            </w:pPr>
            <w:r>
              <w:rPr>
                <w:rFonts w:ascii="KaiTi_GB2312" w:eastAsia="KaiTi_GB2312" w:hint="eastAsia"/>
                <w:color w:val="0000FF"/>
                <w:sz w:val="14"/>
              </w:rPr>
              <w:t>年份</w:t>
            </w:r>
          </w:p>
        </w:tc>
        <w:tc>
          <w:tcPr>
            <w:tcW w:w="128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共计</w:t>
            </w:r>
          </w:p>
        </w:tc>
        <w:tc>
          <w:tcPr>
            <w:tcW w:w="128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其中：妇女</w:t>
            </w:r>
          </w:p>
        </w:tc>
        <w:tc>
          <w:tcPr>
            <w:tcW w:w="1211"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其中：男子</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1995年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13</w:t>
            </w:r>
            <w:r>
              <w:rPr>
                <w:sz w:val="18"/>
              </w:rPr>
              <w:t xml:space="preserve"> </w:t>
            </w:r>
            <w:r>
              <w:rPr>
                <w:rFonts w:hint="eastAsia"/>
                <w:sz w:val="18"/>
              </w:rPr>
              <w:t>857</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8</w:t>
            </w:r>
            <w:r>
              <w:rPr>
                <w:sz w:val="18"/>
              </w:rPr>
              <w:t xml:space="preserve"> </w:t>
            </w:r>
            <w:r>
              <w:rPr>
                <w:rFonts w:hint="eastAsia"/>
                <w:sz w:val="18"/>
              </w:rPr>
              <w:t>374</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5</w:t>
            </w:r>
            <w:r>
              <w:rPr>
                <w:sz w:val="18"/>
              </w:rPr>
              <w:t xml:space="preserve"> </w:t>
            </w:r>
            <w:r>
              <w:rPr>
                <w:rFonts w:hint="eastAsia"/>
                <w:sz w:val="18"/>
              </w:rPr>
              <w:t>483</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1996年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16</w:t>
            </w:r>
            <w:r>
              <w:rPr>
                <w:sz w:val="18"/>
              </w:rPr>
              <w:t xml:space="preserve"> </w:t>
            </w:r>
            <w:r>
              <w:rPr>
                <w:rFonts w:hint="eastAsia"/>
                <w:sz w:val="18"/>
              </w:rPr>
              <w:t>589</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10</w:t>
            </w:r>
            <w:r>
              <w:rPr>
                <w:sz w:val="18"/>
              </w:rPr>
              <w:t xml:space="preserve"> </w:t>
            </w:r>
            <w:r>
              <w:rPr>
                <w:rFonts w:hint="eastAsia"/>
                <w:sz w:val="18"/>
              </w:rPr>
              <w:t>291</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6</w:t>
            </w:r>
            <w:r>
              <w:rPr>
                <w:sz w:val="18"/>
              </w:rPr>
              <w:t xml:space="preserve"> </w:t>
            </w:r>
            <w:r>
              <w:rPr>
                <w:rFonts w:hint="eastAsia"/>
                <w:sz w:val="18"/>
              </w:rPr>
              <w:t>298</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1997年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15</w:t>
            </w:r>
            <w:r>
              <w:rPr>
                <w:sz w:val="18"/>
              </w:rPr>
              <w:t xml:space="preserve"> </w:t>
            </w:r>
            <w:r>
              <w:rPr>
                <w:rFonts w:hint="eastAsia"/>
                <w:sz w:val="18"/>
              </w:rPr>
              <w:t>337</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10</w:t>
            </w:r>
            <w:r>
              <w:rPr>
                <w:sz w:val="18"/>
              </w:rPr>
              <w:t xml:space="preserve"> </w:t>
            </w:r>
            <w:r>
              <w:rPr>
                <w:rFonts w:hint="eastAsia"/>
                <w:sz w:val="18"/>
              </w:rPr>
              <w:t>128</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5</w:t>
            </w:r>
            <w:r>
              <w:rPr>
                <w:sz w:val="18"/>
              </w:rPr>
              <w:t xml:space="preserve"> </w:t>
            </w:r>
            <w:r>
              <w:rPr>
                <w:rFonts w:hint="eastAsia"/>
                <w:sz w:val="18"/>
              </w:rPr>
              <w:t>209</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1998年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24</w:t>
            </w:r>
            <w:r>
              <w:rPr>
                <w:sz w:val="18"/>
              </w:rPr>
              <w:t xml:space="preserve"> </w:t>
            </w:r>
            <w:r>
              <w:rPr>
                <w:rFonts w:hint="eastAsia"/>
                <w:sz w:val="18"/>
              </w:rPr>
              <w:t>542</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16</w:t>
            </w:r>
            <w:r>
              <w:rPr>
                <w:sz w:val="18"/>
              </w:rPr>
              <w:t xml:space="preserve"> </w:t>
            </w:r>
            <w:r>
              <w:rPr>
                <w:rFonts w:hint="eastAsia"/>
                <w:sz w:val="18"/>
              </w:rPr>
              <w:t>243</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8</w:t>
            </w:r>
            <w:r>
              <w:rPr>
                <w:sz w:val="18"/>
              </w:rPr>
              <w:t xml:space="preserve"> </w:t>
            </w:r>
            <w:r>
              <w:rPr>
                <w:rFonts w:hint="eastAsia"/>
                <w:sz w:val="18"/>
              </w:rPr>
              <w:t>299</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1999年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29</w:t>
            </w:r>
            <w:r>
              <w:rPr>
                <w:sz w:val="18"/>
              </w:rPr>
              <w:t xml:space="preserve"> </w:t>
            </w:r>
            <w:r>
              <w:rPr>
                <w:rFonts w:hint="eastAsia"/>
                <w:sz w:val="18"/>
              </w:rPr>
              <w:t>395</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18</w:t>
            </w:r>
            <w:r>
              <w:rPr>
                <w:sz w:val="18"/>
              </w:rPr>
              <w:t xml:space="preserve"> </w:t>
            </w:r>
            <w:r>
              <w:rPr>
                <w:rFonts w:hint="eastAsia"/>
                <w:sz w:val="18"/>
              </w:rPr>
              <w:t>512</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10</w:t>
            </w:r>
            <w:r>
              <w:rPr>
                <w:sz w:val="18"/>
              </w:rPr>
              <w:t xml:space="preserve"> </w:t>
            </w:r>
            <w:r>
              <w:rPr>
                <w:rFonts w:hint="eastAsia"/>
                <w:sz w:val="18"/>
              </w:rPr>
              <w:t>883</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2000年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28</w:t>
            </w:r>
            <w:r>
              <w:rPr>
                <w:sz w:val="18"/>
              </w:rPr>
              <w:t xml:space="preserve"> </w:t>
            </w:r>
            <w:r>
              <w:rPr>
                <w:rFonts w:hint="eastAsia"/>
                <w:sz w:val="18"/>
              </w:rPr>
              <w:t>025</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17</w:t>
            </w:r>
            <w:r>
              <w:rPr>
                <w:sz w:val="18"/>
              </w:rPr>
              <w:t xml:space="preserve"> </w:t>
            </w:r>
            <w:r>
              <w:rPr>
                <w:rFonts w:hint="eastAsia"/>
                <w:sz w:val="18"/>
              </w:rPr>
              <w:t>488</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10</w:t>
            </w:r>
            <w:r>
              <w:rPr>
                <w:sz w:val="18"/>
              </w:rPr>
              <w:t xml:space="preserve"> </w:t>
            </w:r>
            <w:r>
              <w:rPr>
                <w:rFonts w:hint="eastAsia"/>
                <w:sz w:val="18"/>
              </w:rPr>
              <w:t>537</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2001年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31</w:t>
            </w:r>
            <w:r>
              <w:rPr>
                <w:sz w:val="18"/>
              </w:rPr>
              <w:t xml:space="preserve"> </w:t>
            </w:r>
            <w:r>
              <w:rPr>
                <w:rFonts w:hint="eastAsia"/>
                <w:sz w:val="18"/>
              </w:rPr>
              <w:t>192</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19</w:t>
            </w:r>
            <w:r>
              <w:rPr>
                <w:sz w:val="18"/>
              </w:rPr>
              <w:t xml:space="preserve"> </w:t>
            </w:r>
            <w:r>
              <w:rPr>
                <w:rFonts w:hint="eastAsia"/>
                <w:sz w:val="18"/>
              </w:rPr>
              <w:t>358</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11</w:t>
            </w:r>
            <w:r>
              <w:rPr>
                <w:sz w:val="18"/>
              </w:rPr>
              <w:t xml:space="preserve"> </w:t>
            </w:r>
            <w:r>
              <w:rPr>
                <w:rFonts w:hint="eastAsia"/>
                <w:sz w:val="18"/>
              </w:rPr>
              <w:t>834</w:t>
            </w:r>
          </w:p>
        </w:tc>
      </w:tr>
      <w:tr w:rsidR="00312ECE">
        <w:tblPrEx>
          <w:tblCellMar>
            <w:top w:w="0" w:type="dxa"/>
            <w:bottom w:w="0" w:type="dxa"/>
          </w:tblCellMar>
        </w:tblPrEx>
        <w:tc>
          <w:tcPr>
            <w:tcW w:w="5000" w:type="pct"/>
            <w:gridSpan w:val="4"/>
          </w:tcPr>
          <w:p w:rsidR="00312ECE" w:rsidRDefault="00312ECE">
            <w:pPr>
              <w:spacing w:line="360" w:lineRule="atLeast"/>
              <w:rPr>
                <w:rFonts w:ascii="SimHei" w:eastAsia="SimHei" w:hint="eastAsia"/>
                <w:color w:val="FF0000"/>
                <w:sz w:val="18"/>
              </w:rPr>
            </w:pPr>
            <w:r>
              <w:rPr>
                <w:rFonts w:ascii="SimHei" w:eastAsia="SimHei" w:hint="eastAsia"/>
                <w:color w:val="FF0000"/>
                <w:sz w:val="18"/>
              </w:rPr>
              <w:t>派送接受培训、再培训或提高资格的男女人数</w:t>
            </w:r>
          </w:p>
        </w:tc>
      </w:tr>
      <w:tr w:rsidR="00312ECE">
        <w:tblPrEx>
          <w:tblCellMar>
            <w:top w:w="0" w:type="dxa"/>
            <w:bottom w:w="0" w:type="dxa"/>
          </w:tblCellMar>
        </w:tblPrEx>
        <w:tc>
          <w:tcPr>
            <w:tcW w:w="1225" w:type="pct"/>
          </w:tcPr>
          <w:p w:rsidR="00312ECE" w:rsidRDefault="00312ECE">
            <w:pPr>
              <w:spacing w:line="360" w:lineRule="atLeast"/>
              <w:rPr>
                <w:rFonts w:ascii="KaiTi_GB2312" w:eastAsia="KaiTi_GB2312" w:hint="eastAsia"/>
                <w:color w:val="0000FF"/>
                <w:sz w:val="18"/>
              </w:rPr>
            </w:pPr>
            <w:r>
              <w:rPr>
                <w:rFonts w:ascii="KaiTi_GB2312" w:eastAsia="KaiTi_GB2312" w:hint="eastAsia"/>
                <w:color w:val="0000FF"/>
                <w:sz w:val="18"/>
              </w:rPr>
              <w:t>年份</w:t>
            </w: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共计</w:t>
            </w: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其中：妇女</w:t>
            </w:r>
          </w:p>
        </w:tc>
        <w:tc>
          <w:tcPr>
            <w:tcW w:w="1211"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其中：男子</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1995年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6</w:t>
            </w:r>
            <w:r>
              <w:rPr>
                <w:sz w:val="18"/>
              </w:rPr>
              <w:t xml:space="preserve"> </w:t>
            </w:r>
            <w:r>
              <w:rPr>
                <w:rFonts w:hint="eastAsia"/>
                <w:sz w:val="18"/>
              </w:rPr>
              <w:t>339</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4</w:t>
            </w:r>
            <w:r>
              <w:rPr>
                <w:sz w:val="18"/>
              </w:rPr>
              <w:t xml:space="preserve"> </w:t>
            </w:r>
            <w:r>
              <w:rPr>
                <w:rFonts w:hint="eastAsia"/>
                <w:sz w:val="18"/>
              </w:rPr>
              <w:t>206</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2</w:t>
            </w:r>
            <w:r>
              <w:rPr>
                <w:sz w:val="18"/>
              </w:rPr>
              <w:t xml:space="preserve"> </w:t>
            </w:r>
            <w:r>
              <w:rPr>
                <w:rFonts w:hint="eastAsia"/>
                <w:sz w:val="18"/>
              </w:rPr>
              <w:t>133</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1996年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8</w:t>
            </w:r>
            <w:r>
              <w:rPr>
                <w:sz w:val="18"/>
              </w:rPr>
              <w:t xml:space="preserve"> </w:t>
            </w:r>
            <w:r>
              <w:rPr>
                <w:rFonts w:hint="eastAsia"/>
                <w:sz w:val="18"/>
              </w:rPr>
              <w:t>831</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5</w:t>
            </w:r>
            <w:r>
              <w:rPr>
                <w:sz w:val="18"/>
              </w:rPr>
              <w:t xml:space="preserve"> </w:t>
            </w:r>
            <w:r>
              <w:rPr>
                <w:rFonts w:hint="eastAsia"/>
                <w:sz w:val="18"/>
              </w:rPr>
              <w:t>562</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3</w:t>
            </w:r>
            <w:r>
              <w:rPr>
                <w:sz w:val="18"/>
              </w:rPr>
              <w:t xml:space="preserve"> </w:t>
            </w:r>
            <w:r>
              <w:rPr>
                <w:rFonts w:hint="eastAsia"/>
                <w:sz w:val="18"/>
              </w:rPr>
              <w:t>269</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1997年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7</w:t>
            </w:r>
            <w:r>
              <w:rPr>
                <w:sz w:val="18"/>
              </w:rPr>
              <w:t xml:space="preserve"> </w:t>
            </w:r>
            <w:r>
              <w:rPr>
                <w:rFonts w:hint="eastAsia"/>
                <w:sz w:val="18"/>
              </w:rPr>
              <w:t>950</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5</w:t>
            </w:r>
            <w:r>
              <w:rPr>
                <w:sz w:val="18"/>
              </w:rPr>
              <w:t xml:space="preserve"> </w:t>
            </w:r>
            <w:r>
              <w:rPr>
                <w:rFonts w:hint="eastAsia"/>
                <w:sz w:val="18"/>
              </w:rPr>
              <w:t>049</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2</w:t>
            </w:r>
            <w:r>
              <w:rPr>
                <w:sz w:val="18"/>
              </w:rPr>
              <w:t xml:space="preserve"> </w:t>
            </w:r>
            <w:r>
              <w:rPr>
                <w:rFonts w:hint="eastAsia"/>
                <w:sz w:val="18"/>
              </w:rPr>
              <w:t>901</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1998年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16</w:t>
            </w:r>
            <w:r>
              <w:rPr>
                <w:sz w:val="18"/>
              </w:rPr>
              <w:t xml:space="preserve"> </w:t>
            </w:r>
            <w:r>
              <w:rPr>
                <w:rFonts w:hint="eastAsia"/>
                <w:sz w:val="18"/>
              </w:rPr>
              <w:t>602</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11</w:t>
            </w:r>
            <w:r>
              <w:rPr>
                <w:sz w:val="18"/>
              </w:rPr>
              <w:t xml:space="preserve"> </w:t>
            </w:r>
            <w:r>
              <w:rPr>
                <w:rFonts w:hint="eastAsia"/>
                <w:sz w:val="18"/>
              </w:rPr>
              <w:t>671</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4</w:t>
            </w:r>
            <w:r>
              <w:rPr>
                <w:sz w:val="18"/>
              </w:rPr>
              <w:t xml:space="preserve"> </w:t>
            </w:r>
            <w:r>
              <w:rPr>
                <w:rFonts w:hint="eastAsia"/>
                <w:sz w:val="18"/>
              </w:rPr>
              <w:t>931</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1999年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9</w:t>
            </w:r>
            <w:r>
              <w:rPr>
                <w:sz w:val="18"/>
              </w:rPr>
              <w:t xml:space="preserve"> </w:t>
            </w:r>
            <w:r>
              <w:rPr>
                <w:rFonts w:hint="eastAsia"/>
                <w:sz w:val="18"/>
              </w:rPr>
              <w:t>704</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6</w:t>
            </w:r>
            <w:r>
              <w:rPr>
                <w:sz w:val="18"/>
              </w:rPr>
              <w:t xml:space="preserve"> </w:t>
            </w:r>
            <w:r>
              <w:rPr>
                <w:rFonts w:hint="eastAsia"/>
                <w:sz w:val="18"/>
              </w:rPr>
              <w:t>186</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3</w:t>
            </w:r>
            <w:r>
              <w:rPr>
                <w:sz w:val="18"/>
              </w:rPr>
              <w:t xml:space="preserve"> </w:t>
            </w:r>
            <w:r>
              <w:rPr>
                <w:rFonts w:hint="eastAsia"/>
                <w:sz w:val="18"/>
              </w:rPr>
              <w:t>518</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2000年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10</w:t>
            </w:r>
            <w:r>
              <w:rPr>
                <w:sz w:val="18"/>
              </w:rPr>
              <w:t xml:space="preserve"> </w:t>
            </w:r>
            <w:r>
              <w:rPr>
                <w:rFonts w:hint="eastAsia"/>
                <w:sz w:val="18"/>
              </w:rPr>
              <w:t>267</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6</w:t>
            </w:r>
            <w:r>
              <w:rPr>
                <w:sz w:val="18"/>
              </w:rPr>
              <w:t xml:space="preserve"> </w:t>
            </w:r>
            <w:r>
              <w:rPr>
                <w:rFonts w:hint="eastAsia"/>
                <w:sz w:val="18"/>
              </w:rPr>
              <w:t>592</w:t>
            </w:r>
          </w:p>
        </w:tc>
        <w:tc>
          <w:tcPr>
            <w:tcW w:w="1211" w:type="pct"/>
          </w:tcPr>
          <w:p w:rsidR="00312ECE" w:rsidRDefault="00312ECE" w:rsidP="001A62B6">
            <w:pPr>
              <w:spacing w:line="360" w:lineRule="atLeast"/>
              <w:ind w:rightChars="50" w:right="31680"/>
              <w:jc w:val="center"/>
              <w:rPr>
                <w:rFonts w:hint="eastAsia"/>
                <w:sz w:val="18"/>
              </w:rPr>
            </w:pPr>
            <w:r>
              <w:rPr>
                <w:rFonts w:hint="eastAsia"/>
                <w:sz w:val="18"/>
              </w:rPr>
              <w:t>3</w:t>
            </w:r>
            <w:r>
              <w:rPr>
                <w:sz w:val="18"/>
              </w:rPr>
              <w:t xml:space="preserve"> </w:t>
            </w:r>
            <w:r>
              <w:rPr>
                <w:rFonts w:hint="eastAsia"/>
                <w:sz w:val="18"/>
              </w:rPr>
              <w:t>675</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2001年</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10</w:t>
            </w:r>
            <w:r>
              <w:rPr>
                <w:sz w:val="18"/>
              </w:rPr>
              <w:t xml:space="preserve"> </w:t>
            </w:r>
            <w:r>
              <w:rPr>
                <w:rFonts w:hint="eastAsia"/>
                <w:sz w:val="18"/>
              </w:rPr>
              <w:t>269</w:t>
            </w:r>
          </w:p>
        </w:tc>
        <w:tc>
          <w:tcPr>
            <w:tcW w:w="1282" w:type="pct"/>
          </w:tcPr>
          <w:p w:rsidR="00312ECE" w:rsidRDefault="00312ECE" w:rsidP="001A62B6">
            <w:pPr>
              <w:spacing w:line="360" w:lineRule="atLeast"/>
              <w:ind w:rightChars="50" w:right="31680"/>
              <w:jc w:val="center"/>
              <w:rPr>
                <w:rFonts w:hint="eastAsia"/>
                <w:sz w:val="18"/>
              </w:rPr>
            </w:pPr>
            <w:r>
              <w:rPr>
                <w:rFonts w:hint="eastAsia"/>
                <w:sz w:val="18"/>
              </w:rPr>
              <w:t>6</w:t>
            </w:r>
            <w:r>
              <w:rPr>
                <w:sz w:val="18"/>
              </w:rPr>
              <w:t xml:space="preserve"> </w:t>
            </w:r>
            <w:r>
              <w:rPr>
                <w:rFonts w:hint="eastAsia"/>
                <w:sz w:val="18"/>
              </w:rPr>
              <w:t>925</w:t>
            </w:r>
          </w:p>
        </w:tc>
        <w:tc>
          <w:tcPr>
            <w:tcW w:w="1211" w:type="pct"/>
          </w:tcPr>
          <w:p w:rsidR="00312ECE" w:rsidRDefault="00312ECE" w:rsidP="001A62B6">
            <w:pPr>
              <w:pStyle w:val="Header"/>
              <w:tabs>
                <w:tab w:val="clear" w:pos="4320"/>
                <w:tab w:val="clear" w:pos="8640"/>
              </w:tabs>
              <w:spacing w:line="360" w:lineRule="atLeast"/>
              <w:ind w:rightChars="50" w:right="31680"/>
              <w:jc w:val="center"/>
              <w:rPr>
                <w:rFonts w:hint="eastAsia"/>
              </w:rPr>
            </w:pPr>
            <w:r>
              <w:rPr>
                <w:rFonts w:hint="eastAsia"/>
              </w:rPr>
              <w:t>3</w:t>
            </w:r>
            <w:r>
              <w:t xml:space="preserve"> </w:t>
            </w:r>
            <w:r>
              <w:rPr>
                <w:rFonts w:hint="eastAsia"/>
              </w:rPr>
              <w:t>344</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188.  在国家就业部门办公期间，希望参加有酬临时社区工作的男女人数基本相同（参见下表）。</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06"/>
        <w:gridCol w:w="1890"/>
        <w:gridCol w:w="1890"/>
        <w:gridCol w:w="1785"/>
      </w:tblGrid>
      <w:tr w:rsidR="00312ECE">
        <w:tblPrEx>
          <w:tblCellMar>
            <w:top w:w="0" w:type="dxa"/>
            <w:bottom w:w="0" w:type="dxa"/>
          </w:tblCellMar>
        </w:tblPrEx>
        <w:tc>
          <w:tcPr>
            <w:tcW w:w="5000" w:type="pct"/>
            <w:gridSpan w:val="4"/>
          </w:tcPr>
          <w:p w:rsidR="00312ECE" w:rsidRDefault="00312ECE">
            <w:pPr>
              <w:spacing w:line="360" w:lineRule="atLeast"/>
              <w:rPr>
                <w:rFonts w:ascii="SimHei" w:eastAsia="SimHei" w:hint="eastAsia"/>
                <w:color w:val="FF0000"/>
                <w:sz w:val="18"/>
              </w:rPr>
            </w:pPr>
            <w:r>
              <w:rPr>
                <w:rFonts w:ascii="SimHei" w:eastAsia="SimHei" w:hint="eastAsia"/>
                <w:color w:val="FF0000"/>
                <w:sz w:val="18"/>
              </w:rPr>
              <w:t>希望参加有酬临时社区工作的男女人数</w:t>
            </w:r>
          </w:p>
        </w:tc>
      </w:tr>
      <w:tr w:rsidR="00312ECE">
        <w:tblPrEx>
          <w:tblCellMar>
            <w:top w:w="0" w:type="dxa"/>
            <w:bottom w:w="0" w:type="dxa"/>
          </w:tblCellMar>
        </w:tblPrEx>
        <w:tc>
          <w:tcPr>
            <w:tcW w:w="1225" w:type="pct"/>
          </w:tcPr>
          <w:p w:rsidR="00312ECE" w:rsidRDefault="00312ECE">
            <w:pPr>
              <w:spacing w:line="360" w:lineRule="atLeast"/>
              <w:rPr>
                <w:rFonts w:ascii="KaiTi_GB2312" w:eastAsia="KaiTi_GB2312" w:hint="eastAsia"/>
                <w:color w:val="0000FF"/>
                <w:sz w:val="18"/>
              </w:rPr>
            </w:pPr>
            <w:r>
              <w:rPr>
                <w:rFonts w:ascii="KaiTi_GB2312" w:eastAsia="KaiTi_GB2312" w:hint="eastAsia"/>
                <w:color w:val="0000FF"/>
                <w:sz w:val="18"/>
              </w:rPr>
              <w:t>年份</w:t>
            </w: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共计</w:t>
            </w: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其中：妇女</w:t>
            </w:r>
          </w:p>
        </w:tc>
        <w:tc>
          <w:tcPr>
            <w:tcW w:w="1211"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其中：男子</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1995年</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37</w:t>
            </w:r>
            <w:r>
              <w:t xml:space="preserve"> </w:t>
            </w:r>
            <w:r>
              <w:rPr>
                <w:rFonts w:hint="eastAsia"/>
              </w:rPr>
              <w:t>189</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17</w:t>
            </w:r>
            <w:r>
              <w:t xml:space="preserve"> </w:t>
            </w:r>
            <w:r>
              <w:rPr>
                <w:rFonts w:hint="eastAsia"/>
              </w:rPr>
              <w:t>210</w:t>
            </w:r>
          </w:p>
        </w:tc>
        <w:tc>
          <w:tcPr>
            <w:tcW w:w="1211"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19</w:t>
            </w:r>
            <w:r>
              <w:t xml:space="preserve"> </w:t>
            </w:r>
            <w:r>
              <w:rPr>
                <w:rFonts w:hint="eastAsia"/>
              </w:rPr>
              <w:t>979</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1996年</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38</w:t>
            </w:r>
            <w:r>
              <w:t xml:space="preserve"> </w:t>
            </w:r>
            <w:r>
              <w:rPr>
                <w:rFonts w:hint="eastAsia"/>
              </w:rPr>
              <w:t>052</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17</w:t>
            </w:r>
            <w:r>
              <w:t xml:space="preserve"> </w:t>
            </w:r>
            <w:r>
              <w:rPr>
                <w:rFonts w:hint="eastAsia"/>
              </w:rPr>
              <w:t>749</w:t>
            </w:r>
          </w:p>
        </w:tc>
        <w:tc>
          <w:tcPr>
            <w:tcW w:w="1211"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20</w:t>
            </w:r>
            <w:r>
              <w:t xml:space="preserve"> </w:t>
            </w:r>
            <w:r>
              <w:rPr>
                <w:rFonts w:hint="eastAsia"/>
              </w:rPr>
              <w:t>303</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1997年</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32</w:t>
            </w:r>
            <w:r>
              <w:t xml:space="preserve"> </w:t>
            </w:r>
            <w:r>
              <w:rPr>
                <w:rFonts w:hint="eastAsia"/>
              </w:rPr>
              <w:t>786</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16</w:t>
            </w:r>
            <w:r>
              <w:t xml:space="preserve"> </w:t>
            </w:r>
            <w:r>
              <w:rPr>
                <w:rFonts w:hint="eastAsia"/>
              </w:rPr>
              <w:t>913</w:t>
            </w:r>
          </w:p>
        </w:tc>
        <w:tc>
          <w:tcPr>
            <w:tcW w:w="1211"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15</w:t>
            </w:r>
            <w:r>
              <w:t xml:space="preserve"> </w:t>
            </w:r>
            <w:r>
              <w:rPr>
                <w:rFonts w:hint="eastAsia"/>
              </w:rPr>
              <w:t>873</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1998年</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39</w:t>
            </w:r>
            <w:r>
              <w:t xml:space="preserve"> </w:t>
            </w:r>
            <w:r>
              <w:rPr>
                <w:rFonts w:hint="eastAsia"/>
              </w:rPr>
              <w:t>911</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19</w:t>
            </w:r>
            <w:r>
              <w:t xml:space="preserve"> </w:t>
            </w:r>
            <w:r>
              <w:rPr>
                <w:rFonts w:hint="eastAsia"/>
              </w:rPr>
              <w:t>937</w:t>
            </w:r>
          </w:p>
        </w:tc>
        <w:tc>
          <w:tcPr>
            <w:tcW w:w="1211"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19</w:t>
            </w:r>
            <w:r>
              <w:t xml:space="preserve"> </w:t>
            </w:r>
            <w:r>
              <w:rPr>
                <w:rFonts w:hint="eastAsia"/>
              </w:rPr>
              <w:t>974</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1999年</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34</w:t>
            </w:r>
            <w:r>
              <w:t xml:space="preserve"> </w:t>
            </w:r>
            <w:r>
              <w:rPr>
                <w:rFonts w:hint="eastAsia"/>
              </w:rPr>
              <w:t>946</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16</w:t>
            </w:r>
            <w:r>
              <w:t xml:space="preserve"> </w:t>
            </w:r>
            <w:r>
              <w:rPr>
                <w:rFonts w:hint="eastAsia"/>
              </w:rPr>
              <w:t>754</w:t>
            </w:r>
          </w:p>
        </w:tc>
        <w:tc>
          <w:tcPr>
            <w:tcW w:w="1211"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19</w:t>
            </w:r>
            <w:r>
              <w:t xml:space="preserve"> </w:t>
            </w:r>
            <w:r>
              <w:rPr>
                <w:rFonts w:hint="eastAsia"/>
              </w:rPr>
              <w:t>182</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2000年</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31</w:t>
            </w:r>
            <w:r>
              <w:t xml:space="preserve"> </w:t>
            </w:r>
            <w:r>
              <w:rPr>
                <w:rFonts w:hint="eastAsia"/>
              </w:rPr>
              <w:t>539</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15</w:t>
            </w:r>
            <w:r>
              <w:t xml:space="preserve"> </w:t>
            </w:r>
            <w:r>
              <w:rPr>
                <w:rFonts w:hint="eastAsia"/>
              </w:rPr>
              <w:t>738</w:t>
            </w:r>
          </w:p>
        </w:tc>
        <w:tc>
          <w:tcPr>
            <w:tcW w:w="1211"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15</w:t>
            </w:r>
            <w:r>
              <w:t xml:space="preserve"> </w:t>
            </w:r>
            <w:r>
              <w:rPr>
                <w:rFonts w:hint="eastAsia"/>
              </w:rPr>
              <w:t>801</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2001年</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32</w:t>
            </w:r>
            <w:r>
              <w:t xml:space="preserve"> </w:t>
            </w:r>
            <w:r>
              <w:rPr>
                <w:rFonts w:hint="eastAsia"/>
              </w:rPr>
              <w:t>620</w:t>
            </w:r>
          </w:p>
        </w:tc>
        <w:tc>
          <w:tcPr>
            <w:tcW w:w="1282"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15</w:t>
            </w:r>
            <w:r>
              <w:t xml:space="preserve"> </w:t>
            </w:r>
            <w:r>
              <w:rPr>
                <w:rFonts w:hint="eastAsia"/>
              </w:rPr>
              <w:t>914</w:t>
            </w:r>
          </w:p>
        </w:tc>
        <w:tc>
          <w:tcPr>
            <w:tcW w:w="1211" w:type="pct"/>
          </w:tcPr>
          <w:p w:rsidR="00312ECE" w:rsidRDefault="00312ECE" w:rsidP="001A62B6">
            <w:pPr>
              <w:pStyle w:val="Header"/>
              <w:tabs>
                <w:tab w:val="clear" w:pos="4320"/>
                <w:tab w:val="clear" w:pos="8640"/>
              </w:tabs>
              <w:spacing w:line="360" w:lineRule="atLeast"/>
              <w:ind w:rightChars="300" w:right="31680"/>
              <w:jc w:val="right"/>
              <w:rPr>
                <w:rFonts w:hint="eastAsia"/>
              </w:rPr>
            </w:pPr>
            <w:r>
              <w:rPr>
                <w:rFonts w:hint="eastAsia"/>
              </w:rPr>
              <w:t>16</w:t>
            </w:r>
            <w:r>
              <w:t xml:space="preserve"> </w:t>
            </w:r>
            <w:r>
              <w:rPr>
                <w:rFonts w:hint="eastAsia"/>
              </w:rPr>
              <w:t>706</w:t>
            </w:r>
          </w:p>
        </w:tc>
      </w:tr>
      <w:tr w:rsidR="00312ECE">
        <w:tblPrEx>
          <w:tblCellMar>
            <w:top w:w="0" w:type="dxa"/>
            <w:bottom w:w="0" w:type="dxa"/>
          </w:tblCellMar>
        </w:tblPrEx>
        <w:tc>
          <w:tcPr>
            <w:tcW w:w="5000" w:type="pct"/>
            <w:gridSpan w:val="4"/>
          </w:tcPr>
          <w:p w:rsidR="00312ECE" w:rsidRDefault="00312ECE">
            <w:pPr>
              <w:spacing w:line="360" w:lineRule="atLeast"/>
              <w:rPr>
                <w:rFonts w:ascii="SimHei" w:eastAsia="SimHei" w:hint="eastAsia"/>
                <w:color w:val="FF0000"/>
                <w:sz w:val="18"/>
              </w:rPr>
            </w:pPr>
            <w:r>
              <w:rPr>
                <w:rFonts w:ascii="SimHei" w:eastAsia="SimHei" w:hint="eastAsia"/>
                <w:color w:val="FF0000"/>
                <w:sz w:val="18"/>
              </w:rPr>
              <w:t>派遣参加临时有酬社区工作男女的人数</w:t>
            </w:r>
          </w:p>
        </w:tc>
      </w:tr>
      <w:tr w:rsidR="00312ECE">
        <w:tblPrEx>
          <w:tblCellMar>
            <w:top w:w="0" w:type="dxa"/>
            <w:bottom w:w="0" w:type="dxa"/>
          </w:tblCellMar>
        </w:tblPrEx>
        <w:tc>
          <w:tcPr>
            <w:tcW w:w="1225" w:type="pct"/>
          </w:tcPr>
          <w:p w:rsidR="00312ECE" w:rsidRDefault="00312ECE">
            <w:pPr>
              <w:spacing w:line="360" w:lineRule="atLeast"/>
              <w:rPr>
                <w:rFonts w:ascii="KaiTi_GB2312" w:eastAsia="KaiTi_GB2312" w:hint="eastAsia"/>
                <w:color w:val="0000FF"/>
                <w:sz w:val="18"/>
              </w:rPr>
            </w:pPr>
            <w:r>
              <w:rPr>
                <w:rFonts w:ascii="KaiTi_GB2312" w:eastAsia="KaiTi_GB2312" w:hint="eastAsia"/>
                <w:color w:val="0000FF"/>
                <w:sz w:val="18"/>
              </w:rPr>
              <w:t>年份</w:t>
            </w: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共计</w:t>
            </w: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其中：妇女</w:t>
            </w:r>
          </w:p>
        </w:tc>
        <w:tc>
          <w:tcPr>
            <w:tcW w:w="1211"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其中：男子</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1995年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14</w:t>
            </w:r>
            <w:r>
              <w:t xml:space="preserve"> </w:t>
            </w:r>
            <w:r>
              <w:rPr>
                <w:rFonts w:hint="eastAsia"/>
              </w:rPr>
              <w:t>034</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5</w:t>
            </w:r>
            <w:r>
              <w:t xml:space="preserve"> </w:t>
            </w:r>
            <w:r>
              <w:rPr>
                <w:rFonts w:hint="eastAsia"/>
              </w:rPr>
              <w:t>474</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8</w:t>
            </w:r>
            <w:r>
              <w:t xml:space="preserve"> </w:t>
            </w:r>
            <w:r>
              <w:rPr>
                <w:rFonts w:hint="eastAsia"/>
              </w:rPr>
              <w:t>560</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1996年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10</w:t>
            </w:r>
            <w:r>
              <w:t xml:space="preserve"> </w:t>
            </w:r>
            <w:r>
              <w:rPr>
                <w:rFonts w:hint="eastAsia"/>
              </w:rPr>
              <w:t>212</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w:t>
            </w:r>
            <w:r>
              <w:t xml:space="preserve"> </w:t>
            </w:r>
            <w:r>
              <w:rPr>
                <w:rFonts w:hint="eastAsia"/>
              </w:rPr>
              <w:t>077</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135</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1997年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8</w:t>
            </w:r>
            <w:r>
              <w:t xml:space="preserve"> </w:t>
            </w:r>
            <w:r>
              <w:rPr>
                <w:rFonts w:hint="eastAsia"/>
              </w:rPr>
              <w:t>825</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3</w:t>
            </w:r>
            <w:r>
              <w:t xml:space="preserve"> </w:t>
            </w:r>
            <w:r>
              <w:rPr>
                <w:rFonts w:hint="eastAsia"/>
              </w:rPr>
              <w:t>631</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5</w:t>
            </w:r>
            <w:r>
              <w:t xml:space="preserve"> </w:t>
            </w:r>
            <w:r>
              <w:rPr>
                <w:rFonts w:hint="eastAsia"/>
              </w:rPr>
              <w:t>194</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1998年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12</w:t>
            </w:r>
            <w:r>
              <w:t xml:space="preserve"> </w:t>
            </w:r>
            <w:r>
              <w:rPr>
                <w:rFonts w:hint="eastAsia"/>
              </w:rPr>
              <w:t>358</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5</w:t>
            </w:r>
            <w:r>
              <w:t xml:space="preserve"> </w:t>
            </w:r>
            <w:r>
              <w:rPr>
                <w:rFonts w:hint="eastAsia"/>
              </w:rPr>
              <w:t>363</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995</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1999年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11</w:t>
            </w:r>
            <w:r>
              <w:t xml:space="preserve"> </w:t>
            </w:r>
            <w:r>
              <w:rPr>
                <w:rFonts w:hint="eastAsia"/>
              </w:rPr>
              <w:t>404</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w:t>
            </w:r>
            <w:r>
              <w:t xml:space="preserve"> </w:t>
            </w:r>
            <w:r>
              <w:rPr>
                <w:rFonts w:hint="eastAsia"/>
              </w:rPr>
              <w:t>584</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820</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2000年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9</w:t>
            </w:r>
            <w:r>
              <w:t xml:space="preserve"> </w:t>
            </w:r>
            <w:r>
              <w:rPr>
                <w:rFonts w:hint="eastAsia"/>
              </w:rPr>
              <w:t>993</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w:t>
            </w:r>
            <w:r>
              <w:t xml:space="preserve"> </w:t>
            </w:r>
            <w:r>
              <w:rPr>
                <w:rFonts w:hint="eastAsia"/>
              </w:rPr>
              <w:t>230</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5</w:t>
            </w:r>
            <w:r>
              <w:t xml:space="preserve"> </w:t>
            </w:r>
            <w:r>
              <w:rPr>
                <w:rFonts w:hint="eastAsia"/>
              </w:rPr>
              <w:t>763</w:t>
            </w:r>
          </w:p>
        </w:tc>
      </w:tr>
      <w:tr w:rsidR="00312ECE">
        <w:tblPrEx>
          <w:tblCellMar>
            <w:top w:w="0" w:type="dxa"/>
            <w:bottom w:w="0" w:type="dxa"/>
          </w:tblCellMar>
        </w:tblPrEx>
        <w:tc>
          <w:tcPr>
            <w:tcW w:w="1225" w:type="pct"/>
          </w:tcPr>
          <w:p w:rsidR="00312ECE" w:rsidRDefault="00312ECE">
            <w:pPr>
              <w:spacing w:line="360" w:lineRule="atLeast"/>
              <w:rPr>
                <w:rFonts w:hint="eastAsia"/>
                <w:sz w:val="18"/>
              </w:rPr>
            </w:pPr>
            <w:r>
              <w:rPr>
                <w:rFonts w:hint="eastAsia"/>
                <w:sz w:val="18"/>
              </w:rPr>
              <w:t>2001年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15</w:t>
            </w:r>
            <w:r>
              <w:t xml:space="preserve"> </w:t>
            </w:r>
            <w:r>
              <w:rPr>
                <w:rFonts w:hint="eastAsia"/>
              </w:rPr>
              <w:t>218</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691</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8</w:t>
            </w:r>
            <w:r>
              <w:t xml:space="preserve"> </w:t>
            </w:r>
            <w:r>
              <w:rPr>
                <w:rFonts w:hint="eastAsia"/>
              </w:rPr>
              <w:t>527</w:t>
            </w:r>
          </w:p>
        </w:tc>
      </w:tr>
    </w:tbl>
    <w:p w:rsidR="00312ECE" w:rsidRDefault="00312ECE">
      <w:pPr>
        <w:pStyle w:val="SingleTxt"/>
      </w:pPr>
    </w:p>
    <w:p w:rsidR="00312ECE" w:rsidRDefault="00312ECE">
      <w:pPr>
        <w:pStyle w:val="SingleTxt"/>
        <w:rPr>
          <w:rFonts w:hint="eastAsia"/>
        </w:rPr>
      </w:pPr>
      <w:r>
        <w:rPr>
          <w:rFonts w:hint="eastAsia"/>
        </w:rPr>
        <w:t>189.  此外，男女求职者在国家就业部门帮助下找到工作男女的人数基本相同（参见下表）。</w:t>
      </w:r>
    </w:p>
    <w:p w:rsidR="00312ECE" w:rsidRDefault="00312ECE">
      <w:pPr>
        <w:pStyle w:val="SingleTxt"/>
      </w:pPr>
      <w:r>
        <w:br w:type="page"/>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06"/>
        <w:gridCol w:w="1890"/>
        <w:gridCol w:w="1890"/>
        <w:gridCol w:w="1785"/>
      </w:tblGrid>
      <w:tr w:rsidR="00312ECE">
        <w:tblPrEx>
          <w:tblCellMar>
            <w:top w:w="0" w:type="dxa"/>
            <w:bottom w:w="0" w:type="dxa"/>
          </w:tblCellMar>
        </w:tblPrEx>
        <w:tc>
          <w:tcPr>
            <w:tcW w:w="5000" w:type="pct"/>
            <w:gridSpan w:val="4"/>
          </w:tcPr>
          <w:p w:rsidR="00312ECE" w:rsidRDefault="00312ECE">
            <w:pPr>
              <w:spacing w:before="80" w:after="80" w:line="240" w:lineRule="exact"/>
              <w:ind w:right="57"/>
              <w:rPr>
                <w:rFonts w:ascii="SimHei" w:eastAsia="SimHei" w:hint="eastAsia"/>
                <w:color w:val="FF0000"/>
                <w:sz w:val="18"/>
              </w:rPr>
            </w:pPr>
            <w:r>
              <w:rPr>
                <w:rFonts w:ascii="SimHei" w:eastAsia="SimHei" w:hint="eastAsia"/>
                <w:color w:val="FF0000"/>
                <w:sz w:val="18"/>
              </w:rPr>
              <w:t>（在国家就业部门帮助下）找到工作的男女求职者人数</w:t>
            </w:r>
          </w:p>
        </w:tc>
      </w:tr>
      <w:tr w:rsidR="00312ECE">
        <w:tblPrEx>
          <w:tblCellMar>
            <w:top w:w="0" w:type="dxa"/>
            <w:bottom w:w="0" w:type="dxa"/>
          </w:tblCellMar>
        </w:tblPrEx>
        <w:tc>
          <w:tcPr>
            <w:tcW w:w="1225" w:type="pct"/>
          </w:tcPr>
          <w:p w:rsidR="00312ECE" w:rsidRDefault="00312ECE">
            <w:pPr>
              <w:spacing w:before="80" w:after="80" w:line="240" w:lineRule="exact"/>
              <w:ind w:right="57"/>
              <w:rPr>
                <w:rFonts w:ascii="KaiTi_GB2312" w:eastAsia="KaiTi_GB2312" w:hint="eastAsia"/>
                <w:color w:val="0000FF"/>
                <w:sz w:val="18"/>
              </w:rPr>
            </w:pPr>
            <w:r>
              <w:rPr>
                <w:rFonts w:ascii="KaiTi_GB2312" w:eastAsia="KaiTi_GB2312" w:hint="eastAsia"/>
                <w:color w:val="0000FF"/>
                <w:sz w:val="18"/>
              </w:rPr>
              <w:t>年份</w:t>
            </w:r>
          </w:p>
        </w:tc>
        <w:tc>
          <w:tcPr>
            <w:tcW w:w="1282"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共计</w:t>
            </w:r>
          </w:p>
        </w:tc>
        <w:tc>
          <w:tcPr>
            <w:tcW w:w="1282"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其中：妇女</w:t>
            </w:r>
          </w:p>
        </w:tc>
        <w:tc>
          <w:tcPr>
            <w:tcW w:w="1211"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其中：男子</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1995年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19</w:t>
            </w:r>
            <w:r>
              <w:t xml:space="preserve"> </w:t>
            </w:r>
            <w:r>
              <w:rPr>
                <w:rFonts w:hint="eastAsia"/>
              </w:rPr>
              <w:t>272</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9</w:t>
            </w:r>
            <w:r>
              <w:t xml:space="preserve"> </w:t>
            </w:r>
            <w:r>
              <w:rPr>
                <w:rFonts w:hint="eastAsia"/>
              </w:rPr>
              <w:t>599</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9</w:t>
            </w:r>
            <w:r>
              <w:t xml:space="preserve"> </w:t>
            </w:r>
            <w:r>
              <w:rPr>
                <w:rFonts w:hint="eastAsia"/>
              </w:rPr>
              <w:t>673</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1996年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15</w:t>
            </w:r>
            <w:r>
              <w:t xml:space="preserve"> </w:t>
            </w:r>
            <w:r>
              <w:rPr>
                <w:rFonts w:hint="eastAsia"/>
              </w:rPr>
              <w:t>323</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7</w:t>
            </w:r>
            <w:r>
              <w:t xml:space="preserve"> </w:t>
            </w:r>
            <w:r>
              <w:rPr>
                <w:rFonts w:hint="eastAsia"/>
              </w:rPr>
              <w:t>858</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7</w:t>
            </w:r>
            <w:r>
              <w:t xml:space="preserve"> </w:t>
            </w:r>
            <w:r>
              <w:rPr>
                <w:rFonts w:hint="eastAsia"/>
              </w:rPr>
              <w:t>465</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1997年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30</w:t>
            </w:r>
            <w:r>
              <w:t xml:space="preserve"> </w:t>
            </w:r>
            <w:r>
              <w:rPr>
                <w:rFonts w:hint="eastAsia"/>
              </w:rPr>
              <w:t>327</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16</w:t>
            </w:r>
            <w:r>
              <w:t xml:space="preserve"> </w:t>
            </w:r>
            <w:r>
              <w:rPr>
                <w:rFonts w:hint="eastAsia"/>
              </w:rPr>
              <w:t>546</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13</w:t>
            </w:r>
            <w:r>
              <w:t xml:space="preserve"> </w:t>
            </w:r>
            <w:r>
              <w:rPr>
                <w:rFonts w:hint="eastAsia"/>
              </w:rPr>
              <w:t>781</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1998年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13</w:t>
            </w:r>
            <w:r>
              <w:t xml:space="preserve"> </w:t>
            </w:r>
            <w:r>
              <w:rPr>
                <w:rFonts w:hint="eastAsia"/>
              </w:rPr>
              <w:t>195</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7</w:t>
            </w:r>
            <w:r>
              <w:t xml:space="preserve"> </w:t>
            </w:r>
            <w:r>
              <w:rPr>
                <w:rFonts w:hint="eastAsia"/>
              </w:rPr>
              <w:t>184</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011</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1999年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41</w:t>
            </w:r>
            <w:r>
              <w:t xml:space="preserve"> </w:t>
            </w:r>
            <w:r>
              <w:rPr>
                <w:rFonts w:hint="eastAsia"/>
              </w:rPr>
              <w:t>384</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23</w:t>
            </w:r>
            <w:r>
              <w:t xml:space="preserve"> </w:t>
            </w:r>
            <w:r>
              <w:rPr>
                <w:rFonts w:hint="eastAsia"/>
              </w:rPr>
              <w:t>013</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18</w:t>
            </w:r>
            <w:r>
              <w:t xml:space="preserve"> </w:t>
            </w:r>
            <w:r>
              <w:rPr>
                <w:rFonts w:hint="eastAsia"/>
              </w:rPr>
              <w:t>371</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2000年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43</w:t>
            </w:r>
            <w:r>
              <w:t xml:space="preserve"> </w:t>
            </w:r>
            <w:r>
              <w:rPr>
                <w:rFonts w:hint="eastAsia"/>
              </w:rPr>
              <w:t>656</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24</w:t>
            </w:r>
            <w:r>
              <w:t xml:space="preserve"> </w:t>
            </w:r>
            <w:r>
              <w:rPr>
                <w:rFonts w:hint="eastAsia"/>
              </w:rPr>
              <w:t>784</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18</w:t>
            </w:r>
            <w:r>
              <w:t xml:space="preserve"> </w:t>
            </w:r>
            <w:r>
              <w:rPr>
                <w:rFonts w:hint="eastAsia"/>
              </w:rPr>
              <w:t>872</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2001年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39</w:t>
            </w:r>
            <w:r>
              <w:t xml:space="preserve"> </w:t>
            </w:r>
            <w:r>
              <w:rPr>
                <w:rFonts w:hint="eastAsia"/>
              </w:rPr>
              <w:t>906</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23</w:t>
            </w:r>
            <w:r>
              <w:t xml:space="preserve"> </w:t>
            </w:r>
            <w:r>
              <w:rPr>
                <w:rFonts w:hint="eastAsia"/>
              </w:rPr>
              <w:t>013</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16</w:t>
            </w:r>
            <w:r>
              <w:t xml:space="preserve"> </w:t>
            </w:r>
            <w:r>
              <w:rPr>
                <w:rFonts w:hint="eastAsia"/>
              </w:rPr>
              <w:t>893</w:t>
            </w:r>
          </w:p>
        </w:tc>
      </w:tr>
      <w:tr w:rsidR="00312ECE">
        <w:tblPrEx>
          <w:tblCellMar>
            <w:top w:w="0" w:type="dxa"/>
            <w:bottom w:w="0" w:type="dxa"/>
          </w:tblCellMar>
        </w:tblPrEx>
        <w:tc>
          <w:tcPr>
            <w:tcW w:w="5000" w:type="pct"/>
            <w:gridSpan w:val="4"/>
          </w:tcPr>
          <w:p w:rsidR="00312ECE" w:rsidRDefault="00312ECE">
            <w:pPr>
              <w:spacing w:before="80" w:after="80" w:line="240" w:lineRule="exact"/>
              <w:ind w:right="57"/>
              <w:rPr>
                <w:rFonts w:ascii="SimHei" w:eastAsia="SimHei" w:hint="eastAsia"/>
                <w:color w:val="FF0000"/>
                <w:sz w:val="18"/>
              </w:rPr>
            </w:pPr>
            <w:r>
              <w:rPr>
                <w:rFonts w:ascii="SimHei" w:eastAsia="SimHei" w:hint="eastAsia"/>
                <w:color w:val="FF0000"/>
                <w:sz w:val="18"/>
              </w:rPr>
              <w:t>其中，找到工作的男女失业者人数</w:t>
            </w:r>
          </w:p>
        </w:tc>
      </w:tr>
      <w:tr w:rsidR="00312ECE">
        <w:tblPrEx>
          <w:tblCellMar>
            <w:top w:w="0" w:type="dxa"/>
            <w:bottom w:w="0" w:type="dxa"/>
          </w:tblCellMar>
        </w:tblPrEx>
        <w:tc>
          <w:tcPr>
            <w:tcW w:w="1225" w:type="pct"/>
          </w:tcPr>
          <w:p w:rsidR="00312ECE" w:rsidRDefault="00312ECE">
            <w:pPr>
              <w:spacing w:before="80" w:after="80" w:line="240" w:lineRule="exact"/>
              <w:ind w:right="57"/>
              <w:rPr>
                <w:rFonts w:ascii="KaiTi_GB2312" w:eastAsia="KaiTi_GB2312" w:hint="eastAsia"/>
                <w:color w:val="0000FF"/>
                <w:sz w:val="18"/>
              </w:rPr>
            </w:pPr>
            <w:r>
              <w:rPr>
                <w:rFonts w:ascii="KaiTi_GB2312" w:eastAsia="KaiTi_GB2312" w:hint="eastAsia"/>
                <w:color w:val="0000FF"/>
                <w:sz w:val="18"/>
              </w:rPr>
              <w:t>年份</w:t>
            </w:r>
          </w:p>
        </w:tc>
        <w:tc>
          <w:tcPr>
            <w:tcW w:w="1282"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共计</w:t>
            </w:r>
          </w:p>
        </w:tc>
        <w:tc>
          <w:tcPr>
            <w:tcW w:w="1282"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其中：妇女</w:t>
            </w:r>
          </w:p>
        </w:tc>
        <w:tc>
          <w:tcPr>
            <w:tcW w:w="1211"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其中：男子</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1995年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17</w:t>
            </w:r>
            <w:r>
              <w:t xml:space="preserve"> </w:t>
            </w:r>
            <w:r>
              <w:rPr>
                <w:rFonts w:hint="eastAsia"/>
              </w:rPr>
              <w:t>616</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8</w:t>
            </w:r>
            <w:r>
              <w:t xml:space="preserve"> </w:t>
            </w:r>
            <w:r>
              <w:rPr>
                <w:rFonts w:hint="eastAsia"/>
              </w:rPr>
              <w:t>985</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8</w:t>
            </w:r>
            <w:r>
              <w:t xml:space="preserve"> </w:t>
            </w:r>
            <w:r>
              <w:rPr>
                <w:rFonts w:hint="eastAsia"/>
              </w:rPr>
              <w:t>631</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1996年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14</w:t>
            </w:r>
            <w:r>
              <w:t xml:space="preserve"> </w:t>
            </w:r>
            <w:r>
              <w:rPr>
                <w:rFonts w:hint="eastAsia"/>
              </w:rPr>
              <w:t>068</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7</w:t>
            </w:r>
            <w:r>
              <w:t xml:space="preserve"> </w:t>
            </w:r>
            <w:r>
              <w:rPr>
                <w:rFonts w:hint="eastAsia"/>
              </w:rPr>
              <w:t>328</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740</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1997年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29</w:t>
            </w:r>
            <w:r>
              <w:t xml:space="preserve"> </w:t>
            </w:r>
            <w:r>
              <w:rPr>
                <w:rFonts w:hint="eastAsia"/>
              </w:rPr>
              <w:t>350</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16</w:t>
            </w:r>
            <w:r>
              <w:t xml:space="preserve"> </w:t>
            </w:r>
            <w:r>
              <w:rPr>
                <w:rFonts w:hint="eastAsia"/>
              </w:rPr>
              <w:t>106</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13</w:t>
            </w:r>
            <w:r>
              <w:t xml:space="preserve"> </w:t>
            </w:r>
            <w:r>
              <w:rPr>
                <w:rFonts w:hint="eastAsia"/>
              </w:rPr>
              <w:t>244</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1998年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31</w:t>
            </w:r>
            <w:r>
              <w:t xml:space="preserve"> </w:t>
            </w:r>
            <w:r>
              <w:rPr>
                <w:rFonts w:hint="eastAsia"/>
              </w:rPr>
              <w:t>239</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17</w:t>
            </w:r>
            <w:r>
              <w:t xml:space="preserve"> </w:t>
            </w:r>
            <w:r>
              <w:rPr>
                <w:rFonts w:hint="eastAsia"/>
              </w:rPr>
              <w:t>491</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13</w:t>
            </w:r>
            <w:r>
              <w:t xml:space="preserve"> </w:t>
            </w:r>
            <w:r>
              <w:rPr>
                <w:rFonts w:hint="eastAsia"/>
              </w:rPr>
              <w:t>748</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1999年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40</w:t>
            </w:r>
            <w:r>
              <w:t xml:space="preserve"> </w:t>
            </w:r>
            <w:r>
              <w:rPr>
                <w:rFonts w:hint="eastAsia"/>
              </w:rPr>
              <w:t>981</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22</w:t>
            </w:r>
            <w:r>
              <w:t xml:space="preserve"> </w:t>
            </w:r>
            <w:r>
              <w:rPr>
                <w:rFonts w:hint="eastAsia"/>
              </w:rPr>
              <w:t>856</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18</w:t>
            </w:r>
            <w:r>
              <w:t xml:space="preserve"> </w:t>
            </w:r>
            <w:r>
              <w:rPr>
                <w:rFonts w:hint="eastAsia"/>
              </w:rPr>
              <w:t>125</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2000年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43</w:t>
            </w:r>
            <w:r>
              <w:t xml:space="preserve"> </w:t>
            </w:r>
            <w:r>
              <w:rPr>
                <w:rFonts w:hint="eastAsia"/>
              </w:rPr>
              <w:t>143</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24</w:t>
            </w:r>
            <w:r>
              <w:t xml:space="preserve"> </w:t>
            </w:r>
            <w:r>
              <w:rPr>
                <w:rFonts w:hint="eastAsia"/>
              </w:rPr>
              <w:t>566</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18</w:t>
            </w:r>
            <w:r>
              <w:t xml:space="preserve"> </w:t>
            </w:r>
            <w:r>
              <w:rPr>
                <w:rFonts w:hint="eastAsia"/>
              </w:rPr>
              <w:t>577</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2001年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39</w:t>
            </w:r>
            <w:r>
              <w:t xml:space="preserve"> </w:t>
            </w:r>
            <w:r>
              <w:rPr>
                <w:rFonts w:hint="eastAsia"/>
              </w:rPr>
              <w:t>462</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227</w:t>
            </w:r>
            <w:r>
              <w:t xml:space="preserve"> </w:t>
            </w:r>
            <w:r>
              <w:rPr>
                <w:rFonts w:hint="eastAsia"/>
              </w:rPr>
              <w:t>986</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16</w:t>
            </w:r>
            <w:r>
              <w:t xml:space="preserve"> </w:t>
            </w:r>
            <w:r>
              <w:rPr>
                <w:rFonts w:hint="eastAsia"/>
              </w:rPr>
              <w:t>664</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2001年</w:t>
            </w:r>
          </w:p>
        </w:tc>
        <w:tc>
          <w:tcPr>
            <w:tcW w:w="1282" w:type="pct"/>
          </w:tcPr>
          <w:p w:rsidR="00312ECE" w:rsidRDefault="00312ECE">
            <w:pPr>
              <w:spacing w:before="80" w:after="80" w:line="240" w:lineRule="exact"/>
              <w:ind w:right="57"/>
              <w:rPr>
                <w:rFonts w:hint="eastAsia"/>
                <w:sz w:val="18"/>
              </w:rPr>
            </w:pPr>
          </w:p>
        </w:tc>
        <w:tc>
          <w:tcPr>
            <w:tcW w:w="1282" w:type="pct"/>
          </w:tcPr>
          <w:p w:rsidR="00312ECE" w:rsidRDefault="00312ECE">
            <w:pPr>
              <w:spacing w:before="80" w:after="80" w:line="240" w:lineRule="exact"/>
              <w:ind w:right="57"/>
              <w:rPr>
                <w:rFonts w:hint="eastAsia"/>
                <w:sz w:val="18"/>
              </w:rPr>
            </w:pPr>
          </w:p>
        </w:tc>
        <w:tc>
          <w:tcPr>
            <w:tcW w:w="1211" w:type="pct"/>
          </w:tcPr>
          <w:p w:rsidR="00312ECE" w:rsidRDefault="00312ECE">
            <w:pPr>
              <w:spacing w:before="80" w:after="80" w:line="240" w:lineRule="exact"/>
              <w:ind w:right="57"/>
              <w:rPr>
                <w:rFonts w:hint="eastAsia"/>
                <w:sz w:val="18"/>
              </w:rPr>
            </w:pPr>
          </w:p>
        </w:tc>
      </w:tr>
      <w:tr w:rsidR="00312ECE">
        <w:tblPrEx>
          <w:tblCellMar>
            <w:top w:w="0" w:type="dxa"/>
            <w:bottom w:w="0" w:type="dxa"/>
          </w:tblCellMar>
        </w:tblPrEx>
        <w:tc>
          <w:tcPr>
            <w:tcW w:w="5000" w:type="pct"/>
            <w:gridSpan w:val="4"/>
          </w:tcPr>
          <w:p w:rsidR="00312ECE" w:rsidRDefault="00312ECE">
            <w:pPr>
              <w:spacing w:before="80" w:after="80" w:line="240" w:lineRule="exact"/>
              <w:ind w:right="57"/>
              <w:rPr>
                <w:rFonts w:ascii="SimHei" w:eastAsia="SimHei" w:hint="eastAsia"/>
                <w:color w:val="FF0000"/>
                <w:sz w:val="18"/>
              </w:rPr>
            </w:pPr>
            <w:r>
              <w:rPr>
                <w:rFonts w:ascii="SimHei" w:eastAsia="SimHei" w:hint="eastAsia"/>
                <w:color w:val="FF0000"/>
                <w:sz w:val="18"/>
              </w:rPr>
              <w:t>派送参加求职者俱乐部活动的男女人数</w:t>
            </w:r>
          </w:p>
        </w:tc>
      </w:tr>
      <w:tr w:rsidR="00312ECE">
        <w:tblPrEx>
          <w:tblCellMar>
            <w:top w:w="0" w:type="dxa"/>
            <w:bottom w:w="0" w:type="dxa"/>
          </w:tblCellMar>
        </w:tblPrEx>
        <w:tc>
          <w:tcPr>
            <w:tcW w:w="1225" w:type="pct"/>
          </w:tcPr>
          <w:p w:rsidR="00312ECE" w:rsidRDefault="00312ECE">
            <w:pPr>
              <w:spacing w:before="80" w:after="80" w:line="240" w:lineRule="exact"/>
              <w:ind w:right="57"/>
              <w:rPr>
                <w:rFonts w:ascii="KaiTi_GB2312" w:eastAsia="KaiTi_GB2312" w:hint="eastAsia"/>
                <w:color w:val="0000FF"/>
                <w:sz w:val="18"/>
              </w:rPr>
            </w:pPr>
            <w:r>
              <w:rPr>
                <w:rFonts w:ascii="KaiTi_GB2312" w:eastAsia="KaiTi_GB2312" w:hint="eastAsia"/>
                <w:color w:val="0000FF"/>
                <w:sz w:val="18"/>
              </w:rPr>
              <w:t>年份</w:t>
            </w:r>
          </w:p>
        </w:tc>
        <w:tc>
          <w:tcPr>
            <w:tcW w:w="1282"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共计</w:t>
            </w:r>
          </w:p>
        </w:tc>
        <w:tc>
          <w:tcPr>
            <w:tcW w:w="1282"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其中：妇女</w:t>
            </w:r>
          </w:p>
        </w:tc>
        <w:tc>
          <w:tcPr>
            <w:tcW w:w="1211" w:type="pct"/>
          </w:tcPr>
          <w:p w:rsidR="00312ECE" w:rsidRDefault="00312ECE">
            <w:pPr>
              <w:spacing w:before="80" w:after="80" w:line="240" w:lineRule="exact"/>
              <w:ind w:right="57"/>
              <w:jc w:val="center"/>
              <w:rPr>
                <w:rFonts w:ascii="KaiTi_GB2312" w:eastAsia="KaiTi_GB2312" w:hint="eastAsia"/>
                <w:color w:val="0000FF"/>
                <w:sz w:val="18"/>
              </w:rPr>
            </w:pPr>
            <w:r>
              <w:rPr>
                <w:rFonts w:ascii="KaiTi_GB2312" w:eastAsia="KaiTi_GB2312" w:hint="eastAsia"/>
                <w:color w:val="0000FF"/>
                <w:sz w:val="18"/>
              </w:rPr>
              <w:t>其中：男子</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1995年</w:t>
            </w:r>
          </w:p>
        </w:tc>
        <w:tc>
          <w:tcPr>
            <w:tcW w:w="1282" w:type="pct"/>
          </w:tcPr>
          <w:p w:rsidR="00312ECE" w:rsidRDefault="00312ECE" w:rsidP="001A62B6">
            <w:pPr>
              <w:pStyle w:val="Header"/>
              <w:tabs>
                <w:tab w:val="clear" w:pos="4320"/>
                <w:tab w:val="clear" w:pos="8640"/>
              </w:tabs>
              <w:spacing w:before="80" w:after="80" w:line="240" w:lineRule="exact"/>
              <w:ind w:rightChars="441" w:right="31680"/>
              <w:jc w:val="right"/>
              <w:rPr>
                <w:rFonts w:hint="eastAsia"/>
              </w:rPr>
            </w:pPr>
            <w:r>
              <w:rPr>
                <w:rFonts w:hint="eastAsia"/>
              </w:rPr>
              <w:t>-</w:t>
            </w:r>
          </w:p>
        </w:tc>
        <w:tc>
          <w:tcPr>
            <w:tcW w:w="1282" w:type="pct"/>
          </w:tcPr>
          <w:p w:rsidR="00312ECE" w:rsidRDefault="00312ECE" w:rsidP="001A62B6">
            <w:pPr>
              <w:pStyle w:val="Header"/>
              <w:tabs>
                <w:tab w:val="clear" w:pos="4320"/>
                <w:tab w:val="clear" w:pos="8640"/>
              </w:tabs>
              <w:spacing w:before="80" w:after="80" w:line="240" w:lineRule="exact"/>
              <w:ind w:rightChars="441" w:right="31680"/>
              <w:jc w:val="right"/>
              <w:rPr>
                <w:rFonts w:hint="eastAsia"/>
              </w:rPr>
            </w:pPr>
            <w:r>
              <w:rPr>
                <w:rFonts w:hint="eastAsia"/>
              </w:rPr>
              <w:t>-</w:t>
            </w:r>
          </w:p>
        </w:tc>
        <w:tc>
          <w:tcPr>
            <w:tcW w:w="1211" w:type="pct"/>
          </w:tcPr>
          <w:p w:rsidR="00312ECE" w:rsidRDefault="00312ECE" w:rsidP="001A62B6">
            <w:pPr>
              <w:pStyle w:val="Header"/>
              <w:tabs>
                <w:tab w:val="clear" w:pos="4320"/>
                <w:tab w:val="clear" w:pos="8640"/>
              </w:tabs>
              <w:spacing w:before="80" w:after="80" w:line="240" w:lineRule="exact"/>
              <w:ind w:rightChars="441" w:right="31680"/>
              <w:jc w:val="right"/>
              <w:rPr>
                <w:rFonts w:hint="eastAsia"/>
              </w:rPr>
            </w:pPr>
            <w:r>
              <w:rPr>
                <w:rFonts w:hint="eastAsia"/>
              </w:rPr>
              <w:t>-</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1996年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w:t>
            </w:r>
            <w:r>
              <w:t xml:space="preserve"> </w:t>
            </w:r>
            <w:r>
              <w:rPr>
                <w:rFonts w:hint="eastAsia"/>
              </w:rPr>
              <w:t>551</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1997年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5</w:t>
            </w:r>
            <w:r>
              <w:t xml:space="preserve"> </w:t>
            </w:r>
            <w:r>
              <w:rPr>
                <w:rFonts w:hint="eastAsia"/>
              </w:rPr>
              <w:t>501</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4</w:t>
            </w:r>
            <w:r>
              <w:t xml:space="preserve"> </w:t>
            </w:r>
            <w:r>
              <w:rPr>
                <w:rFonts w:hint="eastAsia"/>
              </w:rPr>
              <w:t>657</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t xml:space="preserve"> </w:t>
            </w:r>
            <w:r>
              <w:rPr>
                <w:rFonts w:hint="eastAsia"/>
              </w:rPr>
              <w:t>844</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1998年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7</w:t>
            </w:r>
            <w:r>
              <w:t xml:space="preserve"> </w:t>
            </w:r>
            <w:r>
              <w:rPr>
                <w:rFonts w:hint="eastAsia"/>
              </w:rPr>
              <w:t>710</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601</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w:t>
            </w:r>
            <w:r>
              <w:t xml:space="preserve"> </w:t>
            </w:r>
            <w:r>
              <w:rPr>
                <w:rFonts w:hint="eastAsia"/>
              </w:rPr>
              <w:t>109</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1999年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15</w:t>
            </w:r>
            <w:r>
              <w:t xml:space="preserve"> </w:t>
            </w:r>
            <w:r>
              <w:rPr>
                <w:rFonts w:hint="eastAsia"/>
              </w:rPr>
              <w:t>835</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12</w:t>
            </w:r>
            <w:r>
              <w:t xml:space="preserve"> </w:t>
            </w:r>
            <w:r>
              <w:rPr>
                <w:rFonts w:hint="eastAsia"/>
              </w:rPr>
              <w:t>973</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w:t>
            </w:r>
            <w:r>
              <w:t xml:space="preserve"> </w:t>
            </w:r>
            <w:r>
              <w:rPr>
                <w:rFonts w:hint="eastAsia"/>
              </w:rPr>
              <w:t>862</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2000年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17</w:t>
            </w:r>
            <w:r>
              <w:t xml:space="preserve"> </w:t>
            </w:r>
            <w:r>
              <w:rPr>
                <w:rFonts w:hint="eastAsia"/>
              </w:rPr>
              <w:t>940</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14</w:t>
            </w:r>
            <w:r>
              <w:t xml:space="preserve"> </w:t>
            </w:r>
            <w:r>
              <w:rPr>
                <w:rFonts w:hint="eastAsia"/>
              </w:rPr>
              <w:t>419</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3</w:t>
            </w:r>
            <w:r>
              <w:t xml:space="preserve"> </w:t>
            </w:r>
            <w:r>
              <w:rPr>
                <w:rFonts w:hint="eastAsia"/>
              </w:rPr>
              <w:t>521</w:t>
            </w:r>
          </w:p>
        </w:tc>
      </w:tr>
      <w:tr w:rsidR="00312ECE">
        <w:tblPrEx>
          <w:tblCellMar>
            <w:top w:w="0" w:type="dxa"/>
            <w:bottom w:w="0" w:type="dxa"/>
          </w:tblCellMar>
        </w:tblPrEx>
        <w:tc>
          <w:tcPr>
            <w:tcW w:w="1225" w:type="pct"/>
          </w:tcPr>
          <w:p w:rsidR="00312ECE" w:rsidRDefault="00312ECE">
            <w:pPr>
              <w:spacing w:before="80" w:after="80" w:line="240" w:lineRule="exact"/>
              <w:ind w:right="57"/>
              <w:rPr>
                <w:rFonts w:hint="eastAsia"/>
                <w:sz w:val="18"/>
              </w:rPr>
            </w:pPr>
            <w:r>
              <w:rPr>
                <w:rFonts w:hint="eastAsia"/>
                <w:sz w:val="18"/>
              </w:rPr>
              <w:t>2001年</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24</w:t>
            </w:r>
            <w:r>
              <w:t xml:space="preserve"> </w:t>
            </w:r>
            <w:r>
              <w:rPr>
                <w:rFonts w:hint="eastAsia"/>
              </w:rPr>
              <w:t>667</w:t>
            </w:r>
          </w:p>
        </w:tc>
        <w:tc>
          <w:tcPr>
            <w:tcW w:w="1282"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18</w:t>
            </w:r>
            <w:r>
              <w:t xml:space="preserve"> </w:t>
            </w:r>
            <w:r>
              <w:rPr>
                <w:rFonts w:hint="eastAsia"/>
              </w:rPr>
              <w:t>261</w:t>
            </w:r>
          </w:p>
        </w:tc>
        <w:tc>
          <w:tcPr>
            <w:tcW w:w="1211" w:type="pct"/>
          </w:tcPr>
          <w:p w:rsidR="00312ECE" w:rsidRDefault="00312ECE" w:rsidP="001A62B6">
            <w:pPr>
              <w:pStyle w:val="Header"/>
              <w:tabs>
                <w:tab w:val="clear" w:pos="4320"/>
                <w:tab w:val="clear" w:pos="8640"/>
              </w:tabs>
              <w:spacing w:before="80" w:after="80" w:line="240" w:lineRule="exact"/>
              <w:ind w:rightChars="300" w:right="31680"/>
              <w:jc w:val="right"/>
              <w:rPr>
                <w:rFonts w:hint="eastAsia"/>
              </w:rPr>
            </w:pPr>
            <w:r>
              <w:rPr>
                <w:rFonts w:hint="eastAsia"/>
              </w:rPr>
              <w:t>6</w:t>
            </w:r>
            <w:r>
              <w:t xml:space="preserve"> </w:t>
            </w:r>
            <w:r>
              <w:rPr>
                <w:rFonts w:hint="eastAsia"/>
              </w:rPr>
              <w:t>406</w:t>
            </w:r>
          </w:p>
        </w:tc>
      </w:tr>
    </w:tbl>
    <w:p w:rsidR="00312ECE" w:rsidRDefault="00312ECE">
      <w:pPr>
        <w:pStyle w:val="SingleTxt"/>
        <w:rPr>
          <w:rFonts w:hint="eastAsia"/>
        </w:rPr>
      </w:pPr>
      <w:r>
        <w:rPr>
          <w:rFonts w:hint="eastAsia"/>
        </w:rPr>
        <w:t>190.  根据“孕产和疾病保险”法规定，凡个人按“社会保险”法参加保险的均有资格领受疾病津贴。</w:t>
      </w:r>
    </w:p>
    <w:p w:rsidR="00312ECE" w:rsidRDefault="00312ECE">
      <w:pPr>
        <w:pStyle w:val="SingleTxt"/>
        <w:rPr>
          <w:rFonts w:hint="eastAsia"/>
        </w:rPr>
      </w:pPr>
      <w:r>
        <w:rPr>
          <w:rFonts w:hint="eastAsia"/>
        </w:rPr>
        <w:t>191.  疾病津贴的发放对象是因不能上班而失去带薪工作所得收入的人，不论其性别如何；或是因下述原因失去收入的自营职业者：因病或因伤丧失工作能力，必须领取医疗或防治救济；为了检疫需要进行隔离，而且根据医疗证明，这种治疗对工作能力的恢复有必要；需要照料不满14岁的生病子女；办理了在住院诊所进行修复或矫正治疗的手续。</w:t>
      </w:r>
    </w:p>
    <w:p w:rsidR="00312ECE" w:rsidRDefault="00312ECE">
      <w:pPr>
        <w:pStyle w:val="SingleTxt"/>
        <w:rPr>
          <w:rFonts w:hint="eastAsia"/>
        </w:rPr>
      </w:pPr>
      <w:r>
        <w:rPr>
          <w:rFonts w:hint="eastAsia"/>
        </w:rPr>
        <w:t>192.  根据“社会保障”法，凡在过去12个月内一直生活在拉脱维亚共和国，但总天数不少于60个月的人（拥有个人身份代码的拉脱维亚公民、非公民、外国人及无国籍人士，但领取临时居住证的人除外），都有权领受</w:t>
      </w:r>
      <w:r>
        <w:rPr>
          <w:rFonts w:ascii="KaiTi_GB2312" w:eastAsia="KaiTi_GB2312" w:hint="eastAsia"/>
          <w:color w:val="0000FF"/>
        </w:rPr>
        <w:t>国家残疾人社会保险津贴</w:t>
      </w:r>
      <w:r>
        <w:rPr>
          <w:rFonts w:hint="eastAsia"/>
        </w:rPr>
        <w:t>。本法没有规定按不同的性别提供社会保险。男女残疾养恤金的数额相同，但取决于保险期内缴纳的社会保险费以及从中缴纳社会保险费的收入（参见下表）。</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0"/>
        <w:gridCol w:w="637"/>
        <w:gridCol w:w="637"/>
        <w:gridCol w:w="637"/>
        <w:gridCol w:w="637"/>
        <w:gridCol w:w="637"/>
        <w:gridCol w:w="637"/>
        <w:gridCol w:w="637"/>
        <w:gridCol w:w="637"/>
        <w:gridCol w:w="637"/>
        <w:gridCol w:w="638"/>
      </w:tblGrid>
      <w:tr w:rsidR="00312ECE">
        <w:tblPrEx>
          <w:tblCellMar>
            <w:top w:w="0" w:type="dxa"/>
            <w:bottom w:w="0" w:type="dxa"/>
          </w:tblCellMar>
        </w:tblPrEx>
        <w:tc>
          <w:tcPr>
            <w:tcW w:w="5000" w:type="pct"/>
            <w:gridSpan w:val="11"/>
          </w:tcPr>
          <w:p w:rsidR="00312ECE" w:rsidRDefault="00312ECE">
            <w:pPr>
              <w:spacing w:line="360" w:lineRule="atLeast"/>
              <w:rPr>
                <w:rFonts w:ascii="SimHei" w:eastAsia="SimHei" w:hint="eastAsia"/>
                <w:color w:val="FF0000"/>
                <w:sz w:val="18"/>
              </w:rPr>
            </w:pPr>
            <w:r>
              <w:rPr>
                <w:rFonts w:ascii="SimHei" w:eastAsia="SimHei" w:hint="eastAsia"/>
                <w:color w:val="FF0000"/>
                <w:sz w:val="18"/>
              </w:rPr>
              <w:t>按实际价格计算的月平均残疾养恤金数额（单位：拉脱维亚拉特）</w:t>
            </w:r>
          </w:p>
        </w:tc>
      </w:tr>
      <w:tr w:rsidR="00312ECE">
        <w:tblPrEx>
          <w:tblCellMar>
            <w:top w:w="0" w:type="dxa"/>
            <w:bottom w:w="0" w:type="dxa"/>
          </w:tblCellMar>
        </w:tblPrEx>
        <w:tc>
          <w:tcPr>
            <w:tcW w:w="679" w:type="pct"/>
          </w:tcPr>
          <w:p w:rsidR="00312ECE" w:rsidRDefault="00312ECE">
            <w:pPr>
              <w:spacing w:line="360" w:lineRule="atLeast"/>
              <w:rPr>
                <w:rFonts w:ascii="KaiTi_GB2312" w:eastAsia="KaiTi_GB2312" w:hint="eastAsia"/>
                <w:color w:val="0000FF"/>
                <w:sz w:val="14"/>
              </w:rPr>
            </w:pP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1992</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1993</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1994</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1995</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1996</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1997</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1998</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1999</w:t>
            </w:r>
          </w:p>
        </w:tc>
        <w:tc>
          <w:tcPr>
            <w:tcW w:w="43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2000</w:t>
            </w:r>
          </w:p>
        </w:tc>
        <w:tc>
          <w:tcPr>
            <w:tcW w:w="433"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2001</w:t>
            </w:r>
          </w:p>
        </w:tc>
      </w:tr>
      <w:tr w:rsidR="00312ECE">
        <w:tblPrEx>
          <w:tblCellMar>
            <w:top w:w="0" w:type="dxa"/>
            <w:bottom w:w="0" w:type="dxa"/>
          </w:tblCellMar>
        </w:tblPrEx>
        <w:tc>
          <w:tcPr>
            <w:tcW w:w="679" w:type="pct"/>
          </w:tcPr>
          <w:p w:rsidR="00312ECE" w:rsidRDefault="00312ECE">
            <w:pPr>
              <w:spacing w:line="360" w:lineRule="atLeast"/>
              <w:rPr>
                <w:rFonts w:hint="eastAsia"/>
                <w:sz w:val="17"/>
              </w:rPr>
            </w:pPr>
            <w:r>
              <w:rPr>
                <w:rFonts w:hint="eastAsia"/>
                <w:sz w:val="17"/>
              </w:rPr>
              <w:t>各类养恤金的平均数额：</w:t>
            </w:r>
          </w:p>
        </w:tc>
        <w:tc>
          <w:tcPr>
            <w:tcW w:w="432" w:type="pct"/>
          </w:tcPr>
          <w:p w:rsidR="00312ECE" w:rsidRDefault="00312ECE">
            <w:pPr>
              <w:spacing w:line="360" w:lineRule="atLeast"/>
              <w:jc w:val="center"/>
              <w:rPr>
                <w:sz w:val="17"/>
              </w:rPr>
            </w:pPr>
            <w:r>
              <w:rPr>
                <w:rFonts w:hint="eastAsia"/>
                <w:sz w:val="17"/>
              </w:rPr>
              <w:t>8</w:t>
            </w:r>
            <w:r>
              <w:rPr>
                <w:sz w:val="17"/>
              </w:rPr>
              <w:t>.29</w:t>
            </w:r>
          </w:p>
        </w:tc>
        <w:tc>
          <w:tcPr>
            <w:tcW w:w="432" w:type="pct"/>
          </w:tcPr>
          <w:p w:rsidR="00312ECE" w:rsidRDefault="00312ECE">
            <w:pPr>
              <w:spacing w:line="360" w:lineRule="atLeast"/>
              <w:jc w:val="center"/>
              <w:rPr>
                <w:sz w:val="17"/>
              </w:rPr>
            </w:pPr>
            <w:r>
              <w:rPr>
                <w:sz w:val="17"/>
              </w:rPr>
              <w:t>10.50</w:t>
            </w:r>
          </w:p>
        </w:tc>
        <w:tc>
          <w:tcPr>
            <w:tcW w:w="432" w:type="pct"/>
          </w:tcPr>
          <w:p w:rsidR="00312ECE" w:rsidRDefault="00312ECE">
            <w:pPr>
              <w:spacing w:line="360" w:lineRule="atLeast"/>
              <w:jc w:val="center"/>
              <w:rPr>
                <w:sz w:val="17"/>
              </w:rPr>
            </w:pPr>
            <w:r>
              <w:rPr>
                <w:sz w:val="17"/>
              </w:rPr>
              <w:t>27.00</w:t>
            </w:r>
          </w:p>
        </w:tc>
        <w:tc>
          <w:tcPr>
            <w:tcW w:w="432" w:type="pct"/>
          </w:tcPr>
          <w:p w:rsidR="00312ECE" w:rsidRDefault="00312ECE">
            <w:pPr>
              <w:spacing w:line="360" w:lineRule="atLeast"/>
              <w:jc w:val="center"/>
              <w:rPr>
                <w:sz w:val="17"/>
              </w:rPr>
            </w:pPr>
            <w:r>
              <w:rPr>
                <w:sz w:val="17"/>
              </w:rPr>
              <w:t>32.72</w:t>
            </w:r>
          </w:p>
        </w:tc>
        <w:tc>
          <w:tcPr>
            <w:tcW w:w="432" w:type="pct"/>
          </w:tcPr>
          <w:p w:rsidR="00312ECE" w:rsidRDefault="00312ECE">
            <w:pPr>
              <w:spacing w:line="360" w:lineRule="atLeast"/>
              <w:jc w:val="center"/>
              <w:rPr>
                <w:sz w:val="17"/>
              </w:rPr>
            </w:pPr>
            <w:r>
              <w:rPr>
                <w:sz w:val="17"/>
              </w:rPr>
              <w:t>38.50</w:t>
            </w:r>
          </w:p>
        </w:tc>
        <w:tc>
          <w:tcPr>
            <w:tcW w:w="432" w:type="pct"/>
          </w:tcPr>
          <w:p w:rsidR="00312ECE" w:rsidRDefault="00312ECE">
            <w:pPr>
              <w:spacing w:line="360" w:lineRule="atLeast"/>
              <w:jc w:val="center"/>
              <w:rPr>
                <w:sz w:val="17"/>
              </w:rPr>
            </w:pPr>
            <w:r>
              <w:rPr>
                <w:sz w:val="17"/>
              </w:rPr>
              <w:t>42.42</w:t>
            </w:r>
          </w:p>
        </w:tc>
        <w:tc>
          <w:tcPr>
            <w:tcW w:w="432" w:type="pct"/>
          </w:tcPr>
          <w:p w:rsidR="00312ECE" w:rsidRDefault="00312ECE">
            <w:pPr>
              <w:spacing w:line="360" w:lineRule="atLeast"/>
              <w:jc w:val="center"/>
              <w:rPr>
                <w:sz w:val="17"/>
              </w:rPr>
            </w:pPr>
            <w:r>
              <w:rPr>
                <w:sz w:val="17"/>
              </w:rPr>
              <w:t>51.23</w:t>
            </w:r>
          </w:p>
        </w:tc>
        <w:tc>
          <w:tcPr>
            <w:tcW w:w="432" w:type="pct"/>
          </w:tcPr>
          <w:p w:rsidR="00312ECE" w:rsidRDefault="00312ECE">
            <w:pPr>
              <w:spacing w:line="360" w:lineRule="atLeast"/>
              <w:jc w:val="center"/>
              <w:rPr>
                <w:sz w:val="17"/>
              </w:rPr>
            </w:pPr>
            <w:r>
              <w:rPr>
                <w:sz w:val="17"/>
              </w:rPr>
              <w:t>58.00</w:t>
            </w:r>
          </w:p>
        </w:tc>
        <w:tc>
          <w:tcPr>
            <w:tcW w:w="432" w:type="pct"/>
          </w:tcPr>
          <w:p w:rsidR="00312ECE" w:rsidRDefault="00312ECE">
            <w:pPr>
              <w:spacing w:line="360" w:lineRule="atLeast"/>
              <w:jc w:val="center"/>
              <w:rPr>
                <w:sz w:val="17"/>
              </w:rPr>
            </w:pPr>
            <w:r>
              <w:rPr>
                <w:sz w:val="17"/>
              </w:rPr>
              <w:t>58.54</w:t>
            </w:r>
          </w:p>
        </w:tc>
        <w:tc>
          <w:tcPr>
            <w:tcW w:w="433" w:type="pct"/>
          </w:tcPr>
          <w:p w:rsidR="00312ECE" w:rsidRDefault="00312ECE">
            <w:pPr>
              <w:spacing w:line="360" w:lineRule="atLeast"/>
              <w:jc w:val="center"/>
              <w:rPr>
                <w:sz w:val="17"/>
              </w:rPr>
            </w:pPr>
            <w:r>
              <w:rPr>
                <w:sz w:val="17"/>
              </w:rPr>
              <w:t>58.87</w:t>
            </w:r>
          </w:p>
        </w:tc>
      </w:tr>
      <w:tr w:rsidR="00312ECE">
        <w:tblPrEx>
          <w:tblCellMar>
            <w:top w:w="0" w:type="dxa"/>
            <w:bottom w:w="0" w:type="dxa"/>
          </w:tblCellMar>
        </w:tblPrEx>
        <w:trPr>
          <w:trHeight w:val="424"/>
        </w:trPr>
        <w:tc>
          <w:tcPr>
            <w:tcW w:w="679" w:type="pct"/>
          </w:tcPr>
          <w:p w:rsidR="00312ECE" w:rsidRDefault="00312ECE">
            <w:pPr>
              <w:spacing w:line="360" w:lineRule="atLeast"/>
              <w:rPr>
                <w:sz w:val="17"/>
              </w:rPr>
            </w:pPr>
            <w:r>
              <w:rPr>
                <w:rFonts w:hint="eastAsia"/>
                <w:sz w:val="17"/>
              </w:rPr>
              <w:t>男子</w:t>
            </w:r>
          </w:p>
        </w:tc>
        <w:tc>
          <w:tcPr>
            <w:tcW w:w="432" w:type="pct"/>
          </w:tcPr>
          <w:p w:rsidR="00312ECE" w:rsidRDefault="00312ECE">
            <w:pPr>
              <w:spacing w:line="360" w:lineRule="atLeast"/>
              <w:jc w:val="center"/>
              <w:rPr>
                <w:sz w:val="17"/>
              </w:rPr>
            </w:pPr>
            <w:r>
              <w:rPr>
                <w:sz w:val="17"/>
              </w:rPr>
              <w:t>X</w:t>
            </w:r>
          </w:p>
        </w:tc>
        <w:tc>
          <w:tcPr>
            <w:tcW w:w="432" w:type="pct"/>
          </w:tcPr>
          <w:p w:rsidR="00312ECE" w:rsidRDefault="00312ECE">
            <w:pPr>
              <w:spacing w:line="360" w:lineRule="atLeast"/>
              <w:jc w:val="center"/>
              <w:rPr>
                <w:sz w:val="17"/>
              </w:rPr>
            </w:pPr>
            <w:r>
              <w:rPr>
                <w:rFonts w:hint="eastAsia"/>
                <w:sz w:val="17"/>
              </w:rPr>
              <w:t>X</w:t>
            </w:r>
          </w:p>
        </w:tc>
        <w:tc>
          <w:tcPr>
            <w:tcW w:w="432" w:type="pct"/>
          </w:tcPr>
          <w:p w:rsidR="00312ECE" w:rsidRDefault="00312ECE">
            <w:pPr>
              <w:spacing w:line="360" w:lineRule="atLeast"/>
              <w:jc w:val="center"/>
              <w:rPr>
                <w:sz w:val="17"/>
              </w:rPr>
            </w:pPr>
            <w:r>
              <w:rPr>
                <w:rFonts w:hint="eastAsia"/>
                <w:sz w:val="17"/>
              </w:rPr>
              <w:t>X</w:t>
            </w:r>
          </w:p>
        </w:tc>
        <w:tc>
          <w:tcPr>
            <w:tcW w:w="432" w:type="pct"/>
          </w:tcPr>
          <w:p w:rsidR="00312ECE" w:rsidRDefault="00312ECE">
            <w:pPr>
              <w:spacing w:line="360" w:lineRule="atLeast"/>
              <w:jc w:val="center"/>
              <w:rPr>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sz w:val="17"/>
              </w:rPr>
            </w:pPr>
            <w:r>
              <w:rPr>
                <w:sz w:val="17"/>
              </w:rPr>
              <w:t>44.36</w:t>
            </w:r>
          </w:p>
        </w:tc>
        <w:tc>
          <w:tcPr>
            <w:tcW w:w="432" w:type="pct"/>
          </w:tcPr>
          <w:p w:rsidR="00312ECE" w:rsidRDefault="00312ECE">
            <w:pPr>
              <w:spacing w:line="360" w:lineRule="atLeast"/>
              <w:jc w:val="center"/>
              <w:rPr>
                <w:sz w:val="17"/>
              </w:rPr>
            </w:pPr>
            <w:r>
              <w:rPr>
                <w:sz w:val="17"/>
              </w:rPr>
              <w:t>53.78</w:t>
            </w:r>
          </w:p>
        </w:tc>
        <w:tc>
          <w:tcPr>
            <w:tcW w:w="432" w:type="pct"/>
          </w:tcPr>
          <w:p w:rsidR="00312ECE" w:rsidRDefault="00312ECE">
            <w:pPr>
              <w:spacing w:line="360" w:lineRule="atLeast"/>
              <w:jc w:val="center"/>
              <w:rPr>
                <w:sz w:val="17"/>
              </w:rPr>
            </w:pPr>
            <w:r>
              <w:rPr>
                <w:sz w:val="17"/>
              </w:rPr>
              <w:t>62.34</w:t>
            </w:r>
          </w:p>
        </w:tc>
        <w:tc>
          <w:tcPr>
            <w:tcW w:w="432" w:type="pct"/>
          </w:tcPr>
          <w:p w:rsidR="00312ECE" w:rsidRDefault="00312ECE">
            <w:pPr>
              <w:spacing w:line="360" w:lineRule="atLeast"/>
              <w:jc w:val="center"/>
              <w:rPr>
                <w:sz w:val="17"/>
              </w:rPr>
            </w:pPr>
            <w:r>
              <w:rPr>
                <w:sz w:val="17"/>
              </w:rPr>
              <w:t>62.91</w:t>
            </w:r>
          </w:p>
        </w:tc>
        <w:tc>
          <w:tcPr>
            <w:tcW w:w="433" w:type="pct"/>
          </w:tcPr>
          <w:p w:rsidR="00312ECE" w:rsidRDefault="00312ECE">
            <w:pPr>
              <w:spacing w:line="360" w:lineRule="atLeast"/>
              <w:jc w:val="center"/>
              <w:rPr>
                <w:sz w:val="17"/>
              </w:rPr>
            </w:pPr>
            <w:r>
              <w:rPr>
                <w:sz w:val="17"/>
              </w:rPr>
              <w:t>63.19</w:t>
            </w:r>
          </w:p>
        </w:tc>
      </w:tr>
      <w:tr w:rsidR="00312ECE">
        <w:tblPrEx>
          <w:tblCellMar>
            <w:top w:w="0" w:type="dxa"/>
            <w:bottom w:w="0" w:type="dxa"/>
          </w:tblCellMar>
        </w:tblPrEx>
        <w:trPr>
          <w:trHeight w:val="421"/>
        </w:trPr>
        <w:tc>
          <w:tcPr>
            <w:tcW w:w="679" w:type="pct"/>
          </w:tcPr>
          <w:p w:rsidR="00312ECE" w:rsidRDefault="00312ECE">
            <w:pPr>
              <w:spacing w:line="360" w:lineRule="atLeast"/>
              <w:rPr>
                <w:sz w:val="17"/>
              </w:rPr>
            </w:pPr>
            <w:r>
              <w:rPr>
                <w:rFonts w:hint="eastAsia"/>
                <w:sz w:val="17"/>
              </w:rPr>
              <w:t>妇女</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sz w:val="17"/>
              </w:rPr>
            </w:pPr>
            <w:r>
              <w:rPr>
                <w:sz w:val="17"/>
              </w:rPr>
              <w:t>41.90</w:t>
            </w:r>
          </w:p>
        </w:tc>
        <w:tc>
          <w:tcPr>
            <w:tcW w:w="432" w:type="pct"/>
          </w:tcPr>
          <w:p w:rsidR="00312ECE" w:rsidRDefault="00312ECE">
            <w:pPr>
              <w:spacing w:line="360" w:lineRule="atLeast"/>
              <w:jc w:val="center"/>
              <w:rPr>
                <w:sz w:val="17"/>
              </w:rPr>
            </w:pPr>
            <w:r>
              <w:rPr>
                <w:sz w:val="17"/>
              </w:rPr>
              <w:t>50.56</w:t>
            </w:r>
          </w:p>
        </w:tc>
        <w:tc>
          <w:tcPr>
            <w:tcW w:w="432" w:type="pct"/>
          </w:tcPr>
          <w:p w:rsidR="00312ECE" w:rsidRDefault="00312ECE">
            <w:pPr>
              <w:spacing w:line="360" w:lineRule="atLeast"/>
              <w:jc w:val="center"/>
              <w:rPr>
                <w:sz w:val="17"/>
              </w:rPr>
            </w:pPr>
            <w:r>
              <w:rPr>
                <w:sz w:val="17"/>
              </w:rPr>
              <w:t>56.56</w:t>
            </w:r>
          </w:p>
        </w:tc>
        <w:tc>
          <w:tcPr>
            <w:tcW w:w="432" w:type="pct"/>
          </w:tcPr>
          <w:p w:rsidR="00312ECE" w:rsidRDefault="00312ECE">
            <w:pPr>
              <w:spacing w:line="360" w:lineRule="atLeast"/>
              <w:jc w:val="center"/>
              <w:rPr>
                <w:sz w:val="17"/>
              </w:rPr>
            </w:pPr>
            <w:r>
              <w:rPr>
                <w:sz w:val="17"/>
              </w:rPr>
              <w:t>57.16</w:t>
            </w:r>
          </w:p>
        </w:tc>
        <w:tc>
          <w:tcPr>
            <w:tcW w:w="433" w:type="pct"/>
          </w:tcPr>
          <w:p w:rsidR="00312ECE" w:rsidRDefault="00312ECE">
            <w:pPr>
              <w:spacing w:line="360" w:lineRule="atLeast"/>
              <w:jc w:val="center"/>
              <w:rPr>
                <w:sz w:val="17"/>
              </w:rPr>
            </w:pPr>
            <w:r>
              <w:rPr>
                <w:sz w:val="17"/>
              </w:rPr>
              <w:t>57.55</w:t>
            </w:r>
          </w:p>
        </w:tc>
      </w:tr>
      <w:tr w:rsidR="00312ECE">
        <w:tblPrEx>
          <w:tblCellMar>
            <w:top w:w="0" w:type="dxa"/>
            <w:bottom w:w="0" w:type="dxa"/>
          </w:tblCellMar>
        </w:tblPrEx>
        <w:trPr>
          <w:trHeight w:val="421"/>
        </w:trPr>
        <w:tc>
          <w:tcPr>
            <w:tcW w:w="679" w:type="pct"/>
          </w:tcPr>
          <w:p w:rsidR="00312ECE" w:rsidRDefault="00312ECE">
            <w:pPr>
              <w:spacing w:line="360" w:lineRule="atLeast"/>
              <w:rPr>
                <w:sz w:val="17"/>
              </w:rPr>
            </w:pPr>
            <w:r>
              <w:rPr>
                <w:rFonts w:hint="eastAsia"/>
                <w:sz w:val="17"/>
              </w:rPr>
              <w:t>其中：</w:t>
            </w: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2" w:type="pct"/>
          </w:tcPr>
          <w:p w:rsidR="00312ECE" w:rsidRDefault="00312ECE">
            <w:pPr>
              <w:spacing w:line="360" w:lineRule="atLeast"/>
              <w:jc w:val="center"/>
              <w:rPr>
                <w:rFonts w:hint="eastAsia"/>
                <w:sz w:val="17"/>
              </w:rPr>
            </w:pPr>
          </w:p>
        </w:tc>
        <w:tc>
          <w:tcPr>
            <w:tcW w:w="433" w:type="pct"/>
          </w:tcPr>
          <w:p w:rsidR="00312ECE" w:rsidRDefault="00312ECE">
            <w:pPr>
              <w:spacing w:line="360" w:lineRule="atLeast"/>
              <w:jc w:val="center"/>
              <w:rPr>
                <w:rFonts w:hint="eastAsia"/>
                <w:sz w:val="17"/>
              </w:rPr>
            </w:pPr>
          </w:p>
        </w:tc>
      </w:tr>
      <w:tr w:rsidR="00312ECE">
        <w:tblPrEx>
          <w:tblCellMar>
            <w:top w:w="0" w:type="dxa"/>
            <w:bottom w:w="0" w:type="dxa"/>
          </w:tblCellMar>
        </w:tblPrEx>
        <w:trPr>
          <w:trHeight w:val="421"/>
        </w:trPr>
        <w:tc>
          <w:tcPr>
            <w:tcW w:w="679" w:type="pct"/>
          </w:tcPr>
          <w:p w:rsidR="00312ECE" w:rsidRDefault="00312ECE">
            <w:pPr>
              <w:spacing w:line="360" w:lineRule="atLeast"/>
              <w:rPr>
                <w:sz w:val="17"/>
              </w:rPr>
            </w:pPr>
            <w:r>
              <w:rPr>
                <w:rFonts w:hint="eastAsia"/>
                <w:sz w:val="17"/>
              </w:rPr>
              <w:t>残疾养恤金</w:t>
            </w:r>
          </w:p>
        </w:tc>
        <w:tc>
          <w:tcPr>
            <w:tcW w:w="432" w:type="pct"/>
          </w:tcPr>
          <w:p w:rsidR="00312ECE" w:rsidRDefault="00312ECE">
            <w:pPr>
              <w:spacing w:line="360" w:lineRule="atLeast"/>
              <w:jc w:val="center"/>
              <w:rPr>
                <w:sz w:val="17"/>
              </w:rPr>
            </w:pPr>
            <w:r>
              <w:rPr>
                <w:sz w:val="17"/>
              </w:rPr>
              <w:t>13.29</w:t>
            </w:r>
          </w:p>
        </w:tc>
        <w:tc>
          <w:tcPr>
            <w:tcW w:w="432" w:type="pct"/>
          </w:tcPr>
          <w:p w:rsidR="00312ECE" w:rsidRDefault="00312ECE">
            <w:pPr>
              <w:spacing w:line="360" w:lineRule="atLeast"/>
              <w:jc w:val="center"/>
              <w:rPr>
                <w:sz w:val="17"/>
              </w:rPr>
            </w:pPr>
            <w:r>
              <w:rPr>
                <w:sz w:val="17"/>
              </w:rPr>
              <w:t>14.00</w:t>
            </w:r>
          </w:p>
        </w:tc>
        <w:tc>
          <w:tcPr>
            <w:tcW w:w="432" w:type="pct"/>
          </w:tcPr>
          <w:p w:rsidR="00312ECE" w:rsidRDefault="00312ECE">
            <w:pPr>
              <w:spacing w:line="360" w:lineRule="atLeast"/>
              <w:jc w:val="center"/>
              <w:rPr>
                <w:sz w:val="17"/>
              </w:rPr>
            </w:pPr>
            <w:r>
              <w:rPr>
                <w:sz w:val="17"/>
              </w:rPr>
              <w:t>28.30</w:t>
            </w:r>
          </w:p>
        </w:tc>
        <w:tc>
          <w:tcPr>
            <w:tcW w:w="432" w:type="pct"/>
          </w:tcPr>
          <w:p w:rsidR="00312ECE" w:rsidRDefault="00312ECE">
            <w:pPr>
              <w:spacing w:line="360" w:lineRule="atLeast"/>
              <w:jc w:val="center"/>
              <w:rPr>
                <w:sz w:val="17"/>
              </w:rPr>
            </w:pPr>
            <w:r>
              <w:rPr>
                <w:sz w:val="17"/>
              </w:rPr>
              <w:t>33.90</w:t>
            </w:r>
          </w:p>
        </w:tc>
        <w:tc>
          <w:tcPr>
            <w:tcW w:w="432" w:type="pct"/>
          </w:tcPr>
          <w:p w:rsidR="00312ECE" w:rsidRDefault="00312ECE">
            <w:pPr>
              <w:spacing w:line="360" w:lineRule="atLeast"/>
              <w:jc w:val="center"/>
              <w:rPr>
                <w:sz w:val="17"/>
              </w:rPr>
            </w:pPr>
            <w:r>
              <w:rPr>
                <w:sz w:val="17"/>
              </w:rPr>
              <w:t>39.20</w:t>
            </w:r>
          </w:p>
        </w:tc>
        <w:tc>
          <w:tcPr>
            <w:tcW w:w="432" w:type="pct"/>
          </w:tcPr>
          <w:p w:rsidR="00312ECE" w:rsidRDefault="00312ECE">
            <w:pPr>
              <w:spacing w:line="360" w:lineRule="atLeast"/>
              <w:jc w:val="center"/>
              <w:rPr>
                <w:sz w:val="17"/>
              </w:rPr>
            </w:pPr>
            <w:r>
              <w:rPr>
                <w:sz w:val="17"/>
              </w:rPr>
              <w:t>42.81</w:t>
            </w:r>
          </w:p>
        </w:tc>
        <w:tc>
          <w:tcPr>
            <w:tcW w:w="432" w:type="pct"/>
          </w:tcPr>
          <w:p w:rsidR="00312ECE" w:rsidRDefault="00312ECE">
            <w:pPr>
              <w:spacing w:line="360" w:lineRule="atLeast"/>
              <w:jc w:val="center"/>
              <w:rPr>
                <w:sz w:val="17"/>
              </w:rPr>
            </w:pPr>
            <w:r>
              <w:rPr>
                <w:sz w:val="17"/>
              </w:rPr>
              <w:t>50.86</w:t>
            </w:r>
          </w:p>
        </w:tc>
        <w:tc>
          <w:tcPr>
            <w:tcW w:w="432" w:type="pct"/>
          </w:tcPr>
          <w:p w:rsidR="00312ECE" w:rsidRDefault="00312ECE">
            <w:pPr>
              <w:spacing w:line="360" w:lineRule="atLeast"/>
              <w:jc w:val="center"/>
              <w:rPr>
                <w:sz w:val="17"/>
              </w:rPr>
            </w:pPr>
            <w:r>
              <w:rPr>
                <w:sz w:val="17"/>
              </w:rPr>
              <w:t>54.70</w:t>
            </w:r>
          </w:p>
        </w:tc>
        <w:tc>
          <w:tcPr>
            <w:tcW w:w="432" w:type="pct"/>
          </w:tcPr>
          <w:p w:rsidR="00312ECE" w:rsidRDefault="00312ECE">
            <w:pPr>
              <w:spacing w:line="360" w:lineRule="atLeast"/>
              <w:jc w:val="center"/>
              <w:rPr>
                <w:sz w:val="17"/>
              </w:rPr>
            </w:pPr>
            <w:r>
              <w:rPr>
                <w:sz w:val="17"/>
              </w:rPr>
              <w:t>53.98</w:t>
            </w:r>
          </w:p>
        </w:tc>
        <w:tc>
          <w:tcPr>
            <w:tcW w:w="433" w:type="pct"/>
          </w:tcPr>
          <w:p w:rsidR="00312ECE" w:rsidRDefault="00312ECE">
            <w:pPr>
              <w:spacing w:line="360" w:lineRule="atLeast"/>
              <w:jc w:val="center"/>
              <w:rPr>
                <w:sz w:val="17"/>
              </w:rPr>
            </w:pPr>
            <w:r>
              <w:rPr>
                <w:sz w:val="17"/>
              </w:rPr>
              <w:t>53.40</w:t>
            </w:r>
          </w:p>
        </w:tc>
      </w:tr>
      <w:tr w:rsidR="00312ECE">
        <w:tblPrEx>
          <w:tblCellMar>
            <w:top w:w="0" w:type="dxa"/>
            <w:bottom w:w="0" w:type="dxa"/>
          </w:tblCellMar>
        </w:tblPrEx>
        <w:trPr>
          <w:trHeight w:val="421"/>
        </w:trPr>
        <w:tc>
          <w:tcPr>
            <w:tcW w:w="679" w:type="pct"/>
          </w:tcPr>
          <w:p w:rsidR="00312ECE" w:rsidRDefault="00312ECE">
            <w:pPr>
              <w:spacing w:line="360" w:lineRule="atLeast"/>
              <w:rPr>
                <w:sz w:val="17"/>
              </w:rPr>
            </w:pPr>
            <w:r>
              <w:rPr>
                <w:rFonts w:hint="eastAsia"/>
                <w:sz w:val="17"/>
              </w:rPr>
              <w:t>男子</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sz w:val="17"/>
              </w:rPr>
            </w:pPr>
            <w:r>
              <w:rPr>
                <w:rFonts w:hint="eastAsia"/>
                <w:sz w:val="17"/>
              </w:rPr>
              <w:t>X</w:t>
            </w:r>
          </w:p>
        </w:tc>
        <w:tc>
          <w:tcPr>
            <w:tcW w:w="432" w:type="pct"/>
          </w:tcPr>
          <w:p w:rsidR="00312ECE" w:rsidRDefault="00312ECE">
            <w:pPr>
              <w:spacing w:line="360" w:lineRule="atLeast"/>
              <w:jc w:val="center"/>
              <w:rPr>
                <w:rFonts w:hint="eastAsia"/>
                <w:sz w:val="17"/>
              </w:rPr>
            </w:pPr>
            <w:r>
              <w:rPr>
                <w:rFonts w:hint="eastAsia"/>
                <w:sz w:val="17"/>
              </w:rPr>
              <w:t>X</w:t>
            </w:r>
          </w:p>
        </w:tc>
        <w:tc>
          <w:tcPr>
            <w:tcW w:w="432" w:type="pct"/>
          </w:tcPr>
          <w:p w:rsidR="00312ECE" w:rsidRDefault="00312ECE">
            <w:pPr>
              <w:spacing w:line="360" w:lineRule="atLeast"/>
              <w:jc w:val="center"/>
              <w:rPr>
                <w:sz w:val="17"/>
              </w:rPr>
            </w:pPr>
            <w:r>
              <w:rPr>
                <w:sz w:val="17"/>
              </w:rPr>
              <w:t>42.49</w:t>
            </w:r>
          </w:p>
        </w:tc>
        <w:tc>
          <w:tcPr>
            <w:tcW w:w="432" w:type="pct"/>
          </w:tcPr>
          <w:p w:rsidR="00312ECE" w:rsidRDefault="00312ECE">
            <w:pPr>
              <w:spacing w:line="360" w:lineRule="atLeast"/>
              <w:jc w:val="center"/>
              <w:rPr>
                <w:sz w:val="17"/>
              </w:rPr>
            </w:pPr>
            <w:r>
              <w:rPr>
                <w:sz w:val="17"/>
              </w:rPr>
              <w:t>50.28</w:t>
            </w:r>
          </w:p>
        </w:tc>
        <w:tc>
          <w:tcPr>
            <w:tcW w:w="432" w:type="pct"/>
          </w:tcPr>
          <w:p w:rsidR="00312ECE" w:rsidRDefault="00312ECE">
            <w:pPr>
              <w:spacing w:line="360" w:lineRule="atLeast"/>
              <w:jc w:val="center"/>
              <w:rPr>
                <w:sz w:val="17"/>
              </w:rPr>
            </w:pPr>
            <w:r>
              <w:rPr>
                <w:sz w:val="17"/>
              </w:rPr>
              <w:t>53.82</w:t>
            </w:r>
          </w:p>
        </w:tc>
        <w:tc>
          <w:tcPr>
            <w:tcW w:w="432" w:type="pct"/>
          </w:tcPr>
          <w:p w:rsidR="00312ECE" w:rsidRDefault="00312ECE">
            <w:pPr>
              <w:spacing w:line="360" w:lineRule="atLeast"/>
              <w:jc w:val="center"/>
              <w:rPr>
                <w:sz w:val="17"/>
              </w:rPr>
            </w:pPr>
            <w:r>
              <w:rPr>
                <w:sz w:val="17"/>
              </w:rPr>
              <w:t>52.84</w:t>
            </w:r>
          </w:p>
        </w:tc>
        <w:tc>
          <w:tcPr>
            <w:tcW w:w="433" w:type="pct"/>
          </w:tcPr>
          <w:p w:rsidR="00312ECE" w:rsidRDefault="00312ECE">
            <w:pPr>
              <w:spacing w:line="360" w:lineRule="atLeast"/>
              <w:jc w:val="center"/>
              <w:rPr>
                <w:sz w:val="17"/>
              </w:rPr>
            </w:pPr>
            <w:r>
              <w:rPr>
                <w:sz w:val="17"/>
              </w:rPr>
              <w:t>52.06</w:t>
            </w:r>
          </w:p>
        </w:tc>
      </w:tr>
      <w:tr w:rsidR="00312ECE">
        <w:tblPrEx>
          <w:tblCellMar>
            <w:top w:w="0" w:type="dxa"/>
            <w:bottom w:w="0" w:type="dxa"/>
          </w:tblCellMar>
        </w:tblPrEx>
        <w:trPr>
          <w:trHeight w:val="421"/>
        </w:trPr>
        <w:tc>
          <w:tcPr>
            <w:tcW w:w="679" w:type="pct"/>
            <w:tcBorders>
              <w:bottom w:val="single" w:sz="4" w:space="0" w:color="auto"/>
            </w:tcBorders>
          </w:tcPr>
          <w:p w:rsidR="00312ECE" w:rsidRDefault="00312ECE">
            <w:pPr>
              <w:spacing w:line="360" w:lineRule="atLeast"/>
              <w:rPr>
                <w:rFonts w:hint="eastAsia"/>
                <w:sz w:val="17"/>
              </w:rPr>
            </w:pPr>
            <w:r>
              <w:rPr>
                <w:rFonts w:hint="eastAsia"/>
                <w:sz w:val="17"/>
              </w:rPr>
              <w:t>妇女</w:t>
            </w:r>
          </w:p>
        </w:tc>
        <w:tc>
          <w:tcPr>
            <w:tcW w:w="432" w:type="pct"/>
            <w:tcBorders>
              <w:bottom w:val="single" w:sz="4" w:space="0" w:color="auto"/>
            </w:tcBorders>
          </w:tcPr>
          <w:p w:rsidR="00312ECE" w:rsidRDefault="00312ECE">
            <w:pPr>
              <w:spacing w:line="360" w:lineRule="atLeast"/>
              <w:jc w:val="center"/>
              <w:rPr>
                <w:rFonts w:hint="eastAsia"/>
                <w:sz w:val="17"/>
              </w:rPr>
            </w:pPr>
            <w:r>
              <w:rPr>
                <w:rFonts w:hint="eastAsia"/>
                <w:sz w:val="17"/>
              </w:rPr>
              <w:t>X</w:t>
            </w:r>
          </w:p>
        </w:tc>
        <w:tc>
          <w:tcPr>
            <w:tcW w:w="432" w:type="pct"/>
            <w:tcBorders>
              <w:bottom w:val="single" w:sz="4" w:space="0" w:color="auto"/>
            </w:tcBorders>
          </w:tcPr>
          <w:p w:rsidR="00312ECE" w:rsidRDefault="00312ECE">
            <w:pPr>
              <w:spacing w:line="360" w:lineRule="atLeast"/>
              <w:jc w:val="center"/>
              <w:rPr>
                <w:rFonts w:hint="eastAsia"/>
                <w:sz w:val="17"/>
              </w:rPr>
            </w:pPr>
            <w:r>
              <w:rPr>
                <w:rFonts w:hint="eastAsia"/>
                <w:sz w:val="17"/>
              </w:rPr>
              <w:t>X</w:t>
            </w:r>
          </w:p>
        </w:tc>
        <w:tc>
          <w:tcPr>
            <w:tcW w:w="432" w:type="pct"/>
            <w:tcBorders>
              <w:bottom w:val="single" w:sz="4" w:space="0" w:color="auto"/>
            </w:tcBorders>
          </w:tcPr>
          <w:p w:rsidR="00312ECE" w:rsidRDefault="00312ECE">
            <w:pPr>
              <w:spacing w:line="360" w:lineRule="atLeast"/>
              <w:jc w:val="center"/>
              <w:rPr>
                <w:rFonts w:hint="eastAsia"/>
                <w:sz w:val="17"/>
              </w:rPr>
            </w:pPr>
            <w:r>
              <w:rPr>
                <w:rFonts w:hint="eastAsia"/>
                <w:sz w:val="17"/>
              </w:rPr>
              <w:t>X</w:t>
            </w:r>
          </w:p>
        </w:tc>
        <w:tc>
          <w:tcPr>
            <w:tcW w:w="432" w:type="pct"/>
            <w:tcBorders>
              <w:bottom w:val="single" w:sz="4" w:space="0" w:color="auto"/>
            </w:tcBorders>
          </w:tcPr>
          <w:p w:rsidR="00312ECE" w:rsidRDefault="00312ECE">
            <w:pPr>
              <w:spacing w:line="360" w:lineRule="atLeast"/>
              <w:jc w:val="center"/>
              <w:rPr>
                <w:rFonts w:hint="eastAsia"/>
                <w:sz w:val="17"/>
              </w:rPr>
            </w:pPr>
            <w:r>
              <w:rPr>
                <w:rFonts w:hint="eastAsia"/>
                <w:sz w:val="17"/>
              </w:rPr>
              <w:t>X</w:t>
            </w:r>
          </w:p>
        </w:tc>
        <w:tc>
          <w:tcPr>
            <w:tcW w:w="432" w:type="pct"/>
            <w:tcBorders>
              <w:bottom w:val="single" w:sz="4" w:space="0" w:color="auto"/>
            </w:tcBorders>
          </w:tcPr>
          <w:p w:rsidR="00312ECE" w:rsidRDefault="00312ECE">
            <w:pPr>
              <w:spacing w:line="360" w:lineRule="atLeast"/>
              <w:jc w:val="center"/>
              <w:rPr>
                <w:rFonts w:hint="eastAsia"/>
                <w:sz w:val="17"/>
              </w:rPr>
            </w:pPr>
            <w:r>
              <w:rPr>
                <w:rFonts w:hint="eastAsia"/>
                <w:sz w:val="17"/>
              </w:rPr>
              <w:t>X</w:t>
            </w:r>
          </w:p>
        </w:tc>
        <w:tc>
          <w:tcPr>
            <w:tcW w:w="432" w:type="pct"/>
            <w:tcBorders>
              <w:bottom w:val="single" w:sz="4" w:space="0" w:color="auto"/>
            </w:tcBorders>
          </w:tcPr>
          <w:p w:rsidR="00312ECE" w:rsidRDefault="00312ECE">
            <w:pPr>
              <w:spacing w:line="360" w:lineRule="atLeast"/>
              <w:jc w:val="center"/>
              <w:rPr>
                <w:sz w:val="17"/>
              </w:rPr>
            </w:pPr>
            <w:r>
              <w:rPr>
                <w:sz w:val="17"/>
              </w:rPr>
              <w:t>43.14</w:t>
            </w:r>
          </w:p>
        </w:tc>
        <w:tc>
          <w:tcPr>
            <w:tcW w:w="432" w:type="pct"/>
            <w:tcBorders>
              <w:bottom w:val="single" w:sz="4" w:space="0" w:color="auto"/>
            </w:tcBorders>
          </w:tcPr>
          <w:p w:rsidR="00312ECE" w:rsidRDefault="00312ECE">
            <w:pPr>
              <w:spacing w:line="360" w:lineRule="atLeast"/>
              <w:jc w:val="center"/>
              <w:rPr>
                <w:sz w:val="17"/>
              </w:rPr>
            </w:pPr>
            <w:r>
              <w:rPr>
                <w:sz w:val="17"/>
              </w:rPr>
              <w:t>51.43</w:t>
            </w:r>
          </w:p>
        </w:tc>
        <w:tc>
          <w:tcPr>
            <w:tcW w:w="432" w:type="pct"/>
            <w:tcBorders>
              <w:bottom w:val="single" w:sz="4" w:space="0" w:color="auto"/>
            </w:tcBorders>
          </w:tcPr>
          <w:p w:rsidR="00312ECE" w:rsidRDefault="00312ECE">
            <w:pPr>
              <w:spacing w:line="360" w:lineRule="atLeast"/>
              <w:jc w:val="center"/>
              <w:rPr>
                <w:sz w:val="17"/>
              </w:rPr>
            </w:pPr>
            <w:r>
              <w:rPr>
                <w:sz w:val="17"/>
              </w:rPr>
              <w:t>55.56</w:t>
            </w:r>
          </w:p>
        </w:tc>
        <w:tc>
          <w:tcPr>
            <w:tcW w:w="432" w:type="pct"/>
            <w:tcBorders>
              <w:bottom w:val="single" w:sz="4" w:space="0" w:color="auto"/>
            </w:tcBorders>
          </w:tcPr>
          <w:p w:rsidR="00312ECE" w:rsidRDefault="00312ECE">
            <w:pPr>
              <w:spacing w:line="360" w:lineRule="atLeast"/>
              <w:jc w:val="center"/>
              <w:rPr>
                <w:sz w:val="17"/>
              </w:rPr>
            </w:pPr>
            <w:r>
              <w:rPr>
                <w:sz w:val="17"/>
              </w:rPr>
              <w:t>55.11</w:t>
            </w:r>
          </w:p>
        </w:tc>
        <w:tc>
          <w:tcPr>
            <w:tcW w:w="433" w:type="pct"/>
            <w:tcBorders>
              <w:bottom w:val="single" w:sz="4" w:space="0" w:color="auto"/>
            </w:tcBorders>
          </w:tcPr>
          <w:p w:rsidR="00312ECE" w:rsidRDefault="00312ECE">
            <w:pPr>
              <w:pStyle w:val="Header"/>
              <w:tabs>
                <w:tab w:val="clear" w:pos="4320"/>
                <w:tab w:val="clear" w:pos="8640"/>
              </w:tabs>
              <w:spacing w:line="360" w:lineRule="atLeast"/>
              <w:jc w:val="center"/>
              <w:rPr>
                <w:sz w:val="17"/>
              </w:rPr>
            </w:pPr>
            <w:r>
              <w:rPr>
                <w:sz w:val="17"/>
              </w:rPr>
              <w:t>54.70</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193.  根据“残疾人医疗和社会救济”法为残疾人提供社会救济所确定的原则，所有残疾人均享有医疗和社会救济的同等权利。上述法律也给出了残疾人的定义-在拉脱维亚，残疾人指因疾病、受伤或先天生理缺陷导致身体各器官功能紊乱，而且这种残疾已经根据法定程序作过鉴定，因此需要给予更多医疗和社会援助的个人。</w:t>
      </w:r>
    </w:p>
    <w:p w:rsidR="00312ECE" w:rsidRDefault="00312ECE">
      <w:pPr>
        <w:pStyle w:val="SingleTxt"/>
        <w:rPr>
          <w:rFonts w:hint="eastAsia"/>
        </w:rPr>
      </w:pPr>
      <w:r>
        <w:rPr>
          <w:rFonts w:hint="eastAsia"/>
        </w:rPr>
        <w:t>194.  对残疾情况的专门检查由负责健康和工作能力问题的普通和特殊医疗专家委员会进行，在这方面，该委员会要贯彻部长内阁 “关于国家健康和工作能力医疗专家委员会对残疾情况进行专门检查的程序” （1996年7月16日）的第263号法规。对16岁到法定退休年龄的拉脱维亚共和国公民以及领到永久居留证的外国人和无国籍人士，医疗委员会将在其居住地根据疾病类型对其进行身体检查。治疗儿童的医生将对不满16岁的儿童进行残疾鉴定。医疗委员会还对超过退休年龄，而且其智力和体能的下降与年老引起的机体变化无关的人进行检查。</w:t>
      </w:r>
    </w:p>
    <w:p w:rsidR="00312ECE" w:rsidRDefault="00312ECE">
      <w:pPr>
        <w:pStyle w:val="SingleTxt"/>
        <w:rPr>
          <w:rFonts w:hint="eastAsia"/>
        </w:rPr>
      </w:pPr>
      <w:r>
        <w:rPr>
          <w:rFonts w:hint="eastAsia"/>
        </w:rPr>
        <w:t>195.  在拉脱维亚，所有残疾人都有机会接受社会援助和医疗援助，而且在就业和进一步融入社会方面也会获得援助。提供这些援助的目的是防止致残和残疾加重，或是为了减轻残疾的后果。公共和市医疗机构以及初级保健护理医师负责提供医疗援助。解决残疾人就业问题的费用由国家专项社会保险预算支付。</w:t>
      </w:r>
    </w:p>
    <w:p w:rsidR="00312ECE" w:rsidRDefault="00312ECE">
      <w:pPr>
        <w:pStyle w:val="SingleTxt"/>
      </w:pPr>
      <w:r>
        <w:rPr>
          <w:rFonts w:hint="eastAsia"/>
        </w:rPr>
        <w:t>196.  福利部社会保险部门制定社会保险领域里的国家政策，并且负责执行这项政策。该部门还负责制定并执行为老少家庭提供国家社会津贴的国家政策，解决社会保险问题，并保证根据欧洲联盟规范法的规定制定社会保障立法。社会救济部门拟订统一的国家社会救济政策，负责这项政策的执行，并监督这项政策在拉脱维亚的执行。社会救济基金承担如下主要任务：保证国家参与各市提供的社会救济；管理并监督社会救济预算资金的开支；确保收集、编纂和分析执行、监督及评估社会救济政策所需要的数据；创建并有计划、有系统地更新社会救济提供者和领受者的数据库。</w:t>
      </w:r>
    </w:p>
    <w:p w:rsidR="00312ECE" w:rsidRDefault="00312ECE">
      <w:pPr>
        <w:pStyle w:val="SingleTxt"/>
        <w:rPr>
          <w:rFonts w:hint="eastAsia"/>
        </w:rPr>
      </w:pPr>
      <w:r>
        <w:rPr>
          <w:rFonts w:hint="eastAsia"/>
        </w:rPr>
        <w:t>197.  从1997年1月1日起，社会救济津贴和养恤金通过国家社会保险基金发放。国家社会保险基金自1998年1月1日起改制为公营联合股份公司“国家社会保险机构”。这可保证更好地控制资源的支用，而不会再像从前那样，有关津贴从工作所在地的社会税中拨付。国家社会保险机构的主要任务是管理社会保险专项预算及国家社会服务。</w:t>
      </w:r>
    </w:p>
    <w:p w:rsidR="00312ECE" w:rsidRDefault="00312ECE">
      <w:pPr>
        <w:pStyle w:val="SingleTxt"/>
        <w:rPr>
          <w:rFonts w:ascii="KaiTi_GB2312" w:eastAsia="KaiTi_GB2312" w:hint="eastAsia"/>
          <w:color w:val="0000FF"/>
        </w:rPr>
      </w:pPr>
      <w:r>
        <w:rPr>
          <w:rFonts w:ascii="KaiTi_GB2312" w:eastAsia="KaiTi_GB2312" w:hint="eastAsia"/>
          <w:color w:val="0000FF"/>
        </w:rPr>
        <w:t>禁止以结婚或生育为由的歧视</w:t>
      </w:r>
    </w:p>
    <w:p w:rsidR="00312ECE" w:rsidRDefault="00312ECE">
      <w:pPr>
        <w:pStyle w:val="SingleTxt"/>
        <w:rPr>
          <w:rFonts w:hint="eastAsia"/>
        </w:rPr>
      </w:pPr>
      <w:r>
        <w:rPr>
          <w:rFonts w:hint="eastAsia"/>
        </w:rPr>
        <w:t>198.  为了防止以结婚或生育为由对妇女实行歧视，《劳工法》作出规定，禁止在招工面试期间询问有关怀孕的问题，但在怀孕期间不能从事特定工作或职业的情况除外，并且禁止询问有关婚姻或家庭状况的问题。</w:t>
      </w:r>
    </w:p>
    <w:p w:rsidR="00312ECE" w:rsidRDefault="00312ECE">
      <w:pPr>
        <w:pStyle w:val="SingleTxt"/>
        <w:rPr>
          <w:rFonts w:hint="eastAsia"/>
        </w:rPr>
      </w:pPr>
      <w:r>
        <w:rPr>
          <w:rFonts w:hint="eastAsia"/>
        </w:rPr>
        <w:t>199.  《劳工法典》还禁止雇主自行解雇怀孕的妇女以及子女不满3岁的妇女，并禁止以怀孕或育儿为由扣减她们的薪酬。许可解雇的必要情况是，企业、机构或组织已经停业（这项规定也适用于抚养不满14岁且没有母亲的未成年人的父亲及监护人）。另外还规定，如果要裁员，在留人方面应当优先考虑子女不满14岁（残疾子女不满16岁）的妇女，或者有两个及两个以上家属的雇员，条件是她们的生产能力及资格相同。</w:t>
      </w:r>
    </w:p>
    <w:p w:rsidR="00312ECE" w:rsidRDefault="00312ECE">
      <w:pPr>
        <w:pStyle w:val="SingleTxt"/>
        <w:rPr>
          <w:rFonts w:hint="eastAsia"/>
        </w:rPr>
      </w:pPr>
      <w:r>
        <w:rPr>
          <w:rFonts w:hint="eastAsia"/>
        </w:rPr>
        <w:t>200.  《劳工法典》禁止中止与孕妇及产后一年期限内的妇女以及哺乳期妇女（在整个哺乳期）的就业合同，但如下情况除外：雇员无任何正当理由违反就业合同或者法定工作程序；在工作期间从事非法行为并因此失去雇主的信任；在工作期间的行为有悖良好道德标准，而且这类行为与就业关系的存续不一致；在工作期间因酗酒、吸毒处于一种迷幻状态，从而将他人的安全及健康置于危险当中；以及如果雇主破产。</w:t>
      </w:r>
    </w:p>
    <w:p w:rsidR="00312ECE" w:rsidRDefault="00312ECE">
      <w:pPr>
        <w:pStyle w:val="SingleTxt"/>
        <w:rPr>
          <w:rFonts w:hint="eastAsia"/>
        </w:rPr>
      </w:pPr>
      <w:r>
        <w:rPr>
          <w:rFonts w:hint="eastAsia"/>
        </w:rPr>
        <w:t>201.  《劳工法》还规定，在为裁员解雇雇员时，抚养不满14岁的子女或者不满16岁的残疾子女的雇员，可优先保留原职，条件是她们的生产能力及资格相同。</w:t>
      </w:r>
    </w:p>
    <w:p w:rsidR="00312ECE" w:rsidRDefault="00312ECE">
      <w:pPr>
        <w:pStyle w:val="SingleTxt"/>
        <w:rPr>
          <w:rFonts w:hint="eastAsia"/>
        </w:rPr>
      </w:pPr>
      <w:r>
        <w:rPr>
          <w:rFonts w:hint="eastAsia"/>
        </w:rPr>
        <w:t>202.  如果雇主中止就业合同的后果是侵害了雇员的权利，雇员无论性别如何，均有权在接到解雇书后一个月内要求法院确认雇主中止就业合同无效。根据《劳工法》的规定，雇主有义务证明就业合同的中止有合法理由，并且符合中止就业合同的法定程序。在其他情况下，当雇员要求恢复工作时，雇主的职责是证明在解雇雇员后，他/她没有侵害雇员继续保持就业关系的权利。</w:t>
      </w:r>
    </w:p>
    <w:p w:rsidR="00312ECE" w:rsidRDefault="00312ECE">
      <w:pPr>
        <w:pStyle w:val="SingleTxt"/>
        <w:rPr>
          <w:rFonts w:hint="eastAsia"/>
        </w:rPr>
      </w:pPr>
      <w:r>
        <w:rPr>
          <w:rFonts w:hint="eastAsia"/>
        </w:rPr>
        <w:t>203.  《行政违规法典》规定，雇主或官员若违反劳动关系法或劳动保护法或管理这些问题的其他规范法，将处以200拉特的罚款，而违反就业法或管理这些问题的其他规范法将处以150拉特的罚款。上述规定自1995年7月19日起生效。</w:t>
      </w:r>
    </w:p>
    <w:p w:rsidR="00312ECE" w:rsidRDefault="00312ECE">
      <w:pPr>
        <w:pStyle w:val="SingleTxt"/>
        <w:rPr>
          <w:rFonts w:hint="eastAsia"/>
        </w:rPr>
      </w:pPr>
      <w:r>
        <w:rPr>
          <w:rFonts w:hint="eastAsia"/>
        </w:rPr>
        <w:t>204.  在拉脱维亚，产假、生育假及津贴在有关期限内给予。《劳工法典》规定，56个日历日的产假加上56个日历日生育假总共112个日历日，无论在生育前休了多少天产假。怀孕后第12周开始在医疗机构接受医疗护理并在整个怀孕期间持续接受医疗护理的妇女准予补休14个日历日的产假，加到产假内后共计为70个日历日。怀孕、分娩及产后期间发生并发症以及生育了两个以上子女的妇女可多休14个日历日的生育假，加到产假后共计70个日历日。可按妇女的要求准许她休照料子女假，直至子女满3岁为止，并且应在这一期间支付国家社会保险津贴。照料子女到3岁的时间应计入整个不间断在职期限内。</w:t>
      </w:r>
    </w:p>
    <w:p w:rsidR="00312ECE" w:rsidRDefault="00312ECE">
      <w:pPr>
        <w:pStyle w:val="SingleTxt"/>
        <w:rPr>
          <w:rFonts w:hint="eastAsia"/>
        </w:rPr>
      </w:pPr>
      <w:r>
        <w:rPr>
          <w:rFonts w:hint="eastAsia"/>
        </w:rPr>
        <w:t>205.  上述法律还规定，在产假和生育假之前，或者在紧接所述假期之后，可按妇女的要求准许她休年假，无论她为有关雇主工作的在职期限有多长。</w:t>
      </w:r>
    </w:p>
    <w:p w:rsidR="00312ECE" w:rsidRDefault="00312ECE">
      <w:pPr>
        <w:pStyle w:val="SingleTxt"/>
        <w:rPr>
          <w:rFonts w:hint="eastAsia"/>
        </w:rPr>
      </w:pPr>
      <w:r>
        <w:rPr>
          <w:rFonts w:hint="eastAsia"/>
        </w:rPr>
        <w:t>206.  《劳工法》关于产假、生育假及其计算程序以及额外产假和生育假的规定与《劳工法典》的规定相符，由于这些规定的长期实行和公众心对这些规定的明确认识，《劳工法典》可以消除产假和及生育假的计算错误，并且便于妇女预测这些假期的天数。</w:t>
      </w:r>
    </w:p>
    <w:p w:rsidR="00312ECE" w:rsidRDefault="00312ECE">
      <w:pPr>
        <w:pStyle w:val="SingleTxt"/>
        <w:rPr>
          <w:rFonts w:hint="eastAsia"/>
        </w:rPr>
      </w:pPr>
      <w:r>
        <w:rPr>
          <w:rFonts w:hint="eastAsia"/>
        </w:rPr>
        <w:t>207.  根据《劳工法》，因怀孕和分娩准予的假期不计入带薪年假。</w:t>
      </w:r>
    </w:p>
    <w:p w:rsidR="00312ECE" w:rsidRDefault="00312ECE">
      <w:pPr>
        <w:pStyle w:val="SingleTxt"/>
        <w:rPr>
          <w:rFonts w:hint="eastAsia"/>
        </w:rPr>
      </w:pPr>
      <w:r>
        <w:rPr>
          <w:rFonts w:hint="eastAsia"/>
        </w:rPr>
        <w:t>208.  《劳工法》规定，每个雇员无论性别如何都有权因生育或领养子女休育儿假。这种假期可在孩子年满8岁之日前给予，期限不超过一年半。雇员要求休的育儿假既可准许全部休完，也可准许分期休完。雇员的责任是提前一个月以书面形式通知雇主育儿假或部分育儿假的起始时间及期限。雇员休育儿假所花费的时间计入整个在职期限。应为休育儿假的雇员保留原来的职位。如果不可能保留，雇主应提供同等或类似职位。</w:t>
      </w:r>
    </w:p>
    <w:p w:rsidR="00312ECE" w:rsidRDefault="00312ECE">
      <w:pPr>
        <w:pStyle w:val="SingleTxt"/>
        <w:rPr>
          <w:rFonts w:hint="eastAsia"/>
        </w:rPr>
      </w:pPr>
      <w:r>
        <w:rPr>
          <w:rFonts w:hint="eastAsia"/>
        </w:rPr>
        <w:t>209.  在改革社会保障制度前，产假和生育假期间的社会津贴根据前苏联部长会议及全苏中央工会委员会“关于国家社会保险津贴准备金”条例（1984年2月23日），以及全苏中央工会委员会“关于提供国家社会保险津贴程序”条例（1984年12月12日）发放，这两个条例在1997年1月1日前对核算和发放生育津贴的程序具有约束力。</w:t>
      </w:r>
    </w:p>
    <w:p w:rsidR="00312ECE" w:rsidRDefault="00312ECE">
      <w:pPr>
        <w:pStyle w:val="SingleTxt"/>
        <w:rPr>
          <w:rFonts w:hint="eastAsia"/>
        </w:rPr>
      </w:pPr>
      <w:r>
        <w:rPr>
          <w:rFonts w:hint="eastAsia"/>
        </w:rPr>
        <w:t>210.  “生育和疾病保险”法</w:t>
      </w:r>
      <w:r>
        <w:t xml:space="preserve"> </w:t>
      </w:r>
      <w:r>
        <w:rPr>
          <w:rStyle w:val="FootnoteReference"/>
        </w:rPr>
        <w:footnoteReference w:id="6"/>
      </w:r>
      <w:r>
        <w:t xml:space="preserve"> </w:t>
      </w:r>
      <w:r>
        <w:rPr>
          <w:rFonts w:hint="eastAsia"/>
        </w:rPr>
        <w:t>规定了在整个产假和育儿假期间发放及支付生育津贴的程序，该程序所针对的是因没有上班而丧失了带薪工作收入的妇女，或者丧失了收入的自营职业妇女。本法的目的是保证妇女在生病、产前和前后短时间内丧失工作能力时给予她们收入上的补偿。</w:t>
      </w:r>
    </w:p>
    <w:p w:rsidR="00312ECE" w:rsidRDefault="00312ECE">
      <w:pPr>
        <w:pStyle w:val="SingleTxt"/>
        <w:rPr>
          <w:rFonts w:hint="eastAsia"/>
        </w:rPr>
      </w:pPr>
      <w:r>
        <w:rPr>
          <w:rFonts w:hint="eastAsia"/>
        </w:rPr>
        <w:t>211.  根据“生育和疾病保险”法，生育津贴的数额是津贴领受人从工资中缴纳的平均保险费的100%。根据国际劳工组织2000年第102号公约第67条，生育津贴的数额超过《公约》规定的最低标准两倍以上。</w:t>
      </w:r>
    </w:p>
    <w:p w:rsidR="00312ECE" w:rsidRDefault="00312ECE">
      <w:pPr>
        <w:pStyle w:val="SingleTxt"/>
      </w:pPr>
      <w:r>
        <w:rPr>
          <w:rFonts w:ascii="SimHei" w:eastAsia="SimHei" w:hint="eastAsia"/>
          <w:color w:val="FF0000"/>
        </w:rPr>
        <w:t>生育保险的量化指标</w:t>
      </w:r>
      <w:r>
        <w:rPr>
          <w:rStyle w:val="FootnoteReference"/>
          <w:rFonts w:ascii="SimHei" w:eastAsia="SimHei"/>
        </w:rPr>
        <w:footnoteReference w:id="7"/>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7"/>
        <w:gridCol w:w="797"/>
        <w:gridCol w:w="796"/>
        <w:gridCol w:w="796"/>
        <w:gridCol w:w="796"/>
        <w:gridCol w:w="796"/>
        <w:gridCol w:w="638"/>
        <w:gridCol w:w="755"/>
      </w:tblGrid>
      <w:tr w:rsidR="00312ECE">
        <w:tblPrEx>
          <w:tblCellMar>
            <w:top w:w="0" w:type="dxa"/>
            <w:bottom w:w="0" w:type="dxa"/>
          </w:tblCellMar>
        </w:tblPrEx>
        <w:tc>
          <w:tcPr>
            <w:tcW w:w="1354" w:type="pct"/>
          </w:tcPr>
          <w:p w:rsidR="00312ECE" w:rsidRDefault="00312ECE">
            <w:pPr>
              <w:spacing w:line="360" w:lineRule="atLeast"/>
              <w:rPr>
                <w:rFonts w:ascii="KaiTi_GB2312" w:eastAsia="KaiTi_GB2312" w:hint="eastAsia"/>
                <w:color w:val="0000FF"/>
                <w:sz w:val="18"/>
              </w:rPr>
            </w:pPr>
          </w:p>
        </w:tc>
        <w:tc>
          <w:tcPr>
            <w:tcW w:w="540" w:type="pct"/>
          </w:tcPr>
          <w:p w:rsidR="00312ECE" w:rsidRDefault="00312ECE">
            <w:pPr>
              <w:spacing w:line="360" w:lineRule="atLeast"/>
              <w:jc w:val="center"/>
              <w:rPr>
                <w:rFonts w:ascii="KaiTi_GB2312" w:eastAsia="KaiTi_GB2312"/>
                <w:color w:val="0000FF"/>
                <w:sz w:val="18"/>
              </w:rPr>
            </w:pPr>
            <w:r>
              <w:rPr>
                <w:rFonts w:ascii="KaiTi_GB2312" w:eastAsia="KaiTi_GB2312"/>
                <w:color w:val="0000FF"/>
                <w:sz w:val="18"/>
              </w:rPr>
              <w:t>1995</w:t>
            </w:r>
          </w:p>
        </w:tc>
        <w:tc>
          <w:tcPr>
            <w:tcW w:w="540" w:type="pct"/>
          </w:tcPr>
          <w:p w:rsidR="00312ECE" w:rsidRDefault="00312ECE">
            <w:pPr>
              <w:spacing w:line="360" w:lineRule="atLeast"/>
              <w:jc w:val="center"/>
              <w:rPr>
                <w:rFonts w:ascii="KaiTi_GB2312" w:eastAsia="KaiTi_GB2312"/>
                <w:color w:val="0000FF"/>
                <w:sz w:val="18"/>
              </w:rPr>
            </w:pPr>
            <w:r>
              <w:rPr>
                <w:rFonts w:ascii="KaiTi_GB2312" w:eastAsia="KaiTi_GB2312"/>
                <w:color w:val="0000FF"/>
                <w:sz w:val="18"/>
              </w:rPr>
              <w:t>1996</w:t>
            </w:r>
          </w:p>
        </w:tc>
        <w:tc>
          <w:tcPr>
            <w:tcW w:w="540" w:type="pct"/>
          </w:tcPr>
          <w:p w:rsidR="00312ECE" w:rsidRDefault="00312ECE">
            <w:pPr>
              <w:spacing w:line="360" w:lineRule="atLeast"/>
              <w:jc w:val="center"/>
              <w:rPr>
                <w:rFonts w:ascii="KaiTi_GB2312" w:eastAsia="KaiTi_GB2312"/>
                <w:color w:val="0000FF"/>
                <w:sz w:val="18"/>
              </w:rPr>
            </w:pPr>
            <w:r>
              <w:rPr>
                <w:rFonts w:ascii="KaiTi_GB2312" w:eastAsia="KaiTi_GB2312"/>
                <w:color w:val="0000FF"/>
                <w:sz w:val="18"/>
              </w:rPr>
              <w:t>1997</w:t>
            </w:r>
          </w:p>
        </w:tc>
        <w:tc>
          <w:tcPr>
            <w:tcW w:w="540" w:type="pct"/>
          </w:tcPr>
          <w:p w:rsidR="00312ECE" w:rsidRDefault="00312ECE">
            <w:pPr>
              <w:spacing w:line="360" w:lineRule="atLeast"/>
              <w:jc w:val="center"/>
              <w:rPr>
                <w:rFonts w:ascii="KaiTi_GB2312" w:eastAsia="KaiTi_GB2312"/>
                <w:color w:val="0000FF"/>
                <w:sz w:val="18"/>
              </w:rPr>
            </w:pPr>
            <w:r>
              <w:rPr>
                <w:rFonts w:ascii="KaiTi_GB2312" w:eastAsia="KaiTi_GB2312"/>
                <w:color w:val="0000FF"/>
                <w:sz w:val="18"/>
              </w:rPr>
              <w:t>1998</w:t>
            </w:r>
          </w:p>
        </w:tc>
        <w:tc>
          <w:tcPr>
            <w:tcW w:w="540" w:type="pct"/>
          </w:tcPr>
          <w:p w:rsidR="00312ECE" w:rsidRDefault="00312ECE">
            <w:pPr>
              <w:spacing w:line="360" w:lineRule="atLeast"/>
              <w:jc w:val="center"/>
              <w:rPr>
                <w:rFonts w:ascii="KaiTi_GB2312" w:eastAsia="KaiTi_GB2312"/>
                <w:color w:val="0000FF"/>
                <w:sz w:val="18"/>
              </w:rPr>
            </w:pPr>
            <w:r>
              <w:rPr>
                <w:rFonts w:ascii="KaiTi_GB2312" w:eastAsia="KaiTi_GB2312"/>
                <w:color w:val="0000FF"/>
                <w:sz w:val="18"/>
              </w:rPr>
              <w:t>1999</w:t>
            </w:r>
          </w:p>
        </w:tc>
        <w:tc>
          <w:tcPr>
            <w:tcW w:w="433" w:type="pct"/>
          </w:tcPr>
          <w:p w:rsidR="00312ECE" w:rsidRDefault="00312ECE">
            <w:pPr>
              <w:spacing w:line="360" w:lineRule="atLeast"/>
              <w:jc w:val="center"/>
              <w:rPr>
                <w:rFonts w:ascii="KaiTi_GB2312" w:eastAsia="KaiTi_GB2312"/>
                <w:color w:val="0000FF"/>
                <w:sz w:val="18"/>
              </w:rPr>
            </w:pPr>
            <w:r>
              <w:rPr>
                <w:rFonts w:ascii="KaiTi_GB2312" w:eastAsia="KaiTi_GB2312"/>
                <w:color w:val="0000FF"/>
                <w:sz w:val="18"/>
              </w:rPr>
              <w:t>2000</w:t>
            </w:r>
          </w:p>
        </w:tc>
        <w:tc>
          <w:tcPr>
            <w:tcW w:w="512" w:type="pct"/>
          </w:tcPr>
          <w:p w:rsidR="00312ECE" w:rsidRDefault="00312ECE">
            <w:pPr>
              <w:spacing w:line="360" w:lineRule="atLeast"/>
              <w:jc w:val="center"/>
              <w:rPr>
                <w:rFonts w:ascii="KaiTi_GB2312" w:eastAsia="KaiTi_GB2312"/>
                <w:color w:val="0000FF"/>
                <w:sz w:val="18"/>
              </w:rPr>
            </w:pPr>
            <w:r>
              <w:rPr>
                <w:rFonts w:ascii="KaiTi_GB2312" w:eastAsia="KaiTi_GB2312"/>
                <w:color w:val="0000FF"/>
                <w:sz w:val="18"/>
              </w:rPr>
              <w:t>2001</w:t>
            </w:r>
          </w:p>
        </w:tc>
      </w:tr>
      <w:tr w:rsidR="00312ECE">
        <w:tblPrEx>
          <w:tblCellMar>
            <w:top w:w="0" w:type="dxa"/>
            <w:bottom w:w="0" w:type="dxa"/>
          </w:tblCellMar>
        </w:tblPrEx>
        <w:tc>
          <w:tcPr>
            <w:tcW w:w="1354" w:type="pct"/>
          </w:tcPr>
          <w:p w:rsidR="00312ECE" w:rsidRDefault="00312ECE">
            <w:pPr>
              <w:spacing w:before="60" w:after="60" w:line="280" w:lineRule="exact"/>
              <w:rPr>
                <w:rFonts w:hint="eastAsia"/>
                <w:sz w:val="18"/>
              </w:rPr>
            </w:pPr>
            <w:r>
              <w:rPr>
                <w:rFonts w:hint="eastAsia"/>
                <w:sz w:val="18"/>
              </w:rPr>
              <w:t>支出（百万拉脱维亚拉特，按实际价格）：</w:t>
            </w: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433" w:type="pct"/>
          </w:tcPr>
          <w:p w:rsidR="00312ECE" w:rsidRDefault="00312ECE">
            <w:pPr>
              <w:spacing w:before="60" w:after="60" w:line="280" w:lineRule="exact"/>
              <w:jc w:val="center"/>
              <w:rPr>
                <w:rFonts w:hint="eastAsia"/>
                <w:sz w:val="18"/>
              </w:rPr>
            </w:pPr>
          </w:p>
        </w:tc>
        <w:tc>
          <w:tcPr>
            <w:tcW w:w="512" w:type="pct"/>
          </w:tcPr>
          <w:p w:rsidR="00312ECE" w:rsidRDefault="00312ECE">
            <w:pPr>
              <w:spacing w:before="60" w:after="60" w:line="280" w:lineRule="exact"/>
              <w:jc w:val="center"/>
              <w:rPr>
                <w:rFonts w:hint="eastAsia"/>
                <w:sz w:val="18"/>
              </w:rPr>
            </w:pPr>
          </w:p>
        </w:tc>
      </w:tr>
      <w:tr w:rsidR="00312ECE">
        <w:tblPrEx>
          <w:tblCellMar>
            <w:top w:w="0" w:type="dxa"/>
            <w:bottom w:w="0" w:type="dxa"/>
          </w:tblCellMar>
        </w:tblPrEx>
        <w:tc>
          <w:tcPr>
            <w:tcW w:w="1354" w:type="pct"/>
          </w:tcPr>
          <w:p w:rsidR="00312ECE" w:rsidRDefault="00312ECE">
            <w:pPr>
              <w:spacing w:before="60" w:after="60" w:line="280" w:lineRule="exact"/>
              <w:rPr>
                <w:rFonts w:hint="eastAsia"/>
                <w:sz w:val="18"/>
              </w:rPr>
            </w:pPr>
            <w:r>
              <w:rPr>
                <w:rFonts w:hint="eastAsia"/>
                <w:sz w:val="18"/>
              </w:rPr>
              <w:t>生育津贴</w:t>
            </w:r>
          </w:p>
        </w:tc>
        <w:tc>
          <w:tcPr>
            <w:tcW w:w="540" w:type="pct"/>
          </w:tcPr>
          <w:p w:rsidR="00312ECE" w:rsidRDefault="00312ECE">
            <w:pPr>
              <w:spacing w:before="60" w:after="60" w:line="280" w:lineRule="exact"/>
              <w:jc w:val="center"/>
              <w:rPr>
                <w:sz w:val="18"/>
              </w:rPr>
            </w:pPr>
            <w:r>
              <w:rPr>
                <w:sz w:val="18"/>
              </w:rPr>
              <w:t>2.5</w:t>
            </w:r>
          </w:p>
        </w:tc>
        <w:tc>
          <w:tcPr>
            <w:tcW w:w="540" w:type="pct"/>
          </w:tcPr>
          <w:p w:rsidR="00312ECE" w:rsidRDefault="00312ECE">
            <w:pPr>
              <w:spacing w:before="60" w:after="60" w:line="280" w:lineRule="exact"/>
              <w:jc w:val="center"/>
              <w:rPr>
                <w:sz w:val="18"/>
              </w:rPr>
            </w:pPr>
            <w:r>
              <w:rPr>
                <w:sz w:val="18"/>
              </w:rPr>
              <w:t>2.6</w:t>
            </w:r>
          </w:p>
        </w:tc>
        <w:tc>
          <w:tcPr>
            <w:tcW w:w="540" w:type="pct"/>
          </w:tcPr>
          <w:p w:rsidR="00312ECE" w:rsidRDefault="00312ECE">
            <w:pPr>
              <w:spacing w:before="60" w:after="60" w:line="280" w:lineRule="exact"/>
              <w:jc w:val="center"/>
              <w:rPr>
                <w:sz w:val="18"/>
              </w:rPr>
            </w:pPr>
            <w:r>
              <w:rPr>
                <w:sz w:val="18"/>
              </w:rPr>
              <w:t>2.7</w:t>
            </w:r>
          </w:p>
        </w:tc>
        <w:tc>
          <w:tcPr>
            <w:tcW w:w="540" w:type="pct"/>
          </w:tcPr>
          <w:p w:rsidR="00312ECE" w:rsidRDefault="00312ECE">
            <w:pPr>
              <w:spacing w:before="60" w:after="60" w:line="280" w:lineRule="exact"/>
              <w:jc w:val="center"/>
              <w:rPr>
                <w:sz w:val="18"/>
              </w:rPr>
            </w:pPr>
            <w:r>
              <w:rPr>
                <w:sz w:val="18"/>
              </w:rPr>
              <w:t>3.9</w:t>
            </w:r>
          </w:p>
        </w:tc>
        <w:tc>
          <w:tcPr>
            <w:tcW w:w="540" w:type="pct"/>
          </w:tcPr>
          <w:p w:rsidR="00312ECE" w:rsidRDefault="00312ECE">
            <w:pPr>
              <w:spacing w:before="60" w:after="60" w:line="280" w:lineRule="exact"/>
              <w:jc w:val="center"/>
              <w:rPr>
                <w:sz w:val="18"/>
              </w:rPr>
            </w:pPr>
            <w:r>
              <w:rPr>
                <w:sz w:val="18"/>
              </w:rPr>
              <w:t>4.8</w:t>
            </w:r>
          </w:p>
        </w:tc>
        <w:tc>
          <w:tcPr>
            <w:tcW w:w="433" w:type="pct"/>
          </w:tcPr>
          <w:p w:rsidR="00312ECE" w:rsidRDefault="00312ECE">
            <w:pPr>
              <w:spacing w:before="60" w:after="60" w:line="280" w:lineRule="exact"/>
              <w:jc w:val="center"/>
              <w:rPr>
                <w:sz w:val="18"/>
              </w:rPr>
            </w:pPr>
            <w:r>
              <w:rPr>
                <w:sz w:val="18"/>
              </w:rPr>
              <w:t>4.9</w:t>
            </w:r>
          </w:p>
        </w:tc>
        <w:tc>
          <w:tcPr>
            <w:tcW w:w="512" w:type="pct"/>
          </w:tcPr>
          <w:p w:rsidR="00312ECE" w:rsidRDefault="00312ECE">
            <w:pPr>
              <w:spacing w:before="60" w:after="60" w:line="280" w:lineRule="exact"/>
              <w:jc w:val="center"/>
              <w:rPr>
                <w:sz w:val="18"/>
              </w:rPr>
            </w:pPr>
            <w:r>
              <w:rPr>
                <w:sz w:val="18"/>
              </w:rPr>
              <w:t>5.7</w:t>
            </w:r>
          </w:p>
        </w:tc>
      </w:tr>
      <w:tr w:rsidR="00312ECE">
        <w:tblPrEx>
          <w:tblCellMar>
            <w:top w:w="0" w:type="dxa"/>
            <w:bottom w:w="0" w:type="dxa"/>
          </w:tblCellMar>
        </w:tblPrEx>
        <w:tc>
          <w:tcPr>
            <w:tcW w:w="1354" w:type="pct"/>
          </w:tcPr>
          <w:p w:rsidR="00312ECE" w:rsidRDefault="00312ECE">
            <w:pPr>
              <w:pStyle w:val="Header"/>
              <w:tabs>
                <w:tab w:val="clear" w:pos="4320"/>
                <w:tab w:val="clear" w:pos="8640"/>
              </w:tabs>
              <w:spacing w:before="60" w:after="60" w:line="280" w:lineRule="exact"/>
              <w:rPr>
                <w:rFonts w:ascii="SimSun" w:hint="eastAsia"/>
                <w:noProof w:val="0"/>
                <w:kern w:val="14"/>
              </w:rPr>
            </w:pPr>
            <w:r>
              <w:rPr>
                <w:rFonts w:ascii="SimSun" w:hint="eastAsia"/>
                <w:noProof w:val="0"/>
                <w:kern w:val="14"/>
              </w:rPr>
              <w:t>数额的量化指标（月平均额，以千计）：</w:t>
            </w: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433" w:type="pct"/>
          </w:tcPr>
          <w:p w:rsidR="00312ECE" w:rsidRDefault="00312ECE">
            <w:pPr>
              <w:spacing w:before="60" w:after="60" w:line="280" w:lineRule="exact"/>
              <w:jc w:val="center"/>
              <w:rPr>
                <w:rFonts w:hint="eastAsia"/>
                <w:sz w:val="18"/>
              </w:rPr>
            </w:pPr>
          </w:p>
        </w:tc>
        <w:tc>
          <w:tcPr>
            <w:tcW w:w="512" w:type="pct"/>
          </w:tcPr>
          <w:p w:rsidR="00312ECE" w:rsidRDefault="00312ECE">
            <w:pPr>
              <w:spacing w:before="60" w:after="60" w:line="280" w:lineRule="exact"/>
              <w:jc w:val="center"/>
              <w:rPr>
                <w:rFonts w:hint="eastAsia"/>
                <w:sz w:val="18"/>
              </w:rPr>
            </w:pPr>
          </w:p>
        </w:tc>
      </w:tr>
      <w:tr w:rsidR="00312ECE">
        <w:tblPrEx>
          <w:tblCellMar>
            <w:top w:w="0" w:type="dxa"/>
            <w:bottom w:w="0" w:type="dxa"/>
          </w:tblCellMar>
        </w:tblPrEx>
        <w:tc>
          <w:tcPr>
            <w:tcW w:w="1354" w:type="pct"/>
          </w:tcPr>
          <w:p w:rsidR="00312ECE" w:rsidRDefault="00312ECE">
            <w:pPr>
              <w:spacing w:before="60" w:after="60" w:line="280" w:lineRule="exact"/>
              <w:rPr>
                <w:rFonts w:hint="eastAsia"/>
                <w:sz w:val="18"/>
              </w:rPr>
            </w:pPr>
            <w:r>
              <w:rPr>
                <w:rFonts w:hint="eastAsia"/>
                <w:sz w:val="18"/>
              </w:rPr>
              <w:t>带薪产假的期限</w:t>
            </w:r>
          </w:p>
        </w:tc>
        <w:tc>
          <w:tcPr>
            <w:tcW w:w="540" w:type="pct"/>
          </w:tcPr>
          <w:p w:rsidR="00312ECE" w:rsidRDefault="00312ECE">
            <w:pPr>
              <w:spacing w:before="60" w:after="60" w:line="280" w:lineRule="exact"/>
              <w:jc w:val="center"/>
              <w:rPr>
                <w:sz w:val="18"/>
              </w:rPr>
            </w:pPr>
            <w:r>
              <w:rPr>
                <w:sz w:val="18"/>
              </w:rPr>
              <w:t>70.2</w:t>
            </w:r>
          </w:p>
        </w:tc>
        <w:tc>
          <w:tcPr>
            <w:tcW w:w="540" w:type="pct"/>
          </w:tcPr>
          <w:p w:rsidR="00312ECE" w:rsidRDefault="00312ECE">
            <w:pPr>
              <w:spacing w:before="60" w:after="60" w:line="280" w:lineRule="exact"/>
              <w:jc w:val="center"/>
              <w:rPr>
                <w:sz w:val="18"/>
              </w:rPr>
            </w:pPr>
            <w:r>
              <w:rPr>
                <w:sz w:val="18"/>
              </w:rPr>
              <w:t>63.7</w:t>
            </w:r>
          </w:p>
        </w:tc>
        <w:tc>
          <w:tcPr>
            <w:tcW w:w="540" w:type="pct"/>
          </w:tcPr>
          <w:p w:rsidR="00312ECE" w:rsidRDefault="00312ECE">
            <w:pPr>
              <w:spacing w:before="60" w:after="60" w:line="280" w:lineRule="exact"/>
              <w:jc w:val="center"/>
              <w:rPr>
                <w:sz w:val="18"/>
              </w:rPr>
            </w:pPr>
            <w:r>
              <w:rPr>
                <w:sz w:val="18"/>
              </w:rPr>
              <w:t>74.3</w:t>
            </w:r>
          </w:p>
        </w:tc>
        <w:tc>
          <w:tcPr>
            <w:tcW w:w="540" w:type="pct"/>
          </w:tcPr>
          <w:p w:rsidR="00312ECE" w:rsidRDefault="00312ECE">
            <w:pPr>
              <w:spacing w:before="60" w:after="60" w:line="280" w:lineRule="exact"/>
              <w:jc w:val="center"/>
              <w:rPr>
                <w:sz w:val="18"/>
              </w:rPr>
            </w:pPr>
            <w:r>
              <w:rPr>
                <w:sz w:val="18"/>
              </w:rPr>
              <w:t>95.3</w:t>
            </w:r>
          </w:p>
        </w:tc>
        <w:tc>
          <w:tcPr>
            <w:tcW w:w="540" w:type="pct"/>
          </w:tcPr>
          <w:p w:rsidR="00312ECE" w:rsidRDefault="00312ECE">
            <w:pPr>
              <w:spacing w:before="60" w:after="60" w:line="280" w:lineRule="exact"/>
              <w:jc w:val="center"/>
              <w:rPr>
                <w:sz w:val="18"/>
              </w:rPr>
            </w:pPr>
            <w:r>
              <w:rPr>
                <w:sz w:val="18"/>
              </w:rPr>
              <w:t>96.0</w:t>
            </w:r>
          </w:p>
        </w:tc>
        <w:tc>
          <w:tcPr>
            <w:tcW w:w="433" w:type="pct"/>
          </w:tcPr>
          <w:p w:rsidR="00312ECE" w:rsidRDefault="00312ECE">
            <w:pPr>
              <w:spacing w:before="60" w:after="60" w:line="280" w:lineRule="exact"/>
              <w:jc w:val="center"/>
              <w:rPr>
                <w:sz w:val="18"/>
              </w:rPr>
            </w:pPr>
            <w:r>
              <w:rPr>
                <w:sz w:val="18"/>
              </w:rPr>
              <w:t>102.1</w:t>
            </w:r>
          </w:p>
        </w:tc>
        <w:tc>
          <w:tcPr>
            <w:tcW w:w="512" w:type="pct"/>
          </w:tcPr>
          <w:p w:rsidR="00312ECE" w:rsidRDefault="00312ECE">
            <w:pPr>
              <w:spacing w:before="60" w:after="60" w:line="280" w:lineRule="exact"/>
              <w:jc w:val="center"/>
              <w:rPr>
                <w:sz w:val="18"/>
              </w:rPr>
            </w:pPr>
            <w:r>
              <w:rPr>
                <w:sz w:val="18"/>
              </w:rPr>
              <w:t>105.1</w:t>
            </w:r>
          </w:p>
        </w:tc>
      </w:tr>
      <w:tr w:rsidR="00312ECE">
        <w:tblPrEx>
          <w:tblCellMar>
            <w:top w:w="0" w:type="dxa"/>
            <w:bottom w:w="0" w:type="dxa"/>
          </w:tblCellMar>
        </w:tblPrEx>
        <w:tc>
          <w:tcPr>
            <w:tcW w:w="1354" w:type="pct"/>
          </w:tcPr>
          <w:p w:rsidR="00312ECE" w:rsidRDefault="00312ECE">
            <w:pPr>
              <w:spacing w:before="60" w:after="60" w:line="280" w:lineRule="exact"/>
              <w:rPr>
                <w:rFonts w:hint="eastAsia"/>
                <w:sz w:val="18"/>
              </w:rPr>
            </w:pPr>
            <w:r>
              <w:rPr>
                <w:rFonts w:hint="eastAsia"/>
                <w:sz w:val="18"/>
              </w:rPr>
              <w:t>津贴的平均数额（按实际价格，拉脱维亚拉特）</w:t>
            </w: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540" w:type="pct"/>
          </w:tcPr>
          <w:p w:rsidR="00312ECE" w:rsidRDefault="00312ECE">
            <w:pPr>
              <w:spacing w:before="60" w:after="60" w:line="280" w:lineRule="exact"/>
              <w:jc w:val="center"/>
              <w:rPr>
                <w:rFonts w:hint="eastAsia"/>
                <w:sz w:val="18"/>
              </w:rPr>
            </w:pPr>
          </w:p>
        </w:tc>
        <w:tc>
          <w:tcPr>
            <w:tcW w:w="433" w:type="pct"/>
          </w:tcPr>
          <w:p w:rsidR="00312ECE" w:rsidRDefault="00312ECE">
            <w:pPr>
              <w:spacing w:before="60" w:after="60" w:line="280" w:lineRule="exact"/>
              <w:jc w:val="center"/>
              <w:rPr>
                <w:rFonts w:hint="eastAsia"/>
                <w:sz w:val="18"/>
              </w:rPr>
            </w:pPr>
          </w:p>
        </w:tc>
        <w:tc>
          <w:tcPr>
            <w:tcW w:w="512" w:type="pct"/>
          </w:tcPr>
          <w:p w:rsidR="00312ECE" w:rsidRDefault="00312ECE">
            <w:pPr>
              <w:spacing w:before="60" w:after="60" w:line="280" w:lineRule="exact"/>
              <w:jc w:val="center"/>
              <w:rPr>
                <w:rFonts w:hint="eastAsia"/>
                <w:sz w:val="18"/>
              </w:rPr>
            </w:pPr>
          </w:p>
        </w:tc>
      </w:tr>
      <w:tr w:rsidR="00312ECE">
        <w:tblPrEx>
          <w:tblCellMar>
            <w:top w:w="0" w:type="dxa"/>
            <w:bottom w:w="0" w:type="dxa"/>
          </w:tblCellMar>
        </w:tblPrEx>
        <w:tc>
          <w:tcPr>
            <w:tcW w:w="1354" w:type="pct"/>
          </w:tcPr>
          <w:p w:rsidR="00312ECE" w:rsidRDefault="00312ECE">
            <w:pPr>
              <w:spacing w:before="60" w:after="60" w:line="280" w:lineRule="exact"/>
              <w:rPr>
                <w:rFonts w:hint="eastAsia"/>
                <w:sz w:val="18"/>
              </w:rPr>
            </w:pPr>
            <w:r>
              <w:rPr>
                <w:rFonts w:hint="eastAsia"/>
                <w:sz w:val="18"/>
              </w:rPr>
              <w:t>生育津贴（每天）</w:t>
            </w:r>
          </w:p>
        </w:tc>
        <w:tc>
          <w:tcPr>
            <w:tcW w:w="540" w:type="pct"/>
          </w:tcPr>
          <w:p w:rsidR="00312ECE" w:rsidRDefault="00312ECE">
            <w:pPr>
              <w:pStyle w:val="Header"/>
              <w:tabs>
                <w:tab w:val="clear" w:pos="4320"/>
                <w:tab w:val="clear" w:pos="8640"/>
              </w:tabs>
              <w:spacing w:before="60" w:after="60" w:line="280" w:lineRule="exact"/>
              <w:jc w:val="center"/>
            </w:pPr>
            <w:r>
              <w:t>2.91</w:t>
            </w:r>
          </w:p>
        </w:tc>
        <w:tc>
          <w:tcPr>
            <w:tcW w:w="540" w:type="pct"/>
          </w:tcPr>
          <w:p w:rsidR="00312ECE" w:rsidRDefault="00312ECE">
            <w:pPr>
              <w:spacing w:before="60" w:after="60" w:line="280" w:lineRule="exact"/>
              <w:jc w:val="center"/>
              <w:rPr>
                <w:sz w:val="18"/>
              </w:rPr>
            </w:pPr>
            <w:r>
              <w:rPr>
                <w:sz w:val="18"/>
              </w:rPr>
              <w:t>3.35</w:t>
            </w:r>
          </w:p>
        </w:tc>
        <w:tc>
          <w:tcPr>
            <w:tcW w:w="540" w:type="pct"/>
          </w:tcPr>
          <w:p w:rsidR="00312ECE" w:rsidRDefault="00312ECE">
            <w:pPr>
              <w:spacing w:before="60" w:after="60" w:line="280" w:lineRule="exact"/>
              <w:jc w:val="center"/>
              <w:rPr>
                <w:sz w:val="18"/>
              </w:rPr>
            </w:pPr>
            <w:r>
              <w:rPr>
                <w:sz w:val="18"/>
              </w:rPr>
              <w:t>2.98</w:t>
            </w:r>
          </w:p>
        </w:tc>
        <w:tc>
          <w:tcPr>
            <w:tcW w:w="540" w:type="pct"/>
          </w:tcPr>
          <w:p w:rsidR="00312ECE" w:rsidRDefault="00312ECE">
            <w:pPr>
              <w:spacing w:before="60" w:after="60" w:line="280" w:lineRule="exact"/>
              <w:jc w:val="center"/>
              <w:rPr>
                <w:sz w:val="18"/>
              </w:rPr>
            </w:pPr>
            <w:r>
              <w:rPr>
                <w:sz w:val="18"/>
              </w:rPr>
              <w:t>3.48</w:t>
            </w:r>
          </w:p>
        </w:tc>
        <w:tc>
          <w:tcPr>
            <w:tcW w:w="540" w:type="pct"/>
          </w:tcPr>
          <w:p w:rsidR="00312ECE" w:rsidRDefault="00312ECE">
            <w:pPr>
              <w:spacing w:before="60" w:after="60" w:line="280" w:lineRule="exact"/>
              <w:jc w:val="center"/>
              <w:rPr>
                <w:sz w:val="18"/>
              </w:rPr>
            </w:pPr>
            <w:r>
              <w:rPr>
                <w:sz w:val="18"/>
              </w:rPr>
              <w:t>4.00</w:t>
            </w:r>
          </w:p>
        </w:tc>
        <w:tc>
          <w:tcPr>
            <w:tcW w:w="433" w:type="pct"/>
          </w:tcPr>
          <w:p w:rsidR="00312ECE" w:rsidRDefault="00312ECE">
            <w:pPr>
              <w:spacing w:before="60" w:after="60" w:line="280" w:lineRule="exact"/>
              <w:jc w:val="center"/>
              <w:rPr>
                <w:sz w:val="18"/>
              </w:rPr>
            </w:pPr>
            <w:r>
              <w:rPr>
                <w:sz w:val="18"/>
              </w:rPr>
              <w:t>4.01</w:t>
            </w:r>
          </w:p>
        </w:tc>
        <w:tc>
          <w:tcPr>
            <w:tcW w:w="512" w:type="pct"/>
          </w:tcPr>
          <w:p w:rsidR="00312ECE" w:rsidRDefault="00312ECE">
            <w:pPr>
              <w:spacing w:before="60" w:after="60" w:line="280" w:lineRule="exact"/>
              <w:jc w:val="center"/>
              <w:rPr>
                <w:sz w:val="18"/>
              </w:rPr>
            </w:pPr>
            <w:r>
              <w:rPr>
                <w:sz w:val="18"/>
              </w:rPr>
              <w:t>4.52</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212.  计算结果显示，2000年，在所有生育子女的母亲中有47%领取了生育津贴。与前一年相比，申请生育津贴的人数增加了7%。不过，大多数子女的生身母亲既无工作又不缴纳强制性社会保险费，因而领不到生育津贴（见下表）。</w:t>
      </w:r>
    </w:p>
    <w:p w:rsidR="00312ECE" w:rsidRDefault="00312ECE">
      <w:pPr>
        <w:pStyle w:val="SingleTxt"/>
        <w:rPr>
          <w:rFonts w:ascii="SimHei" w:eastAsia="SimHei" w:hint="eastAsia"/>
          <w:color w:val="FF0000"/>
        </w:rPr>
      </w:pPr>
      <w:r>
        <w:rPr>
          <w:rFonts w:ascii="SimHei" w:eastAsia="SimHei" w:hint="eastAsia"/>
          <w:color w:val="FF0000"/>
        </w:rPr>
        <w:t>婴儿人数及生育津贴领受者的人数</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79"/>
        <w:gridCol w:w="980"/>
        <w:gridCol w:w="1103"/>
        <w:gridCol w:w="1103"/>
        <w:gridCol w:w="1103"/>
        <w:gridCol w:w="1103"/>
      </w:tblGrid>
      <w:tr w:rsidR="00312ECE">
        <w:tblPrEx>
          <w:tblCellMar>
            <w:top w:w="0" w:type="dxa"/>
            <w:bottom w:w="0" w:type="dxa"/>
          </w:tblCellMar>
        </w:tblPrEx>
        <w:tc>
          <w:tcPr>
            <w:tcW w:w="1342" w:type="pct"/>
          </w:tcPr>
          <w:p w:rsidR="00312ECE" w:rsidRDefault="00312ECE">
            <w:pPr>
              <w:spacing w:line="360" w:lineRule="atLeast"/>
              <w:rPr>
                <w:rFonts w:ascii="KaiTi_GB2312" w:eastAsia="KaiTi_GB2312" w:hint="eastAsia"/>
                <w:color w:val="0000FF"/>
                <w:sz w:val="18"/>
              </w:rPr>
            </w:pPr>
          </w:p>
        </w:tc>
        <w:tc>
          <w:tcPr>
            <w:tcW w:w="665"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1997年</w:t>
            </w:r>
          </w:p>
        </w:tc>
        <w:tc>
          <w:tcPr>
            <w:tcW w:w="748"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1998年</w:t>
            </w:r>
          </w:p>
        </w:tc>
        <w:tc>
          <w:tcPr>
            <w:tcW w:w="748"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1999年</w:t>
            </w:r>
          </w:p>
        </w:tc>
        <w:tc>
          <w:tcPr>
            <w:tcW w:w="748"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2000年</w:t>
            </w:r>
          </w:p>
        </w:tc>
        <w:tc>
          <w:tcPr>
            <w:tcW w:w="748"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2001年</w:t>
            </w:r>
          </w:p>
        </w:tc>
      </w:tr>
      <w:tr w:rsidR="00312ECE">
        <w:tblPrEx>
          <w:tblCellMar>
            <w:top w:w="0" w:type="dxa"/>
            <w:bottom w:w="0" w:type="dxa"/>
          </w:tblCellMar>
        </w:tblPrEx>
        <w:tc>
          <w:tcPr>
            <w:tcW w:w="1342" w:type="pct"/>
          </w:tcPr>
          <w:p w:rsidR="00312ECE" w:rsidRDefault="00312ECE">
            <w:pPr>
              <w:spacing w:line="360" w:lineRule="atLeast"/>
              <w:rPr>
                <w:rFonts w:hint="eastAsia"/>
                <w:sz w:val="18"/>
              </w:rPr>
            </w:pPr>
            <w:r>
              <w:rPr>
                <w:rFonts w:hint="eastAsia"/>
                <w:sz w:val="18"/>
              </w:rPr>
              <w:t>婴儿人数</w:t>
            </w:r>
          </w:p>
        </w:tc>
        <w:tc>
          <w:tcPr>
            <w:tcW w:w="665" w:type="pct"/>
          </w:tcPr>
          <w:p w:rsidR="00312ECE" w:rsidRDefault="00312ECE">
            <w:pPr>
              <w:pStyle w:val="Header"/>
              <w:tabs>
                <w:tab w:val="clear" w:pos="4320"/>
                <w:tab w:val="clear" w:pos="8640"/>
              </w:tabs>
              <w:spacing w:line="360" w:lineRule="atLeast"/>
              <w:jc w:val="center"/>
            </w:pPr>
            <w:r>
              <w:t>18 830</w:t>
            </w:r>
          </w:p>
        </w:tc>
        <w:tc>
          <w:tcPr>
            <w:tcW w:w="748" w:type="pct"/>
          </w:tcPr>
          <w:p w:rsidR="00312ECE" w:rsidRDefault="00312ECE">
            <w:pPr>
              <w:spacing w:line="360" w:lineRule="atLeast"/>
              <w:jc w:val="center"/>
              <w:rPr>
                <w:sz w:val="18"/>
              </w:rPr>
            </w:pPr>
            <w:r>
              <w:rPr>
                <w:sz w:val="18"/>
              </w:rPr>
              <w:t>18 410</w:t>
            </w:r>
          </w:p>
        </w:tc>
        <w:tc>
          <w:tcPr>
            <w:tcW w:w="748" w:type="pct"/>
          </w:tcPr>
          <w:p w:rsidR="00312ECE" w:rsidRDefault="00312ECE">
            <w:pPr>
              <w:spacing w:line="360" w:lineRule="atLeast"/>
              <w:jc w:val="center"/>
              <w:rPr>
                <w:sz w:val="18"/>
              </w:rPr>
            </w:pPr>
            <w:r>
              <w:rPr>
                <w:sz w:val="18"/>
              </w:rPr>
              <w:t>19 396</w:t>
            </w:r>
          </w:p>
        </w:tc>
        <w:tc>
          <w:tcPr>
            <w:tcW w:w="748" w:type="pct"/>
          </w:tcPr>
          <w:p w:rsidR="00312ECE" w:rsidRDefault="00312ECE">
            <w:pPr>
              <w:spacing w:line="360" w:lineRule="atLeast"/>
              <w:jc w:val="center"/>
              <w:rPr>
                <w:sz w:val="18"/>
              </w:rPr>
            </w:pPr>
            <w:r>
              <w:rPr>
                <w:sz w:val="18"/>
              </w:rPr>
              <w:t>20 248</w:t>
            </w:r>
          </w:p>
        </w:tc>
        <w:tc>
          <w:tcPr>
            <w:tcW w:w="748" w:type="pct"/>
          </w:tcPr>
          <w:p w:rsidR="00312ECE" w:rsidRDefault="00312ECE">
            <w:pPr>
              <w:spacing w:line="360" w:lineRule="atLeast"/>
              <w:jc w:val="center"/>
              <w:rPr>
                <w:sz w:val="18"/>
              </w:rPr>
            </w:pPr>
            <w:r>
              <w:rPr>
                <w:sz w:val="18"/>
              </w:rPr>
              <w:t>19 690</w:t>
            </w:r>
          </w:p>
        </w:tc>
      </w:tr>
      <w:tr w:rsidR="00312ECE">
        <w:tblPrEx>
          <w:tblCellMar>
            <w:top w:w="0" w:type="dxa"/>
            <w:bottom w:w="0" w:type="dxa"/>
          </w:tblCellMar>
        </w:tblPrEx>
        <w:tc>
          <w:tcPr>
            <w:tcW w:w="1342" w:type="pct"/>
          </w:tcPr>
          <w:p w:rsidR="00312ECE" w:rsidRDefault="00312ECE">
            <w:pPr>
              <w:spacing w:line="360" w:lineRule="atLeast"/>
              <w:rPr>
                <w:rFonts w:hint="eastAsia"/>
                <w:sz w:val="18"/>
              </w:rPr>
            </w:pPr>
            <w:r>
              <w:rPr>
                <w:rFonts w:hint="eastAsia"/>
                <w:sz w:val="18"/>
              </w:rPr>
              <w:t>生育津贴领受者的人数</w:t>
            </w:r>
          </w:p>
        </w:tc>
        <w:tc>
          <w:tcPr>
            <w:tcW w:w="665" w:type="pct"/>
          </w:tcPr>
          <w:p w:rsidR="00312ECE" w:rsidRDefault="00312ECE">
            <w:pPr>
              <w:spacing w:line="360" w:lineRule="atLeast"/>
              <w:jc w:val="center"/>
              <w:rPr>
                <w:sz w:val="18"/>
              </w:rPr>
            </w:pPr>
            <w:r>
              <w:rPr>
                <w:sz w:val="18"/>
              </w:rPr>
              <w:t>13 279</w:t>
            </w:r>
          </w:p>
        </w:tc>
        <w:tc>
          <w:tcPr>
            <w:tcW w:w="748" w:type="pct"/>
          </w:tcPr>
          <w:p w:rsidR="00312ECE" w:rsidRDefault="00312ECE">
            <w:pPr>
              <w:spacing w:line="360" w:lineRule="atLeast"/>
              <w:jc w:val="center"/>
              <w:rPr>
                <w:sz w:val="18"/>
              </w:rPr>
            </w:pPr>
            <w:r>
              <w:rPr>
                <w:sz w:val="18"/>
              </w:rPr>
              <w:t>16 281</w:t>
            </w:r>
          </w:p>
        </w:tc>
        <w:tc>
          <w:tcPr>
            <w:tcW w:w="748" w:type="pct"/>
          </w:tcPr>
          <w:p w:rsidR="00312ECE" w:rsidRDefault="00312ECE">
            <w:pPr>
              <w:spacing w:line="360" w:lineRule="atLeast"/>
              <w:jc w:val="center"/>
              <w:rPr>
                <w:sz w:val="18"/>
              </w:rPr>
            </w:pPr>
            <w:r>
              <w:rPr>
                <w:sz w:val="18"/>
              </w:rPr>
              <w:t>10 724</w:t>
            </w:r>
            <w:r>
              <w:rPr>
                <w:rStyle w:val="FootnoteReference"/>
                <w:sz w:val="18"/>
              </w:rPr>
              <w:footnoteReference w:id="8"/>
            </w:r>
          </w:p>
        </w:tc>
        <w:tc>
          <w:tcPr>
            <w:tcW w:w="748" w:type="pct"/>
          </w:tcPr>
          <w:p w:rsidR="00312ECE" w:rsidRDefault="00312ECE">
            <w:pPr>
              <w:spacing w:line="360" w:lineRule="atLeast"/>
              <w:jc w:val="center"/>
              <w:rPr>
                <w:sz w:val="18"/>
              </w:rPr>
            </w:pPr>
            <w:r>
              <w:rPr>
                <w:sz w:val="18"/>
              </w:rPr>
              <w:t>11 486</w:t>
            </w:r>
          </w:p>
        </w:tc>
        <w:tc>
          <w:tcPr>
            <w:tcW w:w="748" w:type="pct"/>
          </w:tcPr>
          <w:p w:rsidR="00312ECE" w:rsidRDefault="00312ECE">
            <w:pPr>
              <w:spacing w:line="360" w:lineRule="atLeast"/>
              <w:jc w:val="center"/>
              <w:rPr>
                <w:sz w:val="18"/>
              </w:rPr>
            </w:pPr>
            <w:r>
              <w:rPr>
                <w:sz w:val="18"/>
              </w:rPr>
              <w:t>11 811</w:t>
            </w:r>
          </w:p>
        </w:tc>
      </w:tr>
    </w:tbl>
    <w:p w:rsidR="00312ECE" w:rsidRDefault="00312ECE">
      <w:pPr>
        <w:pStyle w:val="SingleTxt"/>
        <w:spacing w:after="120" w:line="316" w:lineRule="exact"/>
        <w:rPr>
          <w:rFonts w:hint="eastAsia"/>
        </w:rPr>
      </w:pPr>
      <w:r>
        <w:rPr>
          <w:rFonts w:hint="eastAsia"/>
        </w:rPr>
        <w:t>213.  鉴于拉脱维亚的经济状况，妇女在怀孕期间通常失去工作，并且找不到新工作，从而被迫沦为失业人员，“生育和疾病保险”法特别重要，它规定因所在机构、企业或组织破产遭到解雇的妇女按一般程序享有生育津贴，条件是产假权利在她们被解雇后不迟于210天内确定。</w:t>
      </w:r>
    </w:p>
    <w:p w:rsidR="00312ECE" w:rsidRDefault="00312ECE">
      <w:pPr>
        <w:pStyle w:val="SingleTxt"/>
        <w:spacing w:after="120" w:line="316" w:lineRule="exact"/>
        <w:rPr>
          <w:rFonts w:hint="eastAsia"/>
        </w:rPr>
      </w:pPr>
      <w:r>
        <w:rPr>
          <w:rFonts w:hint="eastAsia"/>
        </w:rPr>
        <w:t>214.  根据“国家社会保险”法、“社会保障”法、“社会税”法、“国家养恤金”法、“强制性失业社会保险”法、以及“意外工作事故和职业病保险”法的规定，领受生育津贴并不限制领受任何其他津贴或社会保险服务。</w:t>
      </w:r>
    </w:p>
    <w:p w:rsidR="00312ECE" w:rsidRDefault="00312ECE">
      <w:pPr>
        <w:pStyle w:val="SingleTxt"/>
        <w:spacing w:after="120" w:line="316" w:lineRule="exact"/>
        <w:rPr>
          <w:rFonts w:hint="eastAsia"/>
        </w:rPr>
      </w:pPr>
      <w:r>
        <w:rPr>
          <w:rFonts w:hint="eastAsia"/>
        </w:rPr>
        <w:t>215.  根据“强制性国家社会保险”法，领受生育津贴的人也应买强制性社会保险。照料年满1岁半的子女的人要买养老保险和失业保险。向国家社会保险预算缴纳的保险费从国家中央政府基本预算中列支。领受生育津贴的人也应买养老保险；所需费用从残疾、生育及疾病专项预算中列支。国家社会保险机构负责管理生育津贴。</w:t>
      </w:r>
    </w:p>
    <w:p w:rsidR="00312ECE" w:rsidRDefault="00312ECE">
      <w:pPr>
        <w:pStyle w:val="SingleTxt"/>
        <w:spacing w:after="120" w:line="316" w:lineRule="exact"/>
        <w:rPr>
          <w:rFonts w:hint="eastAsia"/>
        </w:rPr>
      </w:pPr>
      <w:r>
        <w:rPr>
          <w:rFonts w:hint="eastAsia"/>
        </w:rPr>
        <w:t>216.  “社会援助”法第7条规定，地方政府的职责是为残疾儿童提供接受社会照料及康复服务的机会，因此，地方政府提供特别幼儿园、日间中心和家庭照料服务，但遗憾的是，这些服务的数量供不应求。“社会援助”法第6条还规定，国家的义务是在各机构和中心为智障儿童提供社会照料和康复服务。“保护儿童权利”法第55条第3款也规定，有特殊需求的儿童，如果家庭不能为他提供照料，应交由国家给予悉心照料。福利部监督三个特别儿童社会照料中心，在这些中心，重残儿童得到了收治。</w:t>
      </w:r>
    </w:p>
    <w:p w:rsidR="00312ECE" w:rsidRDefault="00312ECE">
      <w:pPr>
        <w:pStyle w:val="SingleTxt"/>
        <w:spacing w:after="120" w:line="316" w:lineRule="exact"/>
        <w:rPr>
          <w:rFonts w:hint="eastAsia"/>
        </w:rPr>
      </w:pPr>
      <w:r>
        <w:rPr>
          <w:rFonts w:hint="eastAsia"/>
        </w:rPr>
        <w:t>217.  根据国家社会保险机构的数据，2001年1月1日，有9 712名儿童领取了为残疾儿童额外提供的家庭国家津贴。根据国家社会救济基金的数据，2001年1月1日，育儿机构及教育机构有805名残疾儿童，其中291名在孤儿育儿中心，453名在特别儿童社会照料中心，61名在孤儿院。</w:t>
      </w:r>
    </w:p>
    <w:p w:rsidR="00312ECE" w:rsidRDefault="00312ECE">
      <w:pPr>
        <w:pStyle w:val="SingleTxt"/>
        <w:spacing w:after="120" w:line="316" w:lineRule="exact"/>
        <w:rPr>
          <w:rFonts w:hint="eastAsia"/>
        </w:rPr>
      </w:pPr>
      <w:r>
        <w:rPr>
          <w:rFonts w:hint="eastAsia"/>
        </w:rPr>
        <w:t>218.  《劳工法典》禁止雇用妇女从事重体力劳动以及危险工作。部长内阁核准了禁止妇女从事重体力劳动和危险工作清单，并且与拉脱维亚的专业组织调整了这些清单。禁止让妇女搬运超过立法法律许可的最大定额的重物，另外还规定，根据医疗声明，孕妇的工作定额可降低，或者是将她调到工作强度减小并且没有不利因素影响的其他工作场所，但保留原先的平均薪酬。</w:t>
      </w:r>
    </w:p>
    <w:p w:rsidR="00312ECE" w:rsidRDefault="00312ECE">
      <w:pPr>
        <w:pStyle w:val="SingleTxt"/>
        <w:spacing w:after="120" w:line="316" w:lineRule="exact"/>
        <w:rPr>
          <w:rFonts w:hint="eastAsia"/>
        </w:rPr>
      </w:pPr>
      <w:r>
        <w:rPr>
          <w:rFonts w:hint="eastAsia"/>
        </w:rPr>
        <w:t>219.  《劳工法》规定，在接到医疗证明后，禁止雇主雇用孕妇、产后一年内的妇女以及整个哺乳期内的哺乳妇女，条件是已经确定从事特定工作可对妇女或其子女的安全与健康产生危险。</w:t>
      </w:r>
    </w:p>
    <w:p w:rsidR="00312ECE" w:rsidRDefault="00312ECE">
      <w:pPr>
        <w:pStyle w:val="SingleTxt"/>
        <w:spacing w:after="120" w:line="316" w:lineRule="exact"/>
        <w:rPr>
          <w:rFonts w:hint="eastAsia"/>
        </w:rPr>
      </w:pPr>
      <w:r>
        <w:rPr>
          <w:rFonts w:hint="eastAsia"/>
        </w:rPr>
        <w:t>220.  与《公约》第11条列举的权利保护有关的立法在拉脱维亚定期审查和修订，目的是保证更加有效地保护妇女的权利。自拉脱维亚恢复独立后，社会保障体系推行改革，并且已经制定了新的《劳工法》；另外，部长内阁有关这些法律的执行及其执行条例也已定期修订，并考虑到拉脱维亚的现状。国家人权办公室在它的评论意见中强调，新的《劳工法》生效将改善就业领域的状况，因为本法对招工广告、招工面试以及同等薪酬问题都作出了详细规定，并且对实施性别歧视所要承担的责任作出了规定。</w:t>
      </w:r>
    </w:p>
    <w:p w:rsidR="00312ECE" w:rsidRDefault="00312ECE">
      <w:pPr>
        <w:pStyle w:val="SingleTxt"/>
        <w:spacing w:after="120"/>
        <w:rPr>
          <w:rFonts w:ascii="SimHei" w:eastAsia="SimHei" w:hint="eastAsia"/>
          <w:color w:val="FF0000"/>
        </w:rPr>
      </w:pPr>
      <w:r>
        <w:rPr>
          <w:rFonts w:ascii="SimHei" w:eastAsia="SimHei" w:hint="eastAsia"/>
          <w:color w:val="FF0000"/>
        </w:rPr>
        <w:t>第12条</w:t>
      </w:r>
    </w:p>
    <w:p w:rsidR="00312ECE" w:rsidRDefault="00312ECE">
      <w:pPr>
        <w:pStyle w:val="SingleTxt"/>
        <w:spacing w:after="120"/>
        <w:rPr>
          <w:rFonts w:hint="eastAsia"/>
        </w:rPr>
      </w:pPr>
      <w:r>
        <w:rPr>
          <w:rFonts w:hint="eastAsia"/>
        </w:rPr>
        <w:t>221.  在拉脱维亚，妇女行使其保健权利没有遭到歧视。《药物治疗法》</w:t>
      </w:r>
      <w:r>
        <w:rPr>
          <w:rStyle w:val="FootnoteReference"/>
        </w:rPr>
        <w:footnoteReference w:id="9"/>
      </w:r>
      <w:r>
        <w:rPr>
          <w:rFonts w:hint="eastAsia"/>
        </w:rPr>
        <w:t xml:space="preserve"> 规定，患者及其最亲密的亲戚或合法代表（受托人、监护人）有权选择拉脱维亚的医疗机构和执业医师，由他们负责患者疾病和伤势的诊断、治疗和康复。</w:t>
      </w:r>
    </w:p>
    <w:p w:rsidR="00312ECE" w:rsidRDefault="00312ECE">
      <w:pPr>
        <w:pStyle w:val="SingleTxt"/>
        <w:spacing w:after="120"/>
        <w:rPr>
          <w:rFonts w:hint="eastAsia"/>
        </w:rPr>
      </w:pPr>
      <w:r>
        <w:rPr>
          <w:rFonts w:hint="eastAsia"/>
        </w:rPr>
        <w:t>222.  《药物治疗法》规定，人人有权根据部长内阁规定的程序获得直接的援助。国家保障的不同程度的医疗援助根据部长内阁制定的程序为如下人士提供：拉脱维亚共和国公民、非公民、护照上印有个人身分代码并在人口登记部门登记过的外国人及无国籍人士以及被拘押、被捕、判刑及监狱服刑人员。这种援助按需要在有关时间和地点提供，在此情况下的医治根据福利部核准的标准提供。</w:t>
      </w:r>
    </w:p>
    <w:p w:rsidR="00312ECE" w:rsidRDefault="00312ECE">
      <w:pPr>
        <w:pStyle w:val="SingleTxt"/>
        <w:spacing w:after="120"/>
        <w:rPr>
          <w:rFonts w:hint="eastAsia"/>
        </w:rPr>
      </w:pPr>
      <w:r>
        <w:rPr>
          <w:rFonts w:hint="eastAsia"/>
        </w:rPr>
        <w:t>223.  生活在拉脱维亚境内的每个儿童以及没有得到个人身分代码并且没有在人口登记部门登记过的儿童有权取得国家保障的医疗援助。儿童有权免费取得国家保障的医疗援助。</w:t>
      </w:r>
    </w:p>
    <w:p w:rsidR="00312ECE" w:rsidRDefault="00312ECE">
      <w:pPr>
        <w:pStyle w:val="SingleTxt"/>
        <w:rPr>
          <w:rFonts w:ascii="SimHei" w:eastAsia="SimHei" w:hint="eastAsia"/>
          <w:color w:val="FF0000"/>
        </w:rPr>
      </w:pPr>
      <w:r>
        <w:rPr>
          <w:rFonts w:ascii="SimHei" w:eastAsia="SimHei" w:hint="eastAsia"/>
          <w:color w:val="FF0000"/>
        </w:rPr>
        <w:t>住院和看病的人数</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30"/>
        <w:gridCol w:w="1511"/>
        <w:gridCol w:w="1511"/>
        <w:gridCol w:w="1462"/>
        <w:gridCol w:w="1457"/>
      </w:tblGrid>
      <w:tr w:rsidR="00312ECE">
        <w:tblPrEx>
          <w:tblCellMar>
            <w:top w:w="0" w:type="dxa"/>
            <w:bottom w:w="0" w:type="dxa"/>
          </w:tblCellMar>
        </w:tblPrEx>
        <w:tc>
          <w:tcPr>
            <w:tcW w:w="970" w:type="pct"/>
          </w:tcPr>
          <w:p w:rsidR="00312ECE" w:rsidRDefault="00312ECE">
            <w:pPr>
              <w:spacing w:line="360" w:lineRule="atLeast"/>
              <w:rPr>
                <w:rFonts w:ascii="KaiTi_GB2312" w:eastAsia="KaiTi_GB2312" w:hint="eastAsia"/>
                <w:color w:val="0000FF"/>
                <w:sz w:val="14"/>
              </w:rPr>
            </w:pPr>
          </w:p>
        </w:tc>
        <w:tc>
          <w:tcPr>
            <w:tcW w:w="2050"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住院病例</w:t>
            </w:r>
          </w:p>
        </w:tc>
        <w:tc>
          <w:tcPr>
            <w:tcW w:w="1980"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门诊病人</w:t>
            </w:r>
          </w:p>
        </w:tc>
      </w:tr>
      <w:tr w:rsidR="00312ECE">
        <w:tblPrEx>
          <w:tblCellMar>
            <w:top w:w="0" w:type="dxa"/>
            <w:bottom w:w="0" w:type="dxa"/>
          </w:tblCellMar>
        </w:tblPrEx>
        <w:tc>
          <w:tcPr>
            <w:tcW w:w="970" w:type="pct"/>
          </w:tcPr>
          <w:p w:rsidR="00312ECE" w:rsidRDefault="00312ECE">
            <w:pPr>
              <w:spacing w:before="40" w:after="40" w:line="240" w:lineRule="exact"/>
              <w:rPr>
                <w:rFonts w:ascii="KaiTi_GB2312" w:eastAsia="KaiTi_GB2312" w:hint="eastAsia"/>
                <w:color w:val="0000FF"/>
                <w:sz w:val="14"/>
              </w:rPr>
            </w:pPr>
          </w:p>
        </w:tc>
        <w:tc>
          <w:tcPr>
            <w:tcW w:w="1025"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1025"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c>
          <w:tcPr>
            <w:tcW w:w="992"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988"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r>
      <w:tr w:rsidR="00312ECE">
        <w:tblPrEx>
          <w:tblCellMar>
            <w:top w:w="0" w:type="dxa"/>
            <w:bottom w:w="0" w:type="dxa"/>
          </w:tblCellMar>
        </w:tblPrEx>
        <w:tc>
          <w:tcPr>
            <w:tcW w:w="970" w:type="pct"/>
          </w:tcPr>
          <w:p w:rsidR="00312ECE" w:rsidRDefault="00312ECE">
            <w:pPr>
              <w:spacing w:before="40" w:after="40" w:line="240" w:lineRule="exact"/>
              <w:rPr>
                <w:rFonts w:hint="eastAsia"/>
                <w:sz w:val="18"/>
              </w:rPr>
            </w:pPr>
            <w:r>
              <w:rPr>
                <w:rFonts w:hint="eastAsia"/>
                <w:sz w:val="18"/>
              </w:rPr>
              <w:t>1997年</w:t>
            </w:r>
          </w:p>
        </w:tc>
        <w:tc>
          <w:tcPr>
            <w:tcW w:w="1025" w:type="pct"/>
          </w:tcPr>
          <w:p w:rsidR="00312ECE" w:rsidRDefault="00312ECE">
            <w:pPr>
              <w:spacing w:before="40" w:after="40" w:line="240" w:lineRule="exact"/>
              <w:jc w:val="center"/>
              <w:rPr>
                <w:rFonts w:hint="eastAsia"/>
                <w:sz w:val="18"/>
              </w:rPr>
            </w:pPr>
            <w:r>
              <w:rPr>
                <w:rFonts w:hint="eastAsia"/>
                <w:sz w:val="18"/>
              </w:rPr>
              <w:t>272</w:t>
            </w:r>
            <w:r>
              <w:rPr>
                <w:sz w:val="18"/>
              </w:rPr>
              <w:t xml:space="preserve"> </w:t>
            </w:r>
            <w:r>
              <w:rPr>
                <w:rFonts w:hint="eastAsia"/>
                <w:sz w:val="18"/>
              </w:rPr>
              <w:t>003</w:t>
            </w:r>
          </w:p>
        </w:tc>
        <w:tc>
          <w:tcPr>
            <w:tcW w:w="1025" w:type="pct"/>
          </w:tcPr>
          <w:p w:rsidR="00312ECE" w:rsidRDefault="00312ECE">
            <w:pPr>
              <w:spacing w:before="40" w:after="40" w:line="240" w:lineRule="exact"/>
              <w:jc w:val="center"/>
              <w:rPr>
                <w:rFonts w:hint="eastAsia"/>
                <w:sz w:val="18"/>
              </w:rPr>
            </w:pPr>
            <w:r>
              <w:rPr>
                <w:rFonts w:hint="eastAsia"/>
                <w:sz w:val="18"/>
              </w:rPr>
              <w:t>260</w:t>
            </w:r>
            <w:r>
              <w:rPr>
                <w:sz w:val="18"/>
              </w:rPr>
              <w:t xml:space="preserve"> </w:t>
            </w:r>
            <w:r>
              <w:rPr>
                <w:rFonts w:hint="eastAsia"/>
                <w:sz w:val="18"/>
              </w:rPr>
              <w:t>628</w:t>
            </w:r>
          </w:p>
        </w:tc>
        <w:tc>
          <w:tcPr>
            <w:tcW w:w="992" w:type="pct"/>
          </w:tcPr>
          <w:p w:rsidR="00312ECE" w:rsidRDefault="00312ECE">
            <w:pPr>
              <w:spacing w:before="40" w:after="40" w:line="240" w:lineRule="exact"/>
              <w:jc w:val="center"/>
              <w:rPr>
                <w:rFonts w:hint="eastAsia"/>
                <w:sz w:val="18"/>
              </w:rPr>
            </w:pPr>
            <w:r>
              <w:rPr>
                <w:rFonts w:hint="eastAsia"/>
                <w:sz w:val="18"/>
              </w:rPr>
              <w:t>4</w:t>
            </w:r>
            <w:r>
              <w:rPr>
                <w:sz w:val="18"/>
              </w:rPr>
              <w:t xml:space="preserve"> </w:t>
            </w:r>
            <w:r>
              <w:rPr>
                <w:rFonts w:hint="eastAsia"/>
                <w:sz w:val="18"/>
              </w:rPr>
              <w:t>887</w:t>
            </w:r>
            <w:r>
              <w:rPr>
                <w:sz w:val="18"/>
              </w:rPr>
              <w:t xml:space="preserve"> </w:t>
            </w:r>
            <w:r>
              <w:rPr>
                <w:rFonts w:hint="eastAsia"/>
                <w:sz w:val="18"/>
              </w:rPr>
              <w:t>761</w:t>
            </w:r>
          </w:p>
        </w:tc>
        <w:tc>
          <w:tcPr>
            <w:tcW w:w="988" w:type="pct"/>
          </w:tcPr>
          <w:p w:rsidR="00312ECE" w:rsidRDefault="00312ECE">
            <w:pPr>
              <w:spacing w:before="40" w:after="40" w:line="240" w:lineRule="exact"/>
              <w:jc w:val="center"/>
              <w:rPr>
                <w:rFonts w:hint="eastAsia"/>
                <w:sz w:val="18"/>
              </w:rPr>
            </w:pPr>
            <w:r>
              <w:rPr>
                <w:rFonts w:hint="eastAsia"/>
                <w:sz w:val="18"/>
              </w:rPr>
              <w:t>6</w:t>
            </w:r>
            <w:r>
              <w:rPr>
                <w:sz w:val="18"/>
              </w:rPr>
              <w:t xml:space="preserve"> </w:t>
            </w:r>
            <w:r>
              <w:rPr>
                <w:rFonts w:hint="eastAsia"/>
                <w:sz w:val="18"/>
              </w:rPr>
              <w:t>135</w:t>
            </w:r>
            <w:r>
              <w:rPr>
                <w:sz w:val="18"/>
              </w:rPr>
              <w:t xml:space="preserve"> </w:t>
            </w:r>
            <w:r>
              <w:rPr>
                <w:rFonts w:hint="eastAsia"/>
                <w:sz w:val="18"/>
              </w:rPr>
              <w:t>448</w:t>
            </w:r>
          </w:p>
        </w:tc>
      </w:tr>
      <w:tr w:rsidR="00312ECE">
        <w:tblPrEx>
          <w:tblCellMar>
            <w:top w:w="0" w:type="dxa"/>
            <w:bottom w:w="0" w:type="dxa"/>
          </w:tblCellMar>
        </w:tblPrEx>
        <w:tc>
          <w:tcPr>
            <w:tcW w:w="970" w:type="pct"/>
          </w:tcPr>
          <w:p w:rsidR="00312ECE" w:rsidRDefault="00312ECE">
            <w:pPr>
              <w:spacing w:before="40" w:after="40" w:line="240" w:lineRule="exact"/>
              <w:rPr>
                <w:rFonts w:hint="eastAsia"/>
                <w:sz w:val="18"/>
              </w:rPr>
            </w:pPr>
            <w:r>
              <w:rPr>
                <w:rFonts w:hint="eastAsia"/>
                <w:sz w:val="18"/>
              </w:rPr>
              <w:t>1998年</w:t>
            </w:r>
          </w:p>
        </w:tc>
        <w:tc>
          <w:tcPr>
            <w:tcW w:w="1025" w:type="pct"/>
          </w:tcPr>
          <w:p w:rsidR="00312ECE" w:rsidRDefault="00312ECE">
            <w:pPr>
              <w:spacing w:before="40" w:after="40" w:line="240" w:lineRule="exact"/>
              <w:jc w:val="center"/>
              <w:rPr>
                <w:rFonts w:hint="eastAsia"/>
                <w:sz w:val="18"/>
              </w:rPr>
            </w:pPr>
            <w:r>
              <w:rPr>
                <w:rFonts w:hint="eastAsia"/>
                <w:sz w:val="18"/>
              </w:rPr>
              <w:t>194</w:t>
            </w:r>
            <w:r>
              <w:rPr>
                <w:sz w:val="18"/>
              </w:rPr>
              <w:t xml:space="preserve"> </w:t>
            </w:r>
            <w:r>
              <w:rPr>
                <w:rFonts w:hint="eastAsia"/>
                <w:sz w:val="18"/>
              </w:rPr>
              <w:t>961</w:t>
            </w:r>
          </w:p>
        </w:tc>
        <w:tc>
          <w:tcPr>
            <w:tcW w:w="1025" w:type="pct"/>
          </w:tcPr>
          <w:p w:rsidR="00312ECE" w:rsidRDefault="00312ECE">
            <w:pPr>
              <w:spacing w:before="40" w:after="40" w:line="240" w:lineRule="exact"/>
              <w:jc w:val="center"/>
              <w:rPr>
                <w:rFonts w:hint="eastAsia"/>
                <w:sz w:val="18"/>
              </w:rPr>
            </w:pPr>
            <w:r>
              <w:rPr>
                <w:rFonts w:hint="eastAsia"/>
                <w:sz w:val="18"/>
              </w:rPr>
              <w:t>268</w:t>
            </w:r>
            <w:r>
              <w:rPr>
                <w:sz w:val="18"/>
              </w:rPr>
              <w:t xml:space="preserve"> </w:t>
            </w:r>
            <w:r>
              <w:rPr>
                <w:rFonts w:hint="eastAsia"/>
                <w:sz w:val="18"/>
              </w:rPr>
              <w:t>619</w:t>
            </w:r>
          </w:p>
        </w:tc>
        <w:tc>
          <w:tcPr>
            <w:tcW w:w="992" w:type="pct"/>
          </w:tcPr>
          <w:p w:rsidR="00312ECE" w:rsidRDefault="00312ECE">
            <w:pPr>
              <w:spacing w:before="40" w:after="40" w:line="240" w:lineRule="exact"/>
              <w:jc w:val="center"/>
              <w:rPr>
                <w:rFonts w:hint="eastAsia"/>
                <w:sz w:val="18"/>
              </w:rPr>
            </w:pPr>
            <w:r>
              <w:rPr>
                <w:rFonts w:hint="eastAsia"/>
                <w:sz w:val="18"/>
              </w:rPr>
              <w:t>3</w:t>
            </w:r>
            <w:r>
              <w:rPr>
                <w:sz w:val="18"/>
              </w:rPr>
              <w:t xml:space="preserve"> </w:t>
            </w:r>
            <w:r>
              <w:rPr>
                <w:rFonts w:hint="eastAsia"/>
                <w:sz w:val="18"/>
              </w:rPr>
              <w:t>244</w:t>
            </w:r>
            <w:r>
              <w:rPr>
                <w:sz w:val="18"/>
              </w:rPr>
              <w:t xml:space="preserve"> </w:t>
            </w:r>
            <w:r>
              <w:rPr>
                <w:rFonts w:hint="eastAsia"/>
                <w:sz w:val="18"/>
              </w:rPr>
              <w:t>590</w:t>
            </w:r>
          </w:p>
        </w:tc>
        <w:tc>
          <w:tcPr>
            <w:tcW w:w="988" w:type="pct"/>
          </w:tcPr>
          <w:p w:rsidR="00312ECE" w:rsidRDefault="00312ECE">
            <w:pPr>
              <w:spacing w:before="40" w:after="40" w:line="240" w:lineRule="exact"/>
              <w:jc w:val="center"/>
              <w:rPr>
                <w:rFonts w:hint="eastAsia"/>
                <w:sz w:val="18"/>
              </w:rPr>
            </w:pPr>
            <w:r>
              <w:rPr>
                <w:rFonts w:hint="eastAsia"/>
                <w:sz w:val="18"/>
              </w:rPr>
              <w:t>6</w:t>
            </w:r>
            <w:r>
              <w:rPr>
                <w:sz w:val="18"/>
              </w:rPr>
              <w:t xml:space="preserve"> </w:t>
            </w:r>
            <w:r>
              <w:rPr>
                <w:rFonts w:hint="eastAsia"/>
                <w:sz w:val="18"/>
              </w:rPr>
              <w:t>211</w:t>
            </w:r>
            <w:r>
              <w:rPr>
                <w:sz w:val="18"/>
              </w:rPr>
              <w:t xml:space="preserve"> </w:t>
            </w:r>
            <w:r>
              <w:rPr>
                <w:rFonts w:hint="eastAsia"/>
                <w:sz w:val="18"/>
              </w:rPr>
              <w:t>437</w:t>
            </w:r>
          </w:p>
        </w:tc>
      </w:tr>
      <w:tr w:rsidR="00312ECE">
        <w:tblPrEx>
          <w:tblCellMar>
            <w:top w:w="0" w:type="dxa"/>
            <w:bottom w:w="0" w:type="dxa"/>
          </w:tblCellMar>
        </w:tblPrEx>
        <w:tc>
          <w:tcPr>
            <w:tcW w:w="970" w:type="pct"/>
          </w:tcPr>
          <w:p w:rsidR="00312ECE" w:rsidRDefault="00312ECE">
            <w:pPr>
              <w:spacing w:before="40" w:after="40" w:line="240" w:lineRule="exact"/>
              <w:rPr>
                <w:rFonts w:hint="eastAsia"/>
                <w:sz w:val="18"/>
              </w:rPr>
            </w:pPr>
            <w:r>
              <w:rPr>
                <w:rFonts w:hint="eastAsia"/>
                <w:sz w:val="18"/>
              </w:rPr>
              <w:t>1999年</w:t>
            </w:r>
          </w:p>
        </w:tc>
        <w:tc>
          <w:tcPr>
            <w:tcW w:w="1025" w:type="pct"/>
          </w:tcPr>
          <w:p w:rsidR="00312ECE" w:rsidRDefault="00312ECE">
            <w:pPr>
              <w:spacing w:before="40" w:after="40" w:line="240" w:lineRule="exact"/>
              <w:jc w:val="center"/>
              <w:rPr>
                <w:rFonts w:hint="eastAsia"/>
                <w:sz w:val="18"/>
              </w:rPr>
            </w:pPr>
            <w:r>
              <w:rPr>
                <w:rFonts w:hint="eastAsia"/>
                <w:sz w:val="18"/>
              </w:rPr>
              <w:t>210</w:t>
            </w:r>
            <w:r>
              <w:rPr>
                <w:sz w:val="18"/>
              </w:rPr>
              <w:t xml:space="preserve"> </w:t>
            </w:r>
            <w:r>
              <w:rPr>
                <w:rFonts w:hint="eastAsia"/>
                <w:sz w:val="18"/>
              </w:rPr>
              <w:t>744</w:t>
            </w:r>
          </w:p>
        </w:tc>
        <w:tc>
          <w:tcPr>
            <w:tcW w:w="1025" w:type="pct"/>
          </w:tcPr>
          <w:p w:rsidR="00312ECE" w:rsidRDefault="00312ECE">
            <w:pPr>
              <w:spacing w:before="40" w:after="40" w:line="240" w:lineRule="exact"/>
              <w:jc w:val="center"/>
              <w:rPr>
                <w:rFonts w:hint="eastAsia"/>
                <w:sz w:val="18"/>
              </w:rPr>
            </w:pPr>
            <w:r>
              <w:rPr>
                <w:rFonts w:hint="eastAsia"/>
                <w:sz w:val="18"/>
              </w:rPr>
              <w:t>263</w:t>
            </w:r>
            <w:r>
              <w:rPr>
                <w:sz w:val="18"/>
              </w:rPr>
              <w:t xml:space="preserve"> </w:t>
            </w:r>
            <w:r>
              <w:rPr>
                <w:rFonts w:hint="eastAsia"/>
                <w:sz w:val="18"/>
              </w:rPr>
              <w:t>856</w:t>
            </w:r>
          </w:p>
        </w:tc>
        <w:tc>
          <w:tcPr>
            <w:tcW w:w="992" w:type="pct"/>
          </w:tcPr>
          <w:p w:rsidR="00312ECE" w:rsidRDefault="00312ECE">
            <w:pPr>
              <w:spacing w:before="40" w:after="40" w:line="240" w:lineRule="exact"/>
              <w:jc w:val="center"/>
              <w:rPr>
                <w:rFonts w:hint="eastAsia"/>
                <w:sz w:val="18"/>
              </w:rPr>
            </w:pPr>
            <w:r>
              <w:rPr>
                <w:rFonts w:hint="eastAsia"/>
                <w:sz w:val="18"/>
              </w:rPr>
              <w:t>3</w:t>
            </w:r>
            <w:r>
              <w:rPr>
                <w:sz w:val="18"/>
              </w:rPr>
              <w:t xml:space="preserve"> </w:t>
            </w:r>
            <w:r>
              <w:rPr>
                <w:rFonts w:hint="eastAsia"/>
                <w:sz w:val="18"/>
              </w:rPr>
              <w:t>436</w:t>
            </w:r>
            <w:r>
              <w:rPr>
                <w:sz w:val="18"/>
              </w:rPr>
              <w:t xml:space="preserve"> </w:t>
            </w:r>
            <w:r>
              <w:rPr>
                <w:rFonts w:hint="eastAsia"/>
                <w:sz w:val="18"/>
              </w:rPr>
              <w:t>536</w:t>
            </w:r>
          </w:p>
        </w:tc>
        <w:tc>
          <w:tcPr>
            <w:tcW w:w="988" w:type="pct"/>
          </w:tcPr>
          <w:p w:rsidR="00312ECE" w:rsidRDefault="00312ECE">
            <w:pPr>
              <w:spacing w:before="40" w:after="40" w:line="240" w:lineRule="exact"/>
              <w:jc w:val="center"/>
              <w:rPr>
                <w:rFonts w:hint="eastAsia"/>
                <w:sz w:val="18"/>
              </w:rPr>
            </w:pPr>
            <w:r>
              <w:rPr>
                <w:rFonts w:hint="eastAsia"/>
                <w:sz w:val="18"/>
              </w:rPr>
              <w:t>6</w:t>
            </w:r>
            <w:r>
              <w:rPr>
                <w:sz w:val="18"/>
              </w:rPr>
              <w:t xml:space="preserve"> </w:t>
            </w:r>
            <w:r>
              <w:rPr>
                <w:rFonts w:hint="eastAsia"/>
                <w:sz w:val="18"/>
              </w:rPr>
              <w:t>380</w:t>
            </w:r>
            <w:r>
              <w:rPr>
                <w:sz w:val="18"/>
              </w:rPr>
              <w:t xml:space="preserve"> </w:t>
            </w:r>
            <w:r>
              <w:rPr>
                <w:rFonts w:hint="eastAsia"/>
                <w:sz w:val="18"/>
              </w:rPr>
              <w:t>160</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224.  保健的一个重要指标是估计的婴儿预期寿命，在这方面，拉脱维亚表现出了性别上的差别（见下表）：估计的男性平均预期寿命为11岁，比女性短。</w:t>
      </w:r>
    </w:p>
    <w:p w:rsidR="00312ECE" w:rsidRDefault="00312ECE">
      <w:pPr>
        <w:pStyle w:val="SingleTxt"/>
        <w:rPr>
          <w:rFonts w:ascii="SimHei" w:eastAsia="SimHei" w:hint="eastAsia"/>
          <w:color w:val="FF0000"/>
        </w:rPr>
      </w:pPr>
      <w:r>
        <w:rPr>
          <w:rFonts w:ascii="SimHei" w:eastAsia="SimHei" w:hint="eastAsia"/>
          <w:color w:val="FF0000"/>
        </w:rPr>
        <w:t>估计的婴儿平均预期寿命</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8"/>
        <w:gridCol w:w="1079"/>
        <w:gridCol w:w="1081"/>
        <w:gridCol w:w="1079"/>
        <w:gridCol w:w="1081"/>
        <w:gridCol w:w="1079"/>
        <w:gridCol w:w="974"/>
      </w:tblGrid>
      <w:tr w:rsidR="00312ECE">
        <w:tblPrEx>
          <w:tblCellMar>
            <w:top w:w="0" w:type="dxa"/>
            <w:bottom w:w="0" w:type="dxa"/>
          </w:tblCellMar>
        </w:tblPrEx>
        <w:trPr>
          <w:cantSplit/>
        </w:trPr>
        <w:tc>
          <w:tcPr>
            <w:tcW w:w="677" w:type="pct"/>
            <w:vMerge w:val="restart"/>
          </w:tcPr>
          <w:p w:rsidR="00312ECE" w:rsidRDefault="00312ECE">
            <w:pPr>
              <w:spacing w:before="40" w:after="40" w:line="240" w:lineRule="exact"/>
              <w:jc w:val="center"/>
              <w:rPr>
                <w:rFonts w:ascii="KaiTi_GB2312" w:eastAsia="KaiTi_GB2312" w:hint="eastAsia"/>
                <w:color w:val="0000FF"/>
                <w:sz w:val="14"/>
              </w:rPr>
            </w:pPr>
          </w:p>
        </w:tc>
        <w:tc>
          <w:tcPr>
            <w:tcW w:w="1465" w:type="pct"/>
            <w:gridSpan w:val="2"/>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拉脱维亚</w:t>
            </w:r>
          </w:p>
        </w:tc>
        <w:tc>
          <w:tcPr>
            <w:tcW w:w="1465" w:type="pct"/>
            <w:gridSpan w:val="2"/>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城市/城镇</w:t>
            </w:r>
          </w:p>
        </w:tc>
        <w:tc>
          <w:tcPr>
            <w:tcW w:w="1393" w:type="pct"/>
            <w:gridSpan w:val="2"/>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农村地区</w:t>
            </w:r>
          </w:p>
        </w:tc>
      </w:tr>
      <w:tr w:rsidR="00312ECE">
        <w:tblPrEx>
          <w:tblCellMar>
            <w:top w:w="0" w:type="dxa"/>
            <w:bottom w:w="0" w:type="dxa"/>
          </w:tblCellMar>
        </w:tblPrEx>
        <w:trPr>
          <w:cantSplit/>
        </w:trPr>
        <w:tc>
          <w:tcPr>
            <w:tcW w:w="677" w:type="pct"/>
            <w:vMerge/>
          </w:tcPr>
          <w:p w:rsidR="00312ECE" w:rsidRDefault="00312ECE">
            <w:pPr>
              <w:spacing w:before="40" w:after="40" w:line="240" w:lineRule="exact"/>
              <w:jc w:val="center"/>
              <w:rPr>
                <w:rFonts w:ascii="KaiTi_GB2312" w:eastAsia="KaiTi_GB2312" w:hint="eastAsia"/>
                <w:color w:val="0000FF"/>
                <w:sz w:val="14"/>
              </w:rPr>
            </w:pPr>
          </w:p>
        </w:tc>
        <w:tc>
          <w:tcPr>
            <w:tcW w:w="732"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733"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c>
          <w:tcPr>
            <w:tcW w:w="732"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733"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c>
          <w:tcPr>
            <w:tcW w:w="732"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男子</w:t>
            </w:r>
          </w:p>
        </w:tc>
        <w:tc>
          <w:tcPr>
            <w:tcW w:w="661" w:type="pct"/>
          </w:tcPr>
          <w:p w:rsidR="00312ECE" w:rsidRDefault="00312ECE">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妇女</w:t>
            </w:r>
          </w:p>
        </w:tc>
      </w:tr>
      <w:tr w:rsidR="00312ECE">
        <w:tblPrEx>
          <w:tblCellMar>
            <w:top w:w="0" w:type="dxa"/>
            <w:bottom w:w="0" w:type="dxa"/>
          </w:tblCellMar>
        </w:tblPrEx>
        <w:tc>
          <w:tcPr>
            <w:tcW w:w="677" w:type="pct"/>
          </w:tcPr>
          <w:p w:rsidR="00312ECE" w:rsidRDefault="00312ECE">
            <w:pPr>
              <w:spacing w:before="40" w:after="40" w:line="240" w:lineRule="exact"/>
              <w:jc w:val="center"/>
              <w:rPr>
                <w:rFonts w:hint="eastAsia"/>
                <w:sz w:val="18"/>
              </w:rPr>
            </w:pPr>
            <w:r>
              <w:rPr>
                <w:rFonts w:hint="eastAsia"/>
                <w:sz w:val="18"/>
              </w:rPr>
              <w:t>1995年</w:t>
            </w:r>
          </w:p>
        </w:tc>
        <w:tc>
          <w:tcPr>
            <w:tcW w:w="732" w:type="pct"/>
          </w:tcPr>
          <w:p w:rsidR="00312ECE" w:rsidRDefault="00312ECE">
            <w:pPr>
              <w:spacing w:before="40" w:after="40" w:line="240" w:lineRule="exact"/>
              <w:jc w:val="center"/>
              <w:rPr>
                <w:sz w:val="18"/>
              </w:rPr>
            </w:pPr>
            <w:r>
              <w:rPr>
                <w:rFonts w:hint="eastAsia"/>
                <w:sz w:val="18"/>
              </w:rPr>
              <w:t>60.76</w:t>
            </w:r>
          </w:p>
        </w:tc>
        <w:tc>
          <w:tcPr>
            <w:tcW w:w="733" w:type="pct"/>
          </w:tcPr>
          <w:p w:rsidR="00312ECE" w:rsidRDefault="00312ECE">
            <w:pPr>
              <w:spacing w:before="40" w:after="40" w:line="240" w:lineRule="exact"/>
              <w:jc w:val="center"/>
              <w:rPr>
                <w:sz w:val="18"/>
              </w:rPr>
            </w:pPr>
            <w:r>
              <w:rPr>
                <w:sz w:val="18"/>
              </w:rPr>
              <w:t>73.10</w:t>
            </w:r>
          </w:p>
        </w:tc>
        <w:tc>
          <w:tcPr>
            <w:tcW w:w="732" w:type="pct"/>
          </w:tcPr>
          <w:p w:rsidR="00312ECE" w:rsidRDefault="00312ECE">
            <w:pPr>
              <w:spacing w:before="40" w:after="40" w:line="240" w:lineRule="exact"/>
              <w:jc w:val="center"/>
              <w:rPr>
                <w:sz w:val="18"/>
              </w:rPr>
            </w:pPr>
            <w:r>
              <w:rPr>
                <w:sz w:val="18"/>
              </w:rPr>
              <w:t>60.99</w:t>
            </w:r>
          </w:p>
        </w:tc>
        <w:tc>
          <w:tcPr>
            <w:tcW w:w="733" w:type="pct"/>
          </w:tcPr>
          <w:p w:rsidR="00312ECE" w:rsidRDefault="00312ECE">
            <w:pPr>
              <w:spacing w:before="40" w:after="40" w:line="240" w:lineRule="exact"/>
              <w:jc w:val="center"/>
              <w:rPr>
                <w:sz w:val="18"/>
              </w:rPr>
            </w:pPr>
            <w:r>
              <w:rPr>
                <w:sz w:val="18"/>
              </w:rPr>
              <w:t>73.82</w:t>
            </w:r>
          </w:p>
        </w:tc>
        <w:tc>
          <w:tcPr>
            <w:tcW w:w="732" w:type="pct"/>
          </w:tcPr>
          <w:p w:rsidR="00312ECE" w:rsidRDefault="00312ECE">
            <w:pPr>
              <w:spacing w:before="40" w:after="40" w:line="240" w:lineRule="exact"/>
              <w:jc w:val="center"/>
              <w:rPr>
                <w:sz w:val="18"/>
              </w:rPr>
            </w:pPr>
            <w:r>
              <w:rPr>
                <w:sz w:val="18"/>
              </w:rPr>
              <w:t>59.57</w:t>
            </w:r>
          </w:p>
        </w:tc>
        <w:tc>
          <w:tcPr>
            <w:tcW w:w="661" w:type="pct"/>
          </w:tcPr>
          <w:p w:rsidR="00312ECE" w:rsidRDefault="00312ECE">
            <w:pPr>
              <w:spacing w:before="40" w:after="40" w:line="240" w:lineRule="exact"/>
              <w:jc w:val="center"/>
              <w:rPr>
                <w:sz w:val="18"/>
              </w:rPr>
            </w:pPr>
            <w:r>
              <w:rPr>
                <w:sz w:val="18"/>
              </w:rPr>
              <w:t>72.74</w:t>
            </w:r>
          </w:p>
        </w:tc>
      </w:tr>
      <w:tr w:rsidR="00312ECE">
        <w:tblPrEx>
          <w:tblCellMar>
            <w:top w:w="0" w:type="dxa"/>
            <w:bottom w:w="0" w:type="dxa"/>
          </w:tblCellMar>
        </w:tblPrEx>
        <w:tc>
          <w:tcPr>
            <w:tcW w:w="677" w:type="pct"/>
          </w:tcPr>
          <w:p w:rsidR="00312ECE" w:rsidRDefault="00312ECE">
            <w:pPr>
              <w:spacing w:before="40" w:after="40" w:line="240" w:lineRule="exact"/>
              <w:jc w:val="center"/>
              <w:rPr>
                <w:rFonts w:hint="eastAsia"/>
                <w:sz w:val="18"/>
              </w:rPr>
            </w:pPr>
            <w:r>
              <w:rPr>
                <w:rFonts w:hint="eastAsia"/>
                <w:sz w:val="18"/>
              </w:rPr>
              <w:t>1996年</w:t>
            </w:r>
          </w:p>
        </w:tc>
        <w:tc>
          <w:tcPr>
            <w:tcW w:w="732" w:type="pct"/>
          </w:tcPr>
          <w:p w:rsidR="00312ECE" w:rsidRDefault="00312ECE">
            <w:pPr>
              <w:spacing w:before="40" w:after="40" w:line="240" w:lineRule="exact"/>
              <w:jc w:val="center"/>
              <w:rPr>
                <w:sz w:val="18"/>
              </w:rPr>
            </w:pPr>
            <w:r>
              <w:rPr>
                <w:sz w:val="18"/>
              </w:rPr>
              <w:t>63.94</w:t>
            </w:r>
          </w:p>
        </w:tc>
        <w:tc>
          <w:tcPr>
            <w:tcW w:w="733" w:type="pct"/>
          </w:tcPr>
          <w:p w:rsidR="00312ECE" w:rsidRDefault="00312ECE">
            <w:pPr>
              <w:spacing w:before="40" w:after="40" w:line="240" w:lineRule="exact"/>
              <w:jc w:val="center"/>
              <w:rPr>
                <w:sz w:val="18"/>
              </w:rPr>
            </w:pPr>
            <w:r>
              <w:rPr>
                <w:sz w:val="18"/>
              </w:rPr>
              <w:t>75.62</w:t>
            </w:r>
          </w:p>
        </w:tc>
        <w:tc>
          <w:tcPr>
            <w:tcW w:w="732" w:type="pct"/>
          </w:tcPr>
          <w:p w:rsidR="00312ECE" w:rsidRDefault="00312ECE">
            <w:pPr>
              <w:spacing w:before="40" w:after="40" w:line="240" w:lineRule="exact"/>
              <w:jc w:val="center"/>
              <w:rPr>
                <w:sz w:val="18"/>
              </w:rPr>
            </w:pPr>
            <w:r>
              <w:rPr>
                <w:sz w:val="18"/>
              </w:rPr>
              <w:t>64.25</w:t>
            </w:r>
          </w:p>
        </w:tc>
        <w:tc>
          <w:tcPr>
            <w:tcW w:w="733" w:type="pct"/>
          </w:tcPr>
          <w:p w:rsidR="00312ECE" w:rsidRDefault="00312ECE">
            <w:pPr>
              <w:spacing w:before="40" w:after="40" w:line="240" w:lineRule="exact"/>
              <w:jc w:val="center"/>
              <w:rPr>
                <w:sz w:val="18"/>
              </w:rPr>
            </w:pPr>
            <w:r>
              <w:rPr>
                <w:sz w:val="18"/>
              </w:rPr>
              <w:t>75.97</w:t>
            </w:r>
          </w:p>
        </w:tc>
        <w:tc>
          <w:tcPr>
            <w:tcW w:w="732" w:type="pct"/>
          </w:tcPr>
          <w:p w:rsidR="00312ECE" w:rsidRDefault="00312ECE">
            <w:pPr>
              <w:spacing w:before="40" w:after="40" w:line="240" w:lineRule="exact"/>
              <w:jc w:val="center"/>
              <w:rPr>
                <w:sz w:val="18"/>
              </w:rPr>
            </w:pPr>
            <w:r>
              <w:rPr>
                <w:sz w:val="18"/>
              </w:rPr>
              <w:t>61.42</w:t>
            </w:r>
          </w:p>
        </w:tc>
        <w:tc>
          <w:tcPr>
            <w:tcW w:w="661" w:type="pct"/>
          </w:tcPr>
          <w:p w:rsidR="00312ECE" w:rsidRDefault="00312ECE">
            <w:pPr>
              <w:spacing w:before="40" w:after="40" w:line="240" w:lineRule="exact"/>
              <w:jc w:val="center"/>
              <w:rPr>
                <w:sz w:val="18"/>
              </w:rPr>
            </w:pPr>
            <w:r>
              <w:rPr>
                <w:sz w:val="18"/>
              </w:rPr>
              <w:t>74.93</w:t>
            </w:r>
          </w:p>
        </w:tc>
      </w:tr>
      <w:tr w:rsidR="00312ECE">
        <w:tblPrEx>
          <w:tblCellMar>
            <w:top w:w="0" w:type="dxa"/>
            <w:bottom w:w="0" w:type="dxa"/>
          </w:tblCellMar>
        </w:tblPrEx>
        <w:tc>
          <w:tcPr>
            <w:tcW w:w="677" w:type="pct"/>
          </w:tcPr>
          <w:p w:rsidR="00312ECE" w:rsidRDefault="00312ECE">
            <w:pPr>
              <w:spacing w:before="40" w:after="40" w:line="240" w:lineRule="exact"/>
              <w:jc w:val="center"/>
              <w:rPr>
                <w:rFonts w:hint="eastAsia"/>
                <w:sz w:val="18"/>
              </w:rPr>
            </w:pPr>
            <w:r>
              <w:rPr>
                <w:rFonts w:hint="eastAsia"/>
                <w:sz w:val="18"/>
              </w:rPr>
              <w:t>1997年</w:t>
            </w:r>
          </w:p>
        </w:tc>
        <w:tc>
          <w:tcPr>
            <w:tcW w:w="732" w:type="pct"/>
          </w:tcPr>
          <w:p w:rsidR="00312ECE" w:rsidRDefault="00312ECE">
            <w:pPr>
              <w:spacing w:before="40" w:after="40" w:line="240" w:lineRule="exact"/>
              <w:jc w:val="center"/>
              <w:rPr>
                <w:sz w:val="18"/>
              </w:rPr>
            </w:pPr>
            <w:r>
              <w:rPr>
                <w:sz w:val="18"/>
              </w:rPr>
              <w:t>64.21</w:t>
            </w:r>
          </w:p>
        </w:tc>
        <w:tc>
          <w:tcPr>
            <w:tcW w:w="733" w:type="pct"/>
          </w:tcPr>
          <w:p w:rsidR="00312ECE" w:rsidRDefault="00312ECE">
            <w:pPr>
              <w:spacing w:before="40" w:after="40" w:line="240" w:lineRule="exact"/>
              <w:jc w:val="center"/>
              <w:rPr>
                <w:sz w:val="18"/>
              </w:rPr>
            </w:pPr>
            <w:r>
              <w:rPr>
                <w:sz w:val="18"/>
              </w:rPr>
              <w:t>75.88</w:t>
            </w:r>
          </w:p>
        </w:tc>
        <w:tc>
          <w:tcPr>
            <w:tcW w:w="732" w:type="pct"/>
          </w:tcPr>
          <w:p w:rsidR="00312ECE" w:rsidRDefault="00312ECE">
            <w:pPr>
              <w:spacing w:before="40" w:after="40" w:line="240" w:lineRule="exact"/>
              <w:jc w:val="center"/>
              <w:rPr>
                <w:sz w:val="18"/>
              </w:rPr>
            </w:pPr>
            <w:r>
              <w:rPr>
                <w:sz w:val="18"/>
              </w:rPr>
              <w:t>65.21</w:t>
            </w:r>
          </w:p>
        </w:tc>
        <w:tc>
          <w:tcPr>
            <w:tcW w:w="733" w:type="pct"/>
          </w:tcPr>
          <w:p w:rsidR="00312ECE" w:rsidRDefault="00312ECE">
            <w:pPr>
              <w:spacing w:before="40" w:after="40" w:line="240" w:lineRule="exact"/>
              <w:jc w:val="center"/>
              <w:rPr>
                <w:sz w:val="18"/>
              </w:rPr>
            </w:pPr>
            <w:r>
              <w:rPr>
                <w:sz w:val="18"/>
              </w:rPr>
              <w:t>76.05</w:t>
            </w:r>
          </w:p>
        </w:tc>
        <w:tc>
          <w:tcPr>
            <w:tcW w:w="732" w:type="pct"/>
          </w:tcPr>
          <w:p w:rsidR="00312ECE" w:rsidRDefault="00312ECE">
            <w:pPr>
              <w:spacing w:before="40" w:after="40" w:line="240" w:lineRule="exact"/>
              <w:jc w:val="center"/>
              <w:rPr>
                <w:sz w:val="18"/>
              </w:rPr>
            </w:pPr>
            <w:r>
              <w:rPr>
                <w:sz w:val="18"/>
              </w:rPr>
              <w:t>62.85</w:t>
            </w:r>
          </w:p>
        </w:tc>
        <w:tc>
          <w:tcPr>
            <w:tcW w:w="661" w:type="pct"/>
          </w:tcPr>
          <w:p w:rsidR="00312ECE" w:rsidRDefault="00312ECE">
            <w:pPr>
              <w:spacing w:before="40" w:after="40" w:line="240" w:lineRule="exact"/>
              <w:jc w:val="center"/>
              <w:rPr>
                <w:sz w:val="18"/>
              </w:rPr>
            </w:pPr>
            <w:r>
              <w:rPr>
                <w:sz w:val="18"/>
              </w:rPr>
              <w:t>75.36</w:t>
            </w:r>
          </w:p>
        </w:tc>
      </w:tr>
      <w:tr w:rsidR="00312ECE">
        <w:tblPrEx>
          <w:tblCellMar>
            <w:top w:w="0" w:type="dxa"/>
            <w:bottom w:w="0" w:type="dxa"/>
          </w:tblCellMar>
        </w:tblPrEx>
        <w:tc>
          <w:tcPr>
            <w:tcW w:w="677" w:type="pct"/>
          </w:tcPr>
          <w:p w:rsidR="00312ECE" w:rsidRDefault="00312ECE">
            <w:pPr>
              <w:spacing w:before="40" w:after="40" w:line="240" w:lineRule="exact"/>
              <w:jc w:val="center"/>
              <w:rPr>
                <w:rFonts w:hint="eastAsia"/>
                <w:sz w:val="18"/>
              </w:rPr>
            </w:pPr>
            <w:r>
              <w:rPr>
                <w:rFonts w:hint="eastAsia"/>
                <w:sz w:val="18"/>
              </w:rPr>
              <w:t>1998年</w:t>
            </w:r>
          </w:p>
        </w:tc>
        <w:tc>
          <w:tcPr>
            <w:tcW w:w="732" w:type="pct"/>
          </w:tcPr>
          <w:p w:rsidR="00312ECE" w:rsidRDefault="00312ECE">
            <w:pPr>
              <w:spacing w:before="40" w:after="40" w:line="240" w:lineRule="exact"/>
              <w:jc w:val="center"/>
              <w:rPr>
                <w:sz w:val="18"/>
              </w:rPr>
            </w:pPr>
            <w:r>
              <w:rPr>
                <w:sz w:val="18"/>
              </w:rPr>
              <w:t>64.08</w:t>
            </w:r>
          </w:p>
        </w:tc>
        <w:tc>
          <w:tcPr>
            <w:tcW w:w="733" w:type="pct"/>
          </w:tcPr>
          <w:p w:rsidR="00312ECE" w:rsidRDefault="00312ECE">
            <w:pPr>
              <w:spacing w:before="40" w:after="40" w:line="240" w:lineRule="exact"/>
              <w:jc w:val="center"/>
              <w:rPr>
                <w:sz w:val="18"/>
              </w:rPr>
            </w:pPr>
            <w:r>
              <w:rPr>
                <w:sz w:val="18"/>
              </w:rPr>
              <w:t>75.54</w:t>
            </w:r>
          </w:p>
        </w:tc>
        <w:tc>
          <w:tcPr>
            <w:tcW w:w="732" w:type="pct"/>
          </w:tcPr>
          <w:p w:rsidR="00312ECE" w:rsidRDefault="00312ECE">
            <w:pPr>
              <w:spacing w:before="40" w:after="40" w:line="240" w:lineRule="exact"/>
              <w:jc w:val="center"/>
              <w:rPr>
                <w:sz w:val="18"/>
              </w:rPr>
            </w:pPr>
            <w:r>
              <w:rPr>
                <w:sz w:val="18"/>
              </w:rPr>
              <w:t>65.17</w:t>
            </w:r>
          </w:p>
        </w:tc>
        <w:tc>
          <w:tcPr>
            <w:tcW w:w="733" w:type="pct"/>
          </w:tcPr>
          <w:p w:rsidR="00312ECE" w:rsidRDefault="00312ECE">
            <w:pPr>
              <w:spacing w:before="40" w:after="40" w:line="240" w:lineRule="exact"/>
              <w:jc w:val="center"/>
              <w:rPr>
                <w:sz w:val="18"/>
              </w:rPr>
            </w:pPr>
            <w:r>
              <w:rPr>
                <w:sz w:val="18"/>
              </w:rPr>
              <w:t>75.88</w:t>
            </w:r>
          </w:p>
        </w:tc>
        <w:tc>
          <w:tcPr>
            <w:tcW w:w="732" w:type="pct"/>
          </w:tcPr>
          <w:p w:rsidR="00312ECE" w:rsidRDefault="00312ECE">
            <w:pPr>
              <w:spacing w:before="40" w:after="40" w:line="240" w:lineRule="exact"/>
              <w:jc w:val="center"/>
              <w:rPr>
                <w:sz w:val="18"/>
              </w:rPr>
            </w:pPr>
            <w:r>
              <w:rPr>
                <w:sz w:val="18"/>
              </w:rPr>
              <w:t>62.16</w:t>
            </w:r>
          </w:p>
        </w:tc>
        <w:tc>
          <w:tcPr>
            <w:tcW w:w="661" w:type="pct"/>
          </w:tcPr>
          <w:p w:rsidR="00312ECE" w:rsidRDefault="00312ECE">
            <w:pPr>
              <w:spacing w:before="40" w:after="40" w:line="240" w:lineRule="exact"/>
              <w:jc w:val="center"/>
              <w:rPr>
                <w:sz w:val="18"/>
              </w:rPr>
            </w:pPr>
            <w:r>
              <w:rPr>
                <w:sz w:val="18"/>
              </w:rPr>
              <w:t>74.87</w:t>
            </w:r>
          </w:p>
        </w:tc>
      </w:tr>
      <w:tr w:rsidR="00312ECE">
        <w:tblPrEx>
          <w:tblCellMar>
            <w:top w:w="0" w:type="dxa"/>
            <w:bottom w:w="0" w:type="dxa"/>
          </w:tblCellMar>
        </w:tblPrEx>
        <w:tc>
          <w:tcPr>
            <w:tcW w:w="677" w:type="pct"/>
          </w:tcPr>
          <w:p w:rsidR="00312ECE" w:rsidRDefault="00312ECE">
            <w:pPr>
              <w:spacing w:before="40" w:after="40" w:line="240" w:lineRule="exact"/>
              <w:jc w:val="center"/>
              <w:rPr>
                <w:rFonts w:hint="eastAsia"/>
                <w:sz w:val="18"/>
              </w:rPr>
            </w:pPr>
            <w:r>
              <w:rPr>
                <w:rFonts w:hint="eastAsia"/>
                <w:sz w:val="18"/>
              </w:rPr>
              <w:t>1999年</w:t>
            </w:r>
          </w:p>
        </w:tc>
        <w:tc>
          <w:tcPr>
            <w:tcW w:w="732" w:type="pct"/>
          </w:tcPr>
          <w:p w:rsidR="00312ECE" w:rsidRDefault="00312ECE">
            <w:pPr>
              <w:spacing w:before="40" w:after="40" w:line="240" w:lineRule="exact"/>
              <w:jc w:val="center"/>
              <w:rPr>
                <w:sz w:val="18"/>
              </w:rPr>
            </w:pPr>
            <w:r>
              <w:rPr>
                <w:sz w:val="18"/>
              </w:rPr>
              <w:t>64.89</w:t>
            </w:r>
          </w:p>
        </w:tc>
        <w:tc>
          <w:tcPr>
            <w:tcW w:w="733" w:type="pct"/>
          </w:tcPr>
          <w:p w:rsidR="00312ECE" w:rsidRDefault="00312ECE">
            <w:pPr>
              <w:spacing w:before="40" w:after="40" w:line="240" w:lineRule="exact"/>
              <w:jc w:val="center"/>
              <w:rPr>
                <w:sz w:val="18"/>
              </w:rPr>
            </w:pPr>
            <w:r>
              <w:rPr>
                <w:sz w:val="18"/>
              </w:rPr>
              <w:t>76.20</w:t>
            </w:r>
          </w:p>
        </w:tc>
        <w:tc>
          <w:tcPr>
            <w:tcW w:w="732" w:type="pct"/>
          </w:tcPr>
          <w:p w:rsidR="00312ECE" w:rsidRDefault="00312ECE">
            <w:pPr>
              <w:spacing w:before="40" w:after="40" w:line="240" w:lineRule="exact"/>
              <w:jc w:val="center"/>
              <w:rPr>
                <w:sz w:val="18"/>
              </w:rPr>
            </w:pPr>
            <w:r>
              <w:rPr>
                <w:sz w:val="18"/>
              </w:rPr>
              <w:t>65.70</w:t>
            </w:r>
          </w:p>
        </w:tc>
        <w:tc>
          <w:tcPr>
            <w:tcW w:w="733" w:type="pct"/>
          </w:tcPr>
          <w:p w:rsidR="00312ECE" w:rsidRDefault="00312ECE">
            <w:pPr>
              <w:spacing w:before="40" w:after="40" w:line="240" w:lineRule="exact"/>
              <w:jc w:val="center"/>
              <w:rPr>
                <w:sz w:val="18"/>
              </w:rPr>
            </w:pPr>
            <w:r>
              <w:rPr>
                <w:sz w:val="18"/>
              </w:rPr>
              <w:t>76.24</w:t>
            </w:r>
          </w:p>
        </w:tc>
        <w:tc>
          <w:tcPr>
            <w:tcW w:w="732" w:type="pct"/>
          </w:tcPr>
          <w:p w:rsidR="00312ECE" w:rsidRDefault="00312ECE">
            <w:pPr>
              <w:spacing w:before="40" w:after="40" w:line="240" w:lineRule="exact"/>
              <w:jc w:val="center"/>
              <w:rPr>
                <w:sz w:val="18"/>
              </w:rPr>
            </w:pPr>
            <w:r>
              <w:rPr>
                <w:sz w:val="18"/>
              </w:rPr>
              <w:t>63.67</w:t>
            </w:r>
          </w:p>
        </w:tc>
        <w:tc>
          <w:tcPr>
            <w:tcW w:w="661" w:type="pct"/>
          </w:tcPr>
          <w:p w:rsidR="00312ECE" w:rsidRDefault="00312ECE">
            <w:pPr>
              <w:spacing w:before="40" w:after="40" w:line="240" w:lineRule="exact"/>
              <w:jc w:val="center"/>
              <w:rPr>
                <w:sz w:val="18"/>
              </w:rPr>
            </w:pPr>
            <w:r>
              <w:rPr>
                <w:sz w:val="18"/>
              </w:rPr>
              <w:t>75.93</w:t>
            </w:r>
          </w:p>
        </w:tc>
      </w:tr>
      <w:tr w:rsidR="00312ECE">
        <w:tblPrEx>
          <w:tblCellMar>
            <w:top w:w="0" w:type="dxa"/>
            <w:bottom w:w="0" w:type="dxa"/>
          </w:tblCellMar>
        </w:tblPrEx>
        <w:tc>
          <w:tcPr>
            <w:tcW w:w="677" w:type="pct"/>
          </w:tcPr>
          <w:p w:rsidR="00312ECE" w:rsidRDefault="00312ECE">
            <w:pPr>
              <w:spacing w:before="40" w:after="40" w:line="240" w:lineRule="exact"/>
              <w:jc w:val="center"/>
              <w:rPr>
                <w:rFonts w:hint="eastAsia"/>
                <w:sz w:val="18"/>
              </w:rPr>
            </w:pPr>
            <w:r>
              <w:rPr>
                <w:rFonts w:hint="eastAsia"/>
                <w:sz w:val="18"/>
              </w:rPr>
              <w:t>2000年</w:t>
            </w:r>
          </w:p>
        </w:tc>
        <w:tc>
          <w:tcPr>
            <w:tcW w:w="732" w:type="pct"/>
          </w:tcPr>
          <w:p w:rsidR="00312ECE" w:rsidRDefault="00312ECE">
            <w:pPr>
              <w:spacing w:before="40" w:after="40" w:line="240" w:lineRule="exact"/>
              <w:jc w:val="center"/>
              <w:rPr>
                <w:sz w:val="18"/>
              </w:rPr>
            </w:pPr>
            <w:r>
              <w:rPr>
                <w:sz w:val="18"/>
              </w:rPr>
              <w:t>64.93</w:t>
            </w:r>
          </w:p>
        </w:tc>
        <w:tc>
          <w:tcPr>
            <w:tcW w:w="733" w:type="pct"/>
          </w:tcPr>
          <w:p w:rsidR="00312ECE" w:rsidRDefault="00312ECE">
            <w:pPr>
              <w:spacing w:before="40" w:after="40" w:line="240" w:lineRule="exact"/>
              <w:jc w:val="center"/>
              <w:rPr>
                <w:sz w:val="18"/>
              </w:rPr>
            </w:pPr>
            <w:r>
              <w:rPr>
                <w:sz w:val="18"/>
              </w:rPr>
              <w:t>75.98</w:t>
            </w:r>
          </w:p>
        </w:tc>
        <w:tc>
          <w:tcPr>
            <w:tcW w:w="732" w:type="pct"/>
          </w:tcPr>
          <w:p w:rsidR="00312ECE" w:rsidRDefault="00312ECE">
            <w:pPr>
              <w:spacing w:before="40" w:after="40" w:line="240" w:lineRule="exact"/>
              <w:jc w:val="center"/>
              <w:rPr>
                <w:sz w:val="18"/>
              </w:rPr>
            </w:pPr>
            <w:r>
              <w:rPr>
                <w:sz w:val="18"/>
              </w:rPr>
              <w:t>65.99</w:t>
            </w:r>
          </w:p>
        </w:tc>
        <w:tc>
          <w:tcPr>
            <w:tcW w:w="733" w:type="pct"/>
          </w:tcPr>
          <w:p w:rsidR="00312ECE" w:rsidRDefault="00312ECE">
            <w:pPr>
              <w:spacing w:before="40" w:after="40" w:line="240" w:lineRule="exact"/>
              <w:jc w:val="center"/>
              <w:rPr>
                <w:sz w:val="18"/>
              </w:rPr>
            </w:pPr>
            <w:r>
              <w:rPr>
                <w:sz w:val="18"/>
              </w:rPr>
              <w:t>76.64</w:t>
            </w:r>
          </w:p>
        </w:tc>
        <w:tc>
          <w:tcPr>
            <w:tcW w:w="732" w:type="pct"/>
          </w:tcPr>
          <w:p w:rsidR="00312ECE" w:rsidRDefault="00312ECE">
            <w:pPr>
              <w:spacing w:before="40" w:after="40" w:line="240" w:lineRule="exact"/>
              <w:jc w:val="center"/>
              <w:rPr>
                <w:sz w:val="18"/>
              </w:rPr>
            </w:pPr>
            <w:r>
              <w:rPr>
                <w:sz w:val="18"/>
              </w:rPr>
              <w:t>63.46</w:t>
            </w:r>
          </w:p>
        </w:tc>
        <w:tc>
          <w:tcPr>
            <w:tcW w:w="661" w:type="pct"/>
          </w:tcPr>
          <w:p w:rsidR="00312ECE" w:rsidRDefault="00312ECE">
            <w:pPr>
              <w:spacing w:before="40" w:after="40" w:line="240" w:lineRule="exact"/>
              <w:jc w:val="center"/>
              <w:rPr>
                <w:sz w:val="18"/>
              </w:rPr>
            </w:pPr>
            <w:r>
              <w:rPr>
                <w:sz w:val="18"/>
              </w:rPr>
              <w:t>75.76</w:t>
            </w:r>
          </w:p>
        </w:tc>
      </w:tr>
    </w:tbl>
    <w:p w:rsidR="00312ECE" w:rsidRDefault="00312ECE">
      <w:pPr>
        <w:pStyle w:val="SingleTxt"/>
        <w:rPr>
          <w:rFonts w:hint="eastAsia"/>
        </w:rPr>
      </w:pPr>
      <w:r>
        <w:rPr>
          <w:rFonts w:hint="eastAsia"/>
        </w:rPr>
        <w:t>225.  艾滋病毒/艾滋病在拉脱维亚的传播迅速加快。2000年，登记的艾滋病毒新病例为467例，艾滋病新病例24例。2000年的艾滋病毒发病率达到每10万居民19.14例。2000年死亡10人，其中有3人死于艾滋病。患者主要由15-49岁的人组成，此外，男子的人数比妇女高出三倍。艾滋病毒在拉脱维亚传播的途径是静脉注射毒品使用者之间的血液传染以及共用针管和针头的传染。艾滋病毒病例的数量增加，被感染妇女的人数也增加。因此，异性恋传播及艾滋病毒纵向传播（母亲-婴儿）有扩大的危险。目前，感染艾滋病毒的妇女有15人生育了子女，两名子女经诊断受到感染，4名健康状况良好的子女已经从记录中删去。1999年的情况显示，除拉脱维亚传统艾滋病毒风险群体外，静脉注射毒品使用者、罪犯、同性恋者、具有风险型行为的异性恋者、新的易受害有关风险群体也是育龄妇女、孕妇及年龄在15-19岁的青年人。根据艾滋病预防中心的数据，艾滋病毒呈阳性的妇女有四分之一通过性接触感染，此外，这种类型的感染常常有扩大的趋势。鉴于上述事实，以这种方式感染的风险，妇女是男子的2-4倍，这种趋势使妇女的状况进一步恶化。</w:t>
      </w:r>
    </w:p>
    <w:p w:rsidR="00312ECE" w:rsidRDefault="00312ECE">
      <w:pPr>
        <w:pStyle w:val="SingleTxt"/>
        <w:rPr>
          <w:rFonts w:hint="eastAsia"/>
        </w:rPr>
      </w:pPr>
      <w:r>
        <w:rPr>
          <w:rFonts w:hint="eastAsia"/>
        </w:rPr>
        <w:t>226.  目前，拉脱维亚感染艾滋病毒的妇女有55%年龄在20-29之间，其中78%是吸毒者。拉脱维亚男性与女性对感染艾滋病毒的态度有保留；公众认为这种感染与吸毒有关。公众对感染艾滋病毒的妇女相对持甚至更多的保留态度，原因是该妇女做了母亲后，有可能将其不治之症传给下一代。大多数这类妇女在她们的生活中从来没有遇到过其他艾滋病毒呈阳性的妇女。艾滋病毒呈阳性的妇女遭到社区的拒绝。不过，在多数情况下，这些妇女是其家庭物质福利的主要提供者，她们在家庭中继续发挥着重要作用。</w:t>
      </w:r>
    </w:p>
    <w:p w:rsidR="00312ECE" w:rsidRDefault="00312ECE">
      <w:pPr>
        <w:pStyle w:val="SingleTxt"/>
        <w:rPr>
          <w:rFonts w:ascii="SimHei" w:eastAsia="SimHei" w:hint="eastAsia"/>
          <w:color w:val="FF0000"/>
        </w:rPr>
      </w:pPr>
      <w:r>
        <w:rPr>
          <w:rFonts w:ascii="SimHei" w:eastAsia="SimHei" w:hint="eastAsia"/>
          <w:color w:val="FF0000"/>
        </w:rPr>
        <w:t>艾滋病毒感染率</w:t>
      </w:r>
    </w:p>
    <w:tbl>
      <w:tblPr>
        <w:tblW w:w="7422"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45"/>
        <w:gridCol w:w="528"/>
        <w:gridCol w:w="477"/>
        <w:gridCol w:w="526"/>
        <w:gridCol w:w="408"/>
        <w:gridCol w:w="534"/>
        <w:gridCol w:w="534"/>
        <w:gridCol w:w="534"/>
        <w:gridCol w:w="534"/>
        <w:gridCol w:w="534"/>
        <w:gridCol w:w="534"/>
        <w:gridCol w:w="534"/>
        <w:gridCol w:w="500"/>
      </w:tblGrid>
      <w:tr w:rsidR="00312ECE">
        <w:tblPrEx>
          <w:tblCellMar>
            <w:top w:w="0" w:type="dxa"/>
            <w:bottom w:w="0" w:type="dxa"/>
          </w:tblCellMar>
        </w:tblPrEx>
        <w:trPr>
          <w:cantSplit/>
        </w:trPr>
        <w:tc>
          <w:tcPr>
            <w:tcW w:w="838" w:type="pct"/>
            <w:vMerge w:val="restart"/>
          </w:tcPr>
          <w:p w:rsidR="00312ECE" w:rsidRDefault="00312ECE">
            <w:pPr>
              <w:spacing w:line="360" w:lineRule="atLeast"/>
              <w:rPr>
                <w:rFonts w:ascii="KaiTi_GB2312" w:eastAsia="KaiTi_GB2312" w:hint="eastAsia"/>
                <w:color w:val="0000FF"/>
                <w:sz w:val="14"/>
              </w:rPr>
            </w:pPr>
          </w:p>
        </w:tc>
        <w:tc>
          <w:tcPr>
            <w:tcW w:w="676"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1995年</w:t>
            </w:r>
          </w:p>
        </w:tc>
        <w:tc>
          <w:tcPr>
            <w:tcW w:w="629"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1996年</w:t>
            </w:r>
          </w:p>
        </w:tc>
        <w:tc>
          <w:tcPr>
            <w:tcW w:w="719"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1997年</w:t>
            </w:r>
          </w:p>
        </w:tc>
        <w:tc>
          <w:tcPr>
            <w:tcW w:w="719"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1998年</w:t>
            </w:r>
          </w:p>
        </w:tc>
        <w:tc>
          <w:tcPr>
            <w:tcW w:w="719"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1999年</w:t>
            </w:r>
          </w:p>
        </w:tc>
        <w:tc>
          <w:tcPr>
            <w:tcW w:w="698"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2000年</w:t>
            </w:r>
          </w:p>
        </w:tc>
      </w:tr>
      <w:tr w:rsidR="00312ECE">
        <w:tblPrEx>
          <w:tblCellMar>
            <w:top w:w="0" w:type="dxa"/>
            <w:bottom w:w="0" w:type="dxa"/>
          </w:tblCellMar>
        </w:tblPrEx>
        <w:trPr>
          <w:cantSplit/>
        </w:trPr>
        <w:tc>
          <w:tcPr>
            <w:tcW w:w="838" w:type="pct"/>
            <w:vMerge/>
          </w:tcPr>
          <w:p w:rsidR="00312ECE" w:rsidRDefault="00312ECE">
            <w:pPr>
              <w:spacing w:line="360" w:lineRule="atLeast"/>
              <w:rPr>
                <w:rFonts w:ascii="KaiTi_GB2312" w:eastAsia="KaiTi_GB2312" w:hint="eastAsia"/>
                <w:color w:val="0000FF"/>
                <w:sz w:val="14"/>
              </w:rPr>
            </w:pPr>
          </w:p>
        </w:tc>
        <w:tc>
          <w:tcPr>
            <w:tcW w:w="35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男子</w:t>
            </w:r>
          </w:p>
        </w:tc>
        <w:tc>
          <w:tcPr>
            <w:tcW w:w="321"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妇女</w:t>
            </w:r>
          </w:p>
        </w:tc>
        <w:tc>
          <w:tcPr>
            <w:tcW w:w="35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男子</w:t>
            </w:r>
          </w:p>
        </w:tc>
        <w:tc>
          <w:tcPr>
            <w:tcW w:w="275"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妇女</w:t>
            </w:r>
          </w:p>
        </w:tc>
        <w:tc>
          <w:tcPr>
            <w:tcW w:w="36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男子</w:t>
            </w:r>
          </w:p>
        </w:tc>
        <w:tc>
          <w:tcPr>
            <w:tcW w:w="36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妇女</w:t>
            </w:r>
          </w:p>
        </w:tc>
        <w:tc>
          <w:tcPr>
            <w:tcW w:w="36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男子</w:t>
            </w:r>
          </w:p>
        </w:tc>
        <w:tc>
          <w:tcPr>
            <w:tcW w:w="36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妇女</w:t>
            </w:r>
          </w:p>
        </w:tc>
        <w:tc>
          <w:tcPr>
            <w:tcW w:w="36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男子</w:t>
            </w:r>
          </w:p>
        </w:tc>
        <w:tc>
          <w:tcPr>
            <w:tcW w:w="36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妇女</w:t>
            </w:r>
          </w:p>
        </w:tc>
        <w:tc>
          <w:tcPr>
            <w:tcW w:w="360"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男子</w:t>
            </w:r>
          </w:p>
        </w:tc>
        <w:tc>
          <w:tcPr>
            <w:tcW w:w="33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妇女</w:t>
            </w:r>
          </w:p>
        </w:tc>
      </w:tr>
      <w:tr w:rsidR="00312ECE">
        <w:tblPrEx>
          <w:tblCellMar>
            <w:top w:w="0" w:type="dxa"/>
            <w:bottom w:w="0" w:type="dxa"/>
          </w:tblCellMar>
        </w:tblPrEx>
        <w:tc>
          <w:tcPr>
            <w:tcW w:w="838" w:type="pct"/>
          </w:tcPr>
          <w:p w:rsidR="00312ECE" w:rsidRDefault="00312ECE">
            <w:pPr>
              <w:pStyle w:val="Header"/>
              <w:tabs>
                <w:tab w:val="clear" w:pos="4320"/>
                <w:tab w:val="clear" w:pos="8640"/>
              </w:tabs>
              <w:spacing w:before="80" w:after="80" w:line="280" w:lineRule="exact"/>
              <w:rPr>
                <w:rFonts w:ascii="SimSun" w:hint="eastAsia"/>
                <w:noProof w:val="0"/>
                <w:kern w:val="14"/>
              </w:rPr>
            </w:pPr>
            <w:r>
              <w:rPr>
                <w:rFonts w:ascii="SimSun" w:hint="eastAsia"/>
                <w:noProof w:val="0"/>
                <w:kern w:val="14"/>
              </w:rPr>
              <w:t>累积登记的注射人数</w:t>
            </w:r>
          </w:p>
        </w:tc>
        <w:tc>
          <w:tcPr>
            <w:tcW w:w="355" w:type="pct"/>
          </w:tcPr>
          <w:p w:rsidR="00312ECE" w:rsidRDefault="00312ECE">
            <w:pPr>
              <w:spacing w:before="80" w:after="80" w:line="280" w:lineRule="exact"/>
              <w:jc w:val="center"/>
              <w:rPr>
                <w:rFonts w:hint="eastAsia"/>
                <w:sz w:val="18"/>
              </w:rPr>
            </w:pPr>
            <w:r>
              <w:rPr>
                <w:rFonts w:hint="eastAsia"/>
                <w:sz w:val="18"/>
              </w:rPr>
              <w:t>46</w:t>
            </w:r>
          </w:p>
        </w:tc>
        <w:tc>
          <w:tcPr>
            <w:tcW w:w="321" w:type="pct"/>
          </w:tcPr>
          <w:p w:rsidR="00312ECE" w:rsidRDefault="00312ECE">
            <w:pPr>
              <w:spacing w:before="80" w:after="80" w:line="280" w:lineRule="exact"/>
              <w:jc w:val="center"/>
              <w:rPr>
                <w:rFonts w:hint="eastAsia"/>
                <w:sz w:val="18"/>
              </w:rPr>
            </w:pPr>
            <w:r>
              <w:rPr>
                <w:rFonts w:hint="eastAsia"/>
                <w:sz w:val="18"/>
              </w:rPr>
              <w:t>3</w:t>
            </w:r>
          </w:p>
        </w:tc>
        <w:tc>
          <w:tcPr>
            <w:tcW w:w="354" w:type="pct"/>
          </w:tcPr>
          <w:p w:rsidR="00312ECE" w:rsidRDefault="00312ECE">
            <w:pPr>
              <w:spacing w:before="80" w:after="80" w:line="280" w:lineRule="exact"/>
              <w:jc w:val="center"/>
              <w:rPr>
                <w:rFonts w:hint="eastAsia"/>
                <w:sz w:val="18"/>
              </w:rPr>
            </w:pPr>
            <w:r>
              <w:rPr>
                <w:rFonts w:hint="eastAsia"/>
                <w:sz w:val="18"/>
              </w:rPr>
              <w:t>57</w:t>
            </w:r>
          </w:p>
        </w:tc>
        <w:tc>
          <w:tcPr>
            <w:tcW w:w="275" w:type="pct"/>
          </w:tcPr>
          <w:p w:rsidR="00312ECE" w:rsidRDefault="00312ECE">
            <w:pPr>
              <w:spacing w:before="80" w:after="80" w:line="280" w:lineRule="exact"/>
              <w:jc w:val="center"/>
              <w:rPr>
                <w:rFonts w:hint="eastAsia"/>
                <w:sz w:val="18"/>
              </w:rPr>
            </w:pPr>
            <w:r>
              <w:rPr>
                <w:rFonts w:hint="eastAsia"/>
                <w:sz w:val="18"/>
              </w:rPr>
              <w:t>6</w:t>
            </w:r>
          </w:p>
        </w:tc>
        <w:tc>
          <w:tcPr>
            <w:tcW w:w="360" w:type="pct"/>
          </w:tcPr>
          <w:p w:rsidR="00312ECE" w:rsidRDefault="00312ECE">
            <w:pPr>
              <w:spacing w:before="80" w:after="80" w:line="280" w:lineRule="exact"/>
              <w:jc w:val="center"/>
              <w:rPr>
                <w:rFonts w:hint="eastAsia"/>
                <w:sz w:val="18"/>
              </w:rPr>
            </w:pPr>
            <w:r>
              <w:rPr>
                <w:rFonts w:hint="eastAsia"/>
                <w:sz w:val="18"/>
              </w:rPr>
              <w:t>82</w:t>
            </w:r>
          </w:p>
        </w:tc>
        <w:tc>
          <w:tcPr>
            <w:tcW w:w="360" w:type="pct"/>
          </w:tcPr>
          <w:p w:rsidR="00312ECE" w:rsidRDefault="00312ECE">
            <w:pPr>
              <w:spacing w:before="80" w:after="80" w:line="280" w:lineRule="exact"/>
              <w:jc w:val="center"/>
              <w:rPr>
                <w:rFonts w:hint="eastAsia"/>
                <w:sz w:val="18"/>
              </w:rPr>
            </w:pPr>
            <w:r>
              <w:rPr>
                <w:rFonts w:hint="eastAsia"/>
                <w:sz w:val="18"/>
              </w:rPr>
              <w:t>6</w:t>
            </w:r>
          </w:p>
        </w:tc>
        <w:tc>
          <w:tcPr>
            <w:tcW w:w="360" w:type="pct"/>
          </w:tcPr>
          <w:p w:rsidR="00312ECE" w:rsidRDefault="00312ECE">
            <w:pPr>
              <w:spacing w:before="80" w:after="80" w:line="280" w:lineRule="exact"/>
              <w:jc w:val="center"/>
              <w:rPr>
                <w:rFonts w:hint="eastAsia"/>
                <w:sz w:val="18"/>
              </w:rPr>
            </w:pPr>
            <w:r>
              <w:rPr>
                <w:rFonts w:hint="eastAsia"/>
                <w:sz w:val="18"/>
              </w:rPr>
              <w:t>206</w:t>
            </w:r>
          </w:p>
        </w:tc>
        <w:tc>
          <w:tcPr>
            <w:tcW w:w="360" w:type="pct"/>
          </w:tcPr>
          <w:p w:rsidR="00312ECE" w:rsidRDefault="00312ECE">
            <w:pPr>
              <w:spacing w:before="80" w:after="80" w:line="280" w:lineRule="exact"/>
              <w:jc w:val="center"/>
              <w:rPr>
                <w:rFonts w:hint="eastAsia"/>
                <w:sz w:val="18"/>
              </w:rPr>
            </w:pPr>
            <w:r>
              <w:rPr>
                <w:rFonts w:hint="eastAsia"/>
                <w:sz w:val="18"/>
              </w:rPr>
              <w:t>45</w:t>
            </w:r>
          </w:p>
        </w:tc>
        <w:tc>
          <w:tcPr>
            <w:tcW w:w="360" w:type="pct"/>
          </w:tcPr>
          <w:p w:rsidR="00312ECE" w:rsidRDefault="00312ECE">
            <w:pPr>
              <w:spacing w:before="80" w:after="80" w:line="280" w:lineRule="exact"/>
              <w:jc w:val="center"/>
              <w:rPr>
                <w:rFonts w:hint="eastAsia"/>
                <w:sz w:val="18"/>
              </w:rPr>
            </w:pPr>
            <w:r>
              <w:rPr>
                <w:rFonts w:hint="eastAsia"/>
                <w:sz w:val="18"/>
              </w:rPr>
              <w:t>384</w:t>
            </w:r>
          </w:p>
        </w:tc>
        <w:tc>
          <w:tcPr>
            <w:tcW w:w="360" w:type="pct"/>
          </w:tcPr>
          <w:p w:rsidR="00312ECE" w:rsidRDefault="00312ECE">
            <w:pPr>
              <w:spacing w:before="80" w:after="80" w:line="280" w:lineRule="exact"/>
              <w:jc w:val="center"/>
              <w:rPr>
                <w:rFonts w:hint="eastAsia"/>
                <w:sz w:val="18"/>
              </w:rPr>
            </w:pPr>
            <w:r>
              <w:rPr>
                <w:rFonts w:hint="eastAsia"/>
                <w:sz w:val="18"/>
              </w:rPr>
              <w:t>108</w:t>
            </w:r>
          </w:p>
        </w:tc>
        <w:tc>
          <w:tcPr>
            <w:tcW w:w="360" w:type="pct"/>
          </w:tcPr>
          <w:p w:rsidR="00312ECE" w:rsidRDefault="00312ECE">
            <w:pPr>
              <w:spacing w:before="80" w:after="80" w:line="280" w:lineRule="exact"/>
              <w:jc w:val="center"/>
              <w:rPr>
                <w:rFonts w:hint="eastAsia"/>
                <w:sz w:val="18"/>
              </w:rPr>
            </w:pPr>
            <w:r>
              <w:rPr>
                <w:rFonts w:hint="eastAsia"/>
                <w:sz w:val="18"/>
              </w:rPr>
              <w:t>738</w:t>
            </w:r>
          </w:p>
        </w:tc>
        <w:tc>
          <w:tcPr>
            <w:tcW w:w="338" w:type="pct"/>
          </w:tcPr>
          <w:p w:rsidR="00312ECE" w:rsidRDefault="00312ECE">
            <w:pPr>
              <w:spacing w:before="80" w:after="80" w:line="280" w:lineRule="exact"/>
              <w:jc w:val="center"/>
              <w:rPr>
                <w:rFonts w:hint="eastAsia"/>
                <w:sz w:val="18"/>
              </w:rPr>
            </w:pPr>
            <w:r>
              <w:rPr>
                <w:rFonts w:hint="eastAsia"/>
                <w:sz w:val="18"/>
              </w:rPr>
              <w:t>220</w:t>
            </w:r>
          </w:p>
        </w:tc>
      </w:tr>
      <w:tr w:rsidR="00312ECE">
        <w:tblPrEx>
          <w:tblCellMar>
            <w:top w:w="0" w:type="dxa"/>
            <w:bottom w:w="0" w:type="dxa"/>
          </w:tblCellMar>
        </w:tblPrEx>
        <w:tc>
          <w:tcPr>
            <w:tcW w:w="838" w:type="pct"/>
          </w:tcPr>
          <w:p w:rsidR="00312ECE" w:rsidRDefault="00312ECE">
            <w:pPr>
              <w:spacing w:before="80" w:after="80" w:line="280" w:lineRule="exact"/>
              <w:rPr>
                <w:rFonts w:hint="eastAsia"/>
                <w:sz w:val="18"/>
              </w:rPr>
            </w:pPr>
            <w:r>
              <w:rPr>
                <w:rFonts w:hint="eastAsia"/>
                <w:sz w:val="18"/>
              </w:rPr>
              <w:t>死于艾滋病毒</w:t>
            </w:r>
          </w:p>
        </w:tc>
        <w:tc>
          <w:tcPr>
            <w:tcW w:w="355" w:type="pct"/>
          </w:tcPr>
          <w:p w:rsidR="00312ECE" w:rsidRDefault="00312ECE">
            <w:pPr>
              <w:spacing w:before="80" w:after="80" w:line="280" w:lineRule="exact"/>
              <w:jc w:val="center"/>
              <w:rPr>
                <w:rFonts w:hint="eastAsia"/>
                <w:sz w:val="18"/>
              </w:rPr>
            </w:pPr>
            <w:r>
              <w:rPr>
                <w:rFonts w:hint="eastAsia"/>
                <w:sz w:val="18"/>
              </w:rPr>
              <w:t>-</w:t>
            </w:r>
          </w:p>
        </w:tc>
        <w:tc>
          <w:tcPr>
            <w:tcW w:w="321" w:type="pct"/>
          </w:tcPr>
          <w:p w:rsidR="00312ECE" w:rsidRDefault="00312ECE">
            <w:pPr>
              <w:spacing w:before="80" w:after="80" w:line="280" w:lineRule="exact"/>
              <w:jc w:val="center"/>
              <w:rPr>
                <w:rFonts w:hint="eastAsia"/>
                <w:sz w:val="18"/>
              </w:rPr>
            </w:pPr>
            <w:r>
              <w:rPr>
                <w:rFonts w:hint="eastAsia"/>
                <w:sz w:val="18"/>
              </w:rPr>
              <w:t>-</w:t>
            </w:r>
          </w:p>
        </w:tc>
        <w:tc>
          <w:tcPr>
            <w:tcW w:w="354" w:type="pct"/>
          </w:tcPr>
          <w:p w:rsidR="00312ECE" w:rsidRDefault="00312ECE">
            <w:pPr>
              <w:spacing w:before="80" w:after="80" w:line="280" w:lineRule="exact"/>
              <w:jc w:val="center"/>
              <w:rPr>
                <w:rFonts w:hint="eastAsia"/>
                <w:sz w:val="18"/>
              </w:rPr>
            </w:pPr>
            <w:r>
              <w:rPr>
                <w:rFonts w:hint="eastAsia"/>
                <w:sz w:val="18"/>
              </w:rPr>
              <w:t>-</w:t>
            </w:r>
          </w:p>
        </w:tc>
        <w:tc>
          <w:tcPr>
            <w:tcW w:w="275"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3</w:t>
            </w:r>
          </w:p>
        </w:tc>
        <w:tc>
          <w:tcPr>
            <w:tcW w:w="360"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2</w:t>
            </w:r>
          </w:p>
        </w:tc>
        <w:tc>
          <w:tcPr>
            <w:tcW w:w="360" w:type="pct"/>
          </w:tcPr>
          <w:p w:rsidR="00312ECE" w:rsidRDefault="00312ECE">
            <w:pPr>
              <w:spacing w:before="80" w:after="80" w:line="280" w:lineRule="exact"/>
              <w:jc w:val="center"/>
              <w:rPr>
                <w:rFonts w:hint="eastAsia"/>
                <w:sz w:val="18"/>
              </w:rPr>
            </w:pPr>
            <w:r>
              <w:rPr>
                <w:rFonts w:hint="eastAsia"/>
                <w:sz w:val="18"/>
              </w:rPr>
              <w:t>1</w:t>
            </w:r>
          </w:p>
        </w:tc>
        <w:tc>
          <w:tcPr>
            <w:tcW w:w="360" w:type="pct"/>
          </w:tcPr>
          <w:p w:rsidR="00312ECE" w:rsidRDefault="00312ECE">
            <w:pPr>
              <w:spacing w:before="80" w:after="80" w:line="280" w:lineRule="exact"/>
              <w:jc w:val="center"/>
              <w:rPr>
                <w:rFonts w:hint="eastAsia"/>
                <w:sz w:val="18"/>
              </w:rPr>
            </w:pPr>
            <w:r>
              <w:rPr>
                <w:rFonts w:hint="eastAsia"/>
                <w:sz w:val="18"/>
              </w:rPr>
              <w:t>6</w:t>
            </w:r>
          </w:p>
        </w:tc>
        <w:tc>
          <w:tcPr>
            <w:tcW w:w="338" w:type="pct"/>
          </w:tcPr>
          <w:p w:rsidR="00312ECE" w:rsidRDefault="00312ECE">
            <w:pPr>
              <w:spacing w:before="80" w:after="80" w:line="280" w:lineRule="exact"/>
              <w:jc w:val="center"/>
              <w:rPr>
                <w:rFonts w:hint="eastAsia"/>
                <w:sz w:val="18"/>
              </w:rPr>
            </w:pPr>
            <w:r>
              <w:rPr>
                <w:rFonts w:hint="eastAsia"/>
                <w:sz w:val="18"/>
              </w:rPr>
              <w:t>0</w:t>
            </w:r>
          </w:p>
        </w:tc>
      </w:tr>
      <w:tr w:rsidR="00312ECE">
        <w:tblPrEx>
          <w:tblCellMar>
            <w:top w:w="0" w:type="dxa"/>
            <w:bottom w:w="0" w:type="dxa"/>
          </w:tblCellMar>
        </w:tblPrEx>
        <w:tc>
          <w:tcPr>
            <w:tcW w:w="838" w:type="pct"/>
          </w:tcPr>
          <w:p w:rsidR="00312ECE" w:rsidRDefault="00312ECE">
            <w:pPr>
              <w:spacing w:before="80" w:after="80" w:line="280" w:lineRule="exact"/>
              <w:rPr>
                <w:rFonts w:hint="eastAsia"/>
                <w:sz w:val="18"/>
              </w:rPr>
            </w:pPr>
            <w:r>
              <w:rPr>
                <w:rFonts w:hint="eastAsia"/>
                <w:sz w:val="18"/>
              </w:rPr>
              <w:t>死于艾滋病</w:t>
            </w:r>
          </w:p>
        </w:tc>
        <w:tc>
          <w:tcPr>
            <w:tcW w:w="355" w:type="pct"/>
          </w:tcPr>
          <w:p w:rsidR="00312ECE" w:rsidRDefault="00312ECE">
            <w:pPr>
              <w:spacing w:before="80" w:after="80" w:line="280" w:lineRule="exact"/>
              <w:jc w:val="center"/>
              <w:rPr>
                <w:rFonts w:hint="eastAsia"/>
                <w:sz w:val="18"/>
              </w:rPr>
            </w:pPr>
            <w:r>
              <w:rPr>
                <w:rFonts w:hint="eastAsia"/>
                <w:sz w:val="18"/>
              </w:rPr>
              <w:t>1</w:t>
            </w:r>
          </w:p>
        </w:tc>
        <w:tc>
          <w:tcPr>
            <w:tcW w:w="321" w:type="pct"/>
          </w:tcPr>
          <w:p w:rsidR="00312ECE" w:rsidRDefault="00312ECE">
            <w:pPr>
              <w:spacing w:before="80" w:after="80" w:line="280" w:lineRule="exact"/>
              <w:jc w:val="center"/>
              <w:rPr>
                <w:rFonts w:hint="eastAsia"/>
                <w:sz w:val="18"/>
              </w:rPr>
            </w:pPr>
            <w:r>
              <w:rPr>
                <w:rFonts w:hint="eastAsia"/>
                <w:sz w:val="18"/>
              </w:rPr>
              <w:t>-</w:t>
            </w:r>
          </w:p>
        </w:tc>
        <w:tc>
          <w:tcPr>
            <w:tcW w:w="354" w:type="pct"/>
          </w:tcPr>
          <w:p w:rsidR="00312ECE" w:rsidRDefault="00312ECE">
            <w:pPr>
              <w:spacing w:before="80" w:after="80" w:line="280" w:lineRule="exact"/>
              <w:jc w:val="center"/>
              <w:rPr>
                <w:rFonts w:hint="eastAsia"/>
                <w:sz w:val="18"/>
              </w:rPr>
            </w:pPr>
            <w:r>
              <w:rPr>
                <w:rFonts w:hint="eastAsia"/>
                <w:sz w:val="18"/>
              </w:rPr>
              <w:t>-</w:t>
            </w:r>
          </w:p>
        </w:tc>
        <w:tc>
          <w:tcPr>
            <w:tcW w:w="275"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2</w:t>
            </w:r>
          </w:p>
        </w:tc>
        <w:tc>
          <w:tcPr>
            <w:tcW w:w="360" w:type="pct"/>
          </w:tcPr>
          <w:p w:rsidR="00312ECE" w:rsidRDefault="00312ECE">
            <w:pPr>
              <w:spacing w:before="80" w:after="80" w:line="280" w:lineRule="exact"/>
              <w:jc w:val="center"/>
              <w:rPr>
                <w:rFonts w:hint="eastAsia"/>
                <w:sz w:val="18"/>
              </w:rPr>
            </w:pPr>
            <w:r>
              <w:rPr>
                <w:rFonts w:hint="eastAsia"/>
                <w:sz w:val="18"/>
              </w:rPr>
              <w:t>-</w:t>
            </w:r>
          </w:p>
        </w:tc>
        <w:tc>
          <w:tcPr>
            <w:tcW w:w="360" w:type="pct"/>
          </w:tcPr>
          <w:p w:rsidR="00312ECE" w:rsidRDefault="00312ECE">
            <w:pPr>
              <w:spacing w:before="80" w:after="80" w:line="280" w:lineRule="exact"/>
              <w:jc w:val="center"/>
              <w:rPr>
                <w:rFonts w:hint="eastAsia"/>
                <w:sz w:val="18"/>
              </w:rPr>
            </w:pPr>
            <w:r>
              <w:rPr>
                <w:rFonts w:hint="eastAsia"/>
                <w:sz w:val="18"/>
              </w:rPr>
              <w:t>1</w:t>
            </w:r>
          </w:p>
        </w:tc>
        <w:tc>
          <w:tcPr>
            <w:tcW w:w="360" w:type="pct"/>
          </w:tcPr>
          <w:p w:rsidR="00312ECE" w:rsidRDefault="00312ECE">
            <w:pPr>
              <w:spacing w:before="80" w:after="80" w:line="280" w:lineRule="exact"/>
              <w:jc w:val="center"/>
              <w:rPr>
                <w:rFonts w:hint="eastAsia"/>
                <w:sz w:val="18"/>
              </w:rPr>
            </w:pPr>
            <w:r>
              <w:rPr>
                <w:rFonts w:hint="eastAsia"/>
                <w:sz w:val="18"/>
              </w:rPr>
              <w:t>1</w:t>
            </w:r>
          </w:p>
        </w:tc>
        <w:tc>
          <w:tcPr>
            <w:tcW w:w="360" w:type="pct"/>
          </w:tcPr>
          <w:p w:rsidR="00312ECE" w:rsidRDefault="00312ECE">
            <w:pPr>
              <w:spacing w:before="80" w:after="80" w:line="280" w:lineRule="exact"/>
              <w:jc w:val="center"/>
              <w:rPr>
                <w:rFonts w:hint="eastAsia"/>
                <w:sz w:val="18"/>
              </w:rPr>
            </w:pPr>
            <w:r>
              <w:rPr>
                <w:rFonts w:hint="eastAsia"/>
                <w:sz w:val="18"/>
              </w:rPr>
              <w:t>1</w:t>
            </w:r>
          </w:p>
        </w:tc>
        <w:tc>
          <w:tcPr>
            <w:tcW w:w="338" w:type="pct"/>
          </w:tcPr>
          <w:p w:rsidR="00312ECE" w:rsidRDefault="00312ECE">
            <w:pPr>
              <w:spacing w:before="80" w:after="80" w:line="280" w:lineRule="exact"/>
              <w:jc w:val="center"/>
              <w:rPr>
                <w:rFonts w:hint="eastAsia"/>
                <w:sz w:val="18"/>
              </w:rPr>
            </w:pPr>
            <w:r>
              <w:rPr>
                <w:rFonts w:hint="eastAsia"/>
                <w:sz w:val="18"/>
              </w:rPr>
              <w:t>2</w:t>
            </w:r>
          </w:p>
        </w:tc>
      </w:tr>
    </w:tbl>
    <w:p w:rsidR="00312ECE" w:rsidRDefault="00312ECE">
      <w:pPr>
        <w:pStyle w:val="SingleTxt"/>
      </w:pPr>
    </w:p>
    <w:p w:rsidR="00312ECE" w:rsidRDefault="00312ECE">
      <w:pPr>
        <w:pStyle w:val="SingleTxt"/>
        <w:rPr>
          <w:rFonts w:hint="eastAsia"/>
        </w:rPr>
      </w:pPr>
      <w:r>
        <w:rPr>
          <w:rFonts w:hint="eastAsia"/>
        </w:rPr>
        <w:t>227.  该表所列数据表明了保健领域的刑事案件数量，其中受害者是妇女。</w:t>
      </w:r>
    </w:p>
    <w:p w:rsidR="00312ECE" w:rsidRDefault="00312ECE">
      <w:pPr>
        <w:pStyle w:val="SingleTxt"/>
        <w:spacing w:after="0" w:line="200" w:lineRule="exact"/>
      </w:pPr>
      <w:r>
        <w:br w:type="page"/>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0"/>
        <w:gridCol w:w="427"/>
        <w:gridCol w:w="426"/>
        <w:gridCol w:w="426"/>
        <w:gridCol w:w="426"/>
        <w:gridCol w:w="426"/>
        <w:gridCol w:w="426"/>
        <w:gridCol w:w="426"/>
        <w:gridCol w:w="426"/>
        <w:gridCol w:w="426"/>
        <w:gridCol w:w="426"/>
        <w:gridCol w:w="426"/>
        <w:gridCol w:w="426"/>
        <w:gridCol w:w="426"/>
        <w:gridCol w:w="422"/>
      </w:tblGrid>
      <w:tr w:rsidR="00312ECE">
        <w:tblPrEx>
          <w:tblCellMar>
            <w:top w:w="0" w:type="dxa"/>
            <w:bottom w:w="0" w:type="dxa"/>
          </w:tblCellMar>
        </w:tblPrEx>
        <w:trPr>
          <w:cantSplit/>
        </w:trPr>
        <w:tc>
          <w:tcPr>
            <w:tcW w:w="956" w:type="pct"/>
            <w:vMerge w:val="restart"/>
            <w:vAlign w:val="center"/>
          </w:tcPr>
          <w:p w:rsidR="00312ECE" w:rsidRDefault="00312ECE">
            <w:pPr>
              <w:spacing w:line="360" w:lineRule="atLeast"/>
              <w:rPr>
                <w:rFonts w:ascii="KaiTi_GB2312" w:eastAsia="KaiTi_GB2312" w:hint="eastAsia"/>
                <w:color w:val="0000FF"/>
                <w:sz w:val="14"/>
              </w:rPr>
            </w:pPr>
            <w:r>
              <w:rPr>
                <w:rFonts w:ascii="KaiTi_GB2312" w:eastAsia="KaiTi_GB2312" w:hint="eastAsia"/>
                <w:color w:val="0000FF"/>
                <w:sz w:val="14"/>
              </w:rPr>
              <w:t>刑法条款</w:t>
            </w:r>
          </w:p>
        </w:tc>
        <w:tc>
          <w:tcPr>
            <w:tcW w:w="578"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1995</w:t>
            </w:r>
          </w:p>
        </w:tc>
        <w:tc>
          <w:tcPr>
            <w:tcW w:w="578"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1996</w:t>
            </w:r>
          </w:p>
        </w:tc>
        <w:tc>
          <w:tcPr>
            <w:tcW w:w="578"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1997</w:t>
            </w:r>
          </w:p>
        </w:tc>
        <w:tc>
          <w:tcPr>
            <w:tcW w:w="578"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1998</w:t>
            </w:r>
          </w:p>
        </w:tc>
        <w:tc>
          <w:tcPr>
            <w:tcW w:w="578"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1999</w:t>
            </w:r>
          </w:p>
        </w:tc>
        <w:tc>
          <w:tcPr>
            <w:tcW w:w="578"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2000</w:t>
            </w:r>
          </w:p>
        </w:tc>
        <w:tc>
          <w:tcPr>
            <w:tcW w:w="575"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2001</w:t>
            </w:r>
          </w:p>
        </w:tc>
      </w:tr>
      <w:tr w:rsidR="00312ECE">
        <w:tblPrEx>
          <w:tblCellMar>
            <w:top w:w="0" w:type="dxa"/>
            <w:bottom w:w="0" w:type="dxa"/>
          </w:tblCellMar>
        </w:tblPrEx>
        <w:trPr>
          <w:cantSplit/>
        </w:trPr>
        <w:tc>
          <w:tcPr>
            <w:tcW w:w="956" w:type="pct"/>
            <w:vMerge/>
          </w:tcPr>
          <w:p w:rsidR="00312ECE" w:rsidRDefault="00312ECE">
            <w:pPr>
              <w:spacing w:line="360" w:lineRule="atLeast"/>
              <w:rPr>
                <w:rFonts w:ascii="KaiTi_GB2312" w:eastAsia="KaiTi_GB2312" w:hint="eastAsia"/>
                <w:color w:val="0000FF"/>
                <w:sz w:val="14"/>
              </w:rPr>
            </w:pP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reg.</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dis.</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reg.</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dis.</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reg.</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dis.</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reg.</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dis.</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reg.</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dis.</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reg.</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dis.</w:t>
            </w:r>
          </w:p>
        </w:tc>
        <w:tc>
          <w:tcPr>
            <w:tcW w:w="289"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reg.</w:t>
            </w:r>
          </w:p>
        </w:tc>
        <w:tc>
          <w:tcPr>
            <w:tcW w:w="286" w:type="pct"/>
          </w:tcPr>
          <w:p w:rsidR="00312ECE" w:rsidRDefault="00312ECE">
            <w:pPr>
              <w:spacing w:line="360" w:lineRule="atLeast"/>
              <w:jc w:val="center"/>
              <w:rPr>
                <w:rFonts w:ascii="KaiTi_GB2312" w:eastAsia="KaiTi_GB2312"/>
                <w:color w:val="0000FF"/>
                <w:sz w:val="14"/>
              </w:rPr>
            </w:pPr>
            <w:r>
              <w:rPr>
                <w:rFonts w:ascii="KaiTi_GB2312" w:eastAsia="KaiTi_GB2312"/>
                <w:color w:val="0000FF"/>
                <w:sz w:val="14"/>
              </w:rPr>
              <w:t>dis.</w:t>
            </w:r>
          </w:p>
        </w:tc>
      </w:tr>
      <w:tr w:rsidR="00312ECE">
        <w:tblPrEx>
          <w:tblCellMar>
            <w:top w:w="0" w:type="dxa"/>
            <w:bottom w:w="0" w:type="dxa"/>
          </w:tblCellMar>
        </w:tblPrEx>
        <w:trPr>
          <w:cantSplit/>
        </w:trPr>
        <w:tc>
          <w:tcPr>
            <w:tcW w:w="956" w:type="pct"/>
          </w:tcPr>
          <w:p w:rsidR="00312ECE" w:rsidRDefault="00312ECE">
            <w:pPr>
              <w:spacing w:line="360" w:lineRule="atLeast"/>
              <w:rPr>
                <w:rFonts w:hint="eastAsia"/>
                <w:sz w:val="18"/>
              </w:rPr>
            </w:pPr>
            <w:r>
              <w:rPr>
                <w:rFonts w:hint="eastAsia"/>
                <w:sz w:val="18"/>
              </w:rPr>
              <w:t>第133条</w:t>
            </w:r>
          </w:p>
          <w:p w:rsidR="00312ECE" w:rsidRDefault="00312ECE">
            <w:pPr>
              <w:spacing w:line="360" w:lineRule="atLeast"/>
              <w:rPr>
                <w:rFonts w:hint="eastAsia"/>
                <w:sz w:val="18"/>
              </w:rPr>
            </w:pPr>
            <w:r>
              <w:rPr>
                <w:rFonts w:hint="eastAsia"/>
                <w:sz w:val="18"/>
              </w:rPr>
              <w:t>感染人体免疫机能丧失病毒</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1</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1</w:t>
            </w:r>
          </w:p>
        </w:tc>
        <w:tc>
          <w:tcPr>
            <w:tcW w:w="289" w:type="pct"/>
          </w:tcPr>
          <w:p w:rsidR="00312ECE" w:rsidRDefault="00312ECE">
            <w:pPr>
              <w:spacing w:line="360" w:lineRule="atLeast"/>
              <w:jc w:val="center"/>
              <w:rPr>
                <w:rFonts w:hint="eastAsia"/>
                <w:sz w:val="18"/>
              </w:rPr>
            </w:pPr>
            <w:r>
              <w:rPr>
                <w:rFonts w:hint="eastAsia"/>
                <w:sz w:val="18"/>
              </w:rPr>
              <w:t>1</w:t>
            </w:r>
          </w:p>
        </w:tc>
        <w:tc>
          <w:tcPr>
            <w:tcW w:w="289" w:type="pct"/>
          </w:tcPr>
          <w:p w:rsidR="00312ECE" w:rsidRDefault="00312ECE">
            <w:pPr>
              <w:spacing w:line="360" w:lineRule="atLeast"/>
              <w:jc w:val="center"/>
              <w:rPr>
                <w:rFonts w:hint="eastAsia"/>
                <w:sz w:val="18"/>
              </w:rPr>
            </w:pPr>
            <w:r>
              <w:rPr>
                <w:rFonts w:hint="eastAsia"/>
                <w:sz w:val="18"/>
              </w:rPr>
              <w:t>1</w:t>
            </w:r>
          </w:p>
        </w:tc>
        <w:tc>
          <w:tcPr>
            <w:tcW w:w="289" w:type="pct"/>
          </w:tcPr>
          <w:p w:rsidR="00312ECE" w:rsidRDefault="00312ECE">
            <w:pPr>
              <w:spacing w:line="360" w:lineRule="atLeast"/>
              <w:jc w:val="center"/>
              <w:rPr>
                <w:rFonts w:hint="eastAsia"/>
                <w:sz w:val="18"/>
              </w:rPr>
            </w:pPr>
            <w:r>
              <w:rPr>
                <w:rFonts w:hint="eastAsia"/>
                <w:sz w:val="18"/>
              </w:rPr>
              <w:t>1</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6" w:type="pct"/>
          </w:tcPr>
          <w:p w:rsidR="00312ECE" w:rsidRDefault="00312ECE">
            <w:pPr>
              <w:spacing w:line="360" w:lineRule="atLeast"/>
              <w:jc w:val="center"/>
              <w:rPr>
                <w:rFonts w:hint="eastAsia"/>
                <w:sz w:val="18"/>
              </w:rPr>
            </w:pPr>
            <w:r>
              <w:rPr>
                <w:rFonts w:hint="eastAsia"/>
                <w:sz w:val="18"/>
              </w:rPr>
              <w:t>-</w:t>
            </w:r>
          </w:p>
        </w:tc>
      </w:tr>
      <w:tr w:rsidR="00312ECE">
        <w:tblPrEx>
          <w:tblCellMar>
            <w:top w:w="0" w:type="dxa"/>
            <w:bottom w:w="0" w:type="dxa"/>
          </w:tblCellMar>
        </w:tblPrEx>
        <w:trPr>
          <w:cantSplit/>
        </w:trPr>
        <w:tc>
          <w:tcPr>
            <w:tcW w:w="956" w:type="pct"/>
          </w:tcPr>
          <w:p w:rsidR="00312ECE" w:rsidRDefault="00312ECE">
            <w:pPr>
              <w:spacing w:line="360" w:lineRule="atLeast"/>
              <w:rPr>
                <w:rFonts w:hint="eastAsia"/>
                <w:sz w:val="18"/>
              </w:rPr>
            </w:pPr>
            <w:r>
              <w:rPr>
                <w:rFonts w:hint="eastAsia"/>
                <w:sz w:val="18"/>
              </w:rPr>
              <w:t>第134条</w:t>
            </w:r>
          </w:p>
          <w:p w:rsidR="00312ECE" w:rsidRDefault="00312ECE">
            <w:pPr>
              <w:spacing w:line="360" w:lineRule="atLeast"/>
              <w:rPr>
                <w:rFonts w:hint="eastAsia"/>
                <w:sz w:val="18"/>
              </w:rPr>
            </w:pPr>
            <w:r>
              <w:rPr>
                <w:rFonts w:hint="eastAsia"/>
                <w:sz w:val="18"/>
              </w:rPr>
              <w:t>感染性病</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2</w:t>
            </w:r>
          </w:p>
        </w:tc>
        <w:tc>
          <w:tcPr>
            <w:tcW w:w="289" w:type="pct"/>
          </w:tcPr>
          <w:p w:rsidR="00312ECE" w:rsidRDefault="00312ECE">
            <w:pPr>
              <w:spacing w:line="360" w:lineRule="atLeast"/>
              <w:jc w:val="center"/>
              <w:rPr>
                <w:rFonts w:hint="eastAsia"/>
                <w:sz w:val="18"/>
              </w:rPr>
            </w:pPr>
            <w:r>
              <w:rPr>
                <w:rFonts w:hint="eastAsia"/>
                <w:sz w:val="18"/>
              </w:rPr>
              <w:t>1</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6" w:type="pct"/>
          </w:tcPr>
          <w:p w:rsidR="00312ECE" w:rsidRDefault="00312ECE">
            <w:pPr>
              <w:spacing w:line="360" w:lineRule="atLeast"/>
              <w:jc w:val="center"/>
              <w:rPr>
                <w:rFonts w:hint="eastAsia"/>
                <w:sz w:val="18"/>
              </w:rPr>
            </w:pPr>
            <w:r>
              <w:rPr>
                <w:rFonts w:hint="eastAsia"/>
                <w:sz w:val="18"/>
              </w:rPr>
              <w:t>-</w:t>
            </w:r>
          </w:p>
        </w:tc>
      </w:tr>
      <w:tr w:rsidR="00312ECE">
        <w:tblPrEx>
          <w:tblCellMar>
            <w:top w:w="0" w:type="dxa"/>
            <w:bottom w:w="0" w:type="dxa"/>
          </w:tblCellMar>
        </w:tblPrEx>
        <w:trPr>
          <w:cantSplit/>
        </w:trPr>
        <w:tc>
          <w:tcPr>
            <w:tcW w:w="956" w:type="pct"/>
          </w:tcPr>
          <w:p w:rsidR="00312ECE" w:rsidRDefault="00312ECE">
            <w:pPr>
              <w:spacing w:line="360" w:lineRule="atLeast"/>
              <w:rPr>
                <w:rFonts w:hint="eastAsia"/>
                <w:sz w:val="18"/>
              </w:rPr>
            </w:pPr>
            <w:r>
              <w:rPr>
                <w:rFonts w:hint="eastAsia"/>
                <w:sz w:val="18"/>
              </w:rPr>
              <w:t>第135条</w:t>
            </w:r>
          </w:p>
          <w:p w:rsidR="00312ECE" w:rsidRDefault="00312ECE">
            <w:pPr>
              <w:spacing w:line="360" w:lineRule="atLeast"/>
              <w:rPr>
                <w:rFonts w:hint="eastAsia"/>
                <w:sz w:val="18"/>
              </w:rPr>
            </w:pPr>
            <w:r>
              <w:rPr>
                <w:rFonts w:hint="eastAsia"/>
                <w:sz w:val="18"/>
              </w:rPr>
              <w:t>非法堕胎</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6" w:type="pct"/>
          </w:tcPr>
          <w:p w:rsidR="00312ECE" w:rsidRDefault="00312ECE">
            <w:pPr>
              <w:spacing w:line="360" w:lineRule="atLeast"/>
              <w:jc w:val="center"/>
              <w:rPr>
                <w:rFonts w:hint="eastAsia"/>
                <w:sz w:val="18"/>
              </w:rPr>
            </w:pPr>
            <w:r>
              <w:rPr>
                <w:rFonts w:hint="eastAsia"/>
                <w:sz w:val="18"/>
              </w:rPr>
              <w:t>-</w:t>
            </w:r>
          </w:p>
        </w:tc>
      </w:tr>
      <w:tr w:rsidR="00312ECE">
        <w:tblPrEx>
          <w:tblCellMar>
            <w:top w:w="0" w:type="dxa"/>
            <w:bottom w:w="0" w:type="dxa"/>
          </w:tblCellMar>
        </w:tblPrEx>
        <w:trPr>
          <w:cantSplit/>
        </w:trPr>
        <w:tc>
          <w:tcPr>
            <w:tcW w:w="956" w:type="pct"/>
          </w:tcPr>
          <w:p w:rsidR="00312ECE" w:rsidRDefault="00312ECE">
            <w:pPr>
              <w:spacing w:line="360" w:lineRule="atLeast"/>
              <w:rPr>
                <w:rFonts w:hint="eastAsia"/>
                <w:sz w:val="18"/>
              </w:rPr>
            </w:pPr>
            <w:r>
              <w:rPr>
                <w:rFonts w:hint="eastAsia"/>
                <w:sz w:val="18"/>
              </w:rPr>
              <w:t>第136条</w:t>
            </w:r>
          </w:p>
          <w:p w:rsidR="00312ECE" w:rsidRDefault="00312ECE">
            <w:pPr>
              <w:spacing w:line="360" w:lineRule="atLeast"/>
              <w:rPr>
                <w:rFonts w:hint="eastAsia"/>
                <w:sz w:val="18"/>
              </w:rPr>
            </w:pPr>
            <w:r>
              <w:rPr>
                <w:rFonts w:hint="eastAsia"/>
                <w:sz w:val="18"/>
              </w:rPr>
              <w:t>强迫堕胎</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6" w:type="pct"/>
          </w:tcPr>
          <w:p w:rsidR="00312ECE" w:rsidRDefault="00312ECE">
            <w:pPr>
              <w:spacing w:line="360" w:lineRule="atLeast"/>
              <w:jc w:val="center"/>
              <w:rPr>
                <w:rFonts w:hint="eastAsia"/>
                <w:sz w:val="18"/>
              </w:rPr>
            </w:pPr>
            <w:r>
              <w:rPr>
                <w:rFonts w:hint="eastAsia"/>
                <w:sz w:val="18"/>
              </w:rPr>
              <w:t>-</w:t>
            </w:r>
          </w:p>
        </w:tc>
      </w:tr>
      <w:tr w:rsidR="00312ECE">
        <w:tblPrEx>
          <w:tblCellMar>
            <w:top w:w="0" w:type="dxa"/>
            <w:bottom w:w="0" w:type="dxa"/>
          </w:tblCellMar>
        </w:tblPrEx>
        <w:trPr>
          <w:cantSplit/>
        </w:trPr>
        <w:tc>
          <w:tcPr>
            <w:tcW w:w="956" w:type="pct"/>
          </w:tcPr>
          <w:p w:rsidR="00312ECE" w:rsidRDefault="00312ECE">
            <w:pPr>
              <w:spacing w:line="360" w:lineRule="atLeast"/>
              <w:rPr>
                <w:rFonts w:hint="eastAsia"/>
                <w:sz w:val="18"/>
              </w:rPr>
            </w:pPr>
            <w:r>
              <w:rPr>
                <w:rFonts w:hint="eastAsia"/>
                <w:sz w:val="18"/>
              </w:rPr>
              <w:t>第137条</w:t>
            </w:r>
          </w:p>
          <w:p w:rsidR="00312ECE" w:rsidRDefault="00312ECE">
            <w:pPr>
              <w:spacing w:line="360" w:lineRule="atLeast"/>
              <w:rPr>
                <w:rFonts w:hint="eastAsia"/>
                <w:sz w:val="18"/>
              </w:rPr>
            </w:pPr>
            <w:r>
              <w:rPr>
                <w:rFonts w:hint="eastAsia"/>
                <w:sz w:val="18"/>
              </w:rPr>
              <w:t>非法医治</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6" w:type="pct"/>
          </w:tcPr>
          <w:p w:rsidR="00312ECE" w:rsidRDefault="00312ECE">
            <w:pPr>
              <w:spacing w:line="360" w:lineRule="atLeast"/>
              <w:jc w:val="center"/>
              <w:rPr>
                <w:rFonts w:hint="eastAsia"/>
                <w:sz w:val="18"/>
              </w:rPr>
            </w:pPr>
            <w:r>
              <w:rPr>
                <w:rFonts w:hint="eastAsia"/>
                <w:sz w:val="18"/>
              </w:rPr>
              <w:t>-</w:t>
            </w:r>
          </w:p>
        </w:tc>
      </w:tr>
      <w:tr w:rsidR="00312ECE">
        <w:tblPrEx>
          <w:tblCellMar>
            <w:top w:w="0" w:type="dxa"/>
            <w:bottom w:w="0" w:type="dxa"/>
          </w:tblCellMar>
        </w:tblPrEx>
        <w:trPr>
          <w:cantSplit/>
        </w:trPr>
        <w:tc>
          <w:tcPr>
            <w:tcW w:w="956" w:type="pct"/>
          </w:tcPr>
          <w:p w:rsidR="00312ECE" w:rsidRDefault="00312ECE">
            <w:pPr>
              <w:spacing w:line="360" w:lineRule="atLeast"/>
              <w:rPr>
                <w:rFonts w:hint="eastAsia"/>
                <w:sz w:val="18"/>
              </w:rPr>
            </w:pPr>
            <w:r>
              <w:rPr>
                <w:rFonts w:hint="eastAsia"/>
                <w:sz w:val="18"/>
              </w:rPr>
              <w:t>第138条</w:t>
            </w:r>
          </w:p>
          <w:p w:rsidR="00312ECE" w:rsidRDefault="00312ECE">
            <w:pPr>
              <w:spacing w:line="360" w:lineRule="atLeast"/>
              <w:rPr>
                <w:rFonts w:hint="eastAsia"/>
                <w:sz w:val="18"/>
              </w:rPr>
            </w:pPr>
            <w:r>
              <w:rPr>
                <w:rFonts w:hint="eastAsia"/>
                <w:sz w:val="18"/>
              </w:rPr>
              <w:t>执业医师未尽到责任</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6" w:type="pct"/>
          </w:tcPr>
          <w:p w:rsidR="00312ECE" w:rsidRDefault="00312ECE">
            <w:pPr>
              <w:spacing w:line="360" w:lineRule="atLeast"/>
              <w:jc w:val="center"/>
              <w:rPr>
                <w:rFonts w:hint="eastAsia"/>
                <w:sz w:val="18"/>
              </w:rPr>
            </w:pPr>
            <w:r>
              <w:rPr>
                <w:rFonts w:hint="eastAsia"/>
                <w:sz w:val="18"/>
              </w:rPr>
              <w:t>-</w:t>
            </w:r>
          </w:p>
        </w:tc>
      </w:tr>
      <w:tr w:rsidR="00312ECE">
        <w:tblPrEx>
          <w:tblCellMar>
            <w:top w:w="0" w:type="dxa"/>
            <w:bottom w:w="0" w:type="dxa"/>
          </w:tblCellMar>
        </w:tblPrEx>
        <w:trPr>
          <w:cantSplit/>
        </w:trPr>
        <w:tc>
          <w:tcPr>
            <w:tcW w:w="956" w:type="pct"/>
          </w:tcPr>
          <w:p w:rsidR="00312ECE" w:rsidRDefault="00312ECE">
            <w:pPr>
              <w:spacing w:line="360" w:lineRule="atLeast"/>
              <w:rPr>
                <w:rFonts w:hint="eastAsia"/>
                <w:sz w:val="18"/>
              </w:rPr>
            </w:pPr>
            <w:r>
              <w:rPr>
                <w:rFonts w:hint="eastAsia"/>
                <w:sz w:val="18"/>
              </w:rPr>
              <w:t>第139条</w:t>
            </w:r>
          </w:p>
          <w:p w:rsidR="00312ECE" w:rsidRDefault="00312ECE">
            <w:pPr>
              <w:pStyle w:val="Header"/>
              <w:tabs>
                <w:tab w:val="clear" w:pos="4320"/>
                <w:tab w:val="clear" w:pos="8640"/>
              </w:tabs>
              <w:spacing w:line="360" w:lineRule="atLeast"/>
              <w:rPr>
                <w:rFonts w:ascii="SimSun" w:hint="eastAsia"/>
                <w:noProof w:val="0"/>
                <w:kern w:val="14"/>
              </w:rPr>
            </w:pPr>
            <w:r>
              <w:rPr>
                <w:rFonts w:ascii="SimSun" w:hint="eastAsia"/>
                <w:noProof w:val="0"/>
                <w:kern w:val="14"/>
              </w:rPr>
              <w:t>非法取走人体组织和器官</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9" w:type="pct"/>
          </w:tcPr>
          <w:p w:rsidR="00312ECE" w:rsidRDefault="00312ECE">
            <w:pPr>
              <w:spacing w:line="360" w:lineRule="atLeast"/>
              <w:jc w:val="center"/>
              <w:rPr>
                <w:rFonts w:hint="eastAsia"/>
                <w:sz w:val="18"/>
              </w:rPr>
            </w:pPr>
            <w:r>
              <w:rPr>
                <w:rFonts w:hint="eastAsia"/>
                <w:sz w:val="18"/>
              </w:rPr>
              <w:t>-</w:t>
            </w:r>
          </w:p>
        </w:tc>
        <w:tc>
          <w:tcPr>
            <w:tcW w:w="286" w:type="pct"/>
          </w:tcPr>
          <w:p w:rsidR="00312ECE" w:rsidRDefault="00312ECE">
            <w:pPr>
              <w:spacing w:line="360" w:lineRule="atLeast"/>
              <w:jc w:val="center"/>
              <w:rPr>
                <w:rFonts w:hint="eastAsia"/>
                <w:sz w:val="18"/>
              </w:rPr>
            </w:pPr>
            <w:r>
              <w:rPr>
                <w:rFonts w:hint="eastAsia"/>
                <w:sz w:val="18"/>
              </w:rPr>
              <w:t>-</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ascii="KaiTi_GB2312" w:eastAsia="KaiTi_GB2312" w:hint="eastAsia"/>
          <w:color w:val="0000FF"/>
        </w:rPr>
      </w:pPr>
      <w:r>
        <w:rPr>
          <w:rFonts w:ascii="KaiTi_GB2312" w:eastAsia="KaiTi_GB2312" w:hint="eastAsia"/>
          <w:color w:val="0000FF"/>
        </w:rPr>
        <w:t>获得计划生育资料的权利，接受与家庭保健有关的援助的权利</w:t>
      </w:r>
    </w:p>
    <w:p w:rsidR="00312ECE" w:rsidRDefault="00312ECE">
      <w:pPr>
        <w:pStyle w:val="SingleTxt"/>
        <w:rPr>
          <w:rFonts w:hint="eastAsia"/>
        </w:rPr>
      </w:pPr>
      <w:r>
        <w:rPr>
          <w:rFonts w:hint="eastAsia"/>
        </w:rPr>
        <w:t>228.  在拉脱维亚，妇女在取得促进家庭健康和福利的专用教育资料方面享有不受歧视的权利。男女在获得计划生育资料及咨询方面享有同等权利。</w:t>
      </w:r>
    </w:p>
    <w:p w:rsidR="00312ECE" w:rsidRDefault="00312ECE">
      <w:pPr>
        <w:pStyle w:val="SingleTxt"/>
        <w:rPr>
          <w:rFonts w:hint="eastAsia"/>
        </w:rPr>
      </w:pPr>
      <w:r>
        <w:rPr>
          <w:rFonts w:hint="eastAsia"/>
        </w:rPr>
        <w:t>229.  拉脱维亚共和国福利部负责国家家庭保健中心；该中心的任务之一是提供有关计划生育问题的资料。这种资料的提供是一项免费服务。</w:t>
      </w:r>
    </w:p>
    <w:p w:rsidR="00312ECE" w:rsidRDefault="00312ECE">
      <w:pPr>
        <w:pStyle w:val="SingleTxt"/>
        <w:rPr>
          <w:rFonts w:hint="eastAsia"/>
        </w:rPr>
      </w:pPr>
      <w:r>
        <w:rPr>
          <w:rFonts w:hint="eastAsia"/>
        </w:rPr>
        <w:t>230.  拉脱维亚有一些处理计划生育问题的非政府组织。例如，负责散发资料，开展人口教育活动和促进性健康的非政府组织“Papardes Zieds”。拉脱维亚两性平等协会说明，拉脱维亚青年健康中心委员会、拉脱维亚青年红十字会、家庭及学校教育中心以及各地区的一些组织参与了类似的活动。</w:t>
      </w:r>
    </w:p>
    <w:p w:rsidR="00312ECE" w:rsidRDefault="00312ECE">
      <w:pPr>
        <w:pStyle w:val="SingleTxt"/>
        <w:rPr>
          <w:rFonts w:hint="eastAsia"/>
        </w:rPr>
      </w:pPr>
      <w:r>
        <w:rPr>
          <w:rFonts w:hint="eastAsia"/>
        </w:rPr>
        <w:t>231.  为人口保健提供资金的程序以部长内阁1996年12月24日的“保健资金提供”条例为准。该条例规定，国家强制性健康保险保证从国家强制性健康保险中支付拉脱维亚医疗机构的医疗费用，并支付与观察孕妇和产后妇女健康状况、帮助分娩和提供病理性怀孕援助有关的医疗费用。</w:t>
      </w:r>
    </w:p>
    <w:p w:rsidR="00312ECE" w:rsidRDefault="00312ECE">
      <w:pPr>
        <w:pStyle w:val="SingleTxt"/>
        <w:rPr>
          <w:rFonts w:hint="eastAsia"/>
        </w:rPr>
      </w:pPr>
      <w:r>
        <w:rPr>
          <w:rFonts w:hint="eastAsia"/>
        </w:rPr>
        <w:t>232.  怀孕妇女如处于怀孕及产后观察期，并接受与怀孕程序相关的医疗服务，可不必支付看病费，这种医疗服务是免费提供的。</w:t>
      </w:r>
    </w:p>
    <w:p w:rsidR="00312ECE" w:rsidRDefault="00312ECE">
      <w:pPr>
        <w:pStyle w:val="SingleTxt"/>
        <w:rPr>
          <w:rFonts w:hint="eastAsia"/>
        </w:rPr>
      </w:pPr>
      <w:r>
        <w:rPr>
          <w:rFonts w:hint="eastAsia"/>
        </w:rPr>
        <w:t>233.  根据部长内阁1997年3月18日关于“1997年购买门诊治疗医疗器械的救济”条例，出现医疗禁忌征候的孕妇，购买口服避孕药和机械避孕工具时可享受优惠。</w:t>
      </w:r>
    </w:p>
    <w:p w:rsidR="00312ECE" w:rsidRDefault="00312ECE">
      <w:pPr>
        <w:pStyle w:val="SingleTxt"/>
        <w:rPr>
          <w:rFonts w:ascii="KaiTi_GB2312" w:eastAsia="KaiTi_GB2312" w:hint="eastAsia"/>
          <w:color w:val="0000FF"/>
        </w:rPr>
      </w:pPr>
      <w:r>
        <w:rPr>
          <w:rFonts w:ascii="KaiTi_GB2312" w:eastAsia="KaiTi_GB2312" w:hint="eastAsia"/>
          <w:color w:val="0000FF"/>
        </w:rPr>
        <w:t>在怀孕和产后期间接受医疗护理的权利</w:t>
      </w:r>
    </w:p>
    <w:p w:rsidR="00312ECE" w:rsidRDefault="00312ECE">
      <w:pPr>
        <w:pStyle w:val="SingleTxt"/>
        <w:rPr>
          <w:rFonts w:hint="eastAsia"/>
        </w:rPr>
      </w:pPr>
      <w:r>
        <w:rPr>
          <w:rFonts w:hint="eastAsia"/>
        </w:rPr>
        <w:t>234.  在怀孕和产后期间接受医疗护理的权利根据部长内阁1999年1月12日核可的《药物治疗法》、“保健资金提供”条例以及福利部（1995年11月20日）“关于孕妇和婴儿检查诊断”的第324号命令提供。</w:t>
      </w:r>
    </w:p>
    <w:p w:rsidR="00312ECE" w:rsidRDefault="00312ECE">
      <w:pPr>
        <w:pStyle w:val="SingleTxt"/>
        <w:rPr>
          <w:rFonts w:hint="eastAsia"/>
        </w:rPr>
      </w:pPr>
      <w:r>
        <w:rPr>
          <w:rFonts w:hint="eastAsia"/>
        </w:rPr>
        <w:t>235.  除了落实国家的产前计划外，里加市妇产医院还开展了如下工作：从怀孕第10周起对胎儿心跳进行听诊；从怀孕第34周起记录并查看胎儿的心电图（如果出现医疗症状）；对孕妇进行医疗护理。妇产医院还提供治疗专家、心脏病专家、内分泌专家咨询；在怀孕期间定期开设产前课程，讲解怀孕程序、孕妇身体的生理变化以及怀孕期间婴儿每三个月的发育情况。在怀孕期间，母亲接受定期检查（产前保健），在围产期保健系统内也要接受检查。</w:t>
      </w:r>
    </w:p>
    <w:p w:rsidR="00312ECE" w:rsidRDefault="00312ECE">
      <w:pPr>
        <w:pStyle w:val="SingleTxt"/>
        <w:rPr>
          <w:rFonts w:hint="eastAsia"/>
        </w:rPr>
      </w:pPr>
      <w:r>
        <w:rPr>
          <w:rFonts w:hint="eastAsia"/>
        </w:rPr>
        <w:t>236.  从2000年开始，在15-44岁的妇女中，每1 000个活产中人工堕胎的数量不断减少。每100个分娩的妇女中人工堕胎数已连续第二年少于100胎，即85胎（1999-1993年）。人工堕胎绝对数减少，出生的子女增多。2000年，分娩数增加了4.5%。中止怀孕数减少了4.4%。</w:t>
      </w:r>
    </w:p>
    <w:p w:rsidR="00312ECE" w:rsidRDefault="00312ECE">
      <w:pPr>
        <w:pStyle w:val="SingleTxt"/>
        <w:rPr>
          <w:rFonts w:ascii="SimHei" w:eastAsia="SimHei" w:hint="eastAsia"/>
          <w:color w:val="FF0000"/>
        </w:rPr>
      </w:pPr>
      <w:r>
        <w:rPr>
          <w:rFonts w:ascii="SimHei" w:eastAsia="SimHei" w:hint="eastAsia"/>
          <w:color w:val="FF0000"/>
        </w:rPr>
        <w:t>拉脱维亚中止怀孕的人数</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72"/>
        <w:gridCol w:w="2552"/>
        <w:gridCol w:w="2447"/>
      </w:tblGrid>
      <w:tr w:rsidR="00312ECE">
        <w:tblPrEx>
          <w:tblCellMar>
            <w:top w:w="0" w:type="dxa"/>
            <w:bottom w:w="0" w:type="dxa"/>
          </w:tblCellMar>
        </w:tblPrEx>
        <w:tc>
          <w:tcPr>
            <w:tcW w:w="1609" w:type="pct"/>
          </w:tcPr>
          <w:p w:rsidR="00312ECE" w:rsidRDefault="00312ECE">
            <w:pPr>
              <w:spacing w:line="360" w:lineRule="atLeast"/>
              <w:jc w:val="center"/>
              <w:rPr>
                <w:rFonts w:ascii="KaiTi_GB2312" w:eastAsia="KaiTi_GB2312" w:hint="eastAsia"/>
                <w:color w:val="0000FF"/>
                <w:sz w:val="18"/>
              </w:rPr>
            </w:pPr>
          </w:p>
        </w:tc>
        <w:tc>
          <w:tcPr>
            <w:tcW w:w="1731" w:type="pct"/>
          </w:tcPr>
          <w:p w:rsidR="00312ECE" w:rsidRDefault="00312ECE">
            <w:pPr>
              <w:pStyle w:val="Header"/>
              <w:tabs>
                <w:tab w:val="clear" w:pos="4320"/>
                <w:tab w:val="clear" w:pos="8640"/>
              </w:tabs>
              <w:spacing w:line="360" w:lineRule="atLeast"/>
              <w:jc w:val="center"/>
              <w:rPr>
                <w:rFonts w:ascii="KaiTi_GB2312" w:eastAsia="KaiTi_GB2312" w:hint="eastAsia"/>
                <w:color w:val="0000FF"/>
              </w:rPr>
            </w:pPr>
            <w:r>
              <w:rPr>
                <w:rFonts w:ascii="KaiTi_GB2312" w:eastAsia="KaiTi_GB2312" w:hint="eastAsia"/>
                <w:color w:val="0000FF"/>
              </w:rPr>
              <w:t>共计</w:t>
            </w:r>
          </w:p>
        </w:tc>
        <w:tc>
          <w:tcPr>
            <w:tcW w:w="1660"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其中：人工中止怀孕</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1991年</w:t>
            </w:r>
          </w:p>
        </w:tc>
        <w:tc>
          <w:tcPr>
            <w:tcW w:w="1731" w:type="pct"/>
          </w:tcPr>
          <w:p w:rsidR="00312ECE" w:rsidRDefault="00312ECE">
            <w:pPr>
              <w:spacing w:before="80" w:after="80" w:line="260" w:lineRule="exact"/>
              <w:jc w:val="center"/>
              <w:rPr>
                <w:rFonts w:hint="eastAsia"/>
                <w:sz w:val="18"/>
              </w:rPr>
            </w:pPr>
            <w:r>
              <w:rPr>
                <w:rFonts w:hint="eastAsia"/>
                <w:sz w:val="18"/>
              </w:rPr>
              <w:t>44</w:t>
            </w:r>
            <w:r>
              <w:rPr>
                <w:sz w:val="18"/>
              </w:rPr>
              <w:t xml:space="preserve"> </w:t>
            </w:r>
            <w:r>
              <w:rPr>
                <w:rFonts w:hint="eastAsia"/>
                <w:sz w:val="18"/>
              </w:rPr>
              <w:t>886</w:t>
            </w:r>
          </w:p>
        </w:tc>
        <w:tc>
          <w:tcPr>
            <w:tcW w:w="1660" w:type="pct"/>
          </w:tcPr>
          <w:p w:rsidR="00312ECE" w:rsidRDefault="00312ECE">
            <w:pPr>
              <w:spacing w:before="80" w:after="80" w:line="260" w:lineRule="exact"/>
              <w:jc w:val="center"/>
              <w:rPr>
                <w:rFonts w:hint="eastAsia"/>
                <w:sz w:val="18"/>
              </w:rPr>
            </w:pPr>
            <w:r>
              <w:rPr>
                <w:rFonts w:hint="eastAsia"/>
                <w:sz w:val="18"/>
              </w:rPr>
              <w:t>38</w:t>
            </w:r>
            <w:r>
              <w:rPr>
                <w:sz w:val="18"/>
              </w:rPr>
              <w:t xml:space="preserve"> </w:t>
            </w:r>
            <w:r>
              <w:rPr>
                <w:rFonts w:hint="eastAsia"/>
                <w:sz w:val="18"/>
              </w:rPr>
              <w:t>837</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1992年</w:t>
            </w:r>
          </w:p>
        </w:tc>
        <w:tc>
          <w:tcPr>
            <w:tcW w:w="1731" w:type="pct"/>
          </w:tcPr>
          <w:p w:rsidR="00312ECE" w:rsidRDefault="00312ECE">
            <w:pPr>
              <w:spacing w:before="80" w:after="80" w:line="260" w:lineRule="exact"/>
              <w:jc w:val="center"/>
              <w:rPr>
                <w:rFonts w:hint="eastAsia"/>
                <w:sz w:val="18"/>
              </w:rPr>
            </w:pPr>
            <w:r>
              <w:rPr>
                <w:rFonts w:hint="eastAsia"/>
                <w:sz w:val="18"/>
              </w:rPr>
              <w:t>40</w:t>
            </w:r>
            <w:r>
              <w:rPr>
                <w:sz w:val="18"/>
              </w:rPr>
              <w:t xml:space="preserve"> </w:t>
            </w:r>
            <w:r>
              <w:rPr>
                <w:rFonts w:hint="eastAsia"/>
                <w:sz w:val="18"/>
              </w:rPr>
              <w:t>494</w:t>
            </w:r>
          </w:p>
        </w:tc>
        <w:tc>
          <w:tcPr>
            <w:tcW w:w="1660" w:type="pct"/>
          </w:tcPr>
          <w:p w:rsidR="00312ECE" w:rsidRDefault="00312ECE">
            <w:pPr>
              <w:spacing w:before="80" w:after="80" w:line="260" w:lineRule="exact"/>
              <w:jc w:val="center"/>
              <w:rPr>
                <w:rFonts w:hint="eastAsia"/>
                <w:sz w:val="18"/>
              </w:rPr>
            </w:pPr>
            <w:r>
              <w:rPr>
                <w:rFonts w:hint="eastAsia"/>
                <w:sz w:val="18"/>
              </w:rPr>
              <w:t>34</w:t>
            </w:r>
            <w:r>
              <w:rPr>
                <w:sz w:val="18"/>
              </w:rPr>
              <w:t xml:space="preserve"> </w:t>
            </w:r>
            <w:r>
              <w:rPr>
                <w:rFonts w:hint="eastAsia"/>
                <w:sz w:val="18"/>
              </w:rPr>
              <w:t>325</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1993年</w:t>
            </w:r>
          </w:p>
        </w:tc>
        <w:tc>
          <w:tcPr>
            <w:tcW w:w="1731" w:type="pct"/>
          </w:tcPr>
          <w:p w:rsidR="00312ECE" w:rsidRDefault="00312ECE">
            <w:pPr>
              <w:spacing w:before="80" w:after="80" w:line="260" w:lineRule="exact"/>
              <w:jc w:val="center"/>
              <w:rPr>
                <w:rFonts w:hint="eastAsia"/>
                <w:sz w:val="18"/>
              </w:rPr>
            </w:pPr>
            <w:r>
              <w:rPr>
                <w:rFonts w:hint="eastAsia"/>
                <w:sz w:val="18"/>
              </w:rPr>
              <w:t>37</w:t>
            </w:r>
            <w:r>
              <w:rPr>
                <w:sz w:val="18"/>
              </w:rPr>
              <w:t xml:space="preserve"> </w:t>
            </w:r>
            <w:r>
              <w:rPr>
                <w:rFonts w:hint="eastAsia"/>
                <w:sz w:val="18"/>
              </w:rPr>
              <w:t>256</w:t>
            </w:r>
          </w:p>
        </w:tc>
        <w:tc>
          <w:tcPr>
            <w:tcW w:w="1660" w:type="pct"/>
          </w:tcPr>
          <w:p w:rsidR="00312ECE" w:rsidRDefault="00312ECE">
            <w:pPr>
              <w:spacing w:before="80" w:after="80" w:line="260" w:lineRule="exact"/>
              <w:jc w:val="center"/>
              <w:rPr>
                <w:rFonts w:hint="eastAsia"/>
                <w:sz w:val="18"/>
              </w:rPr>
            </w:pPr>
            <w:r>
              <w:rPr>
                <w:rFonts w:hint="eastAsia"/>
                <w:sz w:val="18"/>
              </w:rPr>
              <w:t>31</w:t>
            </w:r>
            <w:r>
              <w:rPr>
                <w:sz w:val="18"/>
              </w:rPr>
              <w:t xml:space="preserve"> </w:t>
            </w:r>
            <w:r>
              <w:rPr>
                <w:rFonts w:hint="eastAsia"/>
                <w:sz w:val="18"/>
              </w:rPr>
              <w:t>348</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1994年</w:t>
            </w:r>
          </w:p>
        </w:tc>
        <w:tc>
          <w:tcPr>
            <w:tcW w:w="1731" w:type="pct"/>
          </w:tcPr>
          <w:p w:rsidR="00312ECE" w:rsidRDefault="00312ECE">
            <w:pPr>
              <w:spacing w:before="80" w:after="80" w:line="260" w:lineRule="exact"/>
              <w:jc w:val="center"/>
              <w:rPr>
                <w:rFonts w:hint="eastAsia"/>
                <w:sz w:val="18"/>
              </w:rPr>
            </w:pPr>
            <w:r>
              <w:rPr>
                <w:rFonts w:hint="eastAsia"/>
                <w:sz w:val="18"/>
              </w:rPr>
              <w:t>32</w:t>
            </w:r>
            <w:r>
              <w:rPr>
                <w:sz w:val="18"/>
              </w:rPr>
              <w:t xml:space="preserve"> </w:t>
            </w:r>
            <w:r>
              <w:rPr>
                <w:rFonts w:hint="eastAsia"/>
                <w:sz w:val="18"/>
              </w:rPr>
              <w:t>535</w:t>
            </w:r>
          </w:p>
        </w:tc>
        <w:tc>
          <w:tcPr>
            <w:tcW w:w="1660" w:type="pct"/>
          </w:tcPr>
          <w:p w:rsidR="00312ECE" w:rsidRDefault="00312ECE">
            <w:pPr>
              <w:spacing w:before="80" w:after="80" w:line="260" w:lineRule="exact"/>
              <w:jc w:val="center"/>
              <w:rPr>
                <w:rFonts w:hint="eastAsia"/>
                <w:sz w:val="18"/>
              </w:rPr>
            </w:pPr>
            <w:r>
              <w:rPr>
                <w:rFonts w:hint="eastAsia"/>
                <w:sz w:val="18"/>
              </w:rPr>
              <w:t>26</w:t>
            </w:r>
            <w:r>
              <w:rPr>
                <w:sz w:val="18"/>
              </w:rPr>
              <w:t xml:space="preserve"> </w:t>
            </w:r>
            <w:r>
              <w:rPr>
                <w:rFonts w:hint="eastAsia"/>
                <w:sz w:val="18"/>
              </w:rPr>
              <w:t>795</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1995年</w:t>
            </w:r>
          </w:p>
        </w:tc>
        <w:tc>
          <w:tcPr>
            <w:tcW w:w="1731" w:type="pct"/>
          </w:tcPr>
          <w:p w:rsidR="00312ECE" w:rsidRDefault="00312ECE">
            <w:pPr>
              <w:spacing w:before="80" w:after="80" w:line="260" w:lineRule="exact"/>
              <w:jc w:val="center"/>
              <w:rPr>
                <w:rFonts w:hint="eastAsia"/>
                <w:sz w:val="18"/>
              </w:rPr>
            </w:pPr>
            <w:r>
              <w:rPr>
                <w:rFonts w:hint="eastAsia"/>
                <w:sz w:val="18"/>
              </w:rPr>
              <w:t>31</w:t>
            </w:r>
            <w:r>
              <w:rPr>
                <w:sz w:val="18"/>
              </w:rPr>
              <w:t xml:space="preserve"> </w:t>
            </w:r>
            <w:r>
              <w:rPr>
                <w:rFonts w:hint="eastAsia"/>
                <w:sz w:val="18"/>
              </w:rPr>
              <w:t>324</w:t>
            </w:r>
          </w:p>
        </w:tc>
        <w:tc>
          <w:tcPr>
            <w:tcW w:w="1660" w:type="pct"/>
          </w:tcPr>
          <w:p w:rsidR="00312ECE" w:rsidRDefault="00312ECE">
            <w:pPr>
              <w:spacing w:before="80" w:after="80" w:line="260" w:lineRule="exact"/>
              <w:jc w:val="center"/>
              <w:rPr>
                <w:rFonts w:hint="eastAsia"/>
                <w:sz w:val="18"/>
              </w:rPr>
            </w:pPr>
            <w:r>
              <w:rPr>
                <w:rFonts w:hint="eastAsia"/>
                <w:sz w:val="18"/>
              </w:rPr>
              <w:t>25</w:t>
            </w:r>
            <w:r>
              <w:rPr>
                <w:sz w:val="18"/>
              </w:rPr>
              <w:t xml:space="preserve"> </w:t>
            </w:r>
            <w:r>
              <w:rPr>
                <w:rFonts w:hint="eastAsia"/>
                <w:sz w:val="18"/>
              </w:rPr>
              <w:t>933</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1996年</w:t>
            </w:r>
          </w:p>
        </w:tc>
        <w:tc>
          <w:tcPr>
            <w:tcW w:w="1731" w:type="pct"/>
          </w:tcPr>
          <w:p w:rsidR="00312ECE" w:rsidRDefault="00312ECE">
            <w:pPr>
              <w:spacing w:before="80" w:after="80" w:line="260" w:lineRule="exact"/>
              <w:jc w:val="center"/>
              <w:rPr>
                <w:rFonts w:hint="eastAsia"/>
                <w:sz w:val="18"/>
              </w:rPr>
            </w:pPr>
            <w:r>
              <w:rPr>
                <w:rFonts w:hint="eastAsia"/>
                <w:sz w:val="18"/>
              </w:rPr>
              <w:t>29</w:t>
            </w:r>
            <w:r>
              <w:rPr>
                <w:sz w:val="18"/>
              </w:rPr>
              <w:t xml:space="preserve"> </w:t>
            </w:r>
            <w:r>
              <w:rPr>
                <w:rFonts w:hint="eastAsia"/>
                <w:sz w:val="18"/>
              </w:rPr>
              <w:t>653</w:t>
            </w:r>
          </w:p>
        </w:tc>
        <w:tc>
          <w:tcPr>
            <w:tcW w:w="1660" w:type="pct"/>
          </w:tcPr>
          <w:p w:rsidR="00312ECE" w:rsidRDefault="00312ECE">
            <w:pPr>
              <w:spacing w:before="80" w:after="80" w:line="260" w:lineRule="exact"/>
              <w:jc w:val="center"/>
              <w:rPr>
                <w:rFonts w:hint="eastAsia"/>
                <w:sz w:val="18"/>
              </w:rPr>
            </w:pPr>
            <w:r>
              <w:rPr>
                <w:rFonts w:hint="eastAsia"/>
                <w:sz w:val="18"/>
              </w:rPr>
              <w:t>24</w:t>
            </w:r>
            <w:r>
              <w:rPr>
                <w:sz w:val="18"/>
              </w:rPr>
              <w:t xml:space="preserve"> </w:t>
            </w:r>
            <w:r>
              <w:rPr>
                <w:rFonts w:hint="eastAsia"/>
                <w:sz w:val="18"/>
              </w:rPr>
              <w:t>227</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1997年</w:t>
            </w:r>
          </w:p>
        </w:tc>
        <w:tc>
          <w:tcPr>
            <w:tcW w:w="1731" w:type="pct"/>
          </w:tcPr>
          <w:p w:rsidR="00312ECE" w:rsidRDefault="00312ECE">
            <w:pPr>
              <w:spacing w:before="80" w:after="80" w:line="260" w:lineRule="exact"/>
              <w:jc w:val="center"/>
              <w:rPr>
                <w:rFonts w:hint="eastAsia"/>
                <w:sz w:val="18"/>
              </w:rPr>
            </w:pPr>
            <w:r>
              <w:rPr>
                <w:rFonts w:hint="eastAsia"/>
                <w:sz w:val="18"/>
              </w:rPr>
              <w:t>27</w:t>
            </w:r>
            <w:r>
              <w:rPr>
                <w:sz w:val="18"/>
              </w:rPr>
              <w:t xml:space="preserve"> </w:t>
            </w:r>
            <w:r>
              <w:rPr>
                <w:rFonts w:hint="eastAsia"/>
                <w:sz w:val="18"/>
              </w:rPr>
              <w:t>206</w:t>
            </w:r>
          </w:p>
        </w:tc>
        <w:tc>
          <w:tcPr>
            <w:tcW w:w="1660" w:type="pct"/>
          </w:tcPr>
          <w:p w:rsidR="00312ECE" w:rsidRDefault="00312ECE">
            <w:pPr>
              <w:spacing w:before="80" w:after="80" w:line="260" w:lineRule="exact"/>
              <w:jc w:val="center"/>
              <w:rPr>
                <w:rFonts w:hint="eastAsia"/>
                <w:sz w:val="18"/>
              </w:rPr>
            </w:pPr>
            <w:r>
              <w:rPr>
                <w:rFonts w:hint="eastAsia"/>
                <w:sz w:val="18"/>
              </w:rPr>
              <w:t>21</w:t>
            </w:r>
            <w:r>
              <w:rPr>
                <w:sz w:val="18"/>
              </w:rPr>
              <w:t xml:space="preserve"> </w:t>
            </w:r>
            <w:r>
              <w:rPr>
                <w:rFonts w:hint="eastAsia"/>
                <w:sz w:val="18"/>
              </w:rPr>
              <w:t>768</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1998年</w:t>
            </w:r>
          </w:p>
        </w:tc>
        <w:tc>
          <w:tcPr>
            <w:tcW w:w="1731" w:type="pct"/>
          </w:tcPr>
          <w:p w:rsidR="00312ECE" w:rsidRDefault="00312ECE">
            <w:pPr>
              <w:spacing w:before="80" w:after="80" w:line="260" w:lineRule="exact"/>
              <w:jc w:val="center"/>
              <w:rPr>
                <w:rFonts w:hint="eastAsia"/>
                <w:sz w:val="18"/>
              </w:rPr>
            </w:pPr>
            <w:r>
              <w:rPr>
                <w:rFonts w:hint="eastAsia"/>
                <w:sz w:val="18"/>
              </w:rPr>
              <w:t>25</w:t>
            </w:r>
            <w:r>
              <w:rPr>
                <w:sz w:val="18"/>
              </w:rPr>
              <w:t xml:space="preserve"> </w:t>
            </w:r>
            <w:r>
              <w:rPr>
                <w:rFonts w:hint="eastAsia"/>
                <w:sz w:val="18"/>
              </w:rPr>
              <w:t>076</w:t>
            </w:r>
          </w:p>
        </w:tc>
        <w:tc>
          <w:tcPr>
            <w:tcW w:w="1660" w:type="pct"/>
          </w:tcPr>
          <w:p w:rsidR="00312ECE" w:rsidRDefault="00312ECE">
            <w:pPr>
              <w:spacing w:before="80" w:after="80" w:line="260" w:lineRule="exact"/>
              <w:jc w:val="center"/>
              <w:rPr>
                <w:rFonts w:hint="eastAsia"/>
                <w:sz w:val="18"/>
              </w:rPr>
            </w:pPr>
            <w:r>
              <w:rPr>
                <w:rFonts w:hint="eastAsia"/>
                <w:sz w:val="18"/>
              </w:rPr>
              <w:t>19</w:t>
            </w:r>
            <w:r>
              <w:rPr>
                <w:sz w:val="18"/>
              </w:rPr>
              <w:t xml:space="preserve"> </w:t>
            </w:r>
            <w:r>
              <w:rPr>
                <w:rFonts w:hint="eastAsia"/>
                <w:sz w:val="18"/>
              </w:rPr>
              <w:t>964</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1999年</w:t>
            </w:r>
          </w:p>
        </w:tc>
        <w:tc>
          <w:tcPr>
            <w:tcW w:w="1731" w:type="pct"/>
          </w:tcPr>
          <w:p w:rsidR="00312ECE" w:rsidRDefault="00312ECE">
            <w:pPr>
              <w:spacing w:before="80" w:after="80" w:line="260" w:lineRule="exact"/>
              <w:jc w:val="center"/>
              <w:rPr>
                <w:rFonts w:hint="eastAsia"/>
                <w:sz w:val="18"/>
              </w:rPr>
            </w:pPr>
            <w:r>
              <w:rPr>
                <w:rFonts w:hint="eastAsia"/>
                <w:sz w:val="18"/>
              </w:rPr>
              <w:t>22</w:t>
            </w:r>
            <w:r>
              <w:rPr>
                <w:sz w:val="18"/>
              </w:rPr>
              <w:t xml:space="preserve"> </w:t>
            </w:r>
            <w:r>
              <w:rPr>
                <w:rFonts w:hint="eastAsia"/>
                <w:sz w:val="18"/>
              </w:rPr>
              <w:t>974</w:t>
            </w:r>
          </w:p>
        </w:tc>
        <w:tc>
          <w:tcPr>
            <w:tcW w:w="1660" w:type="pct"/>
          </w:tcPr>
          <w:p w:rsidR="00312ECE" w:rsidRDefault="00312ECE">
            <w:pPr>
              <w:spacing w:before="80" w:after="80" w:line="260" w:lineRule="exact"/>
              <w:jc w:val="center"/>
              <w:rPr>
                <w:rFonts w:hint="eastAsia"/>
                <w:sz w:val="18"/>
              </w:rPr>
            </w:pPr>
            <w:r>
              <w:rPr>
                <w:rFonts w:hint="eastAsia"/>
                <w:sz w:val="18"/>
              </w:rPr>
              <w:t>18</w:t>
            </w:r>
            <w:r>
              <w:rPr>
                <w:sz w:val="18"/>
              </w:rPr>
              <w:t xml:space="preserve"> </w:t>
            </w:r>
            <w:r>
              <w:rPr>
                <w:rFonts w:hint="eastAsia"/>
                <w:sz w:val="18"/>
              </w:rPr>
              <w:t>031</w:t>
            </w:r>
          </w:p>
        </w:tc>
      </w:tr>
      <w:tr w:rsidR="00312ECE">
        <w:tblPrEx>
          <w:tblCellMar>
            <w:top w:w="0" w:type="dxa"/>
            <w:bottom w:w="0" w:type="dxa"/>
          </w:tblCellMar>
        </w:tblPrEx>
        <w:tc>
          <w:tcPr>
            <w:tcW w:w="1609" w:type="pct"/>
          </w:tcPr>
          <w:p w:rsidR="00312ECE" w:rsidRDefault="00312ECE">
            <w:pPr>
              <w:spacing w:before="80" w:after="80" w:line="260" w:lineRule="exact"/>
              <w:jc w:val="center"/>
              <w:rPr>
                <w:rFonts w:hint="eastAsia"/>
                <w:sz w:val="18"/>
              </w:rPr>
            </w:pPr>
            <w:r>
              <w:rPr>
                <w:rFonts w:hint="eastAsia"/>
                <w:sz w:val="18"/>
              </w:rPr>
              <w:t>2000年</w:t>
            </w:r>
          </w:p>
        </w:tc>
        <w:tc>
          <w:tcPr>
            <w:tcW w:w="1731" w:type="pct"/>
          </w:tcPr>
          <w:p w:rsidR="00312ECE" w:rsidRDefault="00312ECE">
            <w:pPr>
              <w:spacing w:before="80" w:after="80" w:line="260" w:lineRule="exact"/>
              <w:jc w:val="center"/>
              <w:rPr>
                <w:rFonts w:hint="eastAsia"/>
                <w:sz w:val="18"/>
              </w:rPr>
            </w:pPr>
            <w:r>
              <w:rPr>
                <w:rFonts w:hint="eastAsia"/>
                <w:sz w:val="18"/>
              </w:rPr>
              <w:t>22</w:t>
            </w:r>
            <w:r>
              <w:rPr>
                <w:sz w:val="18"/>
              </w:rPr>
              <w:t xml:space="preserve"> </w:t>
            </w:r>
            <w:r>
              <w:rPr>
                <w:rFonts w:hint="eastAsia"/>
                <w:sz w:val="18"/>
              </w:rPr>
              <w:t>201</w:t>
            </w:r>
          </w:p>
        </w:tc>
        <w:tc>
          <w:tcPr>
            <w:tcW w:w="1660" w:type="pct"/>
          </w:tcPr>
          <w:p w:rsidR="00312ECE" w:rsidRDefault="00312ECE">
            <w:pPr>
              <w:spacing w:before="80" w:after="80" w:line="260" w:lineRule="exact"/>
              <w:jc w:val="center"/>
              <w:rPr>
                <w:rFonts w:hint="eastAsia"/>
                <w:sz w:val="18"/>
              </w:rPr>
            </w:pPr>
            <w:r>
              <w:rPr>
                <w:rFonts w:hint="eastAsia"/>
                <w:sz w:val="18"/>
              </w:rPr>
              <w:t>17</w:t>
            </w:r>
            <w:r>
              <w:rPr>
                <w:sz w:val="18"/>
              </w:rPr>
              <w:t xml:space="preserve"> </w:t>
            </w:r>
            <w:r>
              <w:rPr>
                <w:rFonts w:hint="eastAsia"/>
                <w:sz w:val="18"/>
              </w:rPr>
              <w:t>240</w:t>
            </w:r>
          </w:p>
        </w:tc>
      </w:tr>
    </w:tbl>
    <w:p w:rsidR="00312ECE" w:rsidRDefault="00312ECE">
      <w:pPr>
        <w:pStyle w:val="SingleTxt"/>
        <w:rPr>
          <w:rFonts w:hint="eastAsia"/>
        </w:rPr>
      </w:pPr>
      <w:r>
        <w:rPr>
          <w:rFonts w:hint="eastAsia"/>
        </w:rPr>
        <w:t>237.  另一个积极发展是不满14岁的临产妇女占临产妇女总数的比例下降，并且占分娩总数的比例低-仅0.005%（1998年-0.04%，1999年-0.02%）。35岁以上临产妇女的人数平衡增长-占所有分娩人数的9.8%（1998年-8.5%，1999年-9.0%）。15-17岁临产妇女的比例波动不定：2000年，占全部分娩人数的2.7%，1999年，占2.3%（1998年占2.8%）。</w:t>
      </w:r>
    </w:p>
    <w:p w:rsidR="00312ECE" w:rsidRDefault="00312ECE">
      <w:pPr>
        <w:pStyle w:val="SingleTxt"/>
        <w:rPr>
          <w:rFonts w:hint="eastAsia"/>
        </w:rPr>
      </w:pPr>
      <w:r>
        <w:rPr>
          <w:rFonts w:hint="eastAsia"/>
        </w:rPr>
        <w:t>238.  1995年开始的趋势在2000年也得以持续，鉴于活产数量增多，死产数量及在出生后0-6天死亡的婴儿数量减少，围产期死亡率指数下降。</w:t>
      </w:r>
    </w:p>
    <w:p w:rsidR="00312ECE" w:rsidRDefault="00312ECE">
      <w:pPr>
        <w:pStyle w:val="SingleTxt"/>
        <w:rPr>
          <w:rFonts w:ascii="SimHei" w:eastAsia="SimHei" w:hint="eastAsia"/>
          <w:color w:val="FF0000"/>
        </w:rPr>
      </w:pPr>
      <w:r>
        <w:rPr>
          <w:rFonts w:ascii="SimHei" w:eastAsia="SimHei" w:hint="eastAsia"/>
          <w:color w:val="FF0000"/>
        </w:rPr>
        <w:t>第13条</w:t>
      </w:r>
    </w:p>
    <w:p w:rsidR="00312ECE" w:rsidRDefault="00312ECE">
      <w:pPr>
        <w:pStyle w:val="SingleTxt"/>
        <w:rPr>
          <w:rFonts w:hint="eastAsia"/>
        </w:rPr>
      </w:pPr>
      <w:r>
        <w:rPr>
          <w:rFonts w:hint="eastAsia"/>
        </w:rPr>
        <w:t>239.  在拉脱维亚普遍具备能够让个人参与各个领域公众经济事务的条件，并且没有作出任何歧视性规定。妇女参与这些领域公共事务的机会主要取决于社会平等的程度。妨碍作出这些选择的主要限制因素与下述事实有关，即妇女参加经济活动的程度大大低于男子（参见下表，所有居民中参加经济活动的居民人数），而且妇女在传统上要承担大部分家务。</w:t>
      </w:r>
    </w:p>
    <w:p w:rsidR="00312ECE" w:rsidRDefault="00312ECE">
      <w:pPr>
        <w:pStyle w:val="SingleTxt"/>
        <w:rPr>
          <w:rFonts w:ascii="SimHei" w:eastAsia="SimHei" w:hint="eastAsia"/>
          <w:color w:val="FF0000"/>
        </w:rPr>
      </w:pPr>
      <w:r>
        <w:rPr>
          <w:rFonts w:ascii="SimHei" w:eastAsia="SimHei" w:hint="eastAsia"/>
          <w:color w:val="FF0000"/>
        </w:rPr>
        <w:t>在所有居民中参加经济活动的居民人数（15岁和15岁以上的人，单位：%）</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6"/>
        <w:gridCol w:w="1890"/>
        <w:gridCol w:w="1890"/>
        <w:gridCol w:w="1785"/>
      </w:tblGrid>
      <w:tr w:rsidR="00312ECE">
        <w:tblPrEx>
          <w:tblCellMar>
            <w:top w:w="0" w:type="dxa"/>
            <w:bottom w:w="0" w:type="dxa"/>
          </w:tblCellMar>
        </w:tblPrEx>
        <w:tc>
          <w:tcPr>
            <w:tcW w:w="1225" w:type="pct"/>
          </w:tcPr>
          <w:p w:rsidR="00312ECE" w:rsidRDefault="00312ECE">
            <w:pPr>
              <w:spacing w:line="360" w:lineRule="atLeast"/>
              <w:jc w:val="center"/>
              <w:rPr>
                <w:rFonts w:ascii="KaiTi_GB2312" w:eastAsia="KaiTi_GB2312" w:hint="eastAsia"/>
                <w:color w:val="0000FF"/>
                <w:sz w:val="18"/>
              </w:rPr>
            </w:pP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lang w:eastAsia="zh-TW"/>
              </w:rPr>
              <w:t>共计</w:t>
            </w:r>
          </w:p>
        </w:tc>
        <w:tc>
          <w:tcPr>
            <w:tcW w:w="128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lang w:eastAsia="zh-TW"/>
              </w:rPr>
              <w:t>男子</w:t>
            </w:r>
          </w:p>
        </w:tc>
        <w:tc>
          <w:tcPr>
            <w:tcW w:w="1211" w:type="pct"/>
          </w:tcPr>
          <w:p w:rsidR="00312ECE" w:rsidRDefault="00312ECE">
            <w:pPr>
              <w:pStyle w:val="Header"/>
              <w:tabs>
                <w:tab w:val="clear" w:pos="4320"/>
                <w:tab w:val="clear" w:pos="8640"/>
              </w:tabs>
              <w:spacing w:line="360" w:lineRule="atLeast"/>
              <w:rPr>
                <w:rFonts w:ascii="KaiTi_GB2312" w:eastAsia="KaiTi_GB2312" w:hint="eastAsia"/>
                <w:color w:val="0000FF"/>
              </w:rPr>
            </w:pPr>
            <w:r>
              <w:rPr>
                <w:rFonts w:ascii="KaiTi_GB2312" w:eastAsia="KaiTi_GB2312" w:hint="eastAsia"/>
                <w:color w:val="0000FF"/>
              </w:rPr>
              <w:t>妇女</w:t>
            </w:r>
          </w:p>
        </w:tc>
      </w:tr>
      <w:tr w:rsidR="00312ECE">
        <w:tblPrEx>
          <w:tblCellMar>
            <w:top w:w="0" w:type="dxa"/>
            <w:bottom w:w="0" w:type="dxa"/>
          </w:tblCellMar>
        </w:tblPrEx>
        <w:tc>
          <w:tcPr>
            <w:tcW w:w="1225" w:type="pct"/>
          </w:tcPr>
          <w:p w:rsidR="00312ECE" w:rsidRDefault="00312ECE">
            <w:pPr>
              <w:spacing w:before="60" w:after="60" w:line="280" w:lineRule="exact"/>
              <w:jc w:val="center"/>
              <w:rPr>
                <w:rFonts w:hint="eastAsia"/>
                <w:sz w:val="18"/>
              </w:rPr>
            </w:pPr>
            <w:r>
              <w:rPr>
                <w:rFonts w:hint="eastAsia"/>
                <w:sz w:val="18"/>
              </w:rPr>
              <w:t>1996年，IX</w:t>
            </w:r>
          </w:p>
        </w:tc>
        <w:tc>
          <w:tcPr>
            <w:tcW w:w="1282" w:type="pct"/>
          </w:tcPr>
          <w:p w:rsidR="00312ECE" w:rsidRDefault="00312ECE">
            <w:pPr>
              <w:spacing w:before="60" w:after="60" w:line="280" w:lineRule="exact"/>
              <w:jc w:val="center"/>
              <w:rPr>
                <w:rFonts w:eastAsia="MingLiU"/>
                <w:sz w:val="18"/>
              </w:rPr>
            </w:pPr>
            <w:r>
              <w:rPr>
                <w:rFonts w:eastAsia="MingLiU"/>
                <w:sz w:val="18"/>
              </w:rPr>
              <w:t>59.8</w:t>
            </w:r>
          </w:p>
        </w:tc>
        <w:tc>
          <w:tcPr>
            <w:tcW w:w="1282" w:type="pct"/>
          </w:tcPr>
          <w:p w:rsidR="00312ECE" w:rsidRDefault="00312ECE">
            <w:pPr>
              <w:spacing w:before="60" w:after="60" w:line="280" w:lineRule="exact"/>
              <w:jc w:val="center"/>
              <w:rPr>
                <w:rFonts w:eastAsia="MingLiU"/>
                <w:sz w:val="18"/>
              </w:rPr>
            </w:pPr>
            <w:r>
              <w:rPr>
                <w:rFonts w:eastAsia="MingLiU"/>
                <w:sz w:val="18"/>
              </w:rPr>
              <w:t>69.8</w:t>
            </w:r>
          </w:p>
        </w:tc>
        <w:tc>
          <w:tcPr>
            <w:tcW w:w="1211" w:type="pct"/>
          </w:tcPr>
          <w:p w:rsidR="00312ECE" w:rsidRDefault="00312ECE">
            <w:pPr>
              <w:spacing w:before="60" w:after="60" w:line="280" w:lineRule="exact"/>
              <w:jc w:val="center"/>
              <w:rPr>
                <w:rFonts w:eastAsia="MingLiU"/>
                <w:sz w:val="18"/>
              </w:rPr>
            </w:pPr>
            <w:r>
              <w:rPr>
                <w:rFonts w:eastAsia="MingLiU"/>
                <w:sz w:val="18"/>
              </w:rPr>
              <w:t>51.5</w:t>
            </w:r>
          </w:p>
        </w:tc>
      </w:tr>
      <w:tr w:rsidR="00312ECE">
        <w:tblPrEx>
          <w:tblCellMar>
            <w:top w:w="0" w:type="dxa"/>
            <w:bottom w:w="0" w:type="dxa"/>
          </w:tblCellMar>
        </w:tblPrEx>
        <w:tc>
          <w:tcPr>
            <w:tcW w:w="1225" w:type="pct"/>
          </w:tcPr>
          <w:p w:rsidR="00312ECE" w:rsidRDefault="00312ECE">
            <w:pPr>
              <w:spacing w:before="60" w:after="60" w:line="280" w:lineRule="exact"/>
              <w:jc w:val="center"/>
              <w:rPr>
                <w:rFonts w:hint="eastAsia"/>
                <w:sz w:val="18"/>
              </w:rPr>
            </w:pPr>
            <w:r>
              <w:rPr>
                <w:rFonts w:eastAsia="MingLiU" w:hint="eastAsia"/>
                <w:sz w:val="18"/>
                <w:lang w:eastAsia="zh-TW"/>
              </w:rPr>
              <w:t>19</w:t>
            </w:r>
            <w:r>
              <w:rPr>
                <w:rFonts w:hint="eastAsia"/>
                <w:sz w:val="18"/>
              </w:rPr>
              <w:t>97年，IX</w:t>
            </w:r>
          </w:p>
        </w:tc>
        <w:tc>
          <w:tcPr>
            <w:tcW w:w="1282" w:type="pct"/>
          </w:tcPr>
          <w:p w:rsidR="00312ECE" w:rsidRDefault="00312ECE">
            <w:pPr>
              <w:spacing w:before="60" w:after="60" w:line="280" w:lineRule="exact"/>
              <w:jc w:val="center"/>
              <w:rPr>
                <w:rFonts w:eastAsia="MingLiU"/>
                <w:sz w:val="18"/>
                <w:lang w:eastAsia="zh-TW"/>
              </w:rPr>
            </w:pPr>
            <w:r>
              <w:rPr>
                <w:rFonts w:eastAsia="MingLiU"/>
                <w:sz w:val="18"/>
                <w:lang w:eastAsia="zh-TW"/>
              </w:rPr>
              <w:t>59.7</w:t>
            </w:r>
          </w:p>
        </w:tc>
        <w:tc>
          <w:tcPr>
            <w:tcW w:w="1282" w:type="pct"/>
          </w:tcPr>
          <w:p w:rsidR="00312ECE" w:rsidRDefault="00312ECE">
            <w:pPr>
              <w:spacing w:before="60" w:after="60" w:line="280" w:lineRule="exact"/>
              <w:jc w:val="center"/>
              <w:rPr>
                <w:rFonts w:eastAsia="MingLiU"/>
                <w:sz w:val="18"/>
                <w:lang w:eastAsia="zh-TW"/>
              </w:rPr>
            </w:pPr>
            <w:r>
              <w:rPr>
                <w:rFonts w:eastAsia="MingLiU"/>
                <w:sz w:val="18"/>
                <w:lang w:eastAsia="zh-TW"/>
              </w:rPr>
              <w:t>68.6</w:t>
            </w:r>
          </w:p>
        </w:tc>
        <w:tc>
          <w:tcPr>
            <w:tcW w:w="1211" w:type="pct"/>
          </w:tcPr>
          <w:p w:rsidR="00312ECE" w:rsidRDefault="00312ECE">
            <w:pPr>
              <w:spacing w:before="60" w:after="60" w:line="280" w:lineRule="exact"/>
              <w:jc w:val="center"/>
              <w:rPr>
                <w:rFonts w:eastAsia="MingLiU"/>
                <w:sz w:val="18"/>
                <w:lang w:eastAsia="zh-TW"/>
              </w:rPr>
            </w:pPr>
            <w:r>
              <w:rPr>
                <w:rFonts w:eastAsia="MingLiU"/>
                <w:sz w:val="18"/>
                <w:lang w:eastAsia="zh-TW"/>
              </w:rPr>
              <w:t>52.3</w:t>
            </w:r>
          </w:p>
        </w:tc>
      </w:tr>
      <w:tr w:rsidR="00312ECE">
        <w:tblPrEx>
          <w:tblCellMar>
            <w:top w:w="0" w:type="dxa"/>
            <w:bottom w:w="0" w:type="dxa"/>
          </w:tblCellMar>
        </w:tblPrEx>
        <w:tc>
          <w:tcPr>
            <w:tcW w:w="1225" w:type="pct"/>
          </w:tcPr>
          <w:p w:rsidR="00312ECE" w:rsidRDefault="00312ECE">
            <w:pPr>
              <w:spacing w:before="60" w:after="60" w:line="280" w:lineRule="exact"/>
              <w:jc w:val="center"/>
              <w:rPr>
                <w:rFonts w:hint="eastAsia"/>
                <w:sz w:val="18"/>
              </w:rPr>
            </w:pPr>
            <w:r>
              <w:rPr>
                <w:rFonts w:eastAsia="MingLiU" w:hint="eastAsia"/>
                <w:sz w:val="18"/>
                <w:lang w:eastAsia="zh-TW"/>
              </w:rPr>
              <w:t>19</w:t>
            </w:r>
            <w:r>
              <w:rPr>
                <w:rFonts w:hint="eastAsia"/>
                <w:sz w:val="18"/>
              </w:rPr>
              <w:t>98年，IX</w:t>
            </w:r>
          </w:p>
        </w:tc>
        <w:tc>
          <w:tcPr>
            <w:tcW w:w="1282" w:type="pct"/>
          </w:tcPr>
          <w:p w:rsidR="00312ECE" w:rsidRDefault="00312ECE">
            <w:pPr>
              <w:spacing w:before="60" w:after="60" w:line="280" w:lineRule="exact"/>
              <w:jc w:val="center"/>
              <w:rPr>
                <w:rFonts w:eastAsia="MingLiU"/>
                <w:sz w:val="18"/>
                <w:lang w:eastAsia="zh-TW"/>
              </w:rPr>
            </w:pPr>
            <w:r>
              <w:rPr>
                <w:rFonts w:eastAsia="MingLiU"/>
                <w:sz w:val="18"/>
                <w:lang w:eastAsia="zh-TW"/>
              </w:rPr>
              <w:t>58.8</w:t>
            </w:r>
          </w:p>
        </w:tc>
        <w:tc>
          <w:tcPr>
            <w:tcW w:w="1282" w:type="pct"/>
          </w:tcPr>
          <w:p w:rsidR="00312ECE" w:rsidRDefault="00312ECE">
            <w:pPr>
              <w:spacing w:before="60" w:after="60" w:line="280" w:lineRule="exact"/>
              <w:jc w:val="center"/>
              <w:rPr>
                <w:rFonts w:eastAsia="MingLiU"/>
                <w:sz w:val="18"/>
                <w:lang w:eastAsia="zh-TW"/>
              </w:rPr>
            </w:pPr>
            <w:r>
              <w:rPr>
                <w:rFonts w:eastAsia="MingLiU"/>
                <w:sz w:val="18"/>
                <w:lang w:eastAsia="zh-TW"/>
              </w:rPr>
              <w:t>68.8</w:t>
            </w:r>
          </w:p>
        </w:tc>
        <w:tc>
          <w:tcPr>
            <w:tcW w:w="1211" w:type="pct"/>
          </w:tcPr>
          <w:p w:rsidR="00312ECE" w:rsidRDefault="00312ECE">
            <w:pPr>
              <w:spacing w:before="60" w:after="60" w:line="280" w:lineRule="exact"/>
              <w:jc w:val="center"/>
              <w:rPr>
                <w:rFonts w:eastAsia="MingLiU"/>
                <w:sz w:val="18"/>
                <w:lang w:eastAsia="zh-TW"/>
              </w:rPr>
            </w:pPr>
            <w:r>
              <w:rPr>
                <w:rFonts w:eastAsia="MingLiU"/>
                <w:sz w:val="18"/>
                <w:lang w:eastAsia="zh-TW"/>
              </w:rPr>
              <w:t>50.7</w:t>
            </w:r>
          </w:p>
        </w:tc>
      </w:tr>
      <w:tr w:rsidR="00312ECE">
        <w:tblPrEx>
          <w:tblCellMar>
            <w:top w:w="0" w:type="dxa"/>
            <w:bottom w:w="0" w:type="dxa"/>
          </w:tblCellMar>
        </w:tblPrEx>
        <w:tc>
          <w:tcPr>
            <w:tcW w:w="1225" w:type="pct"/>
          </w:tcPr>
          <w:p w:rsidR="00312ECE" w:rsidRDefault="00312ECE">
            <w:pPr>
              <w:spacing w:before="60" w:after="60" w:line="280" w:lineRule="exact"/>
              <w:jc w:val="center"/>
              <w:rPr>
                <w:rFonts w:hint="eastAsia"/>
                <w:sz w:val="18"/>
              </w:rPr>
            </w:pPr>
            <w:r>
              <w:rPr>
                <w:rFonts w:eastAsia="MingLiU" w:hint="eastAsia"/>
                <w:sz w:val="18"/>
                <w:lang w:eastAsia="zh-TW"/>
              </w:rPr>
              <w:t>19</w:t>
            </w:r>
            <w:r>
              <w:rPr>
                <w:rFonts w:hint="eastAsia"/>
                <w:sz w:val="18"/>
              </w:rPr>
              <w:t>99年，IX</w:t>
            </w:r>
          </w:p>
        </w:tc>
        <w:tc>
          <w:tcPr>
            <w:tcW w:w="1282" w:type="pct"/>
          </w:tcPr>
          <w:p w:rsidR="00312ECE" w:rsidRDefault="00312ECE">
            <w:pPr>
              <w:spacing w:before="60" w:after="60" w:line="280" w:lineRule="exact"/>
              <w:jc w:val="center"/>
              <w:rPr>
                <w:rFonts w:eastAsia="MingLiU"/>
                <w:sz w:val="18"/>
                <w:lang w:eastAsia="zh-TW"/>
              </w:rPr>
            </w:pPr>
            <w:r>
              <w:rPr>
                <w:rFonts w:eastAsia="MingLiU"/>
                <w:sz w:val="18"/>
                <w:lang w:eastAsia="zh-TW"/>
              </w:rPr>
              <w:t>58.2</w:t>
            </w:r>
          </w:p>
        </w:tc>
        <w:tc>
          <w:tcPr>
            <w:tcW w:w="1282" w:type="pct"/>
          </w:tcPr>
          <w:p w:rsidR="00312ECE" w:rsidRDefault="00312ECE">
            <w:pPr>
              <w:spacing w:before="60" w:after="60" w:line="280" w:lineRule="exact"/>
              <w:jc w:val="center"/>
              <w:rPr>
                <w:rFonts w:eastAsia="MingLiU"/>
                <w:sz w:val="18"/>
                <w:lang w:eastAsia="zh-TW"/>
              </w:rPr>
            </w:pPr>
            <w:r>
              <w:rPr>
                <w:rFonts w:eastAsia="MingLiU"/>
                <w:sz w:val="18"/>
                <w:lang w:eastAsia="zh-TW"/>
              </w:rPr>
              <w:t>67.8</w:t>
            </w:r>
          </w:p>
        </w:tc>
        <w:tc>
          <w:tcPr>
            <w:tcW w:w="1211" w:type="pct"/>
          </w:tcPr>
          <w:p w:rsidR="00312ECE" w:rsidRDefault="00312ECE">
            <w:pPr>
              <w:spacing w:before="60" w:after="60" w:line="280" w:lineRule="exact"/>
              <w:jc w:val="center"/>
              <w:rPr>
                <w:rFonts w:eastAsia="MingLiU"/>
                <w:sz w:val="18"/>
                <w:lang w:eastAsia="zh-TW"/>
              </w:rPr>
            </w:pPr>
            <w:r>
              <w:rPr>
                <w:rFonts w:eastAsia="MingLiU"/>
                <w:sz w:val="18"/>
                <w:lang w:eastAsia="zh-TW"/>
              </w:rPr>
              <w:t>50.3</w:t>
            </w:r>
          </w:p>
        </w:tc>
      </w:tr>
      <w:tr w:rsidR="00312ECE">
        <w:tblPrEx>
          <w:tblCellMar>
            <w:top w:w="0" w:type="dxa"/>
            <w:bottom w:w="0" w:type="dxa"/>
          </w:tblCellMar>
        </w:tblPrEx>
        <w:tc>
          <w:tcPr>
            <w:tcW w:w="1225" w:type="pct"/>
          </w:tcPr>
          <w:p w:rsidR="00312ECE" w:rsidRDefault="00312ECE">
            <w:pPr>
              <w:spacing w:before="60" w:after="60" w:line="280" w:lineRule="exact"/>
              <w:jc w:val="center"/>
              <w:rPr>
                <w:rFonts w:hint="eastAsia"/>
                <w:sz w:val="18"/>
              </w:rPr>
            </w:pPr>
            <w:r>
              <w:rPr>
                <w:rFonts w:hint="eastAsia"/>
                <w:sz w:val="18"/>
              </w:rPr>
              <w:t>2000年，IX</w:t>
            </w:r>
          </w:p>
        </w:tc>
        <w:tc>
          <w:tcPr>
            <w:tcW w:w="1282" w:type="pct"/>
          </w:tcPr>
          <w:p w:rsidR="00312ECE" w:rsidRDefault="00312ECE">
            <w:pPr>
              <w:spacing w:before="60" w:after="60" w:line="280" w:lineRule="exact"/>
              <w:jc w:val="center"/>
              <w:rPr>
                <w:rFonts w:eastAsia="MingLiU"/>
                <w:sz w:val="18"/>
              </w:rPr>
            </w:pPr>
            <w:r>
              <w:rPr>
                <w:rFonts w:eastAsia="MingLiU"/>
                <w:sz w:val="18"/>
              </w:rPr>
              <w:t>56.8</w:t>
            </w:r>
          </w:p>
        </w:tc>
        <w:tc>
          <w:tcPr>
            <w:tcW w:w="1282" w:type="pct"/>
          </w:tcPr>
          <w:p w:rsidR="00312ECE" w:rsidRDefault="00312ECE">
            <w:pPr>
              <w:spacing w:before="60" w:after="60" w:line="280" w:lineRule="exact"/>
              <w:jc w:val="center"/>
              <w:rPr>
                <w:rFonts w:eastAsia="MingLiU"/>
                <w:sz w:val="18"/>
              </w:rPr>
            </w:pPr>
            <w:r>
              <w:rPr>
                <w:rFonts w:eastAsia="MingLiU"/>
                <w:sz w:val="18"/>
              </w:rPr>
              <w:t>64.7</w:t>
            </w:r>
          </w:p>
        </w:tc>
        <w:tc>
          <w:tcPr>
            <w:tcW w:w="1211" w:type="pct"/>
          </w:tcPr>
          <w:p w:rsidR="00312ECE" w:rsidRDefault="00312ECE">
            <w:pPr>
              <w:spacing w:before="60" w:after="60" w:line="280" w:lineRule="exact"/>
              <w:jc w:val="center"/>
              <w:rPr>
                <w:rFonts w:eastAsia="MingLiU"/>
                <w:sz w:val="18"/>
              </w:rPr>
            </w:pPr>
            <w:r>
              <w:rPr>
                <w:rFonts w:eastAsia="MingLiU"/>
                <w:sz w:val="18"/>
              </w:rPr>
              <w:t>50.3</w:t>
            </w:r>
          </w:p>
        </w:tc>
      </w:tr>
    </w:tbl>
    <w:p w:rsidR="00312ECE" w:rsidRDefault="00312ECE">
      <w:pPr>
        <w:pStyle w:val="SingleTxt"/>
      </w:pPr>
    </w:p>
    <w:p w:rsidR="00312ECE" w:rsidRDefault="00312ECE">
      <w:pPr>
        <w:pStyle w:val="SingleTxt"/>
        <w:rPr>
          <w:rFonts w:ascii="SimHei" w:eastAsia="SimHei" w:hint="eastAsia"/>
          <w:color w:val="FF0000"/>
        </w:rPr>
      </w:pPr>
      <w:r>
        <w:rPr>
          <w:rFonts w:ascii="SimHei" w:eastAsia="SimHei" w:hint="eastAsia"/>
          <w:color w:val="FF0000"/>
        </w:rPr>
        <w:t>就业（截至每年11月的数据）</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46"/>
        <w:gridCol w:w="828"/>
        <w:gridCol w:w="829"/>
        <w:gridCol w:w="829"/>
        <w:gridCol w:w="829"/>
        <w:gridCol w:w="829"/>
        <w:gridCol w:w="829"/>
        <w:gridCol w:w="829"/>
        <w:gridCol w:w="823"/>
      </w:tblGrid>
      <w:tr w:rsidR="00312ECE">
        <w:tblPrEx>
          <w:tblCellMar>
            <w:top w:w="0" w:type="dxa"/>
            <w:bottom w:w="0" w:type="dxa"/>
          </w:tblCellMar>
        </w:tblPrEx>
        <w:tc>
          <w:tcPr>
            <w:tcW w:w="507" w:type="pct"/>
          </w:tcPr>
          <w:p w:rsidR="00312ECE" w:rsidRDefault="00312ECE">
            <w:pPr>
              <w:spacing w:line="380" w:lineRule="atLeast"/>
              <w:rPr>
                <w:rFonts w:ascii="KaiTi_GB2312" w:eastAsia="KaiTi_GB2312" w:hint="eastAsia"/>
                <w:color w:val="0000FF"/>
                <w:sz w:val="14"/>
              </w:rPr>
            </w:pPr>
          </w:p>
        </w:tc>
        <w:tc>
          <w:tcPr>
            <w:tcW w:w="1124" w:type="pct"/>
            <w:gridSpan w:val="2"/>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rPr>
              <w:t>15岁和15岁以上</w:t>
            </w:r>
          </w:p>
        </w:tc>
        <w:tc>
          <w:tcPr>
            <w:tcW w:w="1124" w:type="pct"/>
            <w:gridSpan w:val="2"/>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已就业的人</w:t>
            </w:r>
          </w:p>
        </w:tc>
        <w:tc>
          <w:tcPr>
            <w:tcW w:w="1124" w:type="pct"/>
            <w:gridSpan w:val="2"/>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全日制工作</w:t>
            </w:r>
          </w:p>
        </w:tc>
        <w:tc>
          <w:tcPr>
            <w:tcW w:w="1120" w:type="pct"/>
            <w:gridSpan w:val="2"/>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半日制工作</w:t>
            </w:r>
          </w:p>
        </w:tc>
      </w:tr>
      <w:tr w:rsidR="00312ECE">
        <w:tblPrEx>
          <w:tblCellMar>
            <w:top w:w="0" w:type="dxa"/>
            <w:bottom w:w="0" w:type="dxa"/>
          </w:tblCellMar>
        </w:tblPrEx>
        <w:tc>
          <w:tcPr>
            <w:tcW w:w="507" w:type="pct"/>
          </w:tcPr>
          <w:p w:rsidR="00312ECE" w:rsidRDefault="00312ECE">
            <w:pPr>
              <w:spacing w:line="380" w:lineRule="atLeast"/>
              <w:rPr>
                <w:rFonts w:ascii="KaiTi_GB2312" w:eastAsia="KaiTi_GB2312" w:hint="eastAsia"/>
                <w:color w:val="0000FF"/>
                <w:sz w:val="14"/>
              </w:rPr>
            </w:pPr>
          </w:p>
        </w:tc>
        <w:tc>
          <w:tcPr>
            <w:tcW w:w="562" w:type="pct"/>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妇女</w:t>
            </w:r>
          </w:p>
        </w:tc>
        <w:tc>
          <w:tcPr>
            <w:tcW w:w="562" w:type="pct"/>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男子</w:t>
            </w:r>
          </w:p>
        </w:tc>
        <w:tc>
          <w:tcPr>
            <w:tcW w:w="562" w:type="pct"/>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妇女</w:t>
            </w:r>
          </w:p>
        </w:tc>
        <w:tc>
          <w:tcPr>
            <w:tcW w:w="562" w:type="pct"/>
          </w:tcPr>
          <w:p w:rsidR="00312ECE" w:rsidRDefault="00312ECE">
            <w:pPr>
              <w:pStyle w:val="Header"/>
              <w:tabs>
                <w:tab w:val="clear" w:pos="4320"/>
                <w:tab w:val="clear" w:pos="8640"/>
              </w:tabs>
              <w:spacing w:line="380" w:lineRule="atLeast"/>
              <w:rPr>
                <w:rFonts w:ascii="KaiTi_GB2312" w:eastAsia="KaiTi_GB2312" w:hint="eastAsia"/>
                <w:color w:val="0000FF"/>
                <w:sz w:val="14"/>
              </w:rPr>
            </w:pPr>
            <w:r>
              <w:rPr>
                <w:rFonts w:ascii="KaiTi_GB2312" w:eastAsia="KaiTi_GB2312" w:hint="eastAsia"/>
                <w:color w:val="0000FF"/>
                <w:sz w:val="14"/>
                <w:lang w:eastAsia="zh-TW"/>
              </w:rPr>
              <w:t>男子</w:t>
            </w:r>
          </w:p>
        </w:tc>
        <w:tc>
          <w:tcPr>
            <w:tcW w:w="562" w:type="pct"/>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妇女</w:t>
            </w:r>
          </w:p>
        </w:tc>
        <w:tc>
          <w:tcPr>
            <w:tcW w:w="562" w:type="pct"/>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男子</w:t>
            </w:r>
          </w:p>
        </w:tc>
        <w:tc>
          <w:tcPr>
            <w:tcW w:w="562" w:type="pct"/>
          </w:tcPr>
          <w:p w:rsidR="00312ECE" w:rsidRDefault="00312ECE">
            <w:pPr>
              <w:spacing w:line="380" w:lineRule="atLeast"/>
              <w:jc w:val="center"/>
              <w:rPr>
                <w:rFonts w:ascii="KaiTi_GB2312" w:eastAsia="KaiTi_GB2312" w:hint="eastAsia"/>
                <w:color w:val="0000FF"/>
                <w:sz w:val="14"/>
              </w:rPr>
            </w:pPr>
            <w:r>
              <w:rPr>
                <w:rFonts w:ascii="KaiTi_GB2312" w:eastAsia="KaiTi_GB2312" w:hint="eastAsia"/>
                <w:color w:val="0000FF"/>
                <w:sz w:val="14"/>
                <w:lang w:eastAsia="zh-TW"/>
              </w:rPr>
              <w:t>妇女</w:t>
            </w:r>
          </w:p>
        </w:tc>
        <w:tc>
          <w:tcPr>
            <w:tcW w:w="558" w:type="pct"/>
          </w:tcPr>
          <w:p w:rsidR="00312ECE" w:rsidRDefault="00312ECE">
            <w:pPr>
              <w:spacing w:line="380" w:lineRule="atLeast"/>
              <w:jc w:val="center"/>
              <w:rPr>
                <w:rFonts w:ascii="KaiTi_GB2312" w:eastAsia="KaiTi_GB2312" w:hint="eastAsia"/>
                <w:color w:val="0000FF"/>
                <w:sz w:val="14"/>
                <w:lang w:eastAsia="zh-TW"/>
              </w:rPr>
            </w:pPr>
            <w:r>
              <w:rPr>
                <w:rFonts w:ascii="KaiTi_GB2312" w:eastAsia="KaiTi_GB2312" w:hint="eastAsia"/>
                <w:color w:val="0000FF"/>
                <w:sz w:val="14"/>
                <w:lang w:eastAsia="zh-TW"/>
              </w:rPr>
              <w:t>男子</w:t>
            </w:r>
          </w:p>
        </w:tc>
      </w:tr>
      <w:tr w:rsidR="00312ECE">
        <w:tblPrEx>
          <w:tblCellMar>
            <w:top w:w="0" w:type="dxa"/>
            <w:bottom w:w="0" w:type="dxa"/>
          </w:tblCellMar>
        </w:tblPrEx>
        <w:tc>
          <w:tcPr>
            <w:tcW w:w="507" w:type="pct"/>
          </w:tcPr>
          <w:p w:rsidR="00312ECE" w:rsidRDefault="00312ECE">
            <w:pPr>
              <w:spacing w:before="60" w:after="60" w:line="280" w:lineRule="exact"/>
              <w:rPr>
                <w:rFonts w:hint="eastAsia"/>
                <w:sz w:val="18"/>
              </w:rPr>
            </w:pPr>
            <w:r>
              <w:rPr>
                <w:rFonts w:hint="eastAsia"/>
                <w:sz w:val="18"/>
                <w:lang w:eastAsia="zh-TW"/>
              </w:rPr>
              <w:t>19</w:t>
            </w:r>
            <w:r>
              <w:rPr>
                <w:rFonts w:hint="eastAsia"/>
                <w:sz w:val="18"/>
              </w:rPr>
              <w:t>96年</w:t>
            </w:r>
          </w:p>
        </w:tc>
        <w:tc>
          <w:tcPr>
            <w:tcW w:w="562" w:type="pct"/>
          </w:tcPr>
          <w:p w:rsidR="00312ECE" w:rsidRDefault="00312ECE">
            <w:pPr>
              <w:spacing w:before="60" w:after="60" w:line="280" w:lineRule="exact"/>
              <w:jc w:val="center"/>
              <w:rPr>
                <w:sz w:val="18"/>
              </w:rPr>
            </w:pPr>
            <w:r>
              <w:rPr>
                <w:rFonts w:hint="eastAsia"/>
                <w:sz w:val="18"/>
              </w:rPr>
              <w:t>1086</w:t>
            </w:r>
            <w:r>
              <w:rPr>
                <w:sz w:val="18"/>
              </w:rPr>
              <w:t>.</w:t>
            </w:r>
            <w:r>
              <w:rPr>
                <w:rFonts w:hint="eastAsia"/>
                <w:sz w:val="18"/>
              </w:rPr>
              <w:t>4</w:t>
            </w:r>
          </w:p>
        </w:tc>
        <w:tc>
          <w:tcPr>
            <w:tcW w:w="562" w:type="pct"/>
          </w:tcPr>
          <w:p w:rsidR="00312ECE" w:rsidRDefault="00312ECE">
            <w:pPr>
              <w:spacing w:before="60" w:after="60" w:line="280" w:lineRule="exact"/>
              <w:jc w:val="center"/>
              <w:rPr>
                <w:sz w:val="18"/>
                <w:lang w:eastAsia="zh-TW"/>
              </w:rPr>
            </w:pPr>
            <w:r>
              <w:rPr>
                <w:sz w:val="18"/>
                <w:lang w:eastAsia="zh-TW"/>
              </w:rPr>
              <w:t>892.0</w:t>
            </w:r>
          </w:p>
        </w:tc>
        <w:tc>
          <w:tcPr>
            <w:tcW w:w="562" w:type="pct"/>
          </w:tcPr>
          <w:p w:rsidR="00312ECE" w:rsidRDefault="00312ECE">
            <w:pPr>
              <w:spacing w:before="60" w:after="60" w:line="280" w:lineRule="exact"/>
              <w:jc w:val="center"/>
              <w:rPr>
                <w:sz w:val="18"/>
                <w:lang w:eastAsia="zh-TW"/>
              </w:rPr>
            </w:pPr>
            <w:r>
              <w:rPr>
                <w:sz w:val="18"/>
                <w:lang w:eastAsia="zh-TW"/>
              </w:rPr>
              <w:t>460.5</w:t>
            </w:r>
          </w:p>
        </w:tc>
        <w:tc>
          <w:tcPr>
            <w:tcW w:w="562" w:type="pct"/>
          </w:tcPr>
          <w:p w:rsidR="00312ECE" w:rsidRDefault="00312ECE">
            <w:pPr>
              <w:spacing w:before="60" w:after="60" w:line="280" w:lineRule="exact"/>
              <w:jc w:val="center"/>
              <w:rPr>
                <w:sz w:val="18"/>
                <w:lang w:eastAsia="zh-TW"/>
              </w:rPr>
            </w:pPr>
            <w:r>
              <w:rPr>
                <w:sz w:val="18"/>
                <w:lang w:eastAsia="zh-TW"/>
              </w:rPr>
              <w:t>505.0</w:t>
            </w:r>
          </w:p>
        </w:tc>
        <w:tc>
          <w:tcPr>
            <w:tcW w:w="562" w:type="pct"/>
          </w:tcPr>
          <w:p w:rsidR="00312ECE" w:rsidRDefault="00312ECE">
            <w:pPr>
              <w:spacing w:before="60" w:after="60" w:line="280" w:lineRule="exact"/>
              <w:jc w:val="center"/>
              <w:rPr>
                <w:sz w:val="18"/>
                <w:lang w:eastAsia="zh-TW"/>
              </w:rPr>
            </w:pPr>
            <w:r>
              <w:rPr>
                <w:sz w:val="18"/>
                <w:lang w:eastAsia="zh-TW"/>
              </w:rPr>
              <w:t>405.1</w:t>
            </w:r>
          </w:p>
        </w:tc>
        <w:tc>
          <w:tcPr>
            <w:tcW w:w="562" w:type="pct"/>
          </w:tcPr>
          <w:p w:rsidR="00312ECE" w:rsidRDefault="00312ECE">
            <w:pPr>
              <w:spacing w:before="60" w:after="60" w:line="280" w:lineRule="exact"/>
              <w:jc w:val="center"/>
              <w:rPr>
                <w:sz w:val="18"/>
                <w:lang w:eastAsia="zh-TW"/>
              </w:rPr>
            </w:pPr>
            <w:r>
              <w:rPr>
                <w:sz w:val="18"/>
                <w:lang w:eastAsia="zh-TW"/>
              </w:rPr>
              <w:t>444.4</w:t>
            </w:r>
          </w:p>
        </w:tc>
        <w:tc>
          <w:tcPr>
            <w:tcW w:w="562" w:type="pct"/>
          </w:tcPr>
          <w:p w:rsidR="00312ECE" w:rsidRDefault="00312ECE">
            <w:pPr>
              <w:spacing w:before="60" w:after="60" w:line="280" w:lineRule="exact"/>
              <w:jc w:val="center"/>
              <w:rPr>
                <w:sz w:val="18"/>
                <w:lang w:eastAsia="zh-TW"/>
              </w:rPr>
            </w:pPr>
            <w:r>
              <w:rPr>
                <w:sz w:val="18"/>
                <w:lang w:eastAsia="zh-TW"/>
              </w:rPr>
              <w:t>55.4</w:t>
            </w:r>
          </w:p>
        </w:tc>
        <w:tc>
          <w:tcPr>
            <w:tcW w:w="558" w:type="pct"/>
          </w:tcPr>
          <w:p w:rsidR="00312ECE" w:rsidRDefault="00312ECE">
            <w:pPr>
              <w:spacing w:before="60" w:after="60" w:line="280" w:lineRule="exact"/>
              <w:jc w:val="center"/>
              <w:rPr>
                <w:sz w:val="18"/>
                <w:lang w:eastAsia="zh-TW"/>
              </w:rPr>
            </w:pPr>
            <w:r>
              <w:rPr>
                <w:sz w:val="18"/>
                <w:lang w:eastAsia="zh-TW"/>
              </w:rPr>
              <w:t>60.6</w:t>
            </w:r>
          </w:p>
        </w:tc>
      </w:tr>
      <w:tr w:rsidR="00312ECE">
        <w:tblPrEx>
          <w:tblCellMar>
            <w:top w:w="0" w:type="dxa"/>
            <w:bottom w:w="0" w:type="dxa"/>
          </w:tblCellMar>
        </w:tblPrEx>
        <w:tc>
          <w:tcPr>
            <w:tcW w:w="507" w:type="pct"/>
          </w:tcPr>
          <w:p w:rsidR="00312ECE" w:rsidRDefault="00312ECE">
            <w:pPr>
              <w:spacing w:before="60" w:after="60" w:line="280" w:lineRule="exact"/>
              <w:rPr>
                <w:rFonts w:hint="eastAsia"/>
                <w:sz w:val="18"/>
              </w:rPr>
            </w:pPr>
            <w:r>
              <w:rPr>
                <w:rFonts w:hint="eastAsia"/>
                <w:sz w:val="18"/>
              </w:rPr>
              <w:t>1997年</w:t>
            </w:r>
          </w:p>
        </w:tc>
        <w:tc>
          <w:tcPr>
            <w:tcW w:w="562" w:type="pct"/>
          </w:tcPr>
          <w:p w:rsidR="00312ECE" w:rsidRDefault="00312ECE">
            <w:pPr>
              <w:spacing w:before="60" w:after="60" w:line="280" w:lineRule="exact"/>
              <w:jc w:val="center"/>
              <w:rPr>
                <w:sz w:val="18"/>
                <w:lang w:eastAsia="zh-TW"/>
              </w:rPr>
            </w:pPr>
            <w:r>
              <w:rPr>
                <w:sz w:val="18"/>
                <w:lang w:eastAsia="zh-TW"/>
              </w:rPr>
              <w:t>1091.0</w:t>
            </w:r>
          </w:p>
        </w:tc>
        <w:tc>
          <w:tcPr>
            <w:tcW w:w="562" w:type="pct"/>
          </w:tcPr>
          <w:p w:rsidR="00312ECE" w:rsidRDefault="00312ECE">
            <w:pPr>
              <w:spacing w:before="60" w:after="60" w:line="280" w:lineRule="exact"/>
              <w:jc w:val="center"/>
              <w:rPr>
                <w:sz w:val="18"/>
                <w:lang w:eastAsia="zh-TW"/>
              </w:rPr>
            </w:pPr>
            <w:r>
              <w:rPr>
                <w:sz w:val="18"/>
                <w:lang w:eastAsia="zh-TW"/>
              </w:rPr>
              <w:t>896.5</w:t>
            </w:r>
          </w:p>
        </w:tc>
        <w:tc>
          <w:tcPr>
            <w:tcW w:w="562" w:type="pct"/>
          </w:tcPr>
          <w:p w:rsidR="00312ECE" w:rsidRDefault="00312ECE">
            <w:pPr>
              <w:spacing w:before="60" w:after="60" w:line="280" w:lineRule="exact"/>
              <w:jc w:val="center"/>
              <w:rPr>
                <w:sz w:val="18"/>
                <w:lang w:eastAsia="zh-TW"/>
              </w:rPr>
            </w:pPr>
            <w:r>
              <w:rPr>
                <w:sz w:val="18"/>
                <w:lang w:eastAsia="zh-TW"/>
              </w:rPr>
              <w:t>487.8</w:t>
            </w:r>
          </w:p>
        </w:tc>
        <w:tc>
          <w:tcPr>
            <w:tcW w:w="562" w:type="pct"/>
          </w:tcPr>
          <w:p w:rsidR="00312ECE" w:rsidRDefault="00312ECE">
            <w:pPr>
              <w:spacing w:before="60" w:after="60" w:line="280" w:lineRule="exact"/>
              <w:jc w:val="center"/>
              <w:rPr>
                <w:sz w:val="18"/>
                <w:lang w:eastAsia="zh-TW"/>
              </w:rPr>
            </w:pPr>
            <w:r>
              <w:rPr>
                <w:sz w:val="18"/>
                <w:lang w:eastAsia="zh-TW"/>
              </w:rPr>
              <w:t>527.1</w:t>
            </w:r>
          </w:p>
        </w:tc>
        <w:tc>
          <w:tcPr>
            <w:tcW w:w="562" w:type="pct"/>
          </w:tcPr>
          <w:p w:rsidR="00312ECE" w:rsidRDefault="00312ECE">
            <w:pPr>
              <w:spacing w:before="60" w:after="60" w:line="280" w:lineRule="exact"/>
              <w:jc w:val="center"/>
              <w:rPr>
                <w:sz w:val="18"/>
                <w:lang w:eastAsia="zh-TW"/>
              </w:rPr>
            </w:pPr>
            <w:r>
              <w:rPr>
                <w:sz w:val="18"/>
                <w:lang w:eastAsia="zh-TW"/>
              </w:rPr>
              <w:t>420.9</w:t>
            </w:r>
          </w:p>
        </w:tc>
        <w:tc>
          <w:tcPr>
            <w:tcW w:w="562" w:type="pct"/>
          </w:tcPr>
          <w:p w:rsidR="00312ECE" w:rsidRDefault="00312ECE">
            <w:pPr>
              <w:spacing w:before="60" w:after="60" w:line="280" w:lineRule="exact"/>
              <w:jc w:val="center"/>
              <w:rPr>
                <w:sz w:val="18"/>
                <w:lang w:eastAsia="zh-TW"/>
              </w:rPr>
            </w:pPr>
            <w:r>
              <w:rPr>
                <w:sz w:val="18"/>
                <w:lang w:eastAsia="zh-TW"/>
              </w:rPr>
              <w:t>462.7</w:t>
            </w:r>
          </w:p>
        </w:tc>
        <w:tc>
          <w:tcPr>
            <w:tcW w:w="562" w:type="pct"/>
          </w:tcPr>
          <w:p w:rsidR="00312ECE" w:rsidRDefault="00312ECE">
            <w:pPr>
              <w:spacing w:before="60" w:after="60" w:line="280" w:lineRule="exact"/>
              <w:jc w:val="center"/>
              <w:rPr>
                <w:sz w:val="18"/>
                <w:lang w:eastAsia="zh-TW"/>
              </w:rPr>
            </w:pPr>
            <w:r>
              <w:rPr>
                <w:sz w:val="18"/>
                <w:lang w:eastAsia="zh-TW"/>
              </w:rPr>
              <w:t>66.8</w:t>
            </w:r>
          </w:p>
        </w:tc>
        <w:tc>
          <w:tcPr>
            <w:tcW w:w="558" w:type="pct"/>
          </w:tcPr>
          <w:p w:rsidR="00312ECE" w:rsidRDefault="00312ECE">
            <w:pPr>
              <w:spacing w:before="60" w:after="60" w:line="280" w:lineRule="exact"/>
              <w:jc w:val="center"/>
              <w:rPr>
                <w:sz w:val="18"/>
                <w:lang w:eastAsia="zh-TW"/>
              </w:rPr>
            </w:pPr>
            <w:r>
              <w:rPr>
                <w:sz w:val="18"/>
                <w:lang w:eastAsia="zh-TW"/>
              </w:rPr>
              <w:t>64.4</w:t>
            </w:r>
          </w:p>
        </w:tc>
      </w:tr>
      <w:tr w:rsidR="00312ECE">
        <w:tblPrEx>
          <w:tblCellMar>
            <w:top w:w="0" w:type="dxa"/>
            <w:bottom w:w="0" w:type="dxa"/>
          </w:tblCellMar>
        </w:tblPrEx>
        <w:tc>
          <w:tcPr>
            <w:tcW w:w="507" w:type="pct"/>
          </w:tcPr>
          <w:p w:rsidR="00312ECE" w:rsidRDefault="00312ECE">
            <w:pPr>
              <w:spacing w:before="60" w:after="60" w:line="280" w:lineRule="exact"/>
              <w:rPr>
                <w:rFonts w:hint="eastAsia"/>
                <w:sz w:val="18"/>
              </w:rPr>
            </w:pPr>
            <w:r>
              <w:rPr>
                <w:rFonts w:hint="eastAsia"/>
                <w:sz w:val="18"/>
                <w:lang w:eastAsia="zh-TW"/>
              </w:rPr>
              <w:t>19</w:t>
            </w:r>
            <w:r>
              <w:rPr>
                <w:rFonts w:hint="eastAsia"/>
                <w:sz w:val="18"/>
              </w:rPr>
              <w:t>98年</w:t>
            </w:r>
          </w:p>
        </w:tc>
        <w:tc>
          <w:tcPr>
            <w:tcW w:w="562" w:type="pct"/>
          </w:tcPr>
          <w:p w:rsidR="00312ECE" w:rsidRDefault="00312ECE">
            <w:pPr>
              <w:spacing w:before="60" w:after="60" w:line="280" w:lineRule="exact"/>
              <w:jc w:val="center"/>
              <w:rPr>
                <w:sz w:val="18"/>
                <w:lang w:eastAsia="zh-TW"/>
              </w:rPr>
            </w:pPr>
            <w:r>
              <w:rPr>
                <w:sz w:val="18"/>
                <w:lang w:eastAsia="zh-TW"/>
              </w:rPr>
              <w:t>1088.7</w:t>
            </w:r>
          </w:p>
        </w:tc>
        <w:tc>
          <w:tcPr>
            <w:tcW w:w="562" w:type="pct"/>
          </w:tcPr>
          <w:p w:rsidR="00312ECE" w:rsidRDefault="00312ECE">
            <w:pPr>
              <w:spacing w:before="60" w:after="60" w:line="280" w:lineRule="exact"/>
              <w:jc w:val="center"/>
              <w:rPr>
                <w:sz w:val="18"/>
                <w:lang w:eastAsia="zh-TW"/>
              </w:rPr>
            </w:pPr>
            <w:r>
              <w:rPr>
                <w:sz w:val="18"/>
                <w:lang w:eastAsia="zh-TW"/>
              </w:rPr>
              <w:t>896.4</w:t>
            </w:r>
          </w:p>
        </w:tc>
        <w:tc>
          <w:tcPr>
            <w:tcW w:w="562" w:type="pct"/>
          </w:tcPr>
          <w:p w:rsidR="00312ECE" w:rsidRDefault="00312ECE">
            <w:pPr>
              <w:spacing w:before="60" w:after="60" w:line="280" w:lineRule="exact"/>
              <w:jc w:val="center"/>
              <w:rPr>
                <w:sz w:val="18"/>
                <w:lang w:eastAsia="zh-TW"/>
              </w:rPr>
            </w:pPr>
            <w:r>
              <w:rPr>
                <w:sz w:val="18"/>
                <w:lang w:eastAsia="zh-TW"/>
              </w:rPr>
              <w:t>473.7</w:t>
            </w:r>
          </w:p>
        </w:tc>
        <w:tc>
          <w:tcPr>
            <w:tcW w:w="562" w:type="pct"/>
          </w:tcPr>
          <w:p w:rsidR="00312ECE" w:rsidRDefault="00312ECE">
            <w:pPr>
              <w:spacing w:before="60" w:after="60" w:line="280" w:lineRule="exact"/>
              <w:jc w:val="center"/>
              <w:rPr>
                <w:lang w:eastAsia="zh-TW"/>
              </w:rPr>
            </w:pPr>
            <w:r>
              <w:rPr>
                <w:sz w:val="18"/>
                <w:lang w:eastAsia="zh-TW"/>
              </w:rPr>
              <w:t>533.5</w:t>
            </w:r>
          </w:p>
        </w:tc>
        <w:tc>
          <w:tcPr>
            <w:tcW w:w="562" w:type="pct"/>
          </w:tcPr>
          <w:p w:rsidR="00312ECE" w:rsidRDefault="00312ECE">
            <w:pPr>
              <w:spacing w:before="60" w:after="60" w:line="280" w:lineRule="exact"/>
              <w:jc w:val="center"/>
              <w:rPr>
                <w:sz w:val="18"/>
                <w:lang w:eastAsia="zh-TW"/>
              </w:rPr>
            </w:pPr>
            <w:r>
              <w:rPr>
                <w:sz w:val="18"/>
                <w:lang w:eastAsia="zh-TW"/>
              </w:rPr>
              <w:t>410.1</w:t>
            </w:r>
          </w:p>
        </w:tc>
        <w:tc>
          <w:tcPr>
            <w:tcW w:w="562" w:type="pct"/>
          </w:tcPr>
          <w:p w:rsidR="00312ECE" w:rsidRDefault="00312ECE">
            <w:pPr>
              <w:spacing w:before="60" w:after="60" w:line="280" w:lineRule="exact"/>
              <w:jc w:val="center"/>
              <w:rPr>
                <w:sz w:val="18"/>
                <w:lang w:eastAsia="zh-TW"/>
              </w:rPr>
            </w:pPr>
            <w:r>
              <w:rPr>
                <w:sz w:val="18"/>
                <w:lang w:eastAsia="zh-TW"/>
              </w:rPr>
              <w:t>467.3</w:t>
            </w:r>
          </w:p>
        </w:tc>
        <w:tc>
          <w:tcPr>
            <w:tcW w:w="562" w:type="pct"/>
          </w:tcPr>
          <w:p w:rsidR="00312ECE" w:rsidRDefault="00312ECE">
            <w:pPr>
              <w:spacing w:before="60" w:after="60" w:line="280" w:lineRule="exact"/>
              <w:jc w:val="center"/>
              <w:rPr>
                <w:sz w:val="18"/>
                <w:lang w:eastAsia="zh-TW"/>
              </w:rPr>
            </w:pPr>
            <w:r>
              <w:rPr>
                <w:sz w:val="18"/>
                <w:lang w:eastAsia="zh-TW"/>
              </w:rPr>
              <w:t>63.6</w:t>
            </w:r>
          </w:p>
        </w:tc>
        <w:tc>
          <w:tcPr>
            <w:tcW w:w="558" w:type="pct"/>
          </w:tcPr>
          <w:p w:rsidR="00312ECE" w:rsidRDefault="00312ECE">
            <w:pPr>
              <w:spacing w:before="60" w:after="60" w:line="280" w:lineRule="exact"/>
              <w:jc w:val="center"/>
              <w:rPr>
                <w:sz w:val="18"/>
                <w:lang w:eastAsia="zh-TW"/>
              </w:rPr>
            </w:pPr>
            <w:r>
              <w:rPr>
                <w:sz w:val="18"/>
                <w:lang w:eastAsia="zh-TW"/>
              </w:rPr>
              <w:t>66.2</w:t>
            </w:r>
          </w:p>
        </w:tc>
      </w:tr>
      <w:tr w:rsidR="00312ECE">
        <w:tblPrEx>
          <w:tblCellMar>
            <w:top w:w="0" w:type="dxa"/>
            <w:bottom w:w="0" w:type="dxa"/>
          </w:tblCellMar>
        </w:tblPrEx>
        <w:tc>
          <w:tcPr>
            <w:tcW w:w="507" w:type="pct"/>
          </w:tcPr>
          <w:p w:rsidR="00312ECE" w:rsidRDefault="00312ECE">
            <w:pPr>
              <w:spacing w:before="60" w:after="60" w:line="280" w:lineRule="exact"/>
              <w:rPr>
                <w:rFonts w:hint="eastAsia"/>
                <w:sz w:val="18"/>
              </w:rPr>
            </w:pPr>
            <w:r>
              <w:rPr>
                <w:rFonts w:hint="eastAsia"/>
                <w:sz w:val="18"/>
                <w:lang w:eastAsia="zh-TW"/>
              </w:rPr>
              <w:t>19</w:t>
            </w:r>
            <w:r>
              <w:rPr>
                <w:rFonts w:hint="eastAsia"/>
                <w:sz w:val="18"/>
              </w:rPr>
              <w:t>99年</w:t>
            </w:r>
          </w:p>
        </w:tc>
        <w:tc>
          <w:tcPr>
            <w:tcW w:w="562" w:type="pct"/>
          </w:tcPr>
          <w:p w:rsidR="00312ECE" w:rsidRDefault="00312ECE">
            <w:pPr>
              <w:spacing w:before="60" w:after="60" w:line="280" w:lineRule="exact"/>
              <w:jc w:val="center"/>
              <w:rPr>
                <w:sz w:val="18"/>
                <w:lang w:eastAsia="zh-TW"/>
              </w:rPr>
            </w:pPr>
            <w:r>
              <w:rPr>
                <w:sz w:val="18"/>
                <w:lang w:eastAsia="zh-TW"/>
              </w:rPr>
              <w:t>1088.6</w:t>
            </w:r>
          </w:p>
        </w:tc>
        <w:tc>
          <w:tcPr>
            <w:tcW w:w="562" w:type="pct"/>
          </w:tcPr>
          <w:p w:rsidR="00312ECE" w:rsidRDefault="00312ECE">
            <w:pPr>
              <w:spacing w:before="60" w:after="60" w:line="280" w:lineRule="exact"/>
              <w:jc w:val="center"/>
              <w:rPr>
                <w:sz w:val="18"/>
                <w:lang w:eastAsia="zh-TW"/>
              </w:rPr>
            </w:pPr>
            <w:r>
              <w:rPr>
                <w:sz w:val="18"/>
                <w:lang w:eastAsia="zh-TW"/>
              </w:rPr>
              <w:t>899.0</w:t>
            </w:r>
          </w:p>
        </w:tc>
        <w:tc>
          <w:tcPr>
            <w:tcW w:w="562" w:type="pct"/>
          </w:tcPr>
          <w:p w:rsidR="00312ECE" w:rsidRDefault="00312ECE">
            <w:pPr>
              <w:spacing w:before="60" w:after="60" w:line="280" w:lineRule="exact"/>
              <w:jc w:val="center"/>
              <w:rPr>
                <w:sz w:val="18"/>
                <w:lang w:eastAsia="zh-TW"/>
              </w:rPr>
            </w:pPr>
            <w:r>
              <w:rPr>
                <w:sz w:val="18"/>
                <w:lang w:eastAsia="zh-TW"/>
              </w:rPr>
              <w:t>474.5</w:t>
            </w:r>
          </w:p>
        </w:tc>
        <w:tc>
          <w:tcPr>
            <w:tcW w:w="562" w:type="pct"/>
          </w:tcPr>
          <w:p w:rsidR="00312ECE" w:rsidRDefault="00312ECE">
            <w:pPr>
              <w:spacing w:before="60" w:after="60" w:line="280" w:lineRule="exact"/>
              <w:jc w:val="center"/>
              <w:rPr>
                <w:sz w:val="18"/>
                <w:lang w:eastAsia="zh-TW"/>
              </w:rPr>
            </w:pPr>
            <w:r>
              <w:rPr>
                <w:sz w:val="18"/>
                <w:lang w:eastAsia="zh-TW"/>
              </w:rPr>
              <w:t>515.0</w:t>
            </w:r>
          </w:p>
        </w:tc>
        <w:tc>
          <w:tcPr>
            <w:tcW w:w="562" w:type="pct"/>
          </w:tcPr>
          <w:p w:rsidR="00312ECE" w:rsidRDefault="00312ECE">
            <w:pPr>
              <w:spacing w:before="60" w:after="60" w:line="280" w:lineRule="exact"/>
              <w:jc w:val="center"/>
              <w:rPr>
                <w:sz w:val="18"/>
                <w:lang w:eastAsia="zh-TW"/>
              </w:rPr>
            </w:pPr>
            <w:r>
              <w:rPr>
                <w:sz w:val="18"/>
                <w:lang w:eastAsia="zh-TW"/>
              </w:rPr>
              <w:t>410.5</w:t>
            </w:r>
          </w:p>
        </w:tc>
        <w:tc>
          <w:tcPr>
            <w:tcW w:w="562" w:type="pct"/>
          </w:tcPr>
          <w:p w:rsidR="00312ECE" w:rsidRDefault="00312ECE">
            <w:pPr>
              <w:spacing w:before="60" w:after="60" w:line="280" w:lineRule="exact"/>
              <w:jc w:val="center"/>
              <w:rPr>
                <w:sz w:val="18"/>
                <w:lang w:eastAsia="zh-TW"/>
              </w:rPr>
            </w:pPr>
            <w:r>
              <w:rPr>
                <w:sz w:val="18"/>
                <w:lang w:eastAsia="zh-TW"/>
              </w:rPr>
              <w:t>463.2</w:t>
            </w:r>
          </w:p>
        </w:tc>
        <w:tc>
          <w:tcPr>
            <w:tcW w:w="562" w:type="pct"/>
          </w:tcPr>
          <w:p w:rsidR="00312ECE" w:rsidRDefault="00312ECE">
            <w:pPr>
              <w:spacing w:before="60" w:after="60" w:line="280" w:lineRule="exact"/>
              <w:jc w:val="center"/>
              <w:rPr>
                <w:sz w:val="18"/>
                <w:lang w:eastAsia="zh-TW"/>
              </w:rPr>
            </w:pPr>
            <w:r>
              <w:rPr>
                <w:sz w:val="18"/>
                <w:lang w:eastAsia="zh-TW"/>
              </w:rPr>
              <w:t>64.0</w:t>
            </w:r>
          </w:p>
        </w:tc>
        <w:tc>
          <w:tcPr>
            <w:tcW w:w="558" w:type="pct"/>
          </w:tcPr>
          <w:p w:rsidR="00312ECE" w:rsidRDefault="00312ECE">
            <w:pPr>
              <w:spacing w:before="60" w:after="60" w:line="280" w:lineRule="exact"/>
              <w:jc w:val="center"/>
              <w:rPr>
                <w:sz w:val="18"/>
                <w:lang w:eastAsia="zh-TW"/>
              </w:rPr>
            </w:pPr>
            <w:r>
              <w:rPr>
                <w:sz w:val="18"/>
                <w:lang w:eastAsia="zh-TW"/>
              </w:rPr>
              <w:t>51.8</w:t>
            </w:r>
          </w:p>
        </w:tc>
      </w:tr>
      <w:tr w:rsidR="00312ECE">
        <w:tblPrEx>
          <w:tblCellMar>
            <w:top w:w="0" w:type="dxa"/>
            <w:bottom w:w="0" w:type="dxa"/>
          </w:tblCellMar>
        </w:tblPrEx>
        <w:tc>
          <w:tcPr>
            <w:tcW w:w="507" w:type="pct"/>
          </w:tcPr>
          <w:p w:rsidR="00312ECE" w:rsidRDefault="00312ECE">
            <w:pPr>
              <w:spacing w:before="60" w:after="60" w:line="280" w:lineRule="exact"/>
              <w:rPr>
                <w:rFonts w:hint="eastAsia"/>
                <w:sz w:val="18"/>
              </w:rPr>
            </w:pPr>
            <w:r>
              <w:rPr>
                <w:rFonts w:hint="eastAsia"/>
                <w:sz w:val="18"/>
                <w:lang w:eastAsia="zh-TW"/>
              </w:rPr>
              <w:t>20</w:t>
            </w:r>
            <w:r>
              <w:rPr>
                <w:rFonts w:hint="eastAsia"/>
                <w:sz w:val="18"/>
              </w:rPr>
              <w:t>00年</w:t>
            </w:r>
          </w:p>
        </w:tc>
        <w:tc>
          <w:tcPr>
            <w:tcW w:w="562" w:type="pct"/>
          </w:tcPr>
          <w:p w:rsidR="00312ECE" w:rsidRDefault="00312ECE">
            <w:pPr>
              <w:spacing w:before="60" w:after="60" w:line="280" w:lineRule="exact"/>
              <w:jc w:val="center"/>
              <w:rPr>
                <w:sz w:val="18"/>
              </w:rPr>
            </w:pPr>
            <w:r>
              <w:rPr>
                <w:sz w:val="18"/>
              </w:rPr>
              <w:t>1090.5</w:t>
            </w:r>
          </w:p>
        </w:tc>
        <w:tc>
          <w:tcPr>
            <w:tcW w:w="562" w:type="pct"/>
          </w:tcPr>
          <w:p w:rsidR="00312ECE" w:rsidRDefault="00312ECE">
            <w:pPr>
              <w:spacing w:before="60" w:after="60" w:line="280" w:lineRule="exact"/>
              <w:jc w:val="center"/>
              <w:rPr>
                <w:sz w:val="18"/>
              </w:rPr>
            </w:pPr>
            <w:r>
              <w:rPr>
                <w:sz w:val="18"/>
              </w:rPr>
              <w:t>901.4</w:t>
            </w:r>
          </w:p>
        </w:tc>
        <w:tc>
          <w:tcPr>
            <w:tcW w:w="562" w:type="pct"/>
          </w:tcPr>
          <w:p w:rsidR="00312ECE" w:rsidRDefault="00312ECE">
            <w:pPr>
              <w:spacing w:before="60" w:after="60" w:line="280" w:lineRule="exact"/>
              <w:jc w:val="center"/>
              <w:rPr>
                <w:sz w:val="18"/>
              </w:rPr>
            </w:pPr>
            <w:r>
              <w:rPr>
                <w:sz w:val="18"/>
              </w:rPr>
              <w:t>474.8</w:t>
            </w:r>
          </w:p>
        </w:tc>
        <w:tc>
          <w:tcPr>
            <w:tcW w:w="562" w:type="pct"/>
          </w:tcPr>
          <w:p w:rsidR="00312ECE" w:rsidRDefault="00312ECE">
            <w:pPr>
              <w:spacing w:before="60" w:after="60" w:line="280" w:lineRule="exact"/>
              <w:jc w:val="center"/>
              <w:rPr>
                <w:sz w:val="18"/>
              </w:rPr>
            </w:pPr>
            <w:r>
              <w:rPr>
                <w:sz w:val="18"/>
              </w:rPr>
              <w:t>492.0</w:t>
            </w:r>
          </w:p>
        </w:tc>
        <w:tc>
          <w:tcPr>
            <w:tcW w:w="562" w:type="pct"/>
          </w:tcPr>
          <w:p w:rsidR="00312ECE" w:rsidRDefault="00312ECE">
            <w:pPr>
              <w:spacing w:before="60" w:after="60" w:line="280" w:lineRule="exact"/>
              <w:jc w:val="center"/>
              <w:rPr>
                <w:sz w:val="18"/>
              </w:rPr>
            </w:pPr>
            <w:r>
              <w:rPr>
                <w:sz w:val="18"/>
              </w:rPr>
              <w:t>412.5</w:t>
            </w:r>
          </w:p>
        </w:tc>
        <w:tc>
          <w:tcPr>
            <w:tcW w:w="562" w:type="pct"/>
          </w:tcPr>
          <w:p w:rsidR="00312ECE" w:rsidRDefault="00312ECE">
            <w:pPr>
              <w:spacing w:before="60" w:after="60" w:line="280" w:lineRule="exact"/>
              <w:jc w:val="center"/>
              <w:rPr>
                <w:sz w:val="18"/>
              </w:rPr>
            </w:pPr>
            <w:r>
              <w:rPr>
                <w:sz w:val="18"/>
              </w:rPr>
              <w:t>447.2</w:t>
            </w:r>
          </w:p>
        </w:tc>
        <w:tc>
          <w:tcPr>
            <w:tcW w:w="562" w:type="pct"/>
          </w:tcPr>
          <w:p w:rsidR="00312ECE" w:rsidRDefault="00312ECE">
            <w:pPr>
              <w:spacing w:before="60" w:after="60" w:line="280" w:lineRule="exact"/>
              <w:jc w:val="center"/>
              <w:rPr>
                <w:sz w:val="18"/>
              </w:rPr>
            </w:pPr>
            <w:r>
              <w:rPr>
                <w:sz w:val="18"/>
              </w:rPr>
              <w:t>62.3</w:t>
            </w:r>
          </w:p>
        </w:tc>
        <w:tc>
          <w:tcPr>
            <w:tcW w:w="558" w:type="pct"/>
          </w:tcPr>
          <w:p w:rsidR="00312ECE" w:rsidRDefault="00312ECE">
            <w:pPr>
              <w:pStyle w:val="Header"/>
              <w:tabs>
                <w:tab w:val="clear" w:pos="4320"/>
                <w:tab w:val="clear" w:pos="8640"/>
              </w:tabs>
              <w:spacing w:before="60" w:after="60" w:line="280" w:lineRule="exact"/>
              <w:jc w:val="center"/>
            </w:pPr>
            <w:r>
              <w:t>44.8</w:t>
            </w:r>
          </w:p>
        </w:tc>
      </w:tr>
    </w:tbl>
    <w:p w:rsidR="00312ECE" w:rsidRDefault="00312ECE">
      <w:pPr>
        <w:pStyle w:val="SingleTxt"/>
        <w:rPr>
          <w:rFonts w:ascii="SimHei" w:eastAsia="SimHei" w:hint="eastAsia"/>
          <w:color w:val="FF0000"/>
        </w:rPr>
      </w:pPr>
      <w:r>
        <w:br w:type="page"/>
      </w:r>
      <w:r>
        <w:rPr>
          <w:rFonts w:ascii="SimHei" w:eastAsia="SimHei" w:hint="eastAsia"/>
          <w:color w:val="FF0000"/>
        </w:rPr>
        <w:t>1996年每周的时间分配（小时和分钟）</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65"/>
        <w:gridCol w:w="947"/>
        <w:gridCol w:w="846"/>
        <w:gridCol w:w="977"/>
        <w:gridCol w:w="976"/>
        <w:gridCol w:w="977"/>
        <w:gridCol w:w="983"/>
      </w:tblGrid>
      <w:tr w:rsidR="00312ECE">
        <w:tblPrEx>
          <w:tblCellMar>
            <w:top w:w="0" w:type="dxa"/>
            <w:bottom w:w="0" w:type="dxa"/>
          </w:tblCellMar>
        </w:tblPrEx>
        <w:trPr>
          <w:cantSplit/>
        </w:trPr>
        <w:tc>
          <w:tcPr>
            <w:tcW w:w="1129" w:type="pct"/>
            <w:vMerge w:val="restart"/>
          </w:tcPr>
          <w:p w:rsidR="00312ECE" w:rsidRDefault="00312ECE">
            <w:pPr>
              <w:spacing w:line="360" w:lineRule="atLeast"/>
              <w:rPr>
                <w:rFonts w:ascii="KaiTi_GB2312" w:eastAsia="KaiTi_GB2312" w:hint="eastAsia"/>
                <w:color w:val="0000FF"/>
                <w:sz w:val="14"/>
              </w:rPr>
            </w:pPr>
          </w:p>
        </w:tc>
        <w:tc>
          <w:tcPr>
            <w:tcW w:w="1216"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已就业的人</w:t>
            </w:r>
          </w:p>
        </w:tc>
        <w:tc>
          <w:tcPr>
            <w:tcW w:w="1325"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学生</w:t>
            </w:r>
          </w:p>
        </w:tc>
        <w:tc>
          <w:tcPr>
            <w:tcW w:w="1331" w:type="pct"/>
            <w:gridSpan w:val="2"/>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rPr>
              <w:t>既未就业也不学习的人</w:t>
            </w:r>
          </w:p>
        </w:tc>
      </w:tr>
      <w:tr w:rsidR="00312ECE">
        <w:tblPrEx>
          <w:tblCellMar>
            <w:top w:w="0" w:type="dxa"/>
            <w:bottom w:w="0" w:type="dxa"/>
          </w:tblCellMar>
        </w:tblPrEx>
        <w:trPr>
          <w:cantSplit/>
        </w:trPr>
        <w:tc>
          <w:tcPr>
            <w:tcW w:w="1129" w:type="pct"/>
            <w:vMerge/>
          </w:tcPr>
          <w:p w:rsidR="00312ECE" w:rsidRDefault="00312ECE">
            <w:pPr>
              <w:spacing w:line="360" w:lineRule="atLeast"/>
              <w:rPr>
                <w:rFonts w:ascii="KaiTi_GB2312" w:eastAsia="KaiTi_GB2312" w:hint="eastAsia"/>
                <w:color w:val="0000FF"/>
                <w:sz w:val="14"/>
              </w:rPr>
            </w:pPr>
          </w:p>
        </w:tc>
        <w:tc>
          <w:tcPr>
            <w:tcW w:w="64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男子</w:t>
            </w:r>
          </w:p>
        </w:tc>
        <w:tc>
          <w:tcPr>
            <w:tcW w:w="574"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妇女</w:t>
            </w:r>
          </w:p>
        </w:tc>
        <w:tc>
          <w:tcPr>
            <w:tcW w:w="663"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男子</w:t>
            </w:r>
          </w:p>
        </w:tc>
        <w:tc>
          <w:tcPr>
            <w:tcW w:w="662"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妇女</w:t>
            </w:r>
          </w:p>
        </w:tc>
        <w:tc>
          <w:tcPr>
            <w:tcW w:w="663"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男子</w:t>
            </w:r>
          </w:p>
        </w:tc>
        <w:tc>
          <w:tcPr>
            <w:tcW w:w="668" w:type="pct"/>
          </w:tcPr>
          <w:p w:rsidR="00312ECE" w:rsidRDefault="00312ECE">
            <w:pPr>
              <w:spacing w:line="360" w:lineRule="atLeast"/>
              <w:jc w:val="center"/>
              <w:rPr>
                <w:rFonts w:ascii="KaiTi_GB2312" w:eastAsia="KaiTi_GB2312" w:hint="eastAsia"/>
                <w:color w:val="0000FF"/>
                <w:sz w:val="14"/>
              </w:rPr>
            </w:pPr>
            <w:r>
              <w:rPr>
                <w:rFonts w:ascii="KaiTi_GB2312" w:eastAsia="KaiTi_GB2312" w:hint="eastAsia"/>
                <w:color w:val="0000FF"/>
                <w:sz w:val="14"/>
                <w:lang w:eastAsia="zh-TW"/>
              </w:rPr>
              <w:t>妇女</w:t>
            </w:r>
          </w:p>
        </w:tc>
      </w:tr>
      <w:tr w:rsidR="00312ECE">
        <w:tblPrEx>
          <w:tblCellMar>
            <w:top w:w="0" w:type="dxa"/>
            <w:bottom w:w="0" w:type="dxa"/>
          </w:tblCellMar>
        </w:tblPrEx>
        <w:tc>
          <w:tcPr>
            <w:tcW w:w="1129" w:type="pct"/>
          </w:tcPr>
          <w:p w:rsidR="00312ECE" w:rsidRDefault="00312ECE">
            <w:pPr>
              <w:spacing w:before="80" w:after="80" w:line="280" w:lineRule="exact"/>
              <w:rPr>
                <w:rFonts w:hint="eastAsia"/>
                <w:sz w:val="18"/>
              </w:rPr>
            </w:pPr>
            <w:r>
              <w:rPr>
                <w:rFonts w:hint="eastAsia"/>
                <w:sz w:val="18"/>
                <w:lang w:eastAsia="zh-TW"/>
              </w:rPr>
              <w:t>自我照料</w:t>
            </w:r>
          </w:p>
        </w:tc>
        <w:tc>
          <w:tcPr>
            <w:tcW w:w="642" w:type="pct"/>
          </w:tcPr>
          <w:p w:rsidR="00312ECE" w:rsidRDefault="00312ECE">
            <w:pPr>
              <w:spacing w:before="80" w:after="80" w:line="280" w:lineRule="exact"/>
              <w:jc w:val="center"/>
              <w:rPr>
                <w:rFonts w:hint="eastAsia"/>
                <w:sz w:val="18"/>
              </w:rPr>
            </w:pPr>
            <w:r>
              <w:rPr>
                <w:rFonts w:hint="eastAsia"/>
                <w:sz w:val="18"/>
              </w:rPr>
              <w:t>72</w:t>
            </w:r>
            <w:r>
              <w:rPr>
                <w:rFonts w:hint="eastAsia"/>
                <w:sz w:val="18"/>
              </w:rPr>
              <w:sym w:font="Symbol" w:char="F03A"/>
            </w:r>
            <w:r>
              <w:rPr>
                <w:rFonts w:hint="eastAsia"/>
                <w:sz w:val="18"/>
              </w:rPr>
              <w:t>14</w:t>
            </w:r>
          </w:p>
        </w:tc>
        <w:tc>
          <w:tcPr>
            <w:tcW w:w="574" w:type="pct"/>
          </w:tcPr>
          <w:p w:rsidR="00312ECE" w:rsidRDefault="00312ECE">
            <w:pPr>
              <w:spacing w:before="80" w:after="80" w:line="280" w:lineRule="exact"/>
              <w:jc w:val="center"/>
              <w:rPr>
                <w:rFonts w:eastAsia="MingLiU"/>
                <w:sz w:val="18"/>
              </w:rPr>
            </w:pPr>
            <w:r>
              <w:rPr>
                <w:sz w:val="18"/>
              </w:rPr>
              <w:t>70</w:t>
            </w:r>
            <w:r>
              <w:rPr>
                <w:rFonts w:hint="eastAsia"/>
                <w:sz w:val="18"/>
              </w:rPr>
              <w:sym w:font="Symbol" w:char="F03A"/>
            </w:r>
            <w:r>
              <w:rPr>
                <w:sz w:val="18"/>
              </w:rPr>
              <w:t>43</w:t>
            </w:r>
          </w:p>
        </w:tc>
        <w:tc>
          <w:tcPr>
            <w:tcW w:w="663" w:type="pct"/>
          </w:tcPr>
          <w:p w:rsidR="00312ECE" w:rsidRDefault="00312ECE">
            <w:pPr>
              <w:spacing w:before="80" w:after="80" w:line="280" w:lineRule="exact"/>
              <w:jc w:val="center"/>
              <w:rPr>
                <w:rFonts w:eastAsia="MingLiU"/>
                <w:sz w:val="18"/>
              </w:rPr>
            </w:pPr>
            <w:r>
              <w:rPr>
                <w:sz w:val="18"/>
              </w:rPr>
              <w:t>78</w:t>
            </w:r>
            <w:r>
              <w:rPr>
                <w:rFonts w:hint="eastAsia"/>
                <w:sz w:val="18"/>
              </w:rPr>
              <w:sym w:font="Symbol" w:char="F03A"/>
            </w:r>
            <w:r>
              <w:rPr>
                <w:sz w:val="18"/>
              </w:rPr>
              <w:t>46</w:t>
            </w:r>
          </w:p>
        </w:tc>
        <w:tc>
          <w:tcPr>
            <w:tcW w:w="662" w:type="pct"/>
          </w:tcPr>
          <w:p w:rsidR="00312ECE" w:rsidRDefault="00312ECE">
            <w:pPr>
              <w:spacing w:before="80" w:after="80" w:line="280" w:lineRule="exact"/>
              <w:jc w:val="center"/>
              <w:rPr>
                <w:rFonts w:eastAsia="MingLiU"/>
                <w:sz w:val="18"/>
              </w:rPr>
            </w:pPr>
            <w:r>
              <w:rPr>
                <w:sz w:val="18"/>
              </w:rPr>
              <w:t>77</w:t>
            </w:r>
            <w:r>
              <w:rPr>
                <w:rFonts w:hint="eastAsia"/>
                <w:sz w:val="18"/>
              </w:rPr>
              <w:sym w:font="Symbol" w:char="F03A"/>
            </w:r>
            <w:r>
              <w:rPr>
                <w:sz w:val="18"/>
              </w:rPr>
              <w:t>38</w:t>
            </w:r>
          </w:p>
        </w:tc>
        <w:tc>
          <w:tcPr>
            <w:tcW w:w="663" w:type="pct"/>
          </w:tcPr>
          <w:p w:rsidR="00312ECE" w:rsidRDefault="00312ECE">
            <w:pPr>
              <w:spacing w:before="80" w:after="80" w:line="280" w:lineRule="exact"/>
              <w:jc w:val="center"/>
              <w:rPr>
                <w:rFonts w:eastAsia="MingLiU"/>
                <w:sz w:val="18"/>
              </w:rPr>
            </w:pPr>
            <w:r>
              <w:rPr>
                <w:sz w:val="18"/>
              </w:rPr>
              <w:t>81</w:t>
            </w:r>
            <w:r>
              <w:rPr>
                <w:rFonts w:hint="eastAsia"/>
                <w:sz w:val="18"/>
              </w:rPr>
              <w:sym w:font="Symbol" w:char="F03A"/>
            </w:r>
            <w:r>
              <w:rPr>
                <w:sz w:val="18"/>
              </w:rPr>
              <w:t>35</w:t>
            </w:r>
          </w:p>
        </w:tc>
        <w:tc>
          <w:tcPr>
            <w:tcW w:w="668" w:type="pct"/>
          </w:tcPr>
          <w:p w:rsidR="00312ECE" w:rsidRDefault="00312ECE">
            <w:pPr>
              <w:spacing w:before="80" w:after="80" w:line="280" w:lineRule="exact"/>
              <w:jc w:val="center"/>
              <w:rPr>
                <w:rFonts w:eastAsia="MingLiU"/>
                <w:sz w:val="18"/>
              </w:rPr>
            </w:pPr>
            <w:r>
              <w:rPr>
                <w:sz w:val="18"/>
              </w:rPr>
              <w:t>79</w:t>
            </w:r>
            <w:r>
              <w:rPr>
                <w:rFonts w:hint="eastAsia"/>
                <w:sz w:val="18"/>
              </w:rPr>
              <w:sym w:font="Symbol" w:char="F03A"/>
            </w:r>
            <w:r>
              <w:rPr>
                <w:sz w:val="18"/>
              </w:rPr>
              <w:t>17</w:t>
            </w:r>
          </w:p>
        </w:tc>
      </w:tr>
      <w:tr w:rsidR="00312ECE">
        <w:tblPrEx>
          <w:tblCellMar>
            <w:top w:w="0" w:type="dxa"/>
            <w:bottom w:w="0" w:type="dxa"/>
          </w:tblCellMar>
        </w:tblPrEx>
        <w:tc>
          <w:tcPr>
            <w:tcW w:w="1129" w:type="pct"/>
          </w:tcPr>
          <w:p w:rsidR="00312ECE" w:rsidRDefault="00312ECE">
            <w:pPr>
              <w:spacing w:before="80" w:after="80" w:line="280" w:lineRule="exact"/>
              <w:rPr>
                <w:rFonts w:hint="eastAsia"/>
                <w:sz w:val="18"/>
              </w:rPr>
            </w:pPr>
            <w:r>
              <w:rPr>
                <w:rFonts w:hint="eastAsia"/>
                <w:sz w:val="18"/>
                <w:lang w:eastAsia="zh-TW"/>
              </w:rPr>
              <w:t>总和工作量</w:t>
            </w:r>
          </w:p>
        </w:tc>
        <w:tc>
          <w:tcPr>
            <w:tcW w:w="642" w:type="pct"/>
          </w:tcPr>
          <w:p w:rsidR="00312ECE" w:rsidRDefault="00312ECE">
            <w:pPr>
              <w:spacing w:before="80" w:after="80" w:line="280" w:lineRule="exact"/>
              <w:jc w:val="center"/>
              <w:rPr>
                <w:rFonts w:eastAsia="MingLiU"/>
                <w:sz w:val="18"/>
              </w:rPr>
            </w:pPr>
            <w:r>
              <w:rPr>
                <w:sz w:val="18"/>
              </w:rPr>
              <w:t>66</w:t>
            </w:r>
            <w:r>
              <w:rPr>
                <w:rFonts w:hint="eastAsia"/>
                <w:sz w:val="18"/>
              </w:rPr>
              <w:sym w:font="Symbol" w:char="F03A"/>
            </w:r>
            <w:r>
              <w:rPr>
                <w:sz w:val="18"/>
              </w:rPr>
              <w:t>13</w:t>
            </w:r>
          </w:p>
        </w:tc>
        <w:tc>
          <w:tcPr>
            <w:tcW w:w="574" w:type="pct"/>
          </w:tcPr>
          <w:p w:rsidR="00312ECE" w:rsidRDefault="00312ECE">
            <w:pPr>
              <w:spacing w:before="80" w:after="80" w:line="280" w:lineRule="exact"/>
              <w:jc w:val="center"/>
              <w:rPr>
                <w:rFonts w:eastAsia="MingLiU"/>
                <w:sz w:val="18"/>
              </w:rPr>
            </w:pPr>
            <w:r>
              <w:rPr>
                <w:sz w:val="18"/>
              </w:rPr>
              <w:t>74</w:t>
            </w:r>
            <w:r>
              <w:rPr>
                <w:rFonts w:hint="eastAsia"/>
                <w:sz w:val="18"/>
              </w:rPr>
              <w:sym w:font="Symbol" w:char="F03A"/>
            </w:r>
            <w:r>
              <w:rPr>
                <w:sz w:val="18"/>
              </w:rPr>
              <w:t>25</w:t>
            </w:r>
          </w:p>
        </w:tc>
        <w:tc>
          <w:tcPr>
            <w:tcW w:w="663" w:type="pct"/>
          </w:tcPr>
          <w:p w:rsidR="00312ECE" w:rsidRDefault="00312ECE">
            <w:pPr>
              <w:spacing w:before="80" w:after="80" w:line="280" w:lineRule="exact"/>
              <w:jc w:val="center"/>
              <w:rPr>
                <w:rFonts w:eastAsia="MingLiU"/>
                <w:sz w:val="18"/>
              </w:rPr>
            </w:pPr>
            <w:r>
              <w:rPr>
                <w:sz w:val="18"/>
              </w:rPr>
              <w:t>51</w:t>
            </w:r>
            <w:r>
              <w:rPr>
                <w:rFonts w:hint="eastAsia"/>
                <w:sz w:val="18"/>
              </w:rPr>
              <w:sym w:font="Symbol" w:char="F03A"/>
            </w:r>
            <w:r>
              <w:rPr>
                <w:sz w:val="18"/>
              </w:rPr>
              <w:t>15</w:t>
            </w:r>
          </w:p>
        </w:tc>
        <w:tc>
          <w:tcPr>
            <w:tcW w:w="662" w:type="pct"/>
          </w:tcPr>
          <w:p w:rsidR="00312ECE" w:rsidRDefault="00312ECE">
            <w:pPr>
              <w:spacing w:before="80" w:after="80" w:line="280" w:lineRule="exact"/>
              <w:jc w:val="center"/>
              <w:rPr>
                <w:rFonts w:eastAsia="MingLiU"/>
                <w:sz w:val="18"/>
              </w:rPr>
            </w:pPr>
            <w:r>
              <w:rPr>
                <w:sz w:val="18"/>
              </w:rPr>
              <w:t>54</w:t>
            </w:r>
            <w:r>
              <w:rPr>
                <w:rFonts w:hint="eastAsia"/>
                <w:sz w:val="18"/>
              </w:rPr>
              <w:sym w:font="Symbol" w:char="F03A"/>
            </w:r>
            <w:r>
              <w:rPr>
                <w:sz w:val="18"/>
              </w:rPr>
              <w:t>21</w:t>
            </w:r>
          </w:p>
        </w:tc>
        <w:tc>
          <w:tcPr>
            <w:tcW w:w="663" w:type="pct"/>
          </w:tcPr>
          <w:p w:rsidR="00312ECE" w:rsidRDefault="00312ECE">
            <w:pPr>
              <w:spacing w:before="80" w:after="80" w:line="280" w:lineRule="exact"/>
              <w:jc w:val="center"/>
              <w:rPr>
                <w:rFonts w:eastAsia="MingLiU"/>
                <w:sz w:val="18"/>
              </w:rPr>
            </w:pPr>
            <w:r>
              <w:rPr>
                <w:sz w:val="18"/>
              </w:rPr>
              <w:t>40</w:t>
            </w:r>
            <w:r>
              <w:rPr>
                <w:rFonts w:hint="eastAsia"/>
                <w:sz w:val="18"/>
              </w:rPr>
              <w:sym w:font="Symbol" w:char="F03A"/>
            </w:r>
            <w:r>
              <w:rPr>
                <w:sz w:val="18"/>
              </w:rPr>
              <w:t>06</w:t>
            </w:r>
          </w:p>
        </w:tc>
        <w:tc>
          <w:tcPr>
            <w:tcW w:w="668" w:type="pct"/>
          </w:tcPr>
          <w:p w:rsidR="00312ECE" w:rsidRDefault="00312ECE">
            <w:pPr>
              <w:spacing w:before="80" w:after="80" w:line="280" w:lineRule="exact"/>
              <w:jc w:val="center"/>
              <w:rPr>
                <w:rFonts w:eastAsia="MingLiU"/>
                <w:sz w:val="18"/>
              </w:rPr>
            </w:pPr>
            <w:r>
              <w:rPr>
                <w:sz w:val="18"/>
              </w:rPr>
              <w:t>51</w:t>
            </w:r>
            <w:r>
              <w:rPr>
                <w:rFonts w:hint="eastAsia"/>
                <w:sz w:val="18"/>
              </w:rPr>
              <w:sym w:font="Symbol" w:char="F03A"/>
            </w:r>
            <w:r>
              <w:rPr>
                <w:sz w:val="18"/>
              </w:rPr>
              <w:t>53</w:t>
            </w:r>
          </w:p>
        </w:tc>
      </w:tr>
      <w:tr w:rsidR="00312ECE">
        <w:tblPrEx>
          <w:tblCellMar>
            <w:top w:w="0" w:type="dxa"/>
            <w:bottom w:w="0" w:type="dxa"/>
          </w:tblCellMar>
        </w:tblPrEx>
        <w:tc>
          <w:tcPr>
            <w:tcW w:w="1129" w:type="pct"/>
          </w:tcPr>
          <w:p w:rsidR="00312ECE" w:rsidRDefault="00312ECE">
            <w:pPr>
              <w:spacing w:before="80" w:after="80" w:line="280" w:lineRule="exact"/>
              <w:rPr>
                <w:rFonts w:hint="eastAsia"/>
                <w:sz w:val="18"/>
              </w:rPr>
            </w:pPr>
            <w:r>
              <w:rPr>
                <w:rFonts w:hint="eastAsia"/>
                <w:sz w:val="18"/>
                <w:lang w:eastAsia="zh-TW"/>
              </w:rPr>
              <w:t>有酬工作</w:t>
            </w:r>
          </w:p>
        </w:tc>
        <w:tc>
          <w:tcPr>
            <w:tcW w:w="642" w:type="pct"/>
          </w:tcPr>
          <w:p w:rsidR="00312ECE" w:rsidRDefault="00312ECE">
            <w:pPr>
              <w:spacing w:before="80" w:after="80" w:line="280" w:lineRule="exact"/>
              <w:jc w:val="center"/>
              <w:rPr>
                <w:rFonts w:eastAsia="MingLiU"/>
                <w:sz w:val="18"/>
              </w:rPr>
            </w:pPr>
            <w:r>
              <w:rPr>
                <w:sz w:val="18"/>
              </w:rPr>
              <w:t>49</w:t>
            </w:r>
            <w:r>
              <w:rPr>
                <w:rFonts w:hint="eastAsia"/>
                <w:sz w:val="18"/>
              </w:rPr>
              <w:sym w:font="Symbol" w:char="F03A"/>
            </w:r>
            <w:r>
              <w:rPr>
                <w:sz w:val="18"/>
              </w:rPr>
              <w:t>44</w:t>
            </w:r>
          </w:p>
        </w:tc>
        <w:tc>
          <w:tcPr>
            <w:tcW w:w="574" w:type="pct"/>
          </w:tcPr>
          <w:p w:rsidR="00312ECE" w:rsidRDefault="00312ECE">
            <w:pPr>
              <w:spacing w:before="80" w:after="80" w:line="280" w:lineRule="exact"/>
              <w:jc w:val="center"/>
              <w:rPr>
                <w:rFonts w:eastAsia="MingLiU"/>
                <w:sz w:val="18"/>
              </w:rPr>
            </w:pPr>
            <w:r>
              <w:rPr>
                <w:sz w:val="18"/>
              </w:rPr>
              <w:t>45</w:t>
            </w:r>
            <w:r>
              <w:rPr>
                <w:rFonts w:hint="eastAsia"/>
                <w:sz w:val="18"/>
              </w:rPr>
              <w:sym w:font="Symbol" w:char="F03A"/>
            </w:r>
            <w:r>
              <w:rPr>
                <w:sz w:val="18"/>
              </w:rPr>
              <w:t>14</w:t>
            </w:r>
          </w:p>
        </w:tc>
        <w:tc>
          <w:tcPr>
            <w:tcW w:w="663" w:type="pct"/>
          </w:tcPr>
          <w:p w:rsidR="00312ECE" w:rsidRDefault="00312ECE">
            <w:pPr>
              <w:spacing w:before="80" w:after="80" w:line="280" w:lineRule="exact"/>
              <w:jc w:val="center"/>
              <w:rPr>
                <w:rFonts w:eastAsia="MingLiU"/>
                <w:sz w:val="18"/>
              </w:rPr>
            </w:pPr>
            <w:r>
              <w:rPr>
                <w:sz w:val="18"/>
              </w:rPr>
              <w:t>00</w:t>
            </w:r>
            <w:r>
              <w:rPr>
                <w:rFonts w:hint="eastAsia"/>
                <w:sz w:val="18"/>
              </w:rPr>
              <w:sym w:font="Symbol" w:char="F03A"/>
            </w:r>
            <w:r>
              <w:rPr>
                <w:sz w:val="18"/>
              </w:rPr>
              <w:t>28</w:t>
            </w:r>
          </w:p>
        </w:tc>
        <w:tc>
          <w:tcPr>
            <w:tcW w:w="662" w:type="pct"/>
          </w:tcPr>
          <w:p w:rsidR="00312ECE" w:rsidRDefault="00312ECE">
            <w:pPr>
              <w:spacing w:before="80" w:after="80" w:line="280" w:lineRule="exact"/>
              <w:jc w:val="center"/>
              <w:rPr>
                <w:rFonts w:eastAsia="MingLiU"/>
                <w:sz w:val="18"/>
              </w:rPr>
            </w:pPr>
            <w:r>
              <w:rPr>
                <w:sz w:val="18"/>
              </w:rPr>
              <w:t>00</w:t>
            </w:r>
            <w:r>
              <w:rPr>
                <w:rFonts w:hint="eastAsia"/>
                <w:sz w:val="18"/>
              </w:rPr>
              <w:sym w:font="Symbol" w:char="F03A"/>
            </w:r>
            <w:r>
              <w:rPr>
                <w:sz w:val="18"/>
              </w:rPr>
              <w:t>15</w:t>
            </w:r>
          </w:p>
        </w:tc>
        <w:tc>
          <w:tcPr>
            <w:tcW w:w="663" w:type="pct"/>
          </w:tcPr>
          <w:p w:rsidR="00312ECE" w:rsidRDefault="00312ECE">
            <w:pPr>
              <w:spacing w:before="80" w:after="80" w:line="280" w:lineRule="exact"/>
              <w:jc w:val="center"/>
              <w:rPr>
                <w:rFonts w:eastAsia="MingLiU"/>
                <w:sz w:val="18"/>
              </w:rPr>
            </w:pPr>
            <w:r>
              <w:rPr>
                <w:sz w:val="18"/>
              </w:rPr>
              <w:t>04</w:t>
            </w:r>
            <w:r>
              <w:rPr>
                <w:rFonts w:hint="eastAsia"/>
                <w:sz w:val="18"/>
              </w:rPr>
              <w:sym w:font="Symbol" w:char="F03A"/>
            </w:r>
            <w:r>
              <w:rPr>
                <w:sz w:val="18"/>
              </w:rPr>
              <w:t>40</w:t>
            </w:r>
          </w:p>
        </w:tc>
        <w:tc>
          <w:tcPr>
            <w:tcW w:w="668" w:type="pct"/>
          </w:tcPr>
          <w:p w:rsidR="00312ECE" w:rsidRDefault="00312ECE">
            <w:pPr>
              <w:spacing w:before="80" w:after="80" w:line="280" w:lineRule="exact"/>
              <w:jc w:val="center"/>
              <w:rPr>
                <w:rFonts w:eastAsia="MingLiU"/>
                <w:sz w:val="18"/>
              </w:rPr>
            </w:pPr>
            <w:r>
              <w:rPr>
                <w:sz w:val="18"/>
              </w:rPr>
              <w:t>01</w:t>
            </w:r>
            <w:r>
              <w:rPr>
                <w:rFonts w:hint="eastAsia"/>
                <w:sz w:val="18"/>
              </w:rPr>
              <w:sym w:font="Symbol" w:char="F03A"/>
            </w:r>
            <w:r>
              <w:rPr>
                <w:sz w:val="18"/>
              </w:rPr>
              <w:t>20</w:t>
            </w:r>
          </w:p>
        </w:tc>
      </w:tr>
      <w:tr w:rsidR="00312ECE">
        <w:tblPrEx>
          <w:tblCellMar>
            <w:top w:w="0" w:type="dxa"/>
            <w:bottom w:w="0" w:type="dxa"/>
          </w:tblCellMar>
        </w:tblPrEx>
        <w:tc>
          <w:tcPr>
            <w:tcW w:w="1129" w:type="pct"/>
          </w:tcPr>
          <w:p w:rsidR="00312ECE" w:rsidRDefault="00312ECE">
            <w:pPr>
              <w:spacing w:before="80" w:after="80" w:line="280" w:lineRule="exact"/>
              <w:rPr>
                <w:rFonts w:hint="eastAsia"/>
                <w:sz w:val="18"/>
              </w:rPr>
            </w:pPr>
            <w:r>
              <w:rPr>
                <w:rFonts w:hint="eastAsia"/>
                <w:sz w:val="18"/>
                <w:lang w:eastAsia="zh-TW"/>
              </w:rPr>
              <w:t>经常学习</w:t>
            </w:r>
          </w:p>
        </w:tc>
        <w:tc>
          <w:tcPr>
            <w:tcW w:w="642" w:type="pct"/>
          </w:tcPr>
          <w:p w:rsidR="00312ECE" w:rsidRDefault="00312ECE">
            <w:pPr>
              <w:spacing w:before="80" w:after="80" w:line="280" w:lineRule="exact"/>
              <w:jc w:val="center"/>
              <w:rPr>
                <w:rFonts w:eastAsia="MingLiU"/>
                <w:sz w:val="18"/>
              </w:rPr>
            </w:pPr>
            <w:r>
              <w:rPr>
                <w:rFonts w:eastAsia="MingLiU"/>
                <w:sz w:val="18"/>
              </w:rPr>
              <w:t>00</w:t>
            </w:r>
            <w:r>
              <w:rPr>
                <w:rFonts w:hint="eastAsia"/>
                <w:sz w:val="18"/>
              </w:rPr>
              <w:sym w:font="Symbol" w:char="F03A"/>
            </w:r>
            <w:r>
              <w:rPr>
                <w:sz w:val="18"/>
              </w:rPr>
              <w:t>20</w:t>
            </w:r>
          </w:p>
        </w:tc>
        <w:tc>
          <w:tcPr>
            <w:tcW w:w="574" w:type="pct"/>
          </w:tcPr>
          <w:p w:rsidR="00312ECE" w:rsidRDefault="00312ECE">
            <w:pPr>
              <w:spacing w:before="80" w:after="80" w:line="280" w:lineRule="exact"/>
              <w:jc w:val="center"/>
              <w:rPr>
                <w:rFonts w:eastAsia="MingLiU"/>
                <w:sz w:val="18"/>
              </w:rPr>
            </w:pPr>
            <w:r>
              <w:rPr>
                <w:sz w:val="18"/>
              </w:rPr>
              <w:t>00</w:t>
            </w:r>
            <w:r>
              <w:rPr>
                <w:rFonts w:hint="eastAsia"/>
                <w:sz w:val="18"/>
              </w:rPr>
              <w:sym w:font="Symbol" w:char="F03A"/>
            </w:r>
            <w:r>
              <w:rPr>
                <w:sz w:val="18"/>
              </w:rPr>
              <w:t>24</w:t>
            </w:r>
          </w:p>
        </w:tc>
        <w:tc>
          <w:tcPr>
            <w:tcW w:w="663" w:type="pct"/>
          </w:tcPr>
          <w:p w:rsidR="00312ECE" w:rsidRDefault="00312ECE">
            <w:pPr>
              <w:spacing w:before="80" w:after="80" w:line="280" w:lineRule="exact"/>
              <w:jc w:val="center"/>
              <w:rPr>
                <w:rFonts w:eastAsia="MingLiU"/>
                <w:sz w:val="18"/>
              </w:rPr>
            </w:pPr>
            <w:r>
              <w:rPr>
                <w:sz w:val="18"/>
              </w:rPr>
              <w:t>43</w:t>
            </w:r>
            <w:r>
              <w:rPr>
                <w:rFonts w:hint="eastAsia"/>
                <w:sz w:val="18"/>
              </w:rPr>
              <w:sym w:font="Symbol" w:char="F03A"/>
            </w:r>
            <w:r>
              <w:rPr>
                <w:sz w:val="18"/>
              </w:rPr>
              <w:t>26</w:t>
            </w:r>
          </w:p>
        </w:tc>
        <w:tc>
          <w:tcPr>
            <w:tcW w:w="662" w:type="pct"/>
          </w:tcPr>
          <w:p w:rsidR="00312ECE" w:rsidRDefault="00312ECE">
            <w:pPr>
              <w:spacing w:before="80" w:after="80" w:line="280" w:lineRule="exact"/>
              <w:jc w:val="center"/>
              <w:rPr>
                <w:rFonts w:eastAsia="MingLiU"/>
                <w:sz w:val="18"/>
              </w:rPr>
            </w:pPr>
            <w:r>
              <w:rPr>
                <w:sz w:val="18"/>
              </w:rPr>
              <w:t>44</w:t>
            </w:r>
            <w:r>
              <w:rPr>
                <w:rFonts w:hint="eastAsia"/>
                <w:sz w:val="18"/>
              </w:rPr>
              <w:sym w:font="Symbol" w:char="F03A"/>
            </w:r>
            <w:r>
              <w:rPr>
                <w:sz w:val="18"/>
              </w:rPr>
              <w:t>04</w:t>
            </w:r>
          </w:p>
        </w:tc>
        <w:tc>
          <w:tcPr>
            <w:tcW w:w="663" w:type="pct"/>
          </w:tcPr>
          <w:p w:rsidR="00312ECE" w:rsidRDefault="00312ECE">
            <w:pPr>
              <w:spacing w:before="80" w:after="80" w:line="280" w:lineRule="exact"/>
              <w:jc w:val="center"/>
              <w:rPr>
                <w:rFonts w:eastAsia="MingLiU"/>
                <w:sz w:val="18"/>
              </w:rPr>
            </w:pPr>
            <w:r>
              <w:rPr>
                <w:sz w:val="18"/>
              </w:rPr>
              <w:t>00</w:t>
            </w:r>
            <w:r>
              <w:rPr>
                <w:rFonts w:hint="eastAsia"/>
                <w:sz w:val="18"/>
              </w:rPr>
              <w:sym w:font="Symbol" w:char="F03A"/>
            </w:r>
            <w:r>
              <w:rPr>
                <w:sz w:val="18"/>
              </w:rPr>
              <w:t>25</w:t>
            </w:r>
          </w:p>
        </w:tc>
        <w:tc>
          <w:tcPr>
            <w:tcW w:w="668" w:type="pct"/>
          </w:tcPr>
          <w:p w:rsidR="00312ECE" w:rsidRDefault="00312ECE">
            <w:pPr>
              <w:spacing w:before="80" w:after="80" w:line="280" w:lineRule="exact"/>
              <w:jc w:val="center"/>
              <w:rPr>
                <w:rFonts w:eastAsia="MingLiU"/>
                <w:sz w:val="18"/>
              </w:rPr>
            </w:pPr>
            <w:r>
              <w:rPr>
                <w:sz w:val="18"/>
              </w:rPr>
              <w:t>00</w:t>
            </w:r>
            <w:r>
              <w:rPr>
                <w:rFonts w:hint="eastAsia"/>
                <w:sz w:val="18"/>
              </w:rPr>
              <w:sym w:font="Symbol" w:char="F03A"/>
            </w:r>
            <w:r>
              <w:rPr>
                <w:sz w:val="18"/>
              </w:rPr>
              <w:t>33</w:t>
            </w:r>
          </w:p>
        </w:tc>
      </w:tr>
      <w:tr w:rsidR="00312ECE">
        <w:tblPrEx>
          <w:tblCellMar>
            <w:top w:w="0" w:type="dxa"/>
            <w:bottom w:w="0" w:type="dxa"/>
          </w:tblCellMar>
        </w:tblPrEx>
        <w:tc>
          <w:tcPr>
            <w:tcW w:w="1129" w:type="pct"/>
          </w:tcPr>
          <w:p w:rsidR="00312ECE" w:rsidRDefault="00312ECE">
            <w:pPr>
              <w:spacing w:before="80" w:after="80" w:line="280" w:lineRule="exact"/>
              <w:rPr>
                <w:rFonts w:hint="eastAsia"/>
                <w:sz w:val="18"/>
              </w:rPr>
            </w:pPr>
            <w:r>
              <w:rPr>
                <w:rFonts w:hint="eastAsia"/>
                <w:sz w:val="18"/>
                <w:lang w:eastAsia="zh-TW"/>
              </w:rPr>
              <w:t>照料子女，操持家务</w:t>
            </w:r>
          </w:p>
        </w:tc>
        <w:tc>
          <w:tcPr>
            <w:tcW w:w="642" w:type="pct"/>
          </w:tcPr>
          <w:p w:rsidR="00312ECE" w:rsidRDefault="00312ECE">
            <w:pPr>
              <w:spacing w:before="80" w:after="80" w:line="280" w:lineRule="exact"/>
              <w:jc w:val="center"/>
              <w:rPr>
                <w:rFonts w:eastAsia="MingLiU"/>
                <w:sz w:val="18"/>
              </w:rPr>
            </w:pPr>
            <w:r>
              <w:rPr>
                <w:sz w:val="18"/>
              </w:rPr>
              <w:t>16</w:t>
            </w:r>
            <w:r>
              <w:rPr>
                <w:rFonts w:hint="eastAsia"/>
                <w:sz w:val="18"/>
              </w:rPr>
              <w:sym w:font="Symbol" w:char="F03A"/>
            </w:r>
            <w:r>
              <w:rPr>
                <w:sz w:val="18"/>
              </w:rPr>
              <w:t>09</w:t>
            </w:r>
          </w:p>
        </w:tc>
        <w:tc>
          <w:tcPr>
            <w:tcW w:w="574" w:type="pct"/>
          </w:tcPr>
          <w:p w:rsidR="00312ECE" w:rsidRDefault="00312ECE">
            <w:pPr>
              <w:spacing w:before="80" w:after="80" w:line="280" w:lineRule="exact"/>
              <w:jc w:val="center"/>
              <w:rPr>
                <w:rFonts w:eastAsia="MingLiU"/>
                <w:sz w:val="18"/>
              </w:rPr>
            </w:pPr>
            <w:r>
              <w:rPr>
                <w:sz w:val="18"/>
              </w:rPr>
              <w:t>28</w:t>
            </w:r>
            <w:r>
              <w:rPr>
                <w:rFonts w:hint="eastAsia"/>
                <w:sz w:val="18"/>
              </w:rPr>
              <w:sym w:font="Symbol" w:char="F03A"/>
            </w:r>
            <w:r>
              <w:rPr>
                <w:sz w:val="18"/>
              </w:rPr>
              <w:t>47</w:t>
            </w:r>
          </w:p>
        </w:tc>
        <w:tc>
          <w:tcPr>
            <w:tcW w:w="663" w:type="pct"/>
          </w:tcPr>
          <w:p w:rsidR="00312ECE" w:rsidRDefault="00312ECE">
            <w:pPr>
              <w:spacing w:before="80" w:after="80" w:line="280" w:lineRule="exact"/>
              <w:jc w:val="center"/>
              <w:rPr>
                <w:rFonts w:eastAsia="MingLiU"/>
                <w:sz w:val="18"/>
              </w:rPr>
            </w:pPr>
            <w:r>
              <w:rPr>
                <w:sz w:val="18"/>
              </w:rPr>
              <w:t>07</w:t>
            </w:r>
            <w:r>
              <w:rPr>
                <w:rFonts w:hint="eastAsia"/>
                <w:sz w:val="18"/>
              </w:rPr>
              <w:sym w:font="Symbol" w:char="F03A"/>
            </w:r>
            <w:r>
              <w:rPr>
                <w:sz w:val="18"/>
              </w:rPr>
              <w:t>21</w:t>
            </w:r>
          </w:p>
        </w:tc>
        <w:tc>
          <w:tcPr>
            <w:tcW w:w="662" w:type="pct"/>
          </w:tcPr>
          <w:p w:rsidR="00312ECE" w:rsidRDefault="00312ECE">
            <w:pPr>
              <w:spacing w:before="80" w:after="80" w:line="280" w:lineRule="exact"/>
              <w:jc w:val="center"/>
              <w:rPr>
                <w:rFonts w:eastAsia="MingLiU"/>
                <w:sz w:val="18"/>
              </w:rPr>
            </w:pPr>
            <w:r>
              <w:rPr>
                <w:sz w:val="18"/>
              </w:rPr>
              <w:t>10</w:t>
            </w:r>
            <w:r>
              <w:rPr>
                <w:rFonts w:hint="eastAsia"/>
                <w:sz w:val="18"/>
              </w:rPr>
              <w:sym w:font="Symbol" w:char="F03A"/>
            </w:r>
            <w:r>
              <w:rPr>
                <w:sz w:val="18"/>
              </w:rPr>
              <w:t>02</w:t>
            </w:r>
          </w:p>
        </w:tc>
        <w:tc>
          <w:tcPr>
            <w:tcW w:w="663" w:type="pct"/>
          </w:tcPr>
          <w:p w:rsidR="00312ECE" w:rsidRDefault="00312ECE">
            <w:pPr>
              <w:spacing w:before="80" w:after="80" w:line="280" w:lineRule="exact"/>
              <w:jc w:val="center"/>
              <w:rPr>
                <w:rFonts w:eastAsia="MingLiU"/>
                <w:sz w:val="18"/>
              </w:rPr>
            </w:pPr>
            <w:r>
              <w:rPr>
                <w:sz w:val="18"/>
              </w:rPr>
              <w:t>35</w:t>
            </w:r>
            <w:r>
              <w:rPr>
                <w:rFonts w:hint="eastAsia"/>
                <w:sz w:val="18"/>
              </w:rPr>
              <w:sym w:font="Symbol" w:char="F03A"/>
            </w:r>
            <w:r>
              <w:rPr>
                <w:sz w:val="18"/>
              </w:rPr>
              <w:t>01</w:t>
            </w:r>
          </w:p>
        </w:tc>
        <w:tc>
          <w:tcPr>
            <w:tcW w:w="668" w:type="pct"/>
          </w:tcPr>
          <w:p w:rsidR="00312ECE" w:rsidRDefault="00312ECE">
            <w:pPr>
              <w:spacing w:before="80" w:after="80" w:line="280" w:lineRule="exact"/>
              <w:jc w:val="center"/>
              <w:rPr>
                <w:rFonts w:eastAsia="MingLiU"/>
                <w:sz w:val="18"/>
              </w:rPr>
            </w:pPr>
            <w:r>
              <w:rPr>
                <w:sz w:val="18"/>
              </w:rPr>
              <w:t>50</w:t>
            </w:r>
            <w:r>
              <w:rPr>
                <w:rFonts w:hint="eastAsia"/>
                <w:sz w:val="18"/>
              </w:rPr>
              <w:sym w:font="Symbol" w:char="F03A"/>
            </w:r>
            <w:r>
              <w:rPr>
                <w:sz w:val="18"/>
              </w:rPr>
              <w:t>00</w:t>
            </w:r>
          </w:p>
        </w:tc>
      </w:tr>
      <w:tr w:rsidR="00312ECE">
        <w:tblPrEx>
          <w:tblCellMar>
            <w:top w:w="0" w:type="dxa"/>
            <w:bottom w:w="0" w:type="dxa"/>
          </w:tblCellMar>
        </w:tblPrEx>
        <w:tc>
          <w:tcPr>
            <w:tcW w:w="1129" w:type="pct"/>
          </w:tcPr>
          <w:p w:rsidR="00312ECE" w:rsidRDefault="00312ECE">
            <w:pPr>
              <w:spacing w:before="80" w:after="80" w:line="280" w:lineRule="exact"/>
              <w:rPr>
                <w:rFonts w:hint="eastAsia"/>
                <w:sz w:val="18"/>
              </w:rPr>
            </w:pPr>
            <w:r>
              <w:rPr>
                <w:rFonts w:hint="eastAsia"/>
                <w:sz w:val="18"/>
                <w:lang w:eastAsia="zh-TW"/>
              </w:rPr>
              <w:t>休闲时间</w:t>
            </w:r>
          </w:p>
        </w:tc>
        <w:tc>
          <w:tcPr>
            <w:tcW w:w="642" w:type="pct"/>
          </w:tcPr>
          <w:p w:rsidR="00312ECE" w:rsidRDefault="00312ECE">
            <w:pPr>
              <w:spacing w:before="80" w:after="80" w:line="280" w:lineRule="exact"/>
              <w:jc w:val="center"/>
              <w:rPr>
                <w:rFonts w:eastAsia="MingLiU"/>
                <w:sz w:val="18"/>
              </w:rPr>
            </w:pPr>
            <w:r>
              <w:rPr>
                <w:sz w:val="18"/>
              </w:rPr>
              <w:t>27</w:t>
            </w:r>
            <w:r>
              <w:rPr>
                <w:rFonts w:hint="eastAsia"/>
                <w:sz w:val="18"/>
              </w:rPr>
              <w:sym w:font="Symbol" w:char="F03A"/>
            </w:r>
            <w:r>
              <w:rPr>
                <w:sz w:val="18"/>
              </w:rPr>
              <w:t>37</w:t>
            </w:r>
          </w:p>
        </w:tc>
        <w:tc>
          <w:tcPr>
            <w:tcW w:w="574" w:type="pct"/>
          </w:tcPr>
          <w:p w:rsidR="00312ECE" w:rsidRDefault="00312ECE">
            <w:pPr>
              <w:spacing w:before="80" w:after="80" w:line="280" w:lineRule="exact"/>
              <w:jc w:val="center"/>
              <w:rPr>
                <w:rFonts w:eastAsia="MingLiU"/>
                <w:sz w:val="18"/>
              </w:rPr>
            </w:pPr>
            <w:r>
              <w:rPr>
                <w:sz w:val="18"/>
              </w:rPr>
              <w:t>21</w:t>
            </w:r>
            <w:r>
              <w:rPr>
                <w:rFonts w:hint="eastAsia"/>
                <w:sz w:val="18"/>
              </w:rPr>
              <w:sym w:font="Symbol" w:char="F03A"/>
            </w:r>
            <w:r>
              <w:rPr>
                <w:sz w:val="18"/>
              </w:rPr>
              <w:t>46</w:t>
            </w:r>
          </w:p>
        </w:tc>
        <w:tc>
          <w:tcPr>
            <w:tcW w:w="663" w:type="pct"/>
          </w:tcPr>
          <w:p w:rsidR="00312ECE" w:rsidRDefault="00312ECE">
            <w:pPr>
              <w:spacing w:before="80" w:after="80" w:line="280" w:lineRule="exact"/>
              <w:jc w:val="center"/>
              <w:rPr>
                <w:rFonts w:eastAsia="MingLiU"/>
                <w:sz w:val="18"/>
              </w:rPr>
            </w:pPr>
            <w:r>
              <w:rPr>
                <w:sz w:val="18"/>
              </w:rPr>
              <w:t>35</w:t>
            </w:r>
            <w:r>
              <w:rPr>
                <w:rFonts w:hint="eastAsia"/>
                <w:sz w:val="18"/>
              </w:rPr>
              <w:sym w:font="Symbol" w:char="F03A"/>
            </w:r>
            <w:r>
              <w:rPr>
                <w:sz w:val="18"/>
              </w:rPr>
              <w:t>18</w:t>
            </w:r>
          </w:p>
        </w:tc>
        <w:tc>
          <w:tcPr>
            <w:tcW w:w="662" w:type="pct"/>
          </w:tcPr>
          <w:p w:rsidR="00312ECE" w:rsidRDefault="00312ECE">
            <w:pPr>
              <w:spacing w:before="80" w:after="80" w:line="280" w:lineRule="exact"/>
              <w:jc w:val="center"/>
              <w:rPr>
                <w:rFonts w:eastAsia="MingLiU"/>
                <w:sz w:val="18"/>
              </w:rPr>
            </w:pPr>
            <w:r>
              <w:rPr>
                <w:sz w:val="18"/>
              </w:rPr>
              <w:t>33</w:t>
            </w:r>
            <w:r>
              <w:rPr>
                <w:rFonts w:hint="eastAsia"/>
                <w:sz w:val="18"/>
              </w:rPr>
              <w:sym w:font="Symbol" w:char="F03A"/>
            </w:r>
            <w:r>
              <w:rPr>
                <w:sz w:val="18"/>
              </w:rPr>
              <w:t>55</w:t>
            </w:r>
          </w:p>
        </w:tc>
        <w:tc>
          <w:tcPr>
            <w:tcW w:w="663" w:type="pct"/>
          </w:tcPr>
          <w:p w:rsidR="00312ECE" w:rsidRDefault="00312ECE">
            <w:pPr>
              <w:spacing w:before="80" w:after="80" w:line="280" w:lineRule="exact"/>
              <w:jc w:val="center"/>
              <w:rPr>
                <w:rFonts w:eastAsia="MingLiU"/>
                <w:sz w:val="18"/>
              </w:rPr>
            </w:pPr>
            <w:r>
              <w:rPr>
                <w:sz w:val="18"/>
              </w:rPr>
              <w:t>43</w:t>
            </w:r>
            <w:r>
              <w:rPr>
                <w:rFonts w:hint="eastAsia"/>
                <w:sz w:val="18"/>
              </w:rPr>
              <w:sym w:font="Symbol" w:char="F03A"/>
            </w:r>
            <w:r>
              <w:rPr>
                <w:sz w:val="18"/>
              </w:rPr>
              <w:t>29</w:t>
            </w:r>
          </w:p>
        </w:tc>
        <w:tc>
          <w:tcPr>
            <w:tcW w:w="668" w:type="pct"/>
          </w:tcPr>
          <w:p w:rsidR="00312ECE" w:rsidRDefault="00312ECE">
            <w:pPr>
              <w:spacing w:before="80" w:after="80" w:line="280" w:lineRule="exact"/>
              <w:jc w:val="center"/>
              <w:rPr>
                <w:rFonts w:eastAsia="MingLiU"/>
                <w:sz w:val="18"/>
              </w:rPr>
            </w:pPr>
            <w:r>
              <w:rPr>
                <w:sz w:val="18"/>
              </w:rPr>
              <w:t>35</w:t>
            </w:r>
            <w:r>
              <w:rPr>
                <w:rFonts w:hint="eastAsia"/>
                <w:sz w:val="18"/>
              </w:rPr>
              <w:sym w:font="Symbol" w:char="F03A"/>
            </w:r>
            <w:r>
              <w:rPr>
                <w:sz w:val="18"/>
              </w:rPr>
              <w:t>27</w:t>
            </w:r>
          </w:p>
        </w:tc>
      </w:tr>
      <w:tr w:rsidR="00312ECE">
        <w:tblPrEx>
          <w:tblCellMar>
            <w:top w:w="0" w:type="dxa"/>
            <w:bottom w:w="0" w:type="dxa"/>
          </w:tblCellMar>
        </w:tblPrEx>
        <w:tc>
          <w:tcPr>
            <w:tcW w:w="1129" w:type="pct"/>
          </w:tcPr>
          <w:p w:rsidR="00312ECE" w:rsidRDefault="00312ECE">
            <w:pPr>
              <w:spacing w:before="80" w:after="80" w:line="280" w:lineRule="exact"/>
              <w:rPr>
                <w:rFonts w:hint="eastAsia"/>
                <w:sz w:val="18"/>
              </w:rPr>
            </w:pPr>
            <w:r>
              <w:rPr>
                <w:rFonts w:hint="eastAsia"/>
                <w:sz w:val="18"/>
                <w:lang w:eastAsia="zh-TW"/>
              </w:rPr>
              <w:t>未确定</w:t>
            </w:r>
          </w:p>
        </w:tc>
        <w:tc>
          <w:tcPr>
            <w:tcW w:w="642" w:type="pct"/>
          </w:tcPr>
          <w:p w:rsidR="00312ECE" w:rsidRDefault="00312ECE">
            <w:pPr>
              <w:spacing w:before="80" w:after="80" w:line="280" w:lineRule="exact"/>
              <w:jc w:val="center"/>
              <w:rPr>
                <w:rFonts w:eastAsia="MingLiU"/>
                <w:sz w:val="18"/>
              </w:rPr>
            </w:pPr>
            <w:r>
              <w:rPr>
                <w:sz w:val="18"/>
              </w:rPr>
              <w:t>01</w:t>
            </w:r>
            <w:r>
              <w:rPr>
                <w:rFonts w:hint="eastAsia"/>
                <w:sz w:val="18"/>
              </w:rPr>
              <w:sym w:font="Symbol" w:char="F03A"/>
            </w:r>
            <w:r>
              <w:rPr>
                <w:sz w:val="18"/>
              </w:rPr>
              <w:t>56</w:t>
            </w:r>
          </w:p>
        </w:tc>
        <w:tc>
          <w:tcPr>
            <w:tcW w:w="574" w:type="pct"/>
          </w:tcPr>
          <w:p w:rsidR="00312ECE" w:rsidRDefault="00312ECE">
            <w:pPr>
              <w:spacing w:before="80" w:after="80" w:line="280" w:lineRule="exact"/>
              <w:jc w:val="center"/>
              <w:rPr>
                <w:rFonts w:eastAsia="MingLiU"/>
                <w:sz w:val="18"/>
              </w:rPr>
            </w:pPr>
            <w:r>
              <w:rPr>
                <w:sz w:val="18"/>
              </w:rPr>
              <w:t>01</w:t>
            </w:r>
            <w:r>
              <w:rPr>
                <w:rFonts w:hint="eastAsia"/>
                <w:sz w:val="18"/>
              </w:rPr>
              <w:sym w:font="Symbol" w:char="F03A"/>
            </w:r>
            <w:r>
              <w:rPr>
                <w:sz w:val="18"/>
              </w:rPr>
              <w:t>06</w:t>
            </w:r>
          </w:p>
        </w:tc>
        <w:tc>
          <w:tcPr>
            <w:tcW w:w="663" w:type="pct"/>
          </w:tcPr>
          <w:p w:rsidR="00312ECE" w:rsidRDefault="00312ECE">
            <w:pPr>
              <w:spacing w:before="80" w:after="80" w:line="280" w:lineRule="exact"/>
              <w:jc w:val="center"/>
              <w:rPr>
                <w:rFonts w:eastAsia="MingLiU"/>
                <w:sz w:val="18"/>
              </w:rPr>
            </w:pPr>
            <w:r>
              <w:rPr>
                <w:sz w:val="18"/>
              </w:rPr>
              <w:t>02</w:t>
            </w:r>
            <w:r>
              <w:rPr>
                <w:rFonts w:hint="eastAsia"/>
                <w:sz w:val="18"/>
              </w:rPr>
              <w:sym w:font="Symbol" w:char="F03A"/>
            </w:r>
            <w:r>
              <w:rPr>
                <w:sz w:val="18"/>
              </w:rPr>
              <w:t>40</w:t>
            </w:r>
          </w:p>
        </w:tc>
        <w:tc>
          <w:tcPr>
            <w:tcW w:w="662" w:type="pct"/>
          </w:tcPr>
          <w:p w:rsidR="00312ECE" w:rsidRDefault="00312ECE">
            <w:pPr>
              <w:spacing w:before="80" w:after="80" w:line="280" w:lineRule="exact"/>
              <w:jc w:val="center"/>
              <w:rPr>
                <w:rFonts w:eastAsia="MingLiU"/>
                <w:sz w:val="18"/>
              </w:rPr>
            </w:pPr>
            <w:r>
              <w:rPr>
                <w:sz w:val="18"/>
              </w:rPr>
              <w:t>02</w:t>
            </w:r>
            <w:r>
              <w:rPr>
                <w:rFonts w:hint="eastAsia"/>
                <w:sz w:val="18"/>
              </w:rPr>
              <w:sym w:font="Symbol" w:char="F03A"/>
            </w:r>
            <w:r>
              <w:rPr>
                <w:sz w:val="18"/>
              </w:rPr>
              <w:t>06</w:t>
            </w:r>
          </w:p>
        </w:tc>
        <w:tc>
          <w:tcPr>
            <w:tcW w:w="663" w:type="pct"/>
          </w:tcPr>
          <w:p w:rsidR="00312ECE" w:rsidRDefault="00312ECE">
            <w:pPr>
              <w:spacing w:before="80" w:after="80" w:line="280" w:lineRule="exact"/>
              <w:jc w:val="center"/>
              <w:rPr>
                <w:rFonts w:eastAsia="MingLiU"/>
                <w:sz w:val="18"/>
              </w:rPr>
            </w:pPr>
            <w:r>
              <w:rPr>
                <w:sz w:val="18"/>
              </w:rPr>
              <w:t>02</w:t>
            </w:r>
            <w:r>
              <w:rPr>
                <w:rFonts w:hint="eastAsia"/>
                <w:sz w:val="18"/>
              </w:rPr>
              <w:sym w:font="Symbol" w:char="F03A"/>
            </w:r>
            <w:r>
              <w:rPr>
                <w:sz w:val="18"/>
              </w:rPr>
              <w:t>50</w:t>
            </w:r>
          </w:p>
        </w:tc>
        <w:tc>
          <w:tcPr>
            <w:tcW w:w="668" w:type="pct"/>
          </w:tcPr>
          <w:p w:rsidR="00312ECE" w:rsidRDefault="00312ECE">
            <w:pPr>
              <w:spacing w:before="80" w:after="80" w:line="280" w:lineRule="exact"/>
              <w:jc w:val="center"/>
              <w:rPr>
                <w:rFonts w:eastAsia="MingLiU"/>
                <w:sz w:val="18"/>
              </w:rPr>
            </w:pPr>
            <w:r>
              <w:rPr>
                <w:sz w:val="18"/>
              </w:rPr>
              <w:t>01</w:t>
            </w:r>
            <w:r>
              <w:rPr>
                <w:rFonts w:hint="eastAsia"/>
                <w:sz w:val="18"/>
              </w:rPr>
              <w:sym w:font="Symbol" w:char="F03A"/>
            </w:r>
            <w:r>
              <w:rPr>
                <w:sz w:val="18"/>
              </w:rPr>
              <w:t>23</w:t>
            </w:r>
          </w:p>
        </w:tc>
      </w:tr>
    </w:tbl>
    <w:p w:rsidR="00312ECE" w:rsidRDefault="00312ECE">
      <w:pPr>
        <w:pStyle w:val="SingleTxt"/>
      </w:pPr>
    </w:p>
    <w:p w:rsidR="00312ECE" w:rsidRDefault="00312ECE">
      <w:pPr>
        <w:pStyle w:val="SingleTxt"/>
        <w:rPr>
          <w:rFonts w:ascii="KaiTi_GB2312" w:eastAsia="KaiTi_GB2312" w:hint="eastAsia"/>
          <w:color w:val="0000FF"/>
        </w:rPr>
      </w:pPr>
      <w:r>
        <w:rPr>
          <w:rFonts w:ascii="KaiTi_GB2312" w:eastAsia="KaiTi_GB2312" w:hint="eastAsia"/>
          <w:color w:val="0000FF"/>
        </w:rPr>
        <w:t>领取家属津贴的权利</w:t>
      </w:r>
    </w:p>
    <w:p w:rsidR="00312ECE" w:rsidRDefault="00312ECE">
      <w:pPr>
        <w:pStyle w:val="SingleTxt"/>
        <w:rPr>
          <w:rFonts w:hint="eastAsia"/>
        </w:rPr>
      </w:pPr>
      <w:r>
        <w:rPr>
          <w:rFonts w:hint="eastAsia"/>
        </w:rPr>
        <w:t>240.  拉脱维亚实行一般性家属津贴制度，这是国家社会救济制度的组成部分。这些津贴的支付从国家预算中列支。领受这种国家津贴的资格与个人缴纳的社会保险费无关。根据“社会救济”法，有权领取社会救济的是拉脱维亚公民、非公民以及有个人身分代码的外国人及无国籍人士，但领到临时居住证的人士除外，并且没有任何性别上的区别。</w:t>
      </w:r>
    </w:p>
    <w:p w:rsidR="00312ECE" w:rsidRDefault="00312ECE">
      <w:pPr>
        <w:pStyle w:val="SingleTxt"/>
        <w:rPr>
          <w:rFonts w:hint="eastAsia"/>
        </w:rPr>
      </w:pPr>
      <w:r>
        <w:rPr>
          <w:rFonts w:hint="eastAsia"/>
        </w:rPr>
        <w:t>241.  自1996年以来，对家属津贴实行了社会保险制度，在改革这项制度之前，家属津贴根据前苏联部长会议及全苏中央工会委员会1984年2月23日关于“提供国家社会保险津贴”基本条例，以及部长内阁1995年10月17日“关于津贴和补助”的第34号条例发放。</w:t>
      </w:r>
    </w:p>
    <w:p w:rsidR="00312ECE" w:rsidRDefault="00312ECE">
      <w:pPr>
        <w:pStyle w:val="SingleTxt"/>
        <w:rPr>
          <w:rFonts w:hint="eastAsia"/>
        </w:rPr>
      </w:pPr>
      <w:r>
        <w:rPr>
          <w:rFonts w:hint="eastAsia"/>
        </w:rPr>
        <w:t>242.  “社会救济”</w:t>
      </w:r>
      <w:r>
        <w:rPr>
          <w:rStyle w:val="FootnoteReference"/>
        </w:rPr>
        <w:footnoteReference w:id="10"/>
      </w:r>
      <w:r>
        <w:rPr>
          <w:rFonts w:hint="eastAsia"/>
        </w:rPr>
        <w:t xml:space="preserve"> 法对下述国家家庭津贴的分配作出了规定，即育儿津贴、分娩津贴以及家属国家津贴。对有子女的家庭提供一般性救济，这包括下述几类救济：为残疾子女不满16岁的家庭额外支付国家家属津贴中的社会保险津贴；为抚养子女以及履行监护人职责的监护人提供的津贴；寄养家庭、机构照料、领养及监护人的薪酬。</w:t>
      </w:r>
    </w:p>
    <w:p w:rsidR="00312ECE" w:rsidRDefault="00312ECE">
      <w:pPr>
        <w:pStyle w:val="SingleTxt"/>
        <w:rPr>
          <w:rFonts w:hint="eastAsia"/>
        </w:rPr>
      </w:pPr>
      <w:r>
        <w:rPr>
          <w:rFonts w:hint="eastAsia"/>
        </w:rPr>
        <w:t>243.  根据“社会救济”法，</w:t>
      </w:r>
      <w:r>
        <w:rPr>
          <w:rFonts w:ascii="KaiTi_GB2312" w:eastAsia="KaiTi_GB2312" w:hint="eastAsia"/>
          <w:color w:val="0000FF"/>
        </w:rPr>
        <w:t>家属国家津贴</w:t>
      </w:r>
      <w:r>
        <w:rPr>
          <w:rFonts w:hint="eastAsia"/>
        </w:rPr>
        <w:t>给予抚养子女的人。国家家属津贴具有普遍性，其发放对象是不满15岁的子女或者超过15岁并上了综合学校但还没有缔婚的子女，但期限不能超过20岁。如果家属国家津贴给予不满16岁的残疾人，应按部长内阁确定的金额为他提供额外津贴。</w:t>
      </w:r>
    </w:p>
    <w:p w:rsidR="00312ECE" w:rsidRDefault="00312ECE">
      <w:pPr>
        <w:pStyle w:val="SingleTxt"/>
        <w:rPr>
          <w:rFonts w:hint="eastAsia"/>
        </w:rPr>
      </w:pPr>
      <w:r>
        <w:rPr>
          <w:rFonts w:hint="eastAsia"/>
        </w:rPr>
        <w:t>244.  目前，拉脱维亚为1999年1月1日前出生的子女提供的家属国家津贴的数额为：第一胎4.25拉脱维亚拉特，第二胎5.10拉脱维亚拉特或者提高1.2倍，第三胎6.80拉脱维亚拉特或者提高1.6倍，第四胎及以后各胎7.65拉脱维亚拉特或者提高1.8倍。拉脱维亚为1999年1月1日后出生的子女提供的家属国家津贴的数额为：第一胎6拉脱维亚拉特，第二胎7.20拉脱维亚拉特或者提高1.2倍，第三胎9.60拉脱维亚拉特或者提高1.6倍，第四胎及以后各胎10.80拉脱维亚拉特或者提高1.8倍。目前，这些津贴并不充足，提供这些津贴的新程序正在制定中，津贴数额也在不断增加。有些地方政府在子女出生后也从其地方预算中支付津贴。</w:t>
      </w:r>
    </w:p>
    <w:p w:rsidR="00312ECE" w:rsidRDefault="00312ECE">
      <w:pPr>
        <w:pStyle w:val="SingleTxt"/>
        <w:rPr>
          <w:rFonts w:hint="eastAsia"/>
        </w:rPr>
      </w:pPr>
      <w:r>
        <w:rPr>
          <w:rFonts w:hint="eastAsia"/>
        </w:rPr>
        <w:t>245.  “社会救济”法规定，育儿津贴按月定期提供，这种津贴不按子女人数确定，而且提供给需照顾3岁以下的子女，无工作，或从事非全日工作，且不享受产假补助金的人。子女年龄在1.5岁以下的个人享有的育儿津贴数额为每月30拉特，需照顾1.5岁至3岁子女的个人每月可领取7.50拉特的津贴。</w:t>
      </w:r>
    </w:p>
    <w:p w:rsidR="00312ECE" w:rsidRDefault="00312ECE">
      <w:pPr>
        <w:pStyle w:val="SingleTxt"/>
        <w:rPr>
          <w:rFonts w:hint="eastAsia"/>
        </w:rPr>
      </w:pPr>
      <w:r>
        <w:rPr>
          <w:rFonts w:hint="eastAsia"/>
        </w:rPr>
        <w:t>246.  “社会救济”法规定，</w:t>
      </w:r>
      <w:r>
        <w:rPr>
          <w:rFonts w:ascii="KaiTi_GB2312" w:eastAsia="KaiTi_GB2312" w:hint="eastAsia"/>
          <w:color w:val="0000FF"/>
        </w:rPr>
        <w:t>育儿津贴</w:t>
      </w:r>
      <w:r>
        <w:rPr>
          <w:rFonts w:hint="eastAsia"/>
        </w:rPr>
        <w:t>给予子女父母任一方。根据“社会救济”法，子女父母之一或者领养了一名子女或对一名不满一岁的子女实施监护的人，有权领受分娩津贴，该等津贴是一次性普遍津贴。分娩津贴是新生儿应得津贴的50%，目前是98拉脱维亚拉特。如果母亲在怀孕后第12周已在医疗机构登记过，并且遵从了医嘱，津贴的数额会翻一番，为196拉特。不过，如果生下双胞胎或者三胞胎，母亲领取一次性分娩津贴的数额与生一个子女的数额相同。拉脱维亚两性平等协会在它对报告草案的评论意见中指出，育儿津贴仅为最低薪资的50%，而且妇女的薪资得不到全部补偿，因此妇女生育的子女不会多于生育调查所显示的子女人数（通常为2个，生3个的不多）。拉脱维亚两性平等协会认为，妇女生活质量下降的原因，是妇女因不能重新找到工作而面临的威胁，以及失业对妇女收入和领取社会保险金的机会所产生的各种潜在影响。</w:t>
      </w:r>
    </w:p>
    <w:p w:rsidR="00312ECE" w:rsidRDefault="00312ECE">
      <w:pPr>
        <w:pStyle w:val="SingleTxt"/>
        <w:rPr>
          <w:rFonts w:hint="eastAsia"/>
        </w:rPr>
      </w:pPr>
      <w:r>
        <w:rPr>
          <w:rFonts w:hint="eastAsia"/>
        </w:rPr>
        <w:t>247.  必须指出，家属国家津贴和育儿津贴发放给子女的母亲，但子女的父亲只有在法律规定的特殊情况下才有权领取这些津贴。另外，拉脱维亚立法没有对单身母亲的专项国家社会津贴作出规定。</w:t>
      </w:r>
    </w:p>
    <w:p w:rsidR="00312ECE" w:rsidRDefault="00312ECE">
      <w:pPr>
        <w:pStyle w:val="SingleTxt"/>
        <w:rPr>
          <w:rFonts w:ascii="KaiTi_GB2312" w:eastAsia="KaiTi_GB2312" w:hint="eastAsia"/>
          <w:color w:val="0000FF"/>
        </w:rPr>
      </w:pPr>
      <w:r>
        <w:rPr>
          <w:rFonts w:ascii="KaiTi_GB2312" w:eastAsia="KaiTi_GB2312" w:hint="eastAsia"/>
          <w:color w:val="0000FF"/>
        </w:rPr>
        <w:t>领取贷款的权利</w:t>
      </w:r>
    </w:p>
    <w:p w:rsidR="00312ECE" w:rsidRDefault="00312ECE">
      <w:pPr>
        <w:pStyle w:val="SingleTxt"/>
        <w:rPr>
          <w:rFonts w:hint="eastAsia"/>
        </w:rPr>
      </w:pPr>
      <w:r>
        <w:rPr>
          <w:rFonts w:hint="eastAsia"/>
        </w:rPr>
        <w:t>248.  妇女在拉脱维亚贷款不存在法律上的障碍。根据《民法》，合法交易以及贷款的当事人，应具有法律行为能力和法律能力。在上述法律的含义方面，不具有法律行为能力的人指未成年人以及因生活糜烂及精神错乱被监管的人，条件是法律未作出另行规定。</w:t>
      </w:r>
    </w:p>
    <w:p w:rsidR="00312ECE" w:rsidRDefault="00312ECE">
      <w:pPr>
        <w:pStyle w:val="SingleTxt"/>
        <w:rPr>
          <w:rFonts w:hint="eastAsia"/>
        </w:rPr>
      </w:pPr>
      <w:r>
        <w:rPr>
          <w:rFonts w:hint="eastAsia"/>
        </w:rPr>
        <w:t>249.  根据“信贷机构”法，借贷机构在发放贷款前后检查借款人的清偿能力，并定期要求提交单据证实借款人经济活动的财务稳定性，以及偿还贷款本金和利息的能力。</w:t>
      </w:r>
    </w:p>
    <w:p w:rsidR="00312ECE" w:rsidRDefault="00312ECE">
      <w:pPr>
        <w:pStyle w:val="SingleTxt"/>
        <w:rPr>
          <w:rFonts w:hint="eastAsia"/>
        </w:rPr>
      </w:pPr>
      <w:r>
        <w:rPr>
          <w:rFonts w:hint="eastAsia"/>
        </w:rPr>
        <w:t>250.  自2001年9月起，隶属拉脱维亚的抵押及土地银行将由妇女经营或者女性雇员占75%的中小型企业列为中小型企业发展贷款计划的目标群体。所述计划在企业的间接要求和经验方面提供救济。经验表明，拉脱维亚大多数小企业由男子经营及所有。这样一种状况在一个现代民主社会中应视为比例失调，这就是所述计划缘何为妇女企业提供额外支助的原因。</w:t>
      </w:r>
    </w:p>
    <w:p w:rsidR="00312ECE" w:rsidRDefault="00312ECE">
      <w:pPr>
        <w:pStyle w:val="SingleTxt"/>
        <w:rPr>
          <w:rFonts w:hint="eastAsia"/>
        </w:rPr>
      </w:pPr>
      <w:r>
        <w:rPr>
          <w:rFonts w:hint="eastAsia"/>
        </w:rPr>
        <w:t>251.  拉脱维亚两性平等协会指出，在北欧投资银行2001年进行的调查中，三分之一的调查对象认为，妇女企业家会遇到与性别有关的障碍。调查表明，多数调查对象（63%）认为国家应规定为女企业家提供法定援助。拉脱维亚两性平等协会也指出，有关支持拉脱维亚妇女创业活动信贷计划的资料，根据题为“妇女对支持拉脱维亚妇女创业活动的看法”的调查（由拉脱维亚大学哲学和社会学研究所进行），30%的调查对象了解这些计划。</w:t>
      </w:r>
    </w:p>
    <w:p w:rsidR="00312ECE" w:rsidRDefault="00312ECE">
      <w:pPr>
        <w:pStyle w:val="SingleTxt"/>
        <w:rPr>
          <w:rFonts w:hint="eastAsia"/>
        </w:rPr>
      </w:pPr>
      <w:r>
        <w:rPr>
          <w:rFonts w:hint="eastAsia"/>
        </w:rPr>
        <w:t>252.  私营信贷机构为自然人发放贷款时确定的主要条件是每个家庭成员均有有固定工作且月收入稳定，此外，家庭子女的数量无论性别如何也是考虑的因素。鉴于妇女在经济上不大活跃，平均收入比男子低（参见附加在第151段后的表格），申请并领取各类贷款的妇女比例比男子低。拉脱维亚两性平等协会指出，银行通常要求将现有房地产作为贷款担保；而房地产并不总是登记为妇女的财产。但是，根据国家土地局的数据，55%的房地产登记为妇女的财产，45%登记为男子的财产。因此，在这个领域，隐性歧视没有表现出来。</w:t>
      </w:r>
    </w:p>
    <w:p w:rsidR="00312ECE" w:rsidRDefault="00312ECE">
      <w:pPr>
        <w:pStyle w:val="SingleTxt"/>
        <w:rPr>
          <w:rFonts w:hint="eastAsia"/>
        </w:rPr>
      </w:pPr>
      <w:r>
        <w:rPr>
          <w:rFonts w:hint="eastAsia"/>
        </w:rPr>
        <w:t>253.  在抵押房地产方面也不存在性别差异现象。一个人在拥有或处置房地产方面取得房地产的能力不存在性别差异。规定人人享有权利的宪法保护个人的这些财产权，所有权只有依照法律方可加以限制。</w:t>
      </w:r>
    </w:p>
    <w:p w:rsidR="00312ECE" w:rsidRDefault="00312ECE">
      <w:pPr>
        <w:pStyle w:val="SingleTxt"/>
        <w:rPr>
          <w:rFonts w:hint="eastAsia"/>
        </w:rPr>
      </w:pPr>
      <w:r>
        <w:rPr>
          <w:rFonts w:hint="eastAsia"/>
        </w:rPr>
        <w:t>254.  处置财产的权利也由《民法》规定，其中，财产的定义是对财产的全部权利，即管理和使用财产的权利，因财产获取一切可能利得的权利，依照规定程序处置财产以及从第三方收回财产的权利，这也产生了个人无论性别如何按照房地产的担保借款的权利。</w:t>
      </w:r>
    </w:p>
    <w:p w:rsidR="00312ECE" w:rsidRDefault="00312ECE">
      <w:pPr>
        <w:pStyle w:val="SingleTxt"/>
        <w:rPr>
          <w:rFonts w:ascii="KaiTi_GB2312" w:eastAsia="KaiTi_GB2312" w:hint="eastAsia"/>
          <w:color w:val="0000FF"/>
        </w:rPr>
      </w:pPr>
      <w:r>
        <w:rPr>
          <w:rFonts w:ascii="KaiTi_GB2312" w:eastAsia="KaiTi_GB2312" w:hint="eastAsia"/>
          <w:color w:val="0000FF"/>
        </w:rPr>
        <w:t>参与文化生活和体育活动的权利</w:t>
      </w:r>
    </w:p>
    <w:p w:rsidR="00312ECE" w:rsidRDefault="00312ECE">
      <w:pPr>
        <w:pStyle w:val="SingleTxt"/>
        <w:rPr>
          <w:rFonts w:hint="eastAsia"/>
        </w:rPr>
      </w:pPr>
      <w:r>
        <w:rPr>
          <w:rFonts w:hint="eastAsia"/>
        </w:rPr>
        <w:t>255.  在拉脱维亚没有对妇女参与与娱乐、运动及所有领域文化生活有关的活动实施限制。与个人参与有些文化活动有关的唯一限制是不分性别的年龄限制，目的是防止青少年受到有害影响。</w:t>
      </w:r>
    </w:p>
    <w:p w:rsidR="00312ECE" w:rsidRDefault="00312ECE">
      <w:pPr>
        <w:pStyle w:val="SingleTxt"/>
        <w:rPr>
          <w:rFonts w:hint="eastAsia"/>
        </w:rPr>
      </w:pPr>
      <w:r>
        <w:rPr>
          <w:rFonts w:hint="eastAsia"/>
        </w:rPr>
        <w:t>256.  妇女参与体育活动的机会在讨论第10条时已经描述过。妇女参与各类文化生活的特点在讨论第3条时已经详细介绍过。</w:t>
      </w:r>
    </w:p>
    <w:p w:rsidR="00312ECE" w:rsidRDefault="00312ECE">
      <w:pPr>
        <w:pStyle w:val="SingleTxt"/>
        <w:rPr>
          <w:rFonts w:ascii="SimHei" w:eastAsia="SimHei" w:hint="eastAsia"/>
          <w:color w:val="FF0000"/>
        </w:rPr>
      </w:pPr>
      <w:r>
        <w:rPr>
          <w:rFonts w:ascii="SimHei" w:eastAsia="SimHei" w:hint="eastAsia"/>
          <w:color w:val="FF0000"/>
        </w:rPr>
        <w:t>第14条</w:t>
      </w:r>
    </w:p>
    <w:p w:rsidR="00312ECE" w:rsidRDefault="00312ECE">
      <w:pPr>
        <w:pStyle w:val="SingleTxt"/>
        <w:rPr>
          <w:rFonts w:hint="eastAsia"/>
        </w:rPr>
      </w:pPr>
      <w:r>
        <w:rPr>
          <w:rFonts w:hint="eastAsia"/>
        </w:rPr>
        <w:t>257.  根据拉脱维亚认可的城市/城镇及农村地区的地界划分，国家98%的领土是农村地区，农村人口占全国总人口的31%。平均人口密度是每平方公里12人。</w:t>
      </w:r>
    </w:p>
    <w:p w:rsidR="00312ECE" w:rsidRDefault="00312ECE">
      <w:pPr>
        <w:pStyle w:val="SingleTxt"/>
        <w:rPr>
          <w:rFonts w:hint="eastAsia"/>
        </w:rPr>
      </w:pPr>
      <w:r>
        <w:rPr>
          <w:rFonts w:hint="eastAsia"/>
        </w:rPr>
        <w:t>258.  拉脱维亚农村地区的状况以及农村妇女特定问题的特点是就业机会不足。农村经济主要取决于作为主要就业类型的农业，农业为37%的所有农村就业居民提供了工作和生活途径。农业部门目前正在不断进行的改进促使就业人口进一步减少。其他农村经济部门不能为农业以外的农村人口提供收入。1996年《农业法》的目标之一是为下述方面创造前提条件：保证农村地区的就业；如果与其他经济部门相比，消除农业负面因素；以及保证农业领域的就业者享有同等社会经济福利机会。所述法律以及管理农业部门的其他法律规定未载有歧视妇女的规定，也未载有对妇女带有歧视性的限制性规定。</w:t>
      </w:r>
    </w:p>
    <w:p w:rsidR="00312ECE" w:rsidRDefault="00312ECE">
      <w:pPr>
        <w:pStyle w:val="SingleTxt"/>
        <w:rPr>
          <w:rFonts w:hint="eastAsia"/>
        </w:rPr>
      </w:pPr>
      <w:r>
        <w:rPr>
          <w:rFonts w:hint="eastAsia"/>
        </w:rPr>
        <w:t>259.  农村地区需要34 000个工作场所，而且由于农业的持续复兴，在今后2-3年，这一数字将增加到50 000个。农村地区及城市/城镇失业登记人数相似（分别为8.9%和7.1%），但是，农村地区的实际就业情况相当糟糕，其特点也是表现为在农村地区普遍存在的隐性失业形式，例如，无酬家庭成员的比例在农村地区达11.6%，在城市/城镇仅为0.2%。截止目前，农业部门的收入水平最低，无酬家庭成员的人数最多（通常，一个人如果在家庭企业工作，其薪资和社会税得不到支付），将来，这种状况将会迅速加剧农村地区的社会紧张关系，因为居民到了退休年龄后由于退休前的收入很低，实际上领不到或者领取很低的养恤金，并且将只能依赖自然（维持生计的）经济。</w:t>
      </w:r>
    </w:p>
    <w:p w:rsidR="00312ECE" w:rsidRDefault="00312ECE">
      <w:pPr>
        <w:pStyle w:val="SingleTxt"/>
        <w:rPr>
          <w:rFonts w:hint="eastAsia"/>
        </w:rPr>
      </w:pPr>
      <w:r>
        <w:rPr>
          <w:rFonts w:hint="eastAsia"/>
        </w:rPr>
        <w:t>260.  如下数据反映了农村地区的妇女状况（根据2000年的就业数据）：妇女占拉脱维亚所有居民的54.7%；所有妇女中有50.3%在经济上活跃（供比较，男子有67.7%）；积极参加社会生活的农村妇女占农村妇女总数的46.1%（供比较-男子为60.6%）。</w:t>
      </w:r>
    </w:p>
    <w:p w:rsidR="00312ECE" w:rsidRDefault="00312ECE">
      <w:pPr>
        <w:pStyle w:val="SingleTxt"/>
        <w:rPr>
          <w:rFonts w:hint="eastAsia"/>
        </w:rPr>
      </w:pPr>
      <w:r>
        <w:rPr>
          <w:rFonts w:hint="eastAsia"/>
        </w:rPr>
        <w:t>261.  高学历男子与妇女参加农村地区经济活动的程度差别不大（分别为82.4%和80.1%），初等学历男子与妇女在这一指标上的差别较大（分别为48.9%和30.3%），而未达到初等学历的人在这个指标上的差别，男子是妇女的近两倍（分别是21.0%和14.0%）。生活在农村地区的妇女大多接受过初级教育及初级以下的教育。因此，有必要促进低学历妇女的活动，因为一般来说，她们也是农村地区最贫穷的居民，特别是单身母亲以及有许多子女的大家庭的代表。非政府组织在促进农村地区妇女活动方面发挥着重要作用，根据“Marta” 妇女资源中心提供的资料，这个组织与实业界妇女俱乐部联手在拉特加尔（拉脱维亚东部）为里加和农村地区的低收入妇女开设商业、英语以及拉脱维亚语课程。</w:t>
      </w:r>
    </w:p>
    <w:p w:rsidR="00312ECE" w:rsidRDefault="00312ECE">
      <w:pPr>
        <w:pStyle w:val="SingleTxt"/>
        <w:rPr>
          <w:rFonts w:hint="eastAsia"/>
        </w:rPr>
      </w:pPr>
      <w:r>
        <w:rPr>
          <w:rFonts w:hint="eastAsia"/>
        </w:rPr>
        <w:t>262.  妇女在农村地区很难找到合适的工作，原因是空缺的职位通常是更适合男子干的重体力劳动，农村地区妇女的经济状况也因这个事实而恶化。</w:t>
      </w:r>
    </w:p>
    <w:p w:rsidR="00312ECE" w:rsidRDefault="00312ECE">
      <w:pPr>
        <w:pStyle w:val="SingleTxt"/>
        <w:rPr>
          <w:rFonts w:hint="eastAsia"/>
        </w:rPr>
      </w:pPr>
      <w:r>
        <w:rPr>
          <w:rFonts w:hint="eastAsia"/>
        </w:rPr>
        <w:t>263.  参加经济活动的农村居民有37%在农业领域工作，农业领域就业者的薪资仅相当于国民经济部门平均净薪资的78%，人口收入非常低。此外，国民经济发展对人口福利的影响主要表现在城市/城镇。由于这一原因，城乡居民收入差距拉大。</w:t>
      </w:r>
    </w:p>
    <w:p w:rsidR="00312ECE" w:rsidRDefault="00312ECE">
      <w:pPr>
        <w:pStyle w:val="SingleTxt"/>
        <w:rPr>
          <w:rFonts w:hint="eastAsia"/>
        </w:rPr>
      </w:pPr>
      <w:r>
        <w:rPr>
          <w:rFonts w:hint="eastAsia"/>
        </w:rPr>
        <w:t>264.  先在农村地区发展起来的经济及社会基础设施逐渐老化，不能满足现代要求；这些基础设施在农村地区的维护费用相对昂贵，原因是农村地区的人口密度小，以及农村人口在经济上的被动处境。</w:t>
      </w:r>
    </w:p>
    <w:p w:rsidR="00312ECE" w:rsidRDefault="00312ECE">
      <w:pPr>
        <w:pStyle w:val="SingleTxt"/>
        <w:rPr>
          <w:rFonts w:hint="eastAsia"/>
        </w:rPr>
      </w:pPr>
      <w:r>
        <w:rPr>
          <w:rFonts w:hint="eastAsia"/>
        </w:rPr>
        <w:t>265.  农村地区的另一个问题是人口不断老龄化，以及现有的参加经济活动的潜在人口的死亡。</w:t>
      </w:r>
    </w:p>
    <w:p w:rsidR="00312ECE" w:rsidRDefault="00312ECE">
      <w:pPr>
        <w:pStyle w:val="SingleTxt"/>
        <w:rPr>
          <w:rFonts w:hint="eastAsia"/>
        </w:rPr>
      </w:pPr>
      <w:r>
        <w:rPr>
          <w:rFonts w:hint="eastAsia"/>
        </w:rPr>
        <w:t>266.  根据拉脱维亚宪法，拉脱维亚人在法律和法院面前一律平等；同样，人权的行使不受任何歧视。在这个框架内，保障农村妇女享有如下权利：参与发展计划的制定和实施；接受高质量的保健；获得社会计划的支助；享有初级教育及进行教育的机会；以及建立自助团体与合作社。妇女可参加公共活动，获得各类贷款和信贷，享受适当生活条件，以及参与农村地区发展及领取发展津贴。农村妇女还有机会获得法律规定的所有救济以及在拉脱维亚境内提供的津贴。</w:t>
      </w:r>
    </w:p>
    <w:p w:rsidR="00312ECE" w:rsidRDefault="00312ECE">
      <w:pPr>
        <w:pStyle w:val="SingleTxt"/>
        <w:rPr>
          <w:rFonts w:ascii="KaiTi_GB2312" w:eastAsia="KaiTi_GB2312" w:hint="eastAsia"/>
          <w:color w:val="0000FF"/>
        </w:rPr>
      </w:pPr>
      <w:r>
        <w:rPr>
          <w:rFonts w:ascii="KaiTi_GB2312" w:eastAsia="KaiTi_GB2312" w:hint="eastAsia"/>
          <w:color w:val="0000FF"/>
        </w:rPr>
        <w:t>参与农村地区发展计划的制定及实施的权利</w:t>
      </w:r>
    </w:p>
    <w:p w:rsidR="00312ECE" w:rsidRDefault="00312ECE">
      <w:pPr>
        <w:pStyle w:val="SingleTxt"/>
      </w:pPr>
      <w:r>
        <w:rPr>
          <w:rFonts w:hint="eastAsia"/>
        </w:rPr>
        <w:t>267.  妇女有参与农村地区发展规划的同等权利。“领土开发规划”</w:t>
      </w:r>
      <w:r>
        <w:rPr>
          <w:rStyle w:val="FootnoteReference"/>
        </w:rPr>
        <w:footnoteReference w:id="11"/>
      </w:r>
      <w:r>
        <w:rPr>
          <w:rFonts w:hint="eastAsia"/>
        </w:rPr>
        <w:t xml:space="preserve"> 法以及部长内阁“关于空间规划”</w:t>
      </w:r>
      <w:r>
        <w:rPr>
          <w:rStyle w:val="FootnoteReference"/>
        </w:rPr>
        <w:footnoteReference w:id="12"/>
      </w:r>
      <w:r>
        <w:rPr>
          <w:rFonts w:hint="eastAsia"/>
        </w:rPr>
        <w:t xml:space="preserve"> 的条例计划在开发规划领土时遵循公开原则，这就是说让普通公众参与领土开发计划的制定，从而保证资料和决策的公开性。为了保证对国家领土开发计划的讨论，环境保护和地区发展部在官方报刊《拉脱维亚公报》上公布开始制定国家领土开发计划和公共讨论程序，并有可能推出领土开发计划，以及确定提交书面建议和参考资料的地点和时间表。地方政府在制定领土开发计划时负责开展相同的活动，而且还要在规定期限内对以书面形式提交的建议作出书面答复。</w:t>
      </w:r>
    </w:p>
    <w:p w:rsidR="00312ECE" w:rsidRDefault="00312ECE">
      <w:pPr>
        <w:pStyle w:val="SingleTxt"/>
      </w:pPr>
      <w:r>
        <w:rPr>
          <w:rFonts w:hint="eastAsia"/>
        </w:rPr>
        <w:t>268.  “领土开发规划”法规定，每个自然人或法人均有权了解供公开讨论的</w:t>
      </w:r>
      <w:r>
        <w:rPr>
          <w:rFonts w:hint="eastAsia"/>
          <w:spacing w:val="4"/>
        </w:rPr>
        <w:t>领土开发计划；同时有权在规定期限内提交供公开讨论的书面建议和参考资料，并参与公开讨论、辩论，发表自己的意见及提出建议。没有对性别差异做出</w:t>
      </w:r>
      <w:r>
        <w:rPr>
          <w:rFonts w:hint="eastAsia"/>
        </w:rPr>
        <w:t>规定。</w:t>
      </w:r>
      <w:r>
        <w:rPr>
          <w:rStyle w:val="FootnoteReference"/>
        </w:rPr>
        <w:footnoteReference w:id="13"/>
      </w:r>
    </w:p>
    <w:p w:rsidR="00312ECE" w:rsidRDefault="00312ECE">
      <w:pPr>
        <w:pStyle w:val="SingleTxt"/>
        <w:rPr>
          <w:rFonts w:hint="eastAsia"/>
        </w:rPr>
      </w:pPr>
      <w:r>
        <w:rPr>
          <w:rFonts w:hint="eastAsia"/>
        </w:rPr>
        <w:t>269.  此外，根据环境保护及地区发展部提供的资料，约3 000名领土开发规划问题专家在拉脱维亚地方政府工作，其中一半以上是女性（1 600名）。</w:t>
      </w:r>
    </w:p>
    <w:p w:rsidR="00312ECE" w:rsidRDefault="00312ECE">
      <w:pPr>
        <w:pStyle w:val="SingleTxt"/>
        <w:rPr>
          <w:rFonts w:hint="eastAsia"/>
        </w:rPr>
      </w:pPr>
      <w:r>
        <w:rPr>
          <w:rFonts w:hint="eastAsia"/>
        </w:rPr>
        <w:t>270.  在拉脱维亚的建筑领域，妇女有参与新建筑项目讨论的同等权利，在这方面，男女代表在同等条件的基础上参与。男女平等的一个实例是，建筑部门最高级官员和部分部门的管理人员是女性。同样，在获得建筑和领土规划教育的机会方面没有差别，这个主题在讨论第10条时已做过详细分析。</w:t>
      </w:r>
    </w:p>
    <w:p w:rsidR="00312ECE" w:rsidRDefault="00312ECE">
      <w:pPr>
        <w:pStyle w:val="SingleTxt"/>
        <w:rPr>
          <w:rFonts w:ascii="KaiTi_GB2312" w:eastAsia="KaiTi_GB2312" w:hint="eastAsia"/>
          <w:color w:val="0000FF"/>
        </w:rPr>
      </w:pPr>
      <w:r>
        <w:rPr>
          <w:rFonts w:ascii="KaiTi_GB2312" w:eastAsia="KaiTi_GB2312" w:hint="eastAsia"/>
          <w:color w:val="0000FF"/>
        </w:rPr>
        <w:t>接受医疗保健的权利</w:t>
      </w:r>
    </w:p>
    <w:p w:rsidR="00312ECE" w:rsidRDefault="00312ECE">
      <w:pPr>
        <w:pStyle w:val="SingleTxt"/>
        <w:rPr>
          <w:rFonts w:hint="eastAsia"/>
        </w:rPr>
      </w:pPr>
      <w:r>
        <w:rPr>
          <w:rFonts w:hint="eastAsia"/>
        </w:rPr>
        <w:t>271.  城乡妇女在获取医疗服务的机会方面享有同等权利。这种权利根据《药物治疗法》提供，该法规定人人有权接受紧急医疗援助。</w:t>
      </w:r>
    </w:p>
    <w:p w:rsidR="00312ECE" w:rsidRDefault="00312ECE">
      <w:pPr>
        <w:pStyle w:val="SingleTxt"/>
        <w:rPr>
          <w:rFonts w:hint="eastAsia"/>
        </w:rPr>
      </w:pPr>
      <w:r>
        <w:rPr>
          <w:rFonts w:hint="eastAsia"/>
        </w:rPr>
        <w:t>272.  与1999年相比，拉脱维亚2000年拥有的医生人数增加了93人，此外，里加的医生人数减少了71人。与1999年相比，拉脱维亚的家庭医生人数增加了165人或20.6%，里加仅增加8人。根据初级保健政策，护理人员-男助产士的单位人数不断减少，但与些同时，医生私人诊所的数量增加。私人医生诊所出资办的门诊总数大幅增加。与1999年相比，独立牙科医生诊所的数量以及私人牙科医师诊所的数量增加；医院的数量减少，2000年为42家，1999年为151家；1999年，有1 063家门诊诊所，到2000年，这一数字上升到1 659家，即加上独立牙科医生诊所、外籍牙科医师诊所以及外国保健单位的总数。</w:t>
      </w:r>
    </w:p>
    <w:p w:rsidR="00312ECE" w:rsidRDefault="00312ECE">
      <w:pPr>
        <w:pStyle w:val="SingleTxt"/>
        <w:rPr>
          <w:rFonts w:hint="eastAsia"/>
        </w:rPr>
      </w:pPr>
      <w:r>
        <w:rPr>
          <w:rFonts w:hint="eastAsia"/>
        </w:rPr>
        <w:t>273.  患者可了解到初级保健机构和特定地区提供医疗及社会援助的机构的情况，以及选择初级保健医生的机会与必要性。初级保健医生诊所在地区按人口密度确定。医院所在地应位于方便患者就医的地点，并且能够让患者选择最近的医院的就医。在上述所有方面不存在性别歧视。</w:t>
      </w:r>
    </w:p>
    <w:p w:rsidR="00312ECE" w:rsidRDefault="00312ECE">
      <w:pPr>
        <w:pStyle w:val="SingleTxt"/>
        <w:rPr>
          <w:rFonts w:hint="eastAsia"/>
        </w:rPr>
      </w:pPr>
      <w:r>
        <w:rPr>
          <w:rFonts w:hint="eastAsia"/>
        </w:rPr>
        <w:t>274.  为流动和固定保健提供者制定的总体规划旨在使保健系统得以进一步发展；改善保健提供者的结构；巩固和提高保健服务质量，并增加患者获取保健服务的合理机会；以及为在各地区及全国建立综合保健系统奠定基础。</w:t>
      </w:r>
    </w:p>
    <w:p w:rsidR="00312ECE" w:rsidRDefault="00312ECE">
      <w:pPr>
        <w:pStyle w:val="SingleTxt"/>
        <w:rPr>
          <w:rFonts w:hint="eastAsia"/>
        </w:rPr>
      </w:pPr>
      <w:r>
        <w:rPr>
          <w:rFonts w:hint="eastAsia"/>
        </w:rPr>
        <w:t>275.  “环境保护法”第1条提出保护人类健康及保证获得环境资料的机会也是该法的目标。在环境保护领域的这部法律及其他法规都没有载入限制农村地区妇女行使有关权利的规定。</w:t>
      </w:r>
    </w:p>
    <w:p w:rsidR="00312ECE" w:rsidRDefault="00312ECE">
      <w:pPr>
        <w:pStyle w:val="SingleTxt"/>
        <w:rPr>
          <w:rFonts w:ascii="KaiTi_GB2312" w:eastAsia="KaiTi_GB2312" w:hint="eastAsia"/>
          <w:color w:val="0000FF"/>
        </w:rPr>
      </w:pPr>
      <w:r>
        <w:rPr>
          <w:rFonts w:ascii="KaiTi_GB2312" w:eastAsia="KaiTi_GB2312" w:hint="eastAsia"/>
          <w:color w:val="0000FF"/>
        </w:rPr>
        <w:t>社会保障的权利</w:t>
      </w:r>
    </w:p>
    <w:p w:rsidR="00312ECE" w:rsidRDefault="00312ECE">
      <w:pPr>
        <w:pStyle w:val="SingleTxt"/>
        <w:rPr>
          <w:rFonts w:hint="eastAsia"/>
        </w:rPr>
      </w:pPr>
      <w:r>
        <w:rPr>
          <w:rFonts w:hint="eastAsia"/>
        </w:rPr>
        <w:t>276.  规定提供社会保险及社会救济的法律没有规定在农村地区提供这些服务有任何差别。接受社会保险及社会救济服务的程序在讨论第11条时已做过详细介绍。城乡地区社会保险服务的提供，服务质量及种类没有差别。</w:t>
      </w:r>
    </w:p>
    <w:p w:rsidR="00312ECE" w:rsidRDefault="00312ECE">
      <w:pPr>
        <w:pStyle w:val="SingleTxt"/>
        <w:rPr>
          <w:rFonts w:hint="eastAsia"/>
        </w:rPr>
      </w:pPr>
      <w:r>
        <w:rPr>
          <w:rFonts w:hint="eastAsia"/>
        </w:rPr>
        <w:t>277.  但是，农村地区妇女使用社会保险服务的人数相对较少，原因是在农村地区应为妇女的工作缴纳的社会税仍然未缴，或者仅缴纳了一部分，这种情况相对来说比城市更为普遍。因此，妇女丧失接受社会保险服务的机会，或者社会保险服务根据缴纳的税金核算。一项规定直到2001年3月14日才生效，根据这项规定，如果雇主没有缴纳社会保险费或者仅缴纳了部分保险费，雇员不能接受社会保险服务。这就是说，即使雇员上全日制班，如果没有为他/她缴纳社会保险费，他/她无权接受社会保险服务。鉴于农村地区劳工市场的艰难状况，妇女通常不会反对此类就业条件。宪法法院在其2001年3月13日的裁决中宣布，上述规定违反了宪法，并自宣判之日起予以废止。</w:t>
      </w:r>
    </w:p>
    <w:p w:rsidR="00312ECE" w:rsidRDefault="00312ECE">
      <w:pPr>
        <w:pStyle w:val="SingleTxt"/>
        <w:rPr>
          <w:rFonts w:hint="eastAsia"/>
        </w:rPr>
      </w:pPr>
      <w:r>
        <w:rPr>
          <w:rFonts w:hint="eastAsia"/>
        </w:rPr>
        <w:t>278.  “社会救济”法确定国家及地方政府在提供社会救济方面的义务。这部法律规定，所提供社会救济的差别不是城乡差别，而是不同城市之间的差别。在很多城市，“社会救济”法的解释很随意。每个城市执行不同的津贴制度，其目标和工作重点各不相同。因此：</w:t>
      </w:r>
    </w:p>
    <w:p w:rsidR="00312ECE" w:rsidRDefault="00312ECE">
      <w:pPr>
        <w:pStyle w:val="SingleTxt"/>
        <w:rPr>
          <w:rFonts w:hint="eastAsia"/>
        </w:rPr>
      </w:pPr>
      <w:r>
        <w:rPr>
          <w:rFonts w:hint="eastAsia"/>
        </w:rPr>
        <w:tab/>
        <w:t>(a)</w:t>
      </w:r>
      <w:r>
        <w:rPr>
          <w:rFonts w:hint="eastAsia"/>
        </w:rPr>
        <w:tab/>
        <w:t>居民无法在统一条件下接受社会救济的机会；</w:t>
      </w:r>
    </w:p>
    <w:p w:rsidR="00312ECE" w:rsidRDefault="00312ECE">
      <w:pPr>
        <w:pStyle w:val="SingleTxt"/>
        <w:rPr>
          <w:rFonts w:hint="eastAsia"/>
        </w:rPr>
      </w:pPr>
      <w:r>
        <w:rPr>
          <w:rFonts w:hint="eastAsia"/>
        </w:rPr>
        <w:tab/>
        <w:t>(</w:t>
      </w:r>
      <w:r>
        <w:t>b</w:t>
      </w:r>
      <w:r>
        <w:rPr>
          <w:rFonts w:hint="eastAsia"/>
        </w:rPr>
        <w:t>)</w:t>
      </w:r>
      <w:r>
        <w:rPr>
          <w:rFonts w:hint="eastAsia"/>
        </w:rPr>
        <w:tab/>
        <w:t>社会救济津贴不是完全针对社会最贫困成员，贫困者没有真正获得现有保障；</w:t>
      </w:r>
    </w:p>
    <w:p w:rsidR="00312ECE" w:rsidRDefault="00312ECE">
      <w:pPr>
        <w:pStyle w:val="SingleTxt"/>
        <w:rPr>
          <w:rFonts w:hint="eastAsia"/>
        </w:rPr>
      </w:pPr>
      <w:r>
        <w:rPr>
          <w:rFonts w:hint="eastAsia"/>
        </w:rPr>
        <w:tab/>
        <w:t>(</w:t>
      </w:r>
      <w:r>
        <w:t>c</w:t>
      </w:r>
      <w:r>
        <w:rPr>
          <w:rFonts w:hint="eastAsia"/>
        </w:rPr>
        <w:t>)</w:t>
      </w:r>
      <w:r>
        <w:rPr>
          <w:rFonts w:hint="eastAsia"/>
        </w:rPr>
        <w:tab/>
        <w:t>实际上由城市发放的社会救济津贴低于法定数额；定期支付的津贴减少为一次性支付；</w:t>
      </w:r>
    </w:p>
    <w:p w:rsidR="00312ECE" w:rsidRDefault="00312ECE">
      <w:pPr>
        <w:pStyle w:val="SingleTxt"/>
        <w:rPr>
          <w:rFonts w:hint="eastAsia"/>
        </w:rPr>
      </w:pPr>
      <w:r>
        <w:rPr>
          <w:rFonts w:hint="eastAsia"/>
        </w:rPr>
        <w:tab/>
        <w:t>(</w:t>
      </w:r>
      <w:r>
        <w:t>d</w:t>
      </w:r>
      <w:r>
        <w:rPr>
          <w:rFonts w:hint="eastAsia"/>
        </w:rPr>
        <w:t>)</w:t>
      </w:r>
      <w:r>
        <w:rPr>
          <w:rFonts w:hint="eastAsia"/>
        </w:rPr>
        <w:tab/>
        <w:t>在一些城市，津贴的发放与一个家庭/个人的实际问题和资源评估无关，在领受津贴方面的限制取决于该人是否属于某个特定社会群体；每年给予一个家庭/个人的津贴数额受限制。</w:t>
      </w:r>
    </w:p>
    <w:p w:rsidR="00312ECE" w:rsidRDefault="00312ECE">
      <w:pPr>
        <w:pStyle w:val="SingleTxt"/>
        <w:rPr>
          <w:rFonts w:hint="eastAsia"/>
        </w:rPr>
      </w:pPr>
      <w:r>
        <w:rPr>
          <w:rFonts w:hint="eastAsia"/>
        </w:rPr>
        <w:t>279.  在城市社会津贴系统内也存在地区差别。因此，Kurzeme（拉脱维亚西部）的人口平均收入在拉脱维亚仅次于最低，平均来说，人人领取社会津贴，作为一大笔生活支助费，这同人均收入最高的里加地区的情况一样。据此得出的结论是，Kurzeme地区地方政府在发放津贴及促进他们的活动方面更加积极。刚才提到的两个地区只不过是每个家庭成员从城市津贴中获得的收入高于拉脱维亚平均收入的两个例子。在人均平均收入最低的地区-拉特加尔地区（拉脱维亚东部）-平均来说，人人从城市津贴中领取津贴，但遗憾的是，这部分津贴在拉脱维亚属于最低的支助费，比拉脱维亚的平均数额低两倍以上，比Kurzeme地区的数额几乎低三倍以上。</w:t>
      </w:r>
    </w:p>
    <w:p w:rsidR="00312ECE" w:rsidRDefault="00312ECE">
      <w:pPr>
        <w:pStyle w:val="SingleTxt"/>
      </w:pPr>
      <w:r>
        <w:rPr>
          <w:rFonts w:hint="eastAsia"/>
        </w:rPr>
        <w:t>280.  社会救济服务提供给面临社会风险状况的人，这些服务的使用在城乡地区相似。社会救济的范围和质量不仅取决于具备的财力，而且取决于特定城市社会工作者的数量和学历。遗憾的是，拉脱维亚仍然缺乏受过专业教育的社会工作者，原因是这种职业是新近出现的职业之一。因此，农村地区社会救济存在的主要问题是缺乏社会工作者，以及保证这种服务尽可能接近接受服务者的居住地的必要性，目前，在财政资源和人力资源方面，城乡之间的比例失调，因此，在取得社会救济的机会方面，相应也存在比例失调现象。此外，目前仅有56%的城市设有社会救济部门，实际上，小城市通常连至少一个社会工作者也没有。为了改变这种状况，1996年开始改革社会救济制度，并实施“the money follows the client”原则。应当指出，2000年总共仅有824名社会工作者在城市社会救济部门工作；这就是说，社会救济部门仍然很小，平均由一至两名雇员组成。接受过社会工作者培训的雇员人数仍然居低。2000年，拉脱维亚14个地区连至少一个接受过社会工作专门培训的人都没有。目前，每2 879个居民中平均有一名社会工作者。为了达到最高水平，拉脱维亚社会工作者的人数应增加2.8倍。</w:t>
      </w:r>
    </w:p>
    <w:p w:rsidR="00312ECE" w:rsidRDefault="00312ECE">
      <w:pPr>
        <w:pStyle w:val="SingleTxt"/>
        <w:rPr>
          <w:rFonts w:ascii="KaiTi_GB2312" w:eastAsia="KaiTi_GB2312" w:hint="eastAsia"/>
          <w:color w:val="0000FF"/>
        </w:rPr>
      </w:pPr>
      <w:r>
        <w:rPr>
          <w:rFonts w:ascii="KaiTi_GB2312" w:eastAsia="KaiTi_GB2312" w:hint="eastAsia"/>
          <w:color w:val="0000FF"/>
        </w:rPr>
        <w:t>接受教育的权利，包括接受农业领域专业教育的权利</w:t>
      </w:r>
    </w:p>
    <w:p w:rsidR="00312ECE" w:rsidRDefault="00312ECE">
      <w:pPr>
        <w:pStyle w:val="SingleTxt"/>
        <w:rPr>
          <w:rFonts w:hint="eastAsia"/>
        </w:rPr>
      </w:pPr>
      <w:r>
        <w:rPr>
          <w:rFonts w:hint="eastAsia"/>
        </w:rPr>
        <w:t>281.  妇女接受普通教育的权利根据《公约》第10条说明。</w:t>
      </w:r>
    </w:p>
    <w:p w:rsidR="00312ECE" w:rsidRDefault="00312ECE">
      <w:pPr>
        <w:pStyle w:val="SingleTxt"/>
        <w:rPr>
          <w:rFonts w:hint="eastAsia"/>
        </w:rPr>
      </w:pPr>
      <w:r>
        <w:rPr>
          <w:rFonts w:hint="eastAsia"/>
        </w:rPr>
        <w:t>282.  拉脱维亚农业咨询及教育支持中心（LCSAC</w:t>
      </w:r>
      <w:r>
        <w:rPr>
          <w:rFonts w:hint="eastAsia"/>
        </w:rPr>
        <w:tab/>
        <w:t>(A)是国家组建并提供资金的最大组织，它提供农业咨询和继续教育课程，并且在拉脱维亚所有地区设有区域单位。妇女在从这些中心获得资料并利用这些中心提供的其他服务方面不存在法律或实际障碍。政府了解农村地区妇女的艰难经济状况以及有必要支持她们接受教育，计划根据农业部与拉脱维亚农业咨询及教育支持中心达成的2002年度协议，保证拉脱维亚各地区妇女有机会参加两门自选的课程。在农业领域接受普通职业教育的机会决不会因性别受到限制。</w:t>
      </w:r>
    </w:p>
    <w:p w:rsidR="00312ECE" w:rsidRDefault="00312ECE">
      <w:pPr>
        <w:pStyle w:val="SingleTxt"/>
        <w:rPr>
          <w:rFonts w:ascii="KaiTi_GB2312" w:eastAsia="KaiTi_GB2312" w:hint="eastAsia"/>
          <w:color w:val="0000FF"/>
        </w:rPr>
      </w:pPr>
      <w:r>
        <w:rPr>
          <w:rFonts w:ascii="KaiTi_GB2312" w:eastAsia="KaiTi_GB2312" w:hint="eastAsia"/>
          <w:color w:val="0000FF"/>
        </w:rPr>
        <w:t>建立非政府组织的权利</w:t>
      </w:r>
    </w:p>
    <w:p w:rsidR="00312ECE" w:rsidRDefault="00312ECE">
      <w:pPr>
        <w:pStyle w:val="SingleTxt"/>
        <w:rPr>
          <w:rFonts w:hint="eastAsia"/>
        </w:rPr>
      </w:pPr>
      <w:r>
        <w:rPr>
          <w:rFonts w:hint="eastAsia"/>
        </w:rPr>
        <w:t>283.  为了防止可能的歧视，一些促进农村地区妇女活动及其获取信息及参与公共事务权利的非政府组织，在国家农业补贴计划的框架内得到支助。这些非政府组织开办研讨会和课程，旨在解决就业和增加收入问题。农村地区妇女非常积极地行使她们结社的权利；2001年，拉脱维亚农村妇女协会成立，这是各州及教区妇女组织的“保护性”组织，它帮助妇女对各种社会经济问题发表见解，并为妇女谋取福利。生效的法律行为决不限制妇女行使她们的权利，恰恰相反，政府试图促进农村地区的各种倡议，这将对不同社会团体（无论其成员的性别如何）的社会经济活动产生积极影响。</w:t>
      </w:r>
    </w:p>
    <w:p w:rsidR="00312ECE" w:rsidRDefault="00312ECE">
      <w:pPr>
        <w:pStyle w:val="SingleTxt"/>
        <w:rPr>
          <w:rFonts w:ascii="KaiTi_GB2312" w:eastAsia="KaiTi_GB2312" w:hint="eastAsia"/>
          <w:color w:val="0000FF"/>
        </w:rPr>
      </w:pPr>
      <w:r>
        <w:rPr>
          <w:rFonts w:ascii="KaiTi_GB2312" w:eastAsia="KaiTi_GB2312" w:hint="eastAsia"/>
          <w:color w:val="0000FF"/>
        </w:rPr>
        <w:t>领取农业贷款的权利</w:t>
      </w:r>
    </w:p>
    <w:p w:rsidR="00312ECE" w:rsidRDefault="00312ECE">
      <w:pPr>
        <w:pStyle w:val="SingleTxt"/>
        <w:rPr>
          <w:rFonts w:hint="eastAsia"/>
        </w:rPr>
      </w:pPr>
      <w:r>
        <w:rPr>
          <w:rFonts w:hint="eastAsia"/>
        </w:rPr>
        <w:t>284.  农村妇女获得农业信贷的机会以及申请“国家支助计划”补贴的机会受到保障。为了加强农村妇女的经济活动，她们可从“农业与农村发展特别入盟方案”（特别入盟方案）、“拉脱维亚农业及农村地区发展计划”或者“年度国家补贴计划”获得资金。同样，2002年3月1日，“拉脱维亚农业长期投资信贷计划”即将启动，这个计划也可用来为农村妇女提供项目。在《国家补贴计划法》的框架内“对非政府组织及农业生产者的支持”计划为拉脱维亚农村妇女协会这个代表农村妇女的最大组织提供3 000拉特的财政支持。目前，农村妇女小额贷款计划正在实施，根据这项计划，为开展中小型企业项目提供小额贷款，妇女可以利用这个机会创办新企业以及发展现有企业。拉脱维亚两性平等协会在它的意见书指出，尽管社会缺乏农村地区妇女小额贷款计划方面的信息，但这项计划的进展非常成功。</w:t>
      </w:r>
    </w:p>
    <w:p w:rsidR="00312ECE" w:rsidRDefault="00312ECE">
      <w:pPr>
        <w:pStyle w:val="SingleTxt"/>
        <w:rPr>
          <w:rFonts w:ascii="SimHei" w:eastAsia="SimHei" w:hint="eastAsia"/>
          <w:color w:val="FF0000"/>
        </w:rPr>
      </w:pPr>
      <w:r>
        <w:rPr>
          <w:rFonts w:ascii="SimHei" w:eastAsia="SimHei" w:hint="eastAsia"/>
          <w:color w:val="FF0000"/>
        </w:rPr>
        <w:t>第15条</w:t>
      </w:r>
    </w:p>
    <w:p w:rsidR="00312ECE" w:rsidRDefault="00312ECE">
      <w:pPr>
        <w:pStyle w:val="SingleTxt"/>
        <w:rPr>
          <w:rFonts w:hint="eastAsia"/>
        </w:rPr>
      </w:pPr>
      <w:r>
        <w:rPr>
          <w:rFonts w:hint="eastAsia"/>
        </w:rPr>
        <w:t>285.  法律面前男女平等在拉脱维亚宪法一级得到确定——宪法载有的一项规范规定，在拉脱维亚的法律及法院面前，人人平等。人权的行使不存在任何歧视。</w:t>
      </w:r>
    </w:p>
    <w:p w:rsidR="00312ECE" w:rsidRDefault="00312ECE">
      <w:pPr>
        <w:pStyle w:val="Single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妇女的法律行为能力及法律能力</w:t>
      </w:r>
    </w:p>
    <w:p w:rsidR="00312ECE" w:rsidRDefault="00312ECE">
      <w:pPr>
        <w:pStyle w:val="SingleTxt"/>
        <w:rPr>
          <w:rFonts w:hint="eastAsia"/>
        </w:rPr>
      </w:pPr>
      <w:r>
        <w:rPr>
          <w:rFonts w:hint="eastAsia"/>
        </w:rPr>
        <w:t>286.  根据“司法机构”法，法律及法院面前人人平等，他们享有受法律保护的同等权利。法院的判决不考虑血统、社会及经济状况、种族及民族、性别、教育、语言、宗教信仰、职业类别和性质、居住地以及政治或其他观点。</w:t>
      </w:r>
    </w:p>
    <w:p w:rsidR="00312ECE" w:rsidRDefault="00312ECE">
      <w:pPr>
        <w:pStyle w:val="SingleTxt"/>
        <w:rPr>
          <w:rFonts w:hint="eastAsia"/>
        </w:rPr>
      </w:pPr>
      <w:r>
        <w:rPr>
          <w:rFonts w:hint="eastAsia"/>
        </w:rPr>
        <w:t>287.  规范性法律没有规定针对妇女法律行为能力或法律能力的任何歧视性限制。根据《民事诉讼法》，自然人及法人在法院有权依照法律保护其遭到侵害或有争议的民事权益。根据上述法律，民事诉讼法律行为能力指赋予民事诉讼权利与义务的行为能力。一切自然人及法人应在平等的基础上承认其民事诉讼法律行为能力。没有规定性别上的限制。《民法》规定，未成年人、因生活糜烂被监管的人以及有精神疾病的人不具有法律能力。</w:t>
      </w:r>
    </w:p>
    <w:p w:rsidR="00312ECE" w:rsidRDefault="00312ECE">
      <w:pPr>
        <w:pStyle w:val="SingleTxt"/>
        <w:rPr>
          <w:rFonts w:ascii="KaiTi_GB2312" w:eastAsia="KaiTi_GB2312" w:hint="eastAsia"/>
          <w:color w:val="0000FF"/>
        </w:rPr>
      </w:pPr>
      <w:r>
        <w:rPr>
          <w:rFonts w:ascii="KaiTi_GB2312" w:eastAsia="KaiTi_GB2312" w:hint="eastAsia"/>
          <w:color w:val="0000FF"/>
        </w:rPr>
        <w:t>取得财产及使用财产的权利</w:t>
      </w:r>
    </w:p>
    <w:p w:rsidR="00312ECE" w:rsidRDefault="00312ECE">
      <w:pPr>
        <w:pStyle w:val="SingleTxt"/>
        <w:rPr>
          <w:rFonts w:hint="eastAsia"/>
        </w:rPr>
      </w:pPr>
      <w:r>
        <w:rPr>
          <w:rFonts w:hint="eastAsia"/>
        </w:rPr>
        <w:t>288.  在宪法一级，宪法规定在处置上述财产方面人人拥有财产及自由权，条件是这种权利没有受法律限制；妇女保证在管理财产方面享有与男子同等的权利。</w:t>
      </w:r>
    </w:p>
    <w:p w:rsidR="00312ECE" w:rsidRDefault="00312ECE">
      <w:pPr>
        <w:pStyle w:val="SingleTxt"/>
        <w:rPr>
          <w:rFonts w:hint="eastAsia"/>
        </w:rPr>
      </w:pPr>
      <w:r>
        <w:rPr>
          <w:rFonts w:hint="eastAsia"/>
        </w:rPr>
        <w:t>289.  根据《民法》，个人有权拥有及使用财产，并从中取得一切可能的福利，处置财产以及依照规定程序从第三方收回财产，不存在任何差别。</w:t>
      </w:r>
    </w:p>
    <w:p w:rsidR="00312ECE" w:rsidRDefault="00312ECE">
      <w:pPr>
        <w:pStyle w:val="SingleTxt"/>
        <w:rPr>
          <w:rFonts w:hint="eastAsia"/>
        </w:rPr>
      </w:pPr>
      <w:r>
        <w:rPr>
          <w:rFonts w:hint="eastAsia"/>
        </w:rPr>
        <w:t>290.  关于在签署合同方面的同等权利，拉脱维亚不存在性别限制。《民法》规定，交易若要生效，参与交易的各方都应具备法律行为能力和法律能力。如上所述，妇女的法律行为能力与男子的相同，而根据《民法》，未成年人、因生活糜烂被监管的人以及有精神疾病的人不具备法律能力，条件是法律未另作其他规定。在个人能力方面也不存在性别限制。</w:t>
      </w:r>
    </w:p>
    <w:p w:rsidR="00312ECE" w:rsidRDefault="00312ECE">
      <w:pPr>
        <w:pStyle w:val="SingleTxt"/>
        <w:rPr>
          <w:rFonts w:hint="eastAsia"/>
        </w:rPr>
      </w:pPr>
      <w:r>
        <w:rPr>
          <w:rFonts w:hint="eastAsia"/>
        </w:rPr>
        <w:t>291.  《民法》规定保障男子与妇女在权利方面的平等。根据法律规定，具有法律能力的人通过承担义务，行使其权益，满足精神和物质需求。这些规定在订立合同及管理财产方面为个人提供同等机会。规范性法律没有规定对妇女有关私人文件或合同的法律行为能力实施歧视性限制的可能性。</w:t>
      </w:r>
    </w:p>
    <w:p w:rsidR="00312ECE" w:rsidRDefault="00312ECE">
      <w:pPr>
        <w:pStyle w:val="SingleTxt"/>
        <w:rPr>
          <w:rFonts w:ascii="KaiTi_GB2312" w:eastAsia="KaiTi_GB2312" w:hint="eastAsia"/>
          <w:color w:val="0000FF"/>
        </w:rPr>
      </w:pPr>
      <w:r>
        <w:rPr>
          <w:rFonts w:ascii="KaiTi_GB2312" w:eastAsia="KaiTi_GB2312" w:hint="eastAsia"/>
          <w:color w:val="0000FF"/>
        </w:rPr>
        <w:t>移徙自由及选择居所的权利</w:t>
      </w:r>
    </w:p>
    <w:p w:rsidR="00312ECE" w:rsidRDefault="00312ECE">
      <w:pPr>
        <w:pStyle w:val="SingleTxt"/>
        <w:rPr>
          <w:rFonts w:hint="eastAsia"/>
        </w:rPr>
      </w:pPr>
      <w:r>
        <w:rPr>
          <w:rFonts w:hint="eastAsia"/>
        </w:rPr>
        <w:t>292.  根据宪法，合法居留在拉脱维亚境内的每个人都享有移徙，选择居住地以及离开拉脱维亚的自由。持有拉脱维亚护照的任何人在拉脱维亚境外都受国家保护，而且有权自由返回拉脱维亚。拉脱维亚与一些国家签署的协议规定移民及保护移民权利的程序。人人有权自由离境或移民到国外。这些权利不得以政治或思想动机为由加以限制。拉脱维亚公民及有权取得非公民护照的人不得引渡到外国。</w:t>
      </w:r>
    </w:p>
    <w:p w:rsidR="00312ECE" w:rsidRDefault="00312ECE">
      <w:pPr>
        <w:pStyle w:val="SingleTxt"/>
        <w:rPr>
          <w:rFonts w:hint="eastAsia"/>
        </w:rPr>
      </w:pPr>
      <w:r>
        <w:rPr>
          <w:rFonts w:hint="eastAsia"/>
        </w:rPr>
        <w:t>293.  “边境保卫”法规定了国家边境保卫行动原则，其中的一项原则是保护人们的权利及其法定权益，不管他们的公民资格、婚姻及其他状况、种族和民族血统、性别和年龄、教育和语言、宗教信仰、政治及其他观点如何。同样，边境保卫法也保证维护人们从一个国家移徙到另一个国家的权利。妇女在国家边境的自由移徙不受限制。关于国家边境保卫的规范性法律不包括关于人的移徙及根据性别原则进行边界管制特殊程序。截至目前，国家边境保卫部门没有在边境管制期间妇女权利遭到侵害，以及对有关妇女越境移徙的权利进行限制的任何登记资料。</w:t>
      </w:r>
    </w:p>
    <w:p w:rsidR="00312ECE" w:rsidRDefault="00312ECE">
      <w:pPr>
        <w:pStyle w:val="SingleTxt"/>
        <w:rPr>
          <w:rFonts w:hint="eastAsia"/>
        </w:rPr>
      </w:pPr>
      <w:r>
        <w:rPr>
          <w:rFonts w:hint="eastAsia"/>
        </w:rPr>
        <w:t>294.  “关于外国人及无国籍人士进入并居留拉脱维亚共和国”的法律规定，人们有权在拉脱维亚取得居留证、永久居住证以及临时居住证的权利，其中没有规定针对发放这些证件的性别条件。在拉脱维亚居留的居住证不得发放的条件如下：如果发放对象有健康问题或疾病，其性质、严重性及可能持续的期限危害社区的安全及其成员的健康；或者有理由认为该种疾病可能威胁公众健康以及所述疾病列在拉脱维亚共和国福利部通过的疾病清单上，但经福利部同意前来治疗所述疾病的情况除外；他们没有保证支付他们在拉脱维亚居留期间保健费的健康保险单；无力供养其本人及其家属，但拉脱维亚共和国公民承担供养他们的义务的情况除外；根据法定程序发现在拉脱维亚共和国境内外犯有罪行，而且所犯罪行根据拉脱维亚共和国的有效法律应被剥夺三年以上的自由。这项规定不适用的条件是刑事记录已按拉脱维亚共和国法定程序注销；如果在国外犯罪，条件是罪犯服刑期不少于五年。若有如下情况，也不得发放居住证：被拒绝入境；五年以内从拉脱维亚引渡出境；为取得居住证故意提交虚假资料；身份证及入境证失效或者没有入境证；系极权主义、恐怖主义或采取暴力手段的任何其他组织的成员并对国家安全及公共秩序构成威胁，或者是任何秘密反政府组织或犯罪组织的成员；犯下危害人类类罪、国际或战争罪，或者法院判令参与过大规模镇压；非法居留拉脱维亚共和国，或者帮助另一名外国人或无国籍人士非法进入拉脱维亚共和国境内；已领受永久移居国外的补贴，不管这种补贴是由拉脱维亚公共机构或城市机构支付，还是由国际（外国）基金会或机构支付。没有规定领证人性别的条件。</w:t>
      </w:r>
    </w:p>
    <w:p w:rsidR="00312ECE" w:rsidRDefault="00312ECE">
      <w:pPr>
        <w:pStyle w:val="SingleTxt"/>
        <w:rPr>
          <w:rFonts w:hint="eastAsia"/>
        </w:rPr>
      </w:pPr>
      <w:r>
        <w:rPr>
          <w:rFonts w:hint="eastAsia"/>
        </w:rPr>
        <w:t>295.  男子与妇女有同等权利选择其在拉脱维亚的居所。在拉脱维亚，妇女与男子在独立选择居所的年龄方面享有同等权利。根据《民法》，子女在未成年之前，父母对其有亲子权。男女两性的未成年期一直持续到他们满18岁为止。父母可确定其未成年子女的居所。</w:t>
      </w:r>
    </w:p>
    <w:p w:rsidR="00312ECE" w:rsidRDefault="00312ECE">
      <w:pPr>
        <w:pStyle w:val="SingleTxt"/>
        <w:rPr>
          <w:rFonts w:hint="eastAsia"/>
        </w:rPr>
      </w:pPr>
      <w:r>
        <w:rPr>
          <w:rFonts w:hint="eastAsia"/>
        </w:rPr>
        <w:t>296.  拉脱维亚不限制妇女租住居所或者拥有单独居所，根据“关于租住居所”的法律，持居住证永久居住在拉脱维亚的任何自然人都可成为承租人或转租承租人。代表无行为能力人的租赁协议由其监护人订立，而法律行为能力有限的人可在其监护人的同意下订立租赁协议。</w:t>
      </w:r>
    </w:p>
    <w:p w:rsidR="00312ECE" w:rsidRDefault="00312ECE">
      <w:pPr>
        <w:pStyle w:val="SingleTxt"/>
        <w:rPr>
          <w:rFonts w:hint="eastAsia"/>
        </w:rPr>
      </w:pPr>
      <w:r>
        <w:rPr>
          <w:rFonts w:hint="eastAsia"/>
        </w:rPr>
        <w:t>297.  男女在居住地登记方面拥有同等权利。根据部长内阁“关于居民登记及注销的临时程序”条例，居民在其居地登记。居所的业主（自然人）及其家属有权在归其所有的居所进行登记。居所业主的未成年子女（以及领养的子女）及家属和其他人（经业主许可搬到其居所的人）有权不经业主同意在其居所登记，并且将情况告诉业主。承租人及其家属和其他人有权在租赁的居所登记，条件是所述人士的姓名及身分号码在租赁居所时写入协议（或协议附件）。如果所述人士的名字未在租赁居所的协议中注明，下述人士有权在居所登记，并将情况告知出租人：法院裁定对居所拥有权利的人；在父母租住居所居住的未成年子女（以及领养的子女）；承租人家属的监护人。</w:t>
      </w:r>
    </w:p>
    <w:p w:rsidR="00312ECE" w:rsidRDefault="00312ECE">
      <w:pPr>
        <w:pStyle w:val="SingleTxt"/>
        <w:rPr>
          <w:rFonts w:ascii="SimHei" w:eastAsia="SimHei" w:hint="eastAsia"/>
          <w:color w:val="FF0000"/>
        </w:rPr>
      </w:pPr>
      <w:r>
        <w:rPr>
          <w:rFonts w:ascii="SimHei" w:eastAsia="SimHei" w:hint="eastAsia"/>
          <w:color w:val="FF0000"/>
        </w:rPr>
        <w:t>第16条</w:t>
      </w:r>
    </w:p>
    <w:p w:rsidR="00312ECE" w:rsidRDefault="00312ECE">
      <w:pPr>
        <w:pStyle w:val="SingleTxt"/>
        <w:rPr>
          <w:rFonts w:hint="eastAsia"/>
        </w:rPr>
      </w:pPr>
      <w:r>
        <w:rPr>
          <w:rFonts w:hint="eastAsia"/>
        </w:rPr>
        <w:t>298.  宪法规定，国家保护并支持婚姻、家庭以及父母及子女的权利。国家为残疾儿童、得不到父母照料的儿童以及遭受虐待的儿童提供特别帮助。</w:t>
      </w:r>
    </w:p>
    <w:p w:rsidR="00312ECE" w:rsidRDefault="00312ECE">
      <w:pPr>
        <w:pStyle w:val="SingleTxt"/>
        <w:rPr>
          <w:rFonts w:hint="eastAsia"/>
        </w:rPr>
      </w:pPr>
      <w:r>
        <w:rPr>
          <w:rFonts w:hint="eastAsia"/>
        </w:rPr>
        <w:t>299.  根据宪法，拉脱维亚人权的行使不存在歧视，宪法承认妇女在家庭及家庭关系事务中与男子有同等权利。</w:t>
      </w:r>
    </w:p>
    <w:p w:rsidR="00312ECE" w:rsidRDefault="00312ECE">
      <w:pPr>
        <w:pStyle w:val="SingleTxt"/>
        <w:rPr>
          <w:rFonts w:ascii="KaiTi_GB2312" w:eastAsia="KaiTi_GB2312" w:hint="eastAsia"/>
          <w:color w:val="0000FF"/>
        </w:rPr>
      </w:pPr>
      <w:r>
        <w:rPr>
          <w:rFonts w:ascii="KaiTi_GB2312" w:eastAsia="KaiTi_GB2312" w:hint="eastAsia"/>
          <w:color w:val="0000FF"/>
        </w:rPr>
        <w:t>缔结婚姻及选择配偶的权利</w:t>
      </w:r>
    </w:p>
    <w:p w:rsidR="00312ECE" w:rsidRDefault="00312ECE">
      <w:pPr>
        <w:pStyle w:val="SingleTxt"/>
        <w:rPr>
          <w:rFonts w:hint="eastAsia"/>
        </w:rPr>
      </w:pPr>
      <w:r>
        <w:rPr>
          <w:rFonts w:hint="eastAsia"/>
        </w:rPr>
        <w:t>300.  在拉脱维亚，婚姻建立在男女自愿达成的协议及其法律平等的基础上。</w:t>
      </w:r>
    </w:p>
    <w:p w:rsidR="00312ECE" w:rsidRDefault="00312ECE">
      <w:pPr>
        <w:pStyle w:val="SingleTxt"/>
        <w:rPr>
          <w:rFonts w:hint="eastAsia"/>
        </w:rPr>
      </w:pPr>
      <w:r>
        <w:rPr>
          <w:rFonts w:hint="eastAsia"/>
        </w:rPr>
        <w:t>301.  根据《民法》，年满18岁的人即可结婚，并且没有性别区别。在特殊情况下，年满16岁的人，如果其配偶是成年人，经父母或监护人同意后可以结婚；如果父母或监护人无任何正当理由不同意，父母或指定监护人所在地的监护法院可同意其结婚。</w:t>
      </w:r>
    </w:p>
    <w:p w:rsidR="00312ECE" w:rsidRDefault="00312ECE">
      <w:pPr>
        <w:pStyle w:val="SingleTxt"/>
        <w:rPr>
          <w:rFonts w:hint="eastAsia"/>
        </w:rPr>
      </w:pPr>
      <w:r>
        <w:rPr>
          <w:rFonts w:hint="eastAsia"/>
        </w:rPr>
        <w:t>302.  在拉脱维亚，配偶双方在达到法定年龄之前缔结的婚姻为无效婚姻。如果妻子怀孕，或者法院裁定配偶达到法定年龄，该婚姻不能宣布为无效。自1993年以来，妇女初婚的年龄逐渐增加（见下表）。</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71"/>
        <w:gridCol w:w="4500"/>
      </w:tblGrid>
      <w:tr w:rsidR="00312ECE">
        <w:tblPrEx>
          <w:tblCellMar>
            <w:top w:w="0" w:type="dxa"/>
            <w:bottom w:w="0" w:type="dxa"/>
          </w:tblCellMar>
        </w:tblPrEx>
        <w:tc>
          <w:tcPr>
            <w:tcW w:w="3780" w:type="dxa"/>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年份</w:t>
            </w:r>
          </w:p>
        </w:tc>
        <w:tc>
          <w:tcPr>
            <w:tcW w:w="5940" w:type="dxa"/>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妇女初婚的平均年龄</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1993年</w:t>
            </w:r>
          </w:p>
        </w:tc>
        <w:tc>
          <w:tcPr>
            <w:tcW w:w="5940" w:type="dxa"/>
          </w:tcPr>
          <w:p w:rsidR="00312ECE" w:rsidRDefault="00312ECE">
            <w:pPr>
              <w:spacing w:before="100" w:after="100" w:line="280" w:lineRule="exact"/>
              <w:jc w:val="center"/>
              <w:rPr>
                <w:rFonts w:hint="eastAsia"/>
                <w:sz w:val="18"/>
              </w:rPr>
            </w:pPr>
            <w:r>
              <w:rPr>
                <w:rFonts w:hint="eastAsia"/>
                <w:sz w:val="18"/>
              </w:rPr>
              <w:t>22</w:t>
            </w:r>
            <w:r>
              <w:rPr>
                <w:sz w:val="18"/>
              </w:rPr>
              <w:t>.</w:t>
            </w:r>
            <w:r>
              <w:rPr>
                <w:rFonts w:hint="eastAsia"/>
                <w:sz w:val="18"/>
              </w:rPr>
              <w:t>5</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1994年</w:t>
            </w:r>
          </w:p>
        </w:tc>
        <w:tc>
          <w:tcPr>
            <w:tcW w:w="5940" w:type="dxa"/>
          </w:tcPr>
          <w:p w:rsidR="00312ECE" w:rsidRDefault="00312ECE">
            <w:pPr>
              <w:spacing w:before="100" w:after="100" w:line="280" w:lineRule="exact"/>
              <w:jc w:val="center"/>
              <w:rPr>
                <w:sz w:val="18"/>
              </w:rPr>
            </w:pPr>
            <w:r>
              <w:rPr>
                <w:sz w:val="18"/>
              </w:rPr>
              <w:t>22.5</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1995年</w:t>
            </w:r>
          </w:p>
        </w:tc>
        <w:tc>
          <w:tcPr>
            <w:tcW w:w="5940" w:type="dxa"/>
          </w:tcPr>
          <w:p w:rsidR="00312ECE" w:rsidRDefault="00312ECE">
            <w:pPr>
              <w:spacing w:before="100" w:after="100" w:line="280" w:lineRule="exact"/>
              <w:jc w:val="center"/>
              <w:rPr>
                <w:sz w:val="18"/>
              </w:rPr>
            </w:pPr>
            <w:r>
              <w:rPr>
                <w:sz w:val="18"/>
              </w:rPr>
              <w:t>22.8</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1996年</w:t>
            </w:r>
          </w:p>
        </w:tc>
        <w:tc>
          <w:tcPr>
            <w:tcW w:w="5940" w:type="dxa"/>
          </w:tcPr>
          <w:p w:rsidR="00312ECE" w:rsidRDefault="00312ECE">
            <w:pPr>
              <w:spacing w:before="100" w:after="100" w:line="280" w:lineRule="exact"/>
              <w:jc w:val="center"/>
              <w:rPr>
                <w:sz w:val="18"/>
              </w:rPr>
            </w:pPr>
            <w:r>
              <w:rPr>
                <w:sz w:val="18"/>
              </w:rPr>
              <w:t>23.2</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1997年</w:t>
            </w:r>
          </w:p>
        </w:tc>
        <w:tc>
          <w:tcPr>
            <w:tcW w:w="5940" w:type="dxa"/>
          </w:tcPr>
          <w:p w:rsidR="00312ECE" w:rsidRDefault="00312ECE">
            <w:pPr>
              <w:spacing w:before="100" w:after="100" w:line="280" w:lineRule="exact"/>
              <w:jc w:val="center"/>
              <w:rPr>
                <w:sz w:val="18"/>
              </w:rPr>
            </w:pPr>
            <w:r>
              <w:rPr>
                <w:sz w:val="18"/>
              </w:rPr>
              <w:t>23.6</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1998年</w:t>
            </w:r>
          </w:p>
        </w:tc>
        <w:tc>
          <w:tcPr>
            <w:tcW w:w="5940" w:type="dxa"/>
          </w:tcPr>
          <w:p w:rsidR="00312ECE" w:rsidRDefault="00312ECE">
            <w:pPr>
              <w:spacing w:before="100" w:after="100" w:line="280" w:lineRule="exact"/>
              <w:jc w:val="center"/>
              <w:rPr>
                <w:sz w:val="18"/>
              </w:rPr>
            </w:pPr>
            <w:r>
              <w:rPr>
                <w:sz w:val="18"/>
              </w:rPr>
              <w:t>24.0</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1999年</w:t>
            </w:r>
          </w:p>
        </w:tc>
        <w:tc>
          <w:tcPr>
            <w:tcW w:w="5940" w:type="dxa"/>
          </w:tcPr>
          <w:p w:rsidR="00312ECE" w:rsidRDefault="00312ECE">
            <w:pPr>
              <w:spacing w:before="100" w:after="100" w:line="280" w:lineRule="exact"/>
              <w:jc w:val="center"/>
              <w:rPr>
                <w:sz w:val="18"/>
              </w:rPr>
            </w:pPr>
            <w:r>
              <w:rPr>
                <w:sz w:val="18"/>
              </w:rPr>
              <w:t>24.2</w:t>
            </w:r>
          </w:p>
        </w:tc>
      </w:tr>
      <w:tr w:rsidR="00312ECE">
        <w:tblPrEx>
          <w:tblCellMar>
            <w:top w:w="0" w:type="dxa"/>
            <w:bottom w:w="0" w:type="dxa"/>
          </w:tblCellMar>
        </w:tblPrEx>
        <w:tc>
          <w:tcPr>
            <w:tcW w:w="3780" w:type="dxa"/>
          </w:tcPr>
          <w:p w:rsidR="00312ECE" w:rsidRDefault="00312ECE">
            <w:pPr>
              <w:spacing w:before="100" w:after="100" w:line="280" w:lineRule="exact"/>
              <w:jc w:val="center"/>
              <w:rPr>
                <w:rFonts w:hint="eastAsia"/>
                <w:sz w:val="18"/>
              </w:rPr>
            </w:pPr>
            <w:r>
              <w:rPr>
                <w:rFonts w:hint="eastAsia"/>
                <w:sz w:val="18"/>
              </w:rPr>
              <w:t>2000年</w:t>
            </w:r>
          </w:p>
        </w:tc>
        <w:tc>
          <w:tcPr>
            <w:tcW w:w="5940" w:type="dxa"/>
          </w:tcPr>
          <w:p w:rsidR="00312ECE" w:rsidRDefault="00312ECE">
            <w:pPr>
              <w:spacing w:before="100" w:after="100" w:line="280" w:lineRule="exact"/>
              <w:jc w:val="center"/>
              <w:rPr>
                <w:sz w:val="18"/>
              </w:rPr>
            </w:pPr>
            <w:r>
              <w:rPr>
                <w:sz w:val="18"/>
              </w:rPr>
              <w:t>24.4</w:t>
            </w:r>
          </w:p>
        </w:tc>
      </w:tr>
    </w:tbl>
    <w:p w:rsidR="00312ECE" w:rsidRDefault="00312ECE">
      <w:pPr>
        <w:pStyle w:val="SingleTxt"/>
        <w:rPr>
          <w:rFonts w:hint="eastAsia"/>
        </w:rPr>
      </w:pPr>
      <w:r>
        <w:rPr>
          <w:rFonts w:hint="eastAsia"/>
        </w:rPr>
        <w:t>303.  拉脱维亚妇女在选择配偶方面与男子拥有相同权利，这种选择建立在自愿的基础之上。这项原则在结婚仪式上予以保证，新娘和新郎在结婚仪式上确认他们结婚的意图。缔结婚姻后，配偶任何一方经宣布因精神病或智力低下丧失行为能力，或者既意识不到其行为的重要性又不能控制其行为，以及配偶在可能受到处罚的威胁影响下结婚的，可对婚姻提出质疑。</w:t>
      </w:r>
    </w:p>
    <w:p w:rsidR="00312ECE" w:rsidRDefault="00312ECE">
      <w:pPr>
        <w:pStyle w:val="SingleTxt"/>
        <w:rPr>
          <w:rFonts w:hint="eastAsia"/>
        </w:rPr>
      </w:pPr>
      <w:r>
        <w:rPr>
          <w:rFonts w:hint="eastAsia"/>
        </w:rPr>
        <w:t>304.  如果在其他未婚配偶或任何其他人的压力下选择未婚配偶，这种婚姻应视为虚假婚姻，也就是没有成家的意图，因而可以宣布其无效。</w:t>
      </w:r>
    </w:p>
    <w:p w:rsidR="00312ECE" w:rsidRDefault="00312ECE">
      <w:pPr>
        <w:pStyle w:val="SingleTxt"/>
        <w:rPr>
          <w:rFonts w:ascii="KaiTi_GB2312" w:eastAsia="KaiTi_GB2312" w:hint="eastAsia"/>
          <w:color w:val="0000FF"/>
        </w:rPr>
      </w:pPr>
      <w:r>
        <w:rPr>
          <w:rFonts w:ascii="KaiTi_GB2312" w:eastAsia="KaiTi_GB2312" w:hint="eastAsia"/>
          <w:color w:val="0000FF"/>
        </w:rPr>
        <w:t>配偶的平等；要求离婚的同等权利</w:t>
      </w:r>
    </w:p>
    <w:p w:rsidR="00312ECE" w:rsidRDefault="00312ECE">
      <w:pPr>
        <w:pStyle w:val="SingleTxt"/>
        <w:rPr>
          <w:rFonts w:hint="eastAsia"/>
        </w:rPr>
      </w:pPr>
      <w:r>
        <w:rPr>
          <w:rFonts w:hint="eastAsia"/>
        </w:rPr>
        <w:t>305.  根据《民法》，婚姻要求夫妻相互忠实于对方、同居、相互照料以及共同维护家庭幸福。配偶双方在安排家庭同居方面有同等权利。《民法》还规定，如果配偶未能协议解决纠纷，可以在法院寻求补救措施。</w:t>
      </w:r>
    </w:p>
    <w:p w:rsidR="00312ECE" w:rsidRDefault="00312ECE">
      <w:pPr>
        <w:pStyle w:val="SingleTxt"/>
        <w:rPr>
          <w:rFonts w:hint="eastAsia"/>
        </w:rPr>
      </w:pPr>
      <w:r>
        <w:rPr>
          <w:rFonts w:hint="eastAsia"/>
        </w:rPr>
        <w:t>306.  法律没有规定强制要求妇女结婚后改从夫姓。根据《民法》，配偶双方结婚时可自行选择配偶任一方婚前的姓氏作为共同姓氏，而且在婚姻存续期间，配偶双方都可保留其婚前姓氏，不必使用共同的婚后姓氏，或者将配偶另一方的姓氏加到自己的姓氏中。根据部长内阁2000年8月22日第295号“姓名书写及识别条例”，如果一个人改姓配偶姓氏，将根据拉脱维亚语语法规则并考虑该人的性别在其姓氏后添加词尾。</w:t>
      </w:r>
    </w:p>
    <w:p w:rsidR="00312ECE" w:rsidRDefault="00312ECE">
      <w:pPr>
        <w:pStyle w:val="SingleTxt"/>
        <w:rPr>
          <w:rFonts w:hint="eastAsia"/>
        </w:rPr>
      </w:pPr>
      <w:r>
        <w:rPr>
          <w:rFonts w:hint="eastAsia"/>
        </w:rPr>
        <w:t>307.  《民法》还对配偶的财产关系做出了规定；根据《民法》，配偶双方保留其婚前拥有的财产以及婚姻存续期间所得财产。在婚姻存续期间，配偶双方有权管理并使用其财产，即婚前拥有财产以及婚姻存续期间所得财产。婚姻存续期间所得的一切财产由配偶双方共同拥有，或者由其一方拥有，但财产若由配偶双方共同出资购置，或者在配偶另一方的帮助下购置，则属于配偶双方的婚姻期间所得财产；如果不能确定财产的归属，应假定所述财产由配偶双方各拥有一半。配偶共同管理并使用婚姻期间所得财产，但经配偶双方同意后，所述财产也可由配偶任何一方管理。配偶一方对所述财产采取行动应征得另一方的同意。配偶双方都有义务从婚姻期间所得财产中支付家庭所需的费用。</w:t>
      </w:r>
    </w:p>
    <w:p w:rsidR="00312ECE" w:rsidRDefault="00312ECE">
      <w:pPr>
        <w:pStyle w:val="SingleTxt"/>
        <w:rPr>
          <w:rFonts w:hint="eastAsia"/>
        </w:rPr>
      </w:pPr>
      <w:r>
        <w:rPr>
          <w:rFonts w:hint="eastAsia"/>
        </w:rPr>
        <w:t>308.  配偶在结婚前及婚姻存续期间可按婚姻协议建立、变更及中止其财产关系。婚姻协议各方可建立单独或联合婚姻财产关系，而不是建立配偶的法律财产关系。如果婚姻协议规定婚姻期间所得财产属个人单独所有，配偶双方各自保留婚前所得财产，但可在不考虑配偶另一方的情况下独立取得、使用及处置婚姻存续期间所得财产。如果婚姻协议规定婚姻期间所得财产由配偶双方共同所有，除独有财产外，配偶双方婚前拥有的财产以及婚姻存续期间所得财产应合并为不可分割的财产，并且不属于婚姻存续期间配偶任何一方的独有财产。在婚姻协议中确定婚姻期间所得共同财产时，配偶双方应就谁将成为共同财产的管理者（丈夫、妻子或夫妻双方）达成一致意见。</w:t>
      </w:r>
    </w:p>
    <w:p w:rsidR="00312ECE" w:rsidRDefault="00312ECE">
      <w:pPr>
        <w:pStyle w:val="SingleTxt"/>
        <w:rPr>
          <w:rFonts w:hint="eastAsia"/>
        </w:rPr>
      </w:pPr>
      <w:r>
        <w:rPr>
          <w:rFonts w:hint="eastAsia"/>
        </w:rPr>
        <w:t>309.  为了使婚姻协议对第三方产生约束力，该协议应在由拉脱维亚共和国企业登记部门管理的配偶财产关系登记册中登记。如果婚姻协议包含关于房地产的条款，协议也应在登记房地产的土地登记册中登记。在配偶财产关系登记册中登记的摘要应在官方报纸《拉脱维亚公报》（Latvijas Vestnesis）上公布。人人有权查阅配偶财产关系登记册，并索要其中的摘要。</w:t>
      </w:r>
    </w:p>
    <w:p w:rsidR="00312ECE" w:rsidRDefault="00312ECE">
      <w:pPr>
        <w:pStyle w:val="SingleTxt"/>
        <w:rPr>
          <w:rFonts w:ascii="SimHei" w:eastAsia="SimHei" w:hint="eastAsia"/>
          <w:color w:val="FF0000"/>
        </w:rPr>
      </w:pPr>
      <w:r>
        <w:rPr>
          <w:rFonts w:ascii="SimHei" w:eastAsia="SimHei" w:hint="eastAsia"/>
          <w:color w:val="FF0000"/>
        </w:rPr>
        <w:t>登记的婚姻协议</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44"/>
        <w:gridCol w:w="3727"/>
      </w:tblGrid>
      <w:tr w:rsidR="00312ECE">
        <w:tblPrEx>
          <w:tblCellMar>
            <w:top w:w="0" w:type="dxa"/>
            <w:bottom w:w="0" w:type="dxa"/>
          </w:tblCellMar>
        </w:tblPrEx>
        <w:tc>
          <w:tcPr>
            <w:tcW w:w="247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年份</w:t>
            </w:r>
          </w:p>
        </w:tc>
        <w:tc>
          <w:tcPr>
            <w:tcW w:w="2528"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登记的婚姻协议的数目</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1994年</w:t>
            </w:r>
          </w:p>
        </w:tc>
        <w:tc>
          <w:tcPr>
            <w:tcW w:w="2528" w:type="pct"/>
          </w:tcPr>
          <w:p w:rsidR="00312ECE" w:rsidRDefault="00312ECE">
            <w:pPr>
              <w:spacing w:before="40" w:after="40" w:line="240" w:lineRule="exact"/>
              <w:jc w:val="center"/>
              <w:rPr>
                <w:bCs/>
                <w:sz w:val="18"/>
              </w:rPr>
            </w:pPr>
            <w:r>
              <w:rPr>
                <w:bCs/>
                <w:sz w:val="18"/>
              </w:rPr>
              <w:t>13</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1995年</w:t>
            </w:r>
          </w:p>
        </w:tc>
        <w:tc>
          <w:tcPr>
            <w:tcW w:w="2528" w:type="pct"/>
          </w:tcPr>
          <w:p w:rsidR="00312ECE" w:rsidRDefault="00312ECE">
            <w:pPr>
              <w:spacing w:before="40" w:after="40" w:line="240" w:lineRule="exact"/>
              <w:jc w:val="center"/>
              <w:rPr>
                <w:bCs/>
                <w:sz w:val="18"/>
              </w:rPr>
            </w:pPr>
            <w:r>
              <w:rPr>
                <w:bCs/>
                <w:sz w:val="18"/>
              </w:rPr>
              <w:t>134</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1996年</w:t>
            </w:r>
          </w:p>
        </w:tc>
        <w:tc>
          <w:tcPr>
            <w:tcW w:w="2528" w:type="pct"/>
          </w:tcPr>
          <w:p w:rsidR="00312ECE" w:rsidRDefault="00312ECE">
            <w:pPr>
              <w:spacing w:before="40" w:after="40" w:line="240" w:lineRule="exact"/>
              <w:jc w:val="center"/>
              <w:rPr>
                <w:bCs/>
                <w:sz w:val="18"/>
              </w:rPr>
            </w:pPr>
            <w:r>
              <w:rPr>
                <w:bCs/>
                <w:sz w:val="18"/>
              </w:rPr>
              <w:t>206</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1997年</w:t>
            </w:r>
          </w:p>
        </w:tc>
        <w:tc>
          <w:tcPr>
            <w:tcW w:w="2528" w:type="pct"/>
          </w:tcPr>
          <w:p w:rsidR="00312ECE" w:rsidRDefault="00312ECE">
            <w:pPr>
              <w:spacing w:before="40" w:after="40" w:line="240" w:lineRule="exact"/>
              <w:jc w:val="center"/>
              <w:rPr>
                <w:bCs/>
                <w:sz w:val="18"/>
              </w:rPr>
            </w:pPr>
            <w:r>
              <w:rPr>
                <w:bCs/>
                <w:sz w:val="18"/>
              </w:rPr>
              <w:t>256</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1998年</w:t>
            </w:r>
          </w:p>
        </w:tc>
        <w:tc>
          <w:tcPr>
            <w:tcW w:w="2528" w:type="pct"/>
          </w:tcPr>
          <w:p w:rsidR="00312ECE" w:rsidRDefault="00312ECE">
            <w:pPr>
              <w:spacing w:before="40" w:after="40" w:line="240" w:lineRule="exact"/>
              <w:jc w:val="center"/>
              <w:rPr>
                <w:bCs/>
                <w:sz w:val="18"/>
              </w:rPr>
            </w:pPr>
            <w:r>
              <w:rPr>
                <w:bCs/>
                <w:sz w:val="18"/>
              </w:rPr>
              <w:t>272</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1999年</w:t>
            </w:r>
          </w:p>
        </w:tc>
        <w:tc>
          <w:tcPr>
            <w:tcW w:w="2528" w:type="pct"/>
          </w:tcPr>
          <w:p w:rsidR="00312ECE" w:rsidRDefault="00312ECE">
            <w:pPr>
              <w:spacing w:before="40" w:after="40" w:line="240" w:lineRule="exact"/>
              <w:jc w:val="center"/>
              <w:rPr>
                <w:bCs/>
                <w:sz w:val="18"/>
              </w:rPr>
            </w:pPr>
            <w:r>
              <w:rPr>
                <w:bCs/>
                <w:sz w:val="18"/>
              </w:rPr>
              <w:t>371</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2000年</w:t>
            </w:r>
          </w:p>
        </w:tc>
        <w:tc>
          <w:tcPr>
            <w:tcW w:w="2528" w:type="pct"/>
          </w:tcPr>
          <w:p w:rsidR="00312ECE" w:rsidRDefault="00312ECE">
            <w:pPr>
              <w:spacing w:before="40" w:after="40" w:line="240" w:lineRule="exact"/>
              <w:jc w:val="center"/>
              <w:rPr>
                <w:bCs/>
                <w:sz w:val="18"/>
              </w:rPr>
            </w:pPr>
            <w:r>
              <w:rPr>
                <w:bCs/>
                <w:sz w:val="18"/>
              </w:rPr>
              <w:t>449</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310.  根据《民法》，配偶双方都有权在配偶一方死亡后在一般性基础上处置其财产，无论配偶双方的财产关系属何种类型。</w:t>
      </w:r>
    </w:p>
    <w:p w:rsidR="00312ECE" w:rsidRDefault="00312ECE">
      <w:pPr>
        <w:pStyle w:val="SingleTxt"/>
        <w:rPr>
          <w:rFonts w:hint="eastAsia"/>
        </w:rPr>
      </w:pPr>
      <w:r>
        <w:rPr>
          <w:rFonts w:hint="eastAsia"/>
        </w:rPr>
        <w:t>311.  男女都有权要求解除婚姻。法院在接到配偶一方或双方申请后可解除婚姻。配偶一方无论性别如何均可要求离婚，条件如下：配偶另一方对他/她的生命和健康构成威胁；配偶一方离开另一方，而且分离时间持续一年以上；结婚后，配偶另一方患有长期的无法治愈的精神病或传染病；配偶一方犯罪后使另一方名誉扫地或过着不忠诚或淫乱的生活导致不能要求继续保持婚姻关系。如果配偶婚姻生活破裂，到了不可能继续同居及维系家庭关系的地步，婚姻关系也可解除。解除婚姻的原因也可能是配偶单独生活的时间持续了三年。还可根据配偶双方的共同协议解除婚姻，但应在结婚一年以后。其他情况下，不得解除婚姻。</w:t>
      </w:r>
    </w:p>
    <w:p w:rsidR="00312ECE" w:rsidRDefault="00312ECE">
      <w:pPr>
        <w:pStyle w:val="SingleTxt"/>
        <w:rPr>
          <w:rFonts w:ascii="SimHei" w:eastAsia="SimHei" w:hint="eastAsia"/>
          <w:color w:val="FF0000"/>
        </w:rPr>
      </w:pPr>
      <w:r>
        <w:rPr>
          <w:rFonts w:ascii="SimHei" w:eastAsia="SimHei" w:hint="eastAsia"/>
          <w:color w:val="FF0000"/>
        </w:rPr>
        <w:t>离婚数量占婚姻总数的比例</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44"/>
        <w:gridCol w:w="3727"/>
      </w:tblGrid>
      <w:tr w:rsidR="00312ECE">
        <w:tblPrEx>
          <w:tblCellMar>
            <w:top w:w="0" w:type="dxa"/>
            <w:bottom w:w="0" w:type="dxa"/>
          </w:tblCellMar>
        </w:tblPrEx>
        <w:tc>
          <w:tcPr>
            <w:tcW w:w="2472" w:type="pct"/>
          </w:tcPr>
          <w:p w:rsidR="00312ECE" w:rsidRDefault="00312ECE">
            <w:pPr>
              <w:spacing w:before="40" w:after="40" w:line="240" w:lineRule="exact"/>
              <w:jc w:val="center"/>
              <w:rPr>
                <w:rFonts w:ascii="KaiTi_GB2312" w:eastAsia="KaiTi_GB2312" w:hint="eastAsia"/>
                <w:color w:val="0000FF"/>
                <w:sz w:val="18"/>
              </w:rPr>
            </w:pPr>
            <w:r>
              <w:rPr>
                <w:rFonts w:ascii="KaiTi_GB2312" w:eastAsia="KaiTi_GB2312" w:hint="eastAsia"/>
                <w:color w:val="0000FF"/>
                <w:sz w:val="18"/>
              </w:rPr>
              <w:t>年份</w:t>
            </w:r>
          </w:p>
        </w:tc>
        <w:tc>
          <w:tcPr>
            <w:tcW w:w="2528" w:type="pct"/>
          </w:tcPr>
          <w:p w:rsidR="00312ECE" w:rsidRDefault="00312ECE">
            <w:pPr>
              <w:spacing w:before="40" w:after="40" w:line="240" w:lineRule="exact"/>
              <w:jc w:val="center"/>
              <w:rPr>
                <w:rFonts w:ascii="KaiTi_GB2312" w:eastAsia="KaiTi_GB2312" w:hint="eastAsia"/>
                <w:color w:val="0000FF"/>
                <w:sz w:val="18"/>
              </w:rPr>
            </w:pPr>
            <w:r>
              <w:rPr>
                <w:rFonts w:ascii="KaiTi_GB2312" w:eastAsia="KaiTi_GB2312" w:hint="eastAsia"/>
                <w:color w:val="0000FF"/>
                <w:sz w:val="18"/>
              </w:rPr>
              <w:t>结婚后的离婚率</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1993年</w:t>
            </w:r>
          </w:p>
        </w:tc>
        <w:tc>
          <w:tcPr>
            <w:tcW w:w="2528" w:type="pct"/>
          </w:tcPr>
          <w:p w:rsidR="00312ECE" w:rsidRDefault="00312ECE">
            <w:pPr>
              <w:spacing w:before="40" w:after="40" w:line="240" w:lineRule="exact"/>
              <w:jc w:val="center"/>
              <w:rPr>
                <w:bCs/>
                <w:sz w:val="18"/>
              </w:rPr>
            </w:pPr>
            <w:r>
              <w:rPr>
                <w:bCs/>
                <w:sz w:val="18"/>
              </w:rPr>
              <w:t>70.4</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1994年</w:t>
            </w:r>
          </w:p>
        </w:tc>
        <w:tc>
          <w:tcPr>
            <w:tcW w:w="2528" w:type="pct"/>
          </w:tcPr>
          <w:p w:rsidR="00312ECE" w:rsidRDefault="00312ECE">
            <w:pPr>
              <w:spacing w:before="40" w:after="40" w:line="240" w:lineRule="exact"/>
              <w:jc w:val="center"/>
              <w:rPr>
                <w:bCs/>
                <w:sz w:val="18"/>
              </w:rPr>
            </w:pPr>
            <w:r>
              <w:rPr>
                <w:bCs/>
                <w:sz w:val="18"/>
              </w:rPr>
              <w:t>72.7</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1995年</w:t>
            </w:r>
          </w:p>
        </w:tc>
        <w:tc>
          <w:tcPr>
            <w:tcW w:w="2528" w:type="pct"/>
          </w:tcPr>
          <w:p w:rsidR="00312ECE" w:rsidRDefault="00312ECE">
            <w:pPr>
              <w:spacing w:before="40" w:after="40" w:line="240" w:lineRule="exact"/>
              <w:jc w:val="center"/>
              <w:rPr>
                <w:bCs/>
                <w:sz w:val="18"/>
              </w:rPr>
            </w:pPr>
            <w:r>
              <w:rPr>
                <w:bCs/>
                <w:sz w:val="18"/>
              </w:rPr>
              <w:t>70.6</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1996年</w:t>
            </w:r>
          </w:p>
        </w:tc>
        <w:tc>
          <w:tcPr>
            <w:tcW w:w="2528" w:type="pct"/>
          </w:tcPr>
          <w:p w:rsidR="00312ECE" w:rsidRDefault="00312ECE">
            <w:pPr>
              <w:spacing w:before="40" w:after="40" w:line="240" w:lineRule="exact"/>
              <w:jc w:val="center"/>
              <w:rPr>
                <w:bCs/>
                <w:sz w:val="18"/>
              </w:rPr>
            </w:pPr>
            <w:r>
              <w:rPr>
                <w:bCs/>
                <w:sz w:val="18"/>
              </w:rPr>
              <w:t>62.8</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1997年</w:t>
            </w:r>
          </w:p>
        </w:tc>
        <w:tc>
          <w:tcPr>
            <w:tcW w:w="2528" w:type="pct"/>
          </w:tcPr>
          <w:p w:rsidR="00312ECE" w:rsidRDefault="00312ECE">
            <w:pPr>
              <w:spacing w:before="40" w:after="40" w:line="240" w:lineRule="exact"/>
              <w:jc w:val="center"/>
              <w:rPr>
                <w:bCs/>
                <w:sz w:val="18"/>
              </w:rPr>
            </w:pPr>
            <w:r>
              <w:rPr>
                <w:bCs/>
                <w:sz w:val="18"/>
              </w:rPr>
              <w:t>63.0</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1998年</w:t>
            </w:r>
          </w:p>
        </w:tc>
        <w:tc>
          <w:tcPr>
            <w:tcW w:w="2528" w:type="pct"/>
          </w:tcPr>
          <w:p w:rsidR="00312ECE" w:rsidRDefault="00312ECE">
            <w:pPr>
              <w:spacing w:before="40" w:after="40" w:line="240" w:lineRule="exact"/>
              <w:jc w:val="center"/>
              <w:rPr>
                <w:bCs/>
                <w:sz w:val="18"/>
              </w:rPr>
            </w:pPr>
            <w:r>
              <w:rPr>
                <w:bCs/>
                <w:sz w:val="18"/>
              </w:rPr>
              <w:t>64.4</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1999年</w:t>
            </w:r>
          </w:p>
        </w:tc>
        <w:tc>
          <w:tcPr>
            <w:tcW w:w="2528" w:type="pct"/>
          </w:tcPr>
          <w:p w:rsidR="00312ECE" w:rsidRDefault="00312ECE">
            <w:pPr>
              <w:spacing w:before="40" w:after="40" w:line="240" w:lineRule="exact"/>
              <w:jc w:val="center"/>
              <w:rPr>
                <w:bCs/>
                <w:sz w:val="18"/>
              </w:rPr>
            </w:pPr>
            <w:r>
              <w:rPr>
                <w:bCs/>
                <w:sz w:val="18"/>
              </w:rPr>
              <w:t>63.9</w:t>
            </w:r>
          </w:p>
        </w:tc>
      </w:tr>
      <w:tr w:rsidR="00312ECE">
        <w:tblPrEx>
          <w:tblCellMar>
            <w:top w:w="0" w:type="dxa"/>
            <w:bottom w:w="0" w:type="dxa"/>
          </w:tblCellMar>
        </w:tblPrEx>
        <w:tc>
          <w:tcPr>
            <w:tcW w:w="2472" w:type="pct"/>
          </w:tcPr>
          <w:p w:rsidR="00312ECE" w:rsidRDefault="00312ECE">
            <w:pPr>
              <w:spacing w:before="40" w:after="40" w:line="240" w:lineRule="exact"/>
              <w:jc w:val="center"/>
              <w:rPr>
                <w:rFonts w:hint="eastAsia"/>
                <w:sz w:val="18"/>
              </w:rPr>
            </w:pPr>
            <w:r>
              <w:rPr>
                <w:rFonts w:hint="eastAsia"/>
                <w:sz w:val="18"/>
              </w:rPr>
              <w:t>2000年</w:t>
            </w:r>
          </w:p>
        </w:tc>
        <w:tc>
          <w:tcPr>
            <w:tcW w:w="2528" w:type="pct"/>
          </w:tcPr>
          <w:p w:rsidR="00312ECE" w:rsidRDefault="00312ECE">
            <w:pPr>
              <w:spacing w:before="40" w:after="40" w:line="240" w:lineRule="exact"/>
              <w:jc w:val="center"/>
              <w:rPr>
                <w:bCs/>
                <w:sz w:val="18"/>
              </w:rPr>
            </w:pPr>
            <w:r>
              <w:rPr>
                <w:bCs/>
                <w:sz w:val="18"/>
              </w:rPr>
              <w:t>66.6</w:t>
            </w:r>
          </w:p>
        </w:tc>
      </w:tr>
    </w:tbl>
    <w:p w:rsidR="00312ECE" w:rsidRDefault="00312ECE">
      <w:pPr>
        <w:pStyle w:val="SingleTxt"/>
        <w:rPr>
          <w:rFonts w:hint="eastAsia"/>
        </w:rPr>
      </w:pPr>
      <w:r>
        <w:rPr>
          <w:rFonts w:hint="eastAsia"/>
        </w:rPr>
        <w:t>312.  根据《民法》，解除婚姻后，前任配偶生活贫困的，可要求配偶另一方根据财力状况按比例支付离婚抚养费，但无任何正当理由逃避上班赚取收入的情况除外。如果一方采取行动促进了婚姻的解除，或者已经再婚，则不负抚养前任配偶的义务。</w:t>
      </w:r>
    </w:p>
    <w:p w:rsidR="00312ECE" w:rsidRDefault="00312ECE">
      <w:pPr>
        <w:pStyle w:val="SingleTxt"/>
        <w:rPr>
          <w:rFonts w:ascii="KaiTi_GB2312" w:eastAsia="KaiTi_GB2312" w:hint="eastAsia"/>
          <w:color w:val="0000FF"/>
        </w:rPr>
      </w:pPr>
      <w:r>
        <w:rPr>
          <w:rFonts w:ascii="KaiTi_GB2312" w:eastAsia="KaiTi_GB2312" w:hint="eastAsia"/>
          <w:color w:val="0000FF"/>
        </w:rPr>
        <w:t>行使父母权利方面的平等</w:t>
      </w:r>
    </w:p>
    <w:p w:rsidR="00312ECE" w:rsidRDefault="00312ECE">
      <w:pPr>
        <w:pStyle w:val="SingleTxt"/>
        <w:rPr>
          <w:rFonts w:hint="eastAsia"/>
        </w:rPr>
      </w:pPr>
      <w:r>
        <w:rPr>
          <w:rFonts w:hint="eastAsia"/>
        </w:rPr>
        <w:t>313.  照料及抚养子女是父母或监护人的首要及最重要的权利和义务。社会及国家保证父母及监护人能够履行他们对子女负有的义务。</w:t>
      </w:r>
    </w:p>
    <w:p w:rsidR="00312ECE" w:rsidRDefault="00312ECE">
      <w:pPr>
        <w:pStyle w:val="SingleTxt"/>
        <w:rPr>
          <w:rFonts w:hint="eastAsia"/>
        </w:rPr>
      </w:pPr>
      <w:r>
        <w:rPr>
          <w:rFonts w:hint="eastAsia"/>
        </w:rPr>
        <w:t>314.  照料及抚养共同子女并保证他们的幸福是父母双方的义务。父母的义务是根据自身的经济及社会地位行使其亲权、照管子女的生活及福利，并为子女提供生活用品，即提供食品、住宿及衣服，以及照料、抚养及教育子女。子女在未成年前，父母对他们拥有亲权。拉脱维亚两性平等协会认为，尽管父母双方负有照料子女的义务，但拉脱维亚及其他地方的妇女仍然承担着这项义务的大部分，并因此为这项义务花费了很多时间，从而限制了她们达到其他需求的可能性。</w:t>
      </w:r>
    </w:p>
    <w:p w:rsidR="00312ECE" w:rsidRDefault="00312ECE">
      <w:pPr>
        <w:pStyle w:val="SingleTxt"/>
        <w:rPr>
          <w:rFonts w:hint="eastAsia"/>
        </w:rPr>
      </w:pPr>
      <w:r>
        <w:rPr>
          <w:rFonts w:hint="eastAsia"/>
        </w:rPr>
        <w:t>315.  根据《民法》，在婚姻存续期间，父母双方共同行使他们的亲权。如果配偶双方发生纠纷，若法律没有另行规定，应由监护法院解决。如果非婚生子女的亲子关系确定，由父母双方或父母一方根据相互协议行使亲权。如果发生纠纷，上述问题的解决程序与子女是登记的婚姻内出生的情况相同。如果非婚生子女的亲子关系未予确定，则由母亲行使亲权。如果父母分居，与子女住在一起的父母任一方行使亲权。这种情况下，男子与妇女在抚养子女方面拥有同等权利。权利方面的限制仅适用于那些根据法院判决中止亲权的父母。父母任何一方都应按照其财力比例抚养与另一方生活在一起的子女。</w:t>
      </w:r>
    </w:p>
    <w:p w:rsidR="00312ECE" w:rsidRDefault="00312ECE">
      <w:pPr>
        <w:pStyle w:val="SingleTxt"/>
        <w:rPr>
          <w:rFonts w:hint="eastAsia"/>
        </w:rPr>
      </w:pPr>
      <w:r>
        <w:rPr>
          <w:rFonts w:hint="eastAsia"/>
        </w:rPr>
        <w:t>316.  如果婚姻解除或者宣布无效，父母未能就子女与谁生活在一起达成协议，此问题应由法院解决，并以子女的利益为重，子女若满七岁，尽可能听从他们的意愿。</w:t>
      </w:r>
    </w:p>
    <w:p w:rsidR="00312ECE" w:rsidRDefault="00312ECE">
      <w:pPr>
        <w:pStyle w:val="SingleTxt"/>
        <w:rPr>
          <w:rFonts w:hint="eastAsia"/>
        </w:rPr>
      </w:pPr>
      <w:r>
        <w:rPr>
          <w:rFonts w:hint="eastAsia"/>
        </w:rPr>
        <w:t>317.  《民法》还规定了确定子女血统的程序以及男女在这个领域的权利。</w:t>
      </w:r>
    </w:p>
    <w:p w:rsidR="00312ECE" w:rsidRDefault="00312ECE">
      <w:pPr>
        <w:pStyle w:val="SingleTxt"/>
        <w:rPr>
          <w:rFonts w:hint="eastAsia"/>
        </w:rPr>
      </w:pPr>
      <w:r>
        <w:rPr>
          <w:rFonts w:hint="eastAsia"/>
        </w:rPr>
        <w:t>318.  如因丈夫死亡或离异而结束婚姻，妇女婚后所生子女，或者在婚后306天以内出生的子女，被视为婚内生子女。妇女在婚姻解除后306天以内所生的子女，如果她已再婚，所生的这个孩子应视为再婚生子女。在这种情况下，前任丈夫及其父母有权对孩子的血统提出质疑。父亲可以直接表示承认或确认婚姻期间或终止之后所生子女是否是他本人的子女，这种不可争辩的行为是所生子女为婚生子女的充分证据。如果父亲同意通过人工方式生产子女，不得对子女提出质疑。假定子女是婚生子女，即孩子的父亲是否是其母亲的丈夫，可向法院提出质疑。在法院结案前，孩子被认为是婚生子女。假定孩子是婚内生子女，孩子母亲的丈夫可自获悉孩子是他的骨血后两年内向法院提出质疑。孩子的母亲享有同等权利。孩子成年后两年内可对自己是否为婚生子女提出质疑。</w:t>
      </w:r>
    </w:p>
    <w:p w:rsidR="00312ECE" w:rsidRDefault="00312ECE">
      <w:pPr>
        <w:pStyle w:val="SingleTxt"/>
        <w:rPr>
          <w:rFonts w:hint="eastAsia"/>
        </w:rPr>
      </w:pPr>
      <w:r>
        <w:rPr>
          <w:rFonts w:hint="eastAsia"/>
        </w:rPr>
        <w:t>319.  非婚生子女的父亲血统依据由父亲自愿承认或由法院判决确定生父关系。如果父母向登记处提出联合申请，则完成了对父子关系的确认。父子关系的确认将载入出生登记册。如果非婚生子女的父子关系没有通过向登记处提交申请予以确认，可由法院予以确认，并允许使用各类证据，包括科学证据在内，使其有可能证明或排除孩子是特定人士的子女。在法院确认父子关系的要求可由孩子的母亲或监护人、成年子女本人以及孩子的生父提出。拉脱维亚两性平等协会指出，妇女通常不知道上述规定，因此，她们在推迟离婚后，会发现自己所处的境地是子女的父子关系只能提交法院审议。</w:t>
      </w:r>
    </w:p>
    <w:p w:rsidR="00312ECE" w:rsidRDefault="00312ECE">
      <w:pPr>
        <w:pStyle w:val="SingleTxt"/>
        <w:rPr>
          <w:rFonts w:hint="eastAsia"/>
        </w:rPr>
      </w:pPr>
      <w:r>
        <w:rPr>
          <w:rFonts w:hint="eastAsia"/>
        </w:rPr>
        <w:t>320.  尽管非婚生子女的生父关系由父母达成协议自愿确认，但男子愿不愿意承认生父关系至关重要。如果男方不同意，妇女无权单方面确定子女的生身父亲是谁。在这种情况下，问题只能通过法院来解决，子女的母亲向法院提交申请，要求确定生父关系。这项立法规定特别重要，因为未登记的夫妻所生子女不断增多（见下表）。</w:t>
      </w:r>
    </w:p>
    <w:p w:rsidR="00312ECE" w:rsidRDefault="00312ECE">
      <w:pPr>
        <w:pStyle w:val="SingleTxt"/>
        <w:rPr>
          <w:rFonts w:ascii="SimHei" w:eastAsia="SimHei" w:hint="eastAsia"/>
          <w:color w:val="FF0000"/>
        </w:rPr>
      </w:pPr>
      <w:r>
        <w:rPr>
          <w:rFonts w:ascii="SimHei" w:eastAsia="SimHei" w:hint="eastAsia"/>
          <w:color w:val="FF0000"/>
        </w:rPr>
        <w:t>未登记的夫妻所生子女</w:t>
      </w:r>
    </w:p>
    <w:tbl>
      <w:tblPr>
        <w:tblW w:w="737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3727"/>
      </w:tblGrid>
      <w:tr w:rsidR="00312ECE">
        <w:tblPrEx>
          <w:tblCellMar>
            <w:top w:w="0" w:type="dxa"/>
            <w:bottom w:w="0" w:type="dxa"/>
          </w:tblCellMar>
        </w:tblPrEx>
        <w:tc>
          <w:tcPr>
            <w:tcW w:w="2472"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年份</w:t>
            </w:r>
          </w:p>
        </w:tc>
        <w:tc>
          <w:tcPr>
            <w:tcW w:w="2528" w:type="pct"/>
          </w:tcPr>
          <w:p w:rsidR="00312ECE" w:rsidRDefault="00312ECE">
            <w:pPr>
              <w:spacing w:line="360" w:lineRule="atLeast"/>
              <w:jc w:val="center"/>
              <w:rPr>
                <w:rFonts w:ascii="KaiTi_GB2312" w:eastAsia="KaiTi_GB2312" w:hint="eastAsia"/>
                <w:color w:val="0000FF"/>
                <w:sz w:val="18"/>
              </w:rPr>
            </w:pPr>
            <w:r>
              <w:rPr>
                <w:rFonts w:ascii="KaiTi_GB2312" w:eastAsia="KaiTi_GB2312" w:hint="eastAsia"/>
                <w:color w:val="0000FF"/>
                <w:sz w:val="18"/>
              </w:rPr>
              <w:t>未登记的夫妻所生子女的比例</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1993年</w:t>
            </w:r>
          </w:p>
        </w:tc>
        <w:tc>
          <w:tcPr>
            <w:tcW w:w="2528" w:type="pct"/>
          </w:tcPr>
          <w:p w:rsidR="00312ECE" w:rsidRDefault="00312ECE">
            <w:pPr>
              <w:spacing w:line="360" w:lineRule="atLeast"/>
              <w:jc w:val="center"/>
              <w:rPr>
                <w:sz w:val="18"/>
              </w:rPr>
            </w:pPr>
            <w:r>
              <w:rPr>
                <w:sz w:val="18"/>
              </w:rPr>
              <w:t>23.0</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1994年</w:t>
            </w:r>
          </w:p>
        </w:tc>
        <w:tc>
          <w:tcPr>
            <w:tcW w:w="2528" w:type="pct"/>
          </w:tcPr>
          <w:p w:rsidR="00312ECE" w:rsidRDefault="00312ECE">
            <w:pPr>
              <w:spacing w:line="360" w:lineRule="atLeast"/>
              <w:jc w:val="center"/>
              <w:rPr>
                <w:sz w:val="18"/>
              </w:rPr>
            </w:pPr>
            <w:r>
              <w:rPr>
                <w:sz w:val="18"/>
              </w:rPr>
              <w:t>26.4</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1995年</w:t>
            </w:r>
          </w:p>
        </w:tc>
        <w:tc>
          <w:tcPr>
            <w:tcW w:w="2528" w:type="pct"/>
          </w:tcPr>
          <w:p w:rsidR="00312ECE" w:rsidRDefault="00312ECE">
            <w:pPr>
              <w:spacing w:line="360" w:lineRule="atLeast"/>
              <w:jc w:val="center"/>
              <w:rPr>
                <w:sz w:val="18"/>
              </w:rPr>
            </w:pPr>
            <w:r>
              <w:rPr>
                <w:sz w:val="18"/>
              </w:rPr>
              <w:t>29.9</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1996年</w:t>
            </w:r>
          </w:p>
        </w:tc>
        <w:tc>
          <w:tcPr>
            <w:tcW w:w="2528" w:type="pct"/>
          </w:tcPr>
          <w:p w:rsidR="00312ECE" w:rsidRDefault="00312ECE">
            <w:pPr>
              <w:spacing w:line="360" w:lineRule="atLeast"/>
              <w:jc w:val="center"/>
              <w:rPr>
                <w:sz w:val="18"/>
              </w:rPr>
            </w:pPr>
            <w:r>
              <w:rPr>
                <w:sz w:val="18"/>
              </w:rPr>
              <w:t>33.1</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1997年</w:t>
            </w:r>
          </w:p>
        </w:tc>
        <w:tc>
          <w:tcPr>
            <w:tcW w:w="2528" w:type="pct"/>
          </w:tcPr>
          <w:p w:rsidR="00312ECE" w:rsidRDefault="00312ECE">
            <w:pPr>
              <w:spacing w:line="360" w:lineRule="atLeast"/>
              <w:jc w:val="center"/>
              <w:rPr>
                <w:sz w:val="18"/>
              </w:rPr>
            </w:pPr>
            <w:r>
              <w:rPr>
                <w:sz w:val="18"/>
              </w:rPr>
              <w:t>34.8</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1998年</w:t>
            </w:r>
          </w:p>
        </w:tc>
        <w:tc>
          <w:tcPr>
            <w:tcW w:w="2528" w:type="pct"/>
          </w:tcPr>
          <w:p w:rsidR="00312ECE" w:rsidRDefault="00312ECE">
            <w:pPr>
              <w:spacing w:line="360" w:lineRule="atLeast"/>
              <w:jc w:val="center"/>
              <w:rPr>
                <w:sz w:val="18"/>
              </w:rPr>
            </w:pPr>
            <w:r>
              <w:rPr>
                <w:sz w:val="18"/>
              </w:rPr>
              <w:t>37.1</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1999年</w:t>
            </w:r>
          </w:p>
        </w:tc>
        <w:tc>
          <w:tcPr>
            <w:tcW w:w="2528" w:type="pct"/>
          </w:tcPr>
          <w:p w:rsidR="00312ECE" w:rsidRDefault="00312ECE">
            <w:pPr>
              <w:spacing w:line="360" w:lineRule="atLeast"/>
              <w:jc w:val="center"/>
              <w:rPr>
                <w:sz w:val="18"/>
              </w:rPr>
            </w:pPr>
            <w:r>
              <w:rPr>
                <w:sz w:val="18"/>
              </w:rPr>
              <w:t>39.1</w:t>
            </w:r>
          </w:p>
        </w:tc>
      </w:tr>
      <w:tr w:rsidR="00312ECE">
        <w:tblPrEx>
          <w:tblCellMar>
            <w:top w:w="0" w:type="dxa"/>
            <w:bottom w:w="0" w:type="dxa"/>
          </w:tblCellMar>
        </w:tblPrEx>
        <w:tc>
          <w:tcPr>
            <w:tcW w:w="2472" w:type="pct"/>
          </w:tcPr>
          <w:p w:rsidR="00312ECE" w:rsidRDefault="00312ECE">
            <w:pPr>
              <w:spacing w:line="360" w:lineRule="atLeast"/>
              <w:jc w:val="center"/>
              <w:rPr>
                <w:rFonts w:hint="eastAsia"/>
                <w:sz w:val="18"/>
              </w:rPr>
            </w:pPr>
            <w:r>
              <w:rPr>
                <w:rFonts w:hint="eastAsia"/>
                <w:sz w:val="18"/>
              </w:rPr>
              <w:t>2000年</w:t>
            </w:r>
          </w:p>
        </w:tc>
        <w:tc>
          <w:tcPr>
            <w:tcW w:w="2528" w:type="pct"/>
          </w:tcPr>
          <w:p w:rsidR="00312ECE" w:rsidRDefault="00312ECE">
            <w:pPr>
              <w:spacing w:line="360" w:lineRule="atLeast"/>
              <w:jc w:val="center"/>
              <w:rPr>
                <w:sz w:val="18"/>
              </w:rPr>
            </w:pPr>
            <w:r>
              <w:rPr>
                <w:sz w:val="18"/>
              </w:rPr>
              <w:t>40.3</w:t>
            </w:r>
          </w:p>
        </w:tc>
      </w:tr>
    </w:tbl>
    <w:p w:rsidR="00312ECE" w:rsidRDefault="00312ECE">
      <w:pPr>
        <w:pStyle w:val="SingleTxt"/>
        <w:spacing w:after="0" w:line="120" w:lineRule="exact"/>
        <w:rPr>
          <w:rFonts w:hint="eastAsia"/>
          <w:sz w:val="10"/>
        </w:rPr>
      </w:pPr>
    </w:p>
    <w:p w:rsidR="00312ECE" w:rsidRDefault="00312ECE">
      <w:pPr>
        <w:pStyle w:val="SingleTxt"/>
        <w:spacing w:after="0" w:line="120" w:lineRule="exact"/>
        <w:rPr>
          <w:rFonts w:hint="eastAsia"/>
          <w:sz w:val="10"/>
        </w:rPr>
      </w:pPr>
    </w:p>
    <w:p w:rsidR="00312ECE" w:rsidRDefault="00312ECE">
      <w:pPr>
        <w:pStyle w:val="SingleTxt"/>
        <w:rPr>
          <w:rFonts w:hint="eastAsia"/>
        </w:rPr>
      </w:pPr>
      <w:r>
        <w:rPr>
          <w:rFonts w:hint="eastAsia"/>
        </w:rPr>
        <w:t>321.  拉脱维亚的立法没有规定生父关系只能由法律上的自由人来确认。其含义是，已婚男子，无论其妻子同意与否，都有权承认他与另一妇女所生子女的生父关系。在确定生父关系的这种情况下，没有必要征求妻子的同意，并且不考虑反对意见。</w:t>
      </w:r>
    </w:p>
    <w:p w:rsidR="00312ECE" w:rsidRDefault="00312ECE">
      <w:pPr>
        <w:pStyle w:val="SingleTxt"/>
        <w:rPr>
          <w:rFonts w:hint="eastAsia"/>
        </w:rPr>
      </w:pPr>
      <w:r>
        <w:rPr>
          <w:rFonts w:hint="eastAsia"/>
        </w:rPr>
        <w:t>322.  婚生子女的姓氏根据父母的姓氏确定。如果父母的姓氏不同，孩子依照父母亲达成的协议既可使用父亲的姓氏，也可使用母亲的姓氏。如果父母未能就子女的姓氏问题达成协议，子女的姓氏根据法院的裁决确定。非婚生子女的姓氏在子女出生时如果尚未确定父子关系，则根据母亲的姓氏确定。如果孩子的生父关系在孩子出生登记时已经确定，孩子姓氏的确定程序与婚生子女规定的程序相同。</w:t>
      </w:r>
    </w:p>
    <w:p w:rsidR="00312ECE" w:rsidRDefault="00312ECE">
      <w:pPr>
        <w:pStyle w:val="SingleTxt"/>
        <w:rPr>
          <w:rFonts w:hint="eastAsia"/>
        </w:rPr>
      </w:pPr>
      <w:r>
        <w:rPr>
          <w:rFonts w:hint="eastAsia"/>
        </w:rPr>
        <w:t>323.  拉脱维亚立法不包含表明男子有权单方面对与家庭子女人数及生育间隔有关的问题做出决定的规定。妇女自由获取信息、教育以及行使这些权利的手段将在对《公约》第12条的讨论中详细分析。</w:t>
      </w:r>
    </w:p>
    <w:p w:rsidR="00312ECE" w:rsidRDefault="00312ECE">
      <w:pPr>
        <w:pStyle w:val="SingleTxt"/>
        <w:rPr>
          <w:rFonts w:ascii="KaiTi_GB2312" w:eastAsia="KaiTi_GB2312" w:hint="eastAsia"/>
          <w:color w:val="0000FF"/>
        </w:rPr>
      </w:pPr>
      <w:r>
        <w:rPr>
          <w:rFonts w:ascii="KaiTi_GB2312" w:eastAsia="KaiTi_GB2312" w:hint="eastAsia"/>
          <w:color w:val="0000FF"/>
        </w:rPr>
        <w:t>成为监护人的平等权利及收养的权利</w:t>
      </w:r>
    </w:p>
    <w:p w:rsidR="00312ECE" w:rsidRDefault="00312ECE">
      <w:pPr>
        <w:pStyle w:val="SingleTxt"/>
        <w:rPr>
          <w:rFonts w:hint="eastAsia"/>
        </w:rPr>
      </w:pPr>
      <w:r>
        <w:rPr>
          <w:rFonts w:hint="eastAsia"/>
        </w:rPr>
        <w:t>324.  根据拉脱维亚立法，妇女与男子在成为未成年人的监护人方面拥有同等权利，条件是这些人拥有履行这项义务所必需的技能和性格特征。被指定为未成年监护人的男子与妇女负责抚养未成年人，并像其父母亲一样照管受监护人。</w:t>
      </w:r>
    </w:p>
    <w:p w:rsidR="00312ECE" w:rsidRDefault="00312ECE">
      <w:pPr>
        <w:pStyle w:val="SingleTxt"/>
        <w:rPr>
          <w:rFonts w:hint="eastAsia"/>
        </w:rPr>
      </w:pPr>
      <w:r>
        <w:rPr>
          <w:rFonts w:hint="eastAsia"/>
        </w:rPr>
        <w:t>325.  根据《民法》，年满25岁并且比被收养人大18岁的妇女与男子可收养子女，条件是有理由认为收养人及被收养人之间将发展成父母及子女关系。孩子的父亲可收养其非婚生子女，不考虑收养人的最低年龄及18岁年龄差别的规定；这种收养仅须经过配偶另一方的同意，以及孩子的母亲或监护人在一般理由上的同意。</w:t>
      </w:r>
    </w:p>
    <w:p w:rsidR="00312ECE" w:rsidRDefault="00312ECE">
      <w:pPr>
        <w:pStyle w:val="SingleTxt"/>
        <w:rPr>
          <w:rFonts w:hint="eastAsia"/>
        </w:rPr>
      </w:pPr>
      <w:r>
        <w:rPr>
          <w:rFonts w:hint="eastAsia"/>
        </w:rPr>
        <w:t>326.  配偶双方可共同收养子女，也可由配偶任何一方收养。已婚人士只有在征得配偶另一方同意后才能收养子女，但配偶另一方被宣布为因精神疾病或智力低下在法律上无行为能力的情况除外。但是，几个相互没有姻亲关系的人不能同时收养同一个人。</w:t>
      </w:r>
    </w:p>
    <w:p w:rsidR="00312ECE" w:rsidRDefault="00312ECE">
      <w:pPr>
        <w:pStyle w:val="SingleTxt"/>
        <w:rPr>
          <w:rFonts w:hint="eastAsia"/>
        </w:rPr>
      </w:pPr>
      <w:r>
        <w:rPr>
          <w:rFonts w:hint="eastAsia"/>
        </w:rPr>
        <w:t>327.  为了保证收养符合孩子的最大利益，所有参与人，即收养人及被收养人（如果被收养人不小于12岁），及其父母或监护人（子女尚未成年）均须同意收养；收养受监护人应征得监护人的同意。收养未成年人应由监护法院声明收养不会伤害受监护人。应居住在国外的人士的要求，一名未成年人仅在一个家庭不可能保证对子女进行适当抚养和照料的情况下经司法部许可后才可被收养。</w:t>
      </w:r>
    </w:p>
    <w:p w:rsidR="00312ECE" w:rsidRDefault="00312ECE">
      <w:pPr>
        <w:pStyle w:val="SingleTxt"/>
        <w:rPr>
          <w:rFonts w:hint="eastAsia"/>
        </w:rPr>
      </w:pPr>
      <w:r>
        <w:rPr>
          <w:rFonts w:hint="eastAsia"/>
        </w:rPr>
        <w:t>328.  《民法》规定，父亲和母亲在亲权的基础上是其未成年子女的自然监护人。父母一方若死亡，监护权即转给另一方，不必经过监护法院的确认。父母一方若死亡，而且另一方又再婚，再婚的一方仍然继续是其前次婚姻所生未成年子女的自然监护人，但他/她有义务通知监护法院他/她又再婚，并根据遗产权的条款分配死者的遗产，并以适当方式转让或保证应分给子女的那部分遗产。在这种情况下没有性别限制。</w:t>
      </w:r>
    </w:p>
    <w:p w:rsidR="00312ECE" w:rsidRDefault="00312ECE">
      <w:pPr>
        <w:pStyle w:val="SingleTxt"/>
        <w:rPr>
          <w:rFonts w:hint="eastAsia"/>
        </w:rPr>
      </w:pPr>
      <w:r>
        <w:rPr>
          <w:rFonts w:hint="eastAsia"/>
        </w:rPr>
        <w:t>329.  父母双方都有权在其留给现有子女及即将出生的子女的临终遗嘱中指定其子女的监护人。如果临终遗嘱未指定监护人，或者如果指定的监护人未经核可，以及如果他们已经不在人世，或不能履行监护权，未成年子女最亲近的亲戚应立即到有关监护法院请求为该子女指定一名监护人。监护法院从其近亲中挑选最适当的人选，但最亲近的监护人如果不能胜任监护工作，则从其远亲中挑选监护人。</w:t>
      </w:r>
    </w:p>
    <w:p w:rsidR="00312ECE" w:rsidRDefault="00312ECE">
      <w:pPr>
        <w:pStyle w:val="SingleTxt"/>
        <w:rPr>
          <w:rFonts w:hint="eastAsia"/>
        </w:rPr>
      </w:pPr>
      <w:r>
        <w:rPr>
          <w:rFonts w:hint="eastAsia"/>
        </w:rPr>
        <w:t>330.  《民法》对担当监护人的人作出了限制性规定。下述人士不能成为监护人：受监护的人；已经被剥夺亲权的人，以及因不适合履行监护人的职责而不再履行该项职责的人；经宣布无清偿能力的负债人；父母亲或祖父母在遗嘱中拒绝作其未成年子女监护人的人；其利益显然与受监护人利益相抵触的人；监护法院监督有关监护行为的人；外国人，但确定外国人对本国公民拥有监护权的情况除外；未成年人。对成为监护人的人，没有与其性别有关的其他限制。</w:t>
      </w:r>
    </w:p>
    <w:p w:rsidR="00312ECE" w:rsidRDefault="00312ECE">
      <w:pPr>
        <w:pStyle w:val="SingleTxt"/>
        <w:rPr>
          <w:rFonts w:hint="eastAsia"/>
        </w:rPr>
      </w:pPr>
      <w:r>
        <w:rPr>
          <w:rFonts w:hint="eastAsia"/>
        </w:rPr>
        <w:t>331.  监护人所负的义务在拉脱维亚是一项公共职责，若没有合法理由，人人不得拒绝，有鉴于此，《民法》也罗列了下述理由。拒绝承担监护人义务的合法理由如下：难以兼顾履行监护人职责的公共或市政部门；文盲；年龄超过60岁；负有三项监护义务或者负有一项监护义务但工作量很大；一个大家庭；贫困；妨碍适当履行监护人职责的疾病；转移到另一监护法院的管辖区；因公务或居住地离监护人住地远经常及长期不在，并因此妨碍履行监护人的职责。拒绝履行监护职责的人无论性别如何均可比照上述理由。</w:t>
      </w:r>
    </w:p>
    <w:p w:rsidR="00312ECE" w:rsidRDefault="00312ECE">
      <w:pPr>
        <w:pStyle w:val="SingleTxt"/>
        <w:rPr>
          <w:rFonts w:hint="eastAsia"/>
        </w:rPr>
      </w:pPr>
      <w:r>
        <w:rPr>
          <w:rFonts w:hint="eastAsia"/>
        </w:rPr>
        <w:t>332.  成年人的监护人由有关监护法院根据法院裁决指定，法院的裁决应首先指定被监护人的配偶或者最亲近的其他任何亲戚为其监护人，并考虑到为受监护人留下遗产之人的最终遗嘱。根据《民法》，同样的规定适用于看管人和监护人。同样，在这个领域没有性别限制。</w:t>
      </w:r>
    </w:p>
    <w:p w:rsidR="00312ECE" w:rsidRDefault="00312ECE">
      <w:pPr>
        <w:pStyle w:val="SingleTxt"/>
        <w:rPr>
          <w:rFonts w:hint="eastAsia"/>
        </w:rPr>
      </w:pPr>
      <w:r>
        <w:rPr>
          <w:rFonts w:hint="eastAsia"/>
        </w:rPr>
        <w:t>333.  拉脱维亚也有寄养家庭机构。根据部长内阁第211号“关于寄养家庭”（1997年10月6日）的条例，寄养家庭指为暂时或者长期被剥夺家庭环境，或者呆在家庭不符合其最大利益的孩子提供特别状态援助及保护的家庭，直至孩子返回家庭，或者如果不可能，孩子应被收养、监护或者进入儿童保育及教育机构。寄养家庭的地位授予希望成为寄养家庭的家庭，配偶的年龄在21-60岁之间。在特殊情况下，寄养家庭的地位可授予一个人（要取得寄养家庭地位的人不受性别限制）。</w:t>
      </w:r>
    </w:p>
    <w:p w:rsidR="00312ECE" w:rsidRDefault="00312ECE">
      <w:pPr>
        <w:pStyle w:val="SingleTxt"/>
        <w:rPr>
          <w:rFonts w:hint="eastAsia"/>
        </w:rPr>
      </w:pPr>
      <w:r>
        <w:rPr>
          <w:rFonts w:hint="eastAsia"/>
        </w:rPr>
        <w:t>334.  子女的利益至关重要：监护权根据监护法院或教区民事法院的裁决确定；实际上在某些情况下监护人由法院指定；确认某人为收养人以及根据监护法院或教区民事法院的裁决发布声明声称收养符合子女的最大利益；履行类似的职责-根据监护法院或教区民事法院给予寄养家庭地位；父母、监护人、寄养家庭的代表在子女的个人利益及财产利益方面有代表权及作出安排的权利。</w:t>
      </w:r>
    </w:p>
    <w:p w:rsidR="00312ECE" w:rsidRDefault="00312ECE">
      <w:pPr>
        <w:pStyle w:val="SingleTxt"/>
        <w:rPr>
          <w:rFonts w:ascii="KaiTi_GB2312" w:eastAsia="KaiTi_GB2312" w:hint="eastAsia"/>
          <w:color w:val="0000FF"/>
        </w:rPr>
      </w:pPr>
      <w:r>
        <w:rPr>
          <w:rFonts w:ascii="KaiTi_GB2312" w:eastAsia="KaiTi_GB2312" w:hint="eastAsia"/>
          <w:color w:val="0000FF"/>
        </w:rPr>
        <w:t>配偶选择职业和就业以及选择选择姓氏的同等权利</w:t>
      </w:r>
    </w:p>
    <w:p w:rsidR="00312ECE" w:rsidRDefault="00312ECE">
      <w:pPr>
        <w:pStyle w:val="SingleTxt"/>
        <w:rPr>
          <w:rFonts w:hint="eastAsia"/>
        </w:rPr>
      </w:pPr>
      <w:r>
        <w:rPr>
          <w:rFonts w:hint="eastAsia"/>
        </w:rPr>
        <w:t>335.  妇女选择已婚姓氏的权利已在上文讨论过。选择职业的权利在《公约》第10条的分析中也讨论过。</w:t>
      </w:r>
    </w:p>
    <w:p w:rsidR="00312ECE" w:rsidRDefault="00312ECE">
      <w:pPr>
        <w:pStyle w:val="SingleTxt"/>
        <w:rPr>
          <w:rFonts w:ascii="KaiTi_GB2312" w:eastAsia="KaiTi_GB2312" w:hint="eastAsia"/>
          <w:color w:val="0000FF"/>
        </w:rPr>
      </w:pPr>
      <w:r>
        <w:rPr>
          <w:rFonts w:ascii="KaiTi_GB2312" w:eastAsia="KaiTi_GB2312" w:hint="eastAsia"/>
          <w:color w:val="0000FF"/>
        </w:rPr>
        <w:t>禁止童年订婚和童婚</w:t>
      </w:r>
    </w:p>
    <w:p w:rsidR="00312ECE" w:rsidRDefault="00312ECE">
      <w:pPr>
        <w:pStyle w:val="SingleTxt"/>
        <w:rPr>
          <w:rFonts w:hint="eastAsia"/>
        </w:rPr>
      </w:pPr>
      <w:r>
        <w:rPr>
          <w:rFonts w:hint="eastAsia"/>
        </w:rPr>
        <w:t>336.  按照对拉脱维亚立法的理解，订婚是对结婚的相互承诺。订婚不包括童年订婚，未成年人的监护人或其他人均不能作出这种承诺。订婚没有赋予要求通过法院结婚的权利。</w:t>
      </w:r>
    </w:p>
    <w:p w:rsidR="00312ECE" w:rsidRDefault="00312ECE">
      <w:pPr>
        <w:pStyle w:val="SingleTxt"/>
        <w:rPr>
          <w:rFonts w:hint="eastAsia"/>
        </w:rPr>
      </w:pPr>
      <w:r>
        <w:rPr>
          <w:rFonts w:hint="eastAsia"/>
        </w:rPr>
        <w:t>337.  如上所述，拉脱维亚已经确定结婚最低年龄，在达到特定年龄前结婚应宣布为无效。</w:t>
      </w:r>
    </w:p>
    <w:p w:rsidR="00312ECE" w:rsidRDefault="00312ECE">
      <w:pPr>
        <w:pStyle w:val="SingleTxt"/>
      </w:pPr>
      <w:r>
        <w:rPr>
          <w:rFonts w:hint="eastAsia"/>
        </w:rPr>
        <w:t>338.  到正式登记处登记结婚在拉脱维亚具有强制性。根据《民法》，登记处管理人员及法律列示的各教派（福音路德教、罗马天主教、东正教、旧礼仪派、卫理公会、浸理会、基督复临安息日会）的牧师获准管理有关教派的，有权主持结婚仪式。牧师按婚姻登记官的要求将有关每次结婚的信息提交登记处，结婚仪式在十四天内举行。牧师未能履行这一职责的，可追究其行政责任。未在登记处进行或未经牧师主持的婚姻根据法定程序应宣布为无效。</w:t>
      </w:r>
    </w:p>
    <w:p w:rsidR="00312ECE" w:rsidRDefault="00312ECE">
      <w:pPr>
        <w:pStyle w:val="SingleTxt"/>
      </w:pPr>
    </w:p>
    <w:p w:rsidR="00312ECE" w:rsidRDefault="00312ECE">
      <w:pPr>
        <w:pStyle w:val="SingleTxt"/>
        <w:jc w:val="center"/>
        <w:rPr>
          <w:rFonts w:hint="eastAsia"/>
        </w:rPr>
      </w:pPr>
      <w:r>
        <w:rPr>
          <w:rFonts w:hint="eastAsia"/>
        </w:rPr>
        <w:t>——————</w:t>
      </w:r>
    </w:p>
    <w:p w:rsidR="00312ECE" w:rsidRDefault="00312ECE">
      <w:pPr>
        <w:pStyle w:val="SingleTxt"/>
      </w:pPr>
    </w:p>
    <w:sectPr w:rsidR="00312ECE">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12ECE" w:rsidRDefault="00312ECE">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NO&gt;&gt;N0342250C&lt;&lt;ODS JOB NO&gt;&gt;</w:t>
      </w:r>
    </w:p>
    <w:p w:rsidR="00312ECE" w:rsidRDefault="00312ECE">
      <w:pPr>
        <w:pStyle w:val="CommentText"/>
      </w:pPr>
      <w:r>
        <w:t>&lt;&lt;ODS DOC SYMBOL1&gt;&gt;CEDAW/C/LVA/1-3&lt;&lt;ODS DOC SYMBOL1&gt;&gt;</w:t>
      </w:r>
    </w:p>
    <w:p w:rsidR="00312ECE" w:rsidRDefault="00312E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A62B6">
      <w:pPr>
        <w:spacing w:line="240" w:lineRule="auto"/>
      </w:pPr>
      <w:r>
        <w:separator/>
      </w:r>
    </w:p>
  </w:endnote>
  <w:endnote w:type="continuationSeparator" w:id="0">
    <w:p w:rsidR="00000000" w:rsidRDefault="001A62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12ECE">
      <w:tblPrEx>
        <w:tblCellMar>
          <w:top w:w="0" w:type="dxa"/>
          <w:bottom w:w="0" w:type="dxa"/>
        </w:tblCellMar>
      </w:tblPrEx>
      <w:tc>
        <w:tcPr>
          <w:tcW w:w="5034" w:type="dxa"/>
          <w:vAlign w:val="bottom"/>
        </w:tcPr>
        <w:p w:rsidR="00312ECE" w:rsidRDefault="00312ECE">
          <w:pPr>
            <w:pStyle w:val="Footer"/>
          </w:pPr>
          <w:r>
            <w:fldChar w:fldCharType="begin"/>
          </w:r>
          <w:r>
            <w:instrText xml:space="preserve"> PAGE  \* MERGEFORMAT </w:instrText>
          </w:r>
          <w:r>
            <w:fldChar w:fldCharType="separate"/>
          </w:r>
          <w:r>
            <w:t>2</w:t>
          </w:r>
          <w:r>
            <w:fldChar w:fldCharType="end"/>
          </w:r>
        </w:p>
      </w:tc>
      <w:tc>
        <w:tcPr>
          <w:tcW w:w="5034" w:type="dxa"/>
          <w:vAlign w:val="bottom"/>
        </w:tcPr>
        <w:p w:rsidR="00312ECE" w:rsidRDefault="00312ECE">
          <w:pPr>
            <w:pStyle w:val="Footer"/>
            <w:jc w:val="right"/>
          </w:pPr>
        </w:p>
      </w:tc>
    </w:tr>
  </w:tbl>
  <w:p w:rsidR="00312ECE" w:rsidRDefault="00312E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12ECE">
      <w:tblPrEx>
        <w:tblCellMar>
          <w:top w:w="0" w:type="dxa"/>
          <w:bottom w:w="0" w:type="dxa"/>
        </w:tblCellMar>
      </w:tblPrEx>
      <w:tc>
        <w:tcPr>
          <w:tcW w:w="5034" w:type="dxa"/>
          <w:vAlign w:val="bottom"/>
        </w:tcPr>
        <w:p w:rsidR="00312ECE" w:rsidRDefault="00312ECE">
          <w:pPr>
            <w:pStyle w:val="Footer"/>
          </w:pPr>
        </w:p>
      </w:tc>
      <w:tc>
        <w:tcPr>
          <w:tcW w:w="5034" w:type="dxa"/>
          <w:vAlign w:val="bottom"/>
        </w:tcPr>
        <w:p w:rsidR="00312ECE" w:rsidRDefault="00312ECE">
          <w:pPr>
            <w:pStyle w:val="Footer"/>
            <w:jc w:val="right"/>
          </w:pPr>
          <w:r>
            <w:fldChar w:fldCharType="begin"/>
          </w:r>
          <w:r>
            <w:instrText xml:space="preserve"> PAGE  \* MERGEFORMAT </w:instrText>
          </w:r>
          <w:r>
            <w:fldChar w:fldCharType="separate"/>
          </w:r>
          <w:r>
            <w:t>61</w:t>
          </w:r>
          <w:r>
            <w:fldChar w:fldCharType="end"/>
          </w:r>
        </w:p>
      </w:tc>
    </w:tr>
  </w:tbl>
  <w:p w:rsidR="00312ECE" w:rsidRDefault="00312E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CE" w:rsidRDefault="00312ECE">
    <w:pPr>
      <w:pStyle w:val="Footer"/>
      <w:rPr>
        <w:b w:val="0"/>
        <w:sz w:val="21"/>
      </w:rPr>
    </w:pPr>
    <w:r>
      <w:rPr>
        <w:b w:val="0"/>
        <w:sz w:val="21"/>
      </w:rPr>
      <w:t>03-42250 (C)    190903    220903</w:t>
    </w:r>
  </w:p>
  <w:p w:rsidR="00312ECE" w:rsidRDefault="00312ECE">
    <w:pPr>
      <w:spacing w:before="60" w:line="200" w:lineRule="exact"/>
      <w:rPr>
        <w:rFonts w:ascii="Barcode 3 of 9 by request" w:hAnsi="Barcode 3 of 9 by request"/>
        <w:b/>
      </w:rPr>
    </w:pPr>
    <w:r>
      <w:rPr>
        <w:rFonts w:ascii="Barcode 3 of 9 by request" w:hAnsi="Barcode 3 of 9 by request"/>
        <w:b/>
      </w:rPr>
      <w:t>*0342250*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ECE" w:rsidRDefault="00312ECE">
      <w:pPr>
        <w:pStyle w:val="Footer"/>
        <w:spacing w:after="80"/>
        <w:ind w:left="792"/>
        <w:rPr>
          <w:sz w:val="16"/>
        </w:rPr>
      </w:pPr>
      <w:r>
        <w:rPr>
          <w:sz w:val="16"/>
        </w:rPr>
        <w:t>__________________</w:t>
      </w:r>
    </w:p>
  </w:footnote>
  <w:footnote w:type="continuationSeparator" w:id="0">
    <w:p w:rsidR="00312ECE" w:rsidRDefault="00312ECE">
      <w:pPr>
        <w:pStyle w:val="Footer"/>
        <w:spacing w:after="80"/>
        <w:ind w:left="792"/>
        <w:rPr>
          <w:sz w:val="16"/>
        </w:rPr>
      </w:pPr>
      <w:r>
        <w:rPr>
          <w:sz w:val="16"/>
        </w:rPr>
        <w:t>__________________</w:t>
      </w:r>
    </w:p>
  </w:footnote>
  <w:footnote w:id="1">
    <w:p w:rsidR="00312ECE" w:rsidRDefault="00312ECE">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宪法第8章于1998年10月15日颁布。</w:t>
      </w:r>
    </w:p>
  </w:footnote>
  <w:footnote w:id="2">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欧洲议会和理事会修订理事会第76/207/EEC号指令的指令提案，该指令要求落实在就业、职业培训和晋升以及工作条件方面给予妇女与男子同等待遇的原则。</w:t>
      </w:r>
    </w:p>
  </w:footnote>
  <w:footnote w:id="3">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《劳工法》自2002年6月1日起生效，《劳工法典》已无效。</w:t>
      </w:r>
    </w:p>
  </w:footnote>
  <w:footnote w:id="4">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1993年5月4日制定的“劳动保护”法有效期截止2002年1月1日，当时，2001年7月6日制定的《劳动保护法》开始生效。</w:t>
      </w:r>
    </w:p>
  </w:footnote>
  <w:footnote w:id="5">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由中央统计局核算的最低生活费是维持最低生活水平的一蓝子商品和服务，也就是为个人提供的最低生活费又为社会所接受的商品和服务的数量。其实质内容根据部长会议1991年4月8日的第95号决定核准，但是，该蓝子的价值由中央统计局按月核算。最低生活费的核算不包括收入税和社会税。</w:t>
      </w:r>
    </w:p>
  </w:footnote>
  <w:footnote w:id="6">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自1997年1月1日起生效。</w:t>
      </w:r>
    </w:p>
  </w:footnote>
  <w:footnote w:id="7">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自1997年起，生育津贴按日历日计算，此前按工作日计算。</w:t>
      </w:r>
    </w:p>
  </w:footnote>
  <w:footnote w:id="8">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津贴领受人登记制度自1999年起改变。</w:t>
      </w:r>
    </w:p>
  </w:footnote>
  <w:footnote w:id="9">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自1997年10月1日起生效。</w:t>
      </w:r>
    </w:p>
  </w:footnote>
  <w:footnote w:id="10">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自1996年1月1日起生效。</w:t>
      </w:r>
    </w:p>
  </w:footnote>
  <w:footnote w:id="11">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1998年10月15日制定。</w:t>
      </w:r>
    </w:p>
  </w:footnote>
  <w:footnote w:id="12">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2000年12月5日公布。</w:t>
      </w:r>
    </w:p>
  </w:footnote>
  <w:footnote w:id="13">
    <w:p w:rsidR="00312ECE" w:rsidRDefault="00312EC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2002年6月26日生效的《领土开发规划法》也有同样内容的规定。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CE" w:rsidRDefault="00312EC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12ECE">
                  <w:tblPrEx>
                    <w:tblCellMar>
                      <w:top w:w="0" w:type="dxa"/>
                      <w:bottom w:w="0" w:type="dxa"/>
                    </w:tblCellMar>
                  </w:tblPrEx>
                  <w:trPr>
                    <w:trHeight w:hRule="exact" w:val="864"/>
                  </w:trPr>
                  <w:tc>
                    <w:tcPr>
                      <w:tcW w:w="4838" w:type="dxa"/>
                      <w:vAlign w:val="bottom"/>
                    </w:tcPr>
                    <w:p w:rsidR="00312ECE" w:rsidRDefault="00312ECE">
                      <w:pPr>
                        <w:pStyle w:val="Header"/>
                        <w:spacing w:after="80"/>
                        <w:rPr>
                          <w:b/>
                          <w:sz w:val="17"/>
                        </w:rPr>
                      </w:pPr>
                      <w:r>
                        <w:rPr>
                          <w:b/>
                          <w:sz w:val="17"/>
                        </w:rPr>
                        <w:t>CEDAW/C/LVA/1-3</w:t>
                      </w:r>
                    </w:p>
                  </w:tc>
                  <w:tc>
                    <w:tcPr>
                      <w:tcW w:w="5048" w:type="dxa"/>
                      <w:vAlign w:val="bottom"/>
                    </w:tcPr>
                    <w:p w:rsidR="00312ECE" w:rsidRDefault="00312ECE">
                      <w:pPr>
                        <w:pStyle w:val="Header"/>
                      </w:pPr>
                    </w:p>
                  </w:tc>
                </w:tr>
              </w:tbl>
              <w:p w:rsidR="00312ECE" w:rsidRDefault="00312ECE"/>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CE" w:rsidRDefault="00312EC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12ECE">
                  <w:tblPrEx>
                    <w:tblCellMar>
                      <w:top w:w="0" w:type="dxa"/>
                      <w:bottom w:w="0" w:type="dxa"/>
                    </w:tblCellMar>
                  </w:tblPrEx>
                  <w:trPr>
                    <w:trHeight w:hRule="exact" w:val="864"/>
                  </w:trPr>
                  <w:tc>
                    <w:tcPr>
                      <w:tcW w:w="4838" w:type="dxa"/>
                      <w:vAlign w:val="bottom"/>
                    </w:tcPr>
                    <w:p w:rsidR="00312ECE" w:rsidRDefault="00312ECE">
                      <w:pPr>
                        <w:pStyle w:val="Header"/>
                      </w:pPr>
                    </w:p>
                  </w:tc>
                  <w:tc>
                    <w:tcPr>
                      <w:tcW w:w="5048" w:type="dxa"/>
                      <w:vAlign w:val="bottom"/>
                    </w:tcPr>
                    <w:p w:rsidR="00312ECE" w:rsidRDefault="00312ECE">
                      <w:pPr>
                        <w:pStyle w:val="Header"/>
                        <w:spacing w:after="80"/>
                        <w:jc w:val="right"/>
                        <w:rPr>
                          <w:b/>
                          <w:sz w:val="17"/>
                        </w:rPr>
                      </w:pPr>
                      <w:r>
                        <w:rPr>
                          <w:b/>
                          <w:sz w:val="17"/>
                        </w:rPr>
                        <w:t>CEDAW/C/LVA/1-3</w:t>
                      </w:r>
                    </w:p>
                  </w:tc>
                </w:tr>
              </w:tbl>
              <w:p w:rsidR="00312ECE" w:rsidRDefault="00312ECE"/>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2EC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12ECE" w:rsidRDefault="00312ECE">
          <w:pPr>
            <w:pStyle w:val="Header"/>
            <w:spacing w:after="120"/>
          </w:pPr>
        </w:p>
      </w:tc>
      <w:tc>
        <w:tcPr>
          <w:tcW w:w="1872" w:type="dxa"/>
          <w:tcBorders>
            <w:top w:val="nil"/>
            <w:left w:val="nil"/>
            <w:bottom w:val="single" w:sz="4" w:space="0" w:color="auto"/>
            <w:right w:val="nil"/>
          </w:tcBorders>
          <w:vAlign w:val="bottom"/>
        </w:tcPr>
        <w:p w:rsidR="00312ECE" w:rsidRDefault="00312ECE">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12ECE" w:rsidRDefault="00312ECE">
          <w:pPr>
            <w:pStyle w:val="Header"/>
            <w:spacing w:after="120"/>
          </w:pPr>
        </w:p>
      </w:tc>
      <w:tc>
        <w:tcPr>
          <w:tcW w:w="6523" w:type="dxa"/>
          <w:gridSpan w:val="3"/>
          <w:tcBorders>
            <w:top w:val="nil"/>
            <w:left w:val="nil"/>
            <w:bottom w:val="single" w:sz="4" w:space="0" w:color="auto"/>
            <w:right w:val="nil"/>
          </w:tcBorders>
          <w:vAlign w:val="bottom"/>
        </w:tcPr>
        <w:p w:rsidR="00312ECE" w:rsidRDefault="00312EC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/C/LVA/1-3</w:t>
          </w:r>
        </w:p>
      </w:tc>
    </w:tr>
    <w:tr w:rsidR="00312ECE">
      <w:tblPrEx>
        <w:tblCellMar>
          <w:top w:w="0" w:type="dxa"/>
          <w:bottom w:w="0" w:type="dxa"/>
        </w:tblCellMar>
      </w:tblPrEx>
      <w:trPr>
        <w:trHeight w:hRule="exact" w:val="2880"/>
      </w:trPr>
      <w:tc>
        <w:tcPr>
          <w:tcW w:w="1267" w:type="dxa"/>
          <w:tcBorders>
            <w:left w:val="nil"/>
            <w:bottom w:val="single" w:sz="12" w:space="0" w:color="auto"/>
            <w:right w:val="nil"/>
          </w:tcBorders>
        </w:tcPr>
        <w:p w:rsidR="00312ECE" w:rsidRDefault="00312EC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12ECE" w:rsidRDefault="00312ECE">
          <w:pPr>
            <w:pStyle w:val="Header"/>
            <w:spacing w:before="109"/>
            <w:ind w:left="-72"/>
          </w:pPr>
        </w:p>
      </w:tc>
      <w:tc>
        <w:tcPr>
          <w:tcW w:w="5227" w:type="dxa"/>
          <w:gridSpan w:val="3"/>
          <w:tcBorders>
            <w:left w:val="nil"/>
            <w:bottom w:val="single" w:sz="12" w:space="0" w:color="auto"/>
            <w:right w:val="nil"/>
          </w:tcBorders>
        </w:tcPr>
        <w:p w:rsidR="00312ECE" w:rsidRDefault="00312ECE">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12ECE" w:rsidRDefault="00312ECE">
          <w:pPr>
            <w:pStyle w:val="Header"/>
            <w:spacing w:before="109"/>
          </w:pPr>
        </w:p>
      </w:tc>
      <w:tc>
        <w:tcPr>
          <w:tcW w:w="3180" w:type="dxa"/>
          <w:gridSpan w:val="2"/>
          <w:tcBorders>
            <w:left w:val="nil"/>
            <w:bottom w:val="single" w:sz="12" w:space="0" w:color="auto"/>
            <w:right w:val="nil"/>
          </w:tcBorders>
        </w:tcPr>
        <w:p w:rsidR="00312ECE" w:rsidRDefault="00312ECE">
          <w:pPr>
            <w:spacing w:before="240" w:line="240" w:lineRule="exact"/>
            <w:rPr>
              <w:rFonts w:ascii="Times New Roman"/>
            </w:rPr>
          </w:pPr>
          <w:r>
            <w:rPr>
              <w:rFonts w:ascii="Times New Roman"/>
            </w:rPr>
            <w:t>Distr.: General</w:t>
          </w:r>
        </w:p>
        <w:p w:rsidR="00312ECE" w:rsidRDefault="00312ECE">
          <w:pPr>
            <w:spacing w:line="240" w:lineRule="exact"/>
            <w:rPr>
              <w:rFonts w:ascii="Times New Roman"/>
            </w:rPr>
          </w:pPr>
          <w:r>
            <w:rPr>
              <w:rFonts w:ascii="Times New Roman"/>
            </w:rPr>
            <w:t>16 June 2003</w:t>
          </w:r>
        </w:p>
        <w:p w:rsidR="00312ECE" w:rsidRDefault="00312ECE">
          <w:pPr>
            <w:spacing w:line="240" w:lineRule="exact"/>
            <w:rPr>
              <w:rFonts w:ascii="Times New Roman"/>
            </w:rPr>
          </w:pPr>
          <w:r>
            <w:rPr>
              <w:rFonts w:ascii="Times New Roman"/>
            </w:rPr>
            <w:t>Chinese</w:t>
          </w:r>
        </w:p>
        <w:p w:rsidR="00312ECE" w:rsidRDefault="00312ECE">
          <w:pPr>
            <w:spacing w:line="240" w:lineRule="exact"/>
            <w:rPr>
              <w:rFonts w:ascii="Times New Roman"/>
            </w:rPr>
          </w:pPr>
          <w:r>
            <w:rPr>
              <w:rFonts w:ascii="Times New Roman"/>
            </w:rPr>
            <w:t>Original: English</w:t>
          </w:r>
        </w:p>
      </w:tc>
    </w:tr>
  </w:tbl>
  <w:p w:rsidR="00312ECE" w:rsidRDefault="00312EC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9/2003 9:33: AM"/>
    <w:docVar w:name="DocCategory" w:val="Doc"/>
    <w:docVar w:name="DocType" w:val="Final"/>
    <w:docVar w:name="JobNo" w:val="0342250C"/>
    <w:docVar w:name="OandT" w:val=" "/>
    <w:docVar w:name="Symbol1" w:val="CEDAW/C/LVA/1-3"/>
    <w:docVar w:name="Symbol2" w:val="-"/>
  </w:docVars>
  <w:rsids>
    <w:rsidRoot w:val="00312ECE"/>
    <w:rsid w:val="001A62B6"/>
    <w:rsid w:val="00312E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10"/>
      </w:numPr>
      <w:spacing w:line="360" w:lineRule="auto"/>
      <w:jc w:val="center"/>
    </w:pPr>
    <w:rPr>
      <w:rFonts w:ascii="Times New Roman" w:eastAsia="STKaiti"/>
      <w:b/>
      <w:kern w:val="2"/>
      <w:sz w:val="24"/>
    </w:r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styleId="BalloonText">
    <w:name w:val="Balloon Text"/>
    <w:basedOn w:val="Normal"/>
    <w:semiHidden/>
    <w:rsid w:val="00312E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356</TotalTime>
  <Pages>3</Pages>
  <Words>9855</Words>
  <Characters>56175</Characters>
  <Application>Microsoft Office Word</Application>
  <DocSecurity>4</DocSecurity>
  <Lines>468</Lines>
  <Paragraphs>131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65899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48</cp:revision>
  <cp:lastPrinted>2003-09-22T15:19:00Z</cp:lastPrinted>
  <dcterms:created xsi:type="dcterms:W3CDTF">2003-09-22T07:33:00Z</dcterms:created>
  <dcterms:modified xsi:type="dcterms:W3CDTF">2003-09-22T16:06:00Z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0342250</vt:lpwstr>
  </property>
  <property fmtid="{D5CDD505-2E9C-101B-9397-08002B2CF9AE}" pid="3" name="Symbol1">
    <vt:lpwstr>CEDAW/C/LVA/1-3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